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auto"/>
          <w:sz w:val="52"/>
          <w:szCs w:val="52"/>
          <w:highlight w:val="none"/>
          <w:lang w:val="zh-CN" w:eastAsia="zh-CN"/>
        </w:rPr>
      </w:pPr>
    </w:p>
    <w:p>
      <w:pPr>
        <w:jc w:val="center"/>
        <w:rPr>
          <w:rFonts w:hint="eastAsia" w:ascii="仿宋" w:hAnsi="仿宋" w:eastAsia="仿宋" w:cs="仿宋"/>
          <w:b/>
          <w:bCs/>
          <w:color w:val="auto"/>
          <w:sz w:val="52"/>
          <w:szCs w:val="52"/>
          <w:highlight w:val="none"/>
        </w:rPr>
      </w:pPr>
      <w:r>
        <w:rPr>
          <w:rFonts w:hint="eastAsia" w:ascii="仿宋" w:hAnsi="仿宋" w:eastAsia="仿宋" w:cs="仿宋"/>
          <w:b/>
          <w:bCs/>
          <w:color w:val="auto"/>
          <w:sz w:val="52"/>
          <w:szCs w:val="52"/>
          <w:highlight w:val="none"/>
          <w:lang w:val="zh-CN"/>
        </w:rPr>
        <w:t>黄酒艺术光影体验馆布展项目</w:t>
      </w:r>
    </w:p>
    <w:p>
      <w:pPr>
        <w:rPr>
          <w:rFonts w:hint="eastAsia" w:ascii="仿宋" w:hAnsi="仿宋" w:eastAsia="仿宋" w:cs="仿宋"/>
          <w:color w:val="auto"/>
          <w:sz w:val="36"/>
          <w:szCs w:val="36"/>
          <w:highlight w:val="none"/>
        </w:rPr>
      </w:pPr>
    </w:p>
    <w:p>
      <w:pPr>
        <w:rPr>
          <w:rFonts w:hint="eastAsia" w:ascii="仿宋" w:hAnsi="仿宋" w:eastAsia="仿宋" w:cs="仿宋"/>
          <w:color w:val="auto"/>
          <w:sz w:val="36"/>
          <w:szCs w:val="36"/>
          <w:highlight w:val="none"/>
        </w:rPr>
      </w:pPr>
    </w:p>
    <w:p>
      <w:pPr>
        <w:pStyle w:val="2"/>
        <w:rPr>
          <w:rFonts w:hint="eastAsia"/>
          <w:color w:val="auto"/>
          <w:highlight w:val="none"/>
        </w:rPr>
      </w:pPr>
    </w:p>
    <w:p>
      <w:pPr>
        <w:rPr>
          <w:rFonts w:hint="eastAsia" w:ascii="仿宋" w:hAnsi="仿宋" w:eastAsia="仿宋" w:cs="仿宋"/>
          <w:color w:val="auto"/>
          <w:sz w:val="36"/>
          <w:szCs w:val="36"/>
          <w:highlight w:val="none"/>
        </w:rPr>
      </w:pPr>
    </w:p>
    <w:p>
      <w:pPr>
        <w:jc w:val="center"/>
        <w:rPr>
          <w:rFonts w:hint="eastAsia" w:ascii="仿宋" w:hAnsi="仿宋" w:eastAsia="仿宋" w:cs="仿宋"/>
          <w:b/>
          <w:bCs/>
          <w:color w:val="auto"/>
          <w:sz w:val="72"/>
          <w:szCs w:val="72"/>
          <w:highlight w:val="none"/>
        </w:rPr>
      </w:pPr>
      <w:r>
        <w:rPr>
          <w:rFonts w:hint="eastAsia" w:ascii="仿宋" w:hAnsi="仿宋" w:eastAsia="仿宋" w:cs="仿宋"/>
          <w:b/>
          <w:bCs/>
          <w:color w:val="auto"/>
          <w:sz w:val="72"/>
          <w:szCs w:val="72"/>
          <w:highlight w:val="none"/>
        </w:rPr>
        <w:t>采</w:t>
      </w:r>
    </w:p>
    <w:p>
      <w:pPr>
        <w:jc w:val="center"/>
        <w:rPr>
          <w:rFonts w:hint="eastAsia" w:ascii="仿宋" w:hAnsi="仿宋" w:eastAsia="仿宋" w:cs="仿宋"/>
          <w:b/>
          <w:bCs/>
          <w:color w:val="auto"/>
          <w:sz w:val="72"/>
          <w:szCs w:val="72"/>
          <w:highlight w:val="none"/>
        </w:rPr>
      </w:pPr>
      <w:r>
        <w:rPr>
          <w:rFonts w:hint="eastAsia" w:ascii="仿宋" w:hAnsi="仿宋" w:eastAsia="仿宋" w:cs="仿宋"/>
          <w:b/>
          <w:bCs/>
          <w:color w:val="auto"/>
          <w:sz w:val="72"/>
          <w:szCs w:val="72"/>
          <w:highlight w:val="none"/>
        </w:rPr>
        <w:t>购</w:t>
      </w:r>
    </w:p>
    <w:p>
      <w:pPr>
        <w:tabs>
          <w:tab w:val="center" w:pos="4380"/>
          <w:tab w:val="left" w:pos="6983"/>
        </w:tabs>
        <w:jc w:val="left"/>
        <w:rPr>
          <w:rFonts w:hint="eastAsia" w:ascii="仿宋" w:hAnsi="仿宋" w:eastAsia="仿宋" w:cs="仿宋"/>
          <w:b/>
          <w:bCs/>
          <w:color w:val="auto"/>
          <w:sz w:val="72"/>
          <w:szCs w:val="72"/>
          <w:highlight w:val="none"/>
          <w:lang w:eastAsia="zh-CN"/>
        </w:rPr>
      </w:pPr>
      <w:r>
        <w:rPr>
          <w:rFonts w:hint="eastAsia" w:ascii="仿宋" w:hAnsi="仿宋" w:eastAsia="仿宋" w:cs="仿宋"/>
          <w:b/>
          <w:bCs/>
          <w:color w:val="auto"/>
          <w:sz w:val="72"/>
          <w:szCs w:val="72"/>
          <w:highlight w:val="none"/>
          <w:lang w:eastAsia="zh-CN"/>
        </w:rPr>
        <w:tab/>
      </w:r>
      <w:r>
        <w:rPr>
          <w:rFonts w:hint="eastAsia" w:ascii="仿宋" w:hAnsi="仿宋" w:eastAsia="仿宋" w:cs="仿宋"/>
          <w:b/>
          <w:bCs/>
          <w:color w:val="auto"/>
          <w:sz w:val="72"/>
          <w:szCs w:val="72"/>
          <w:highlight w:val="none"/>
        </w:rPr>
        <w:t>文</w:t>
      </w:r>
      <w:r>
        <w:rPr>
          <w:rFonts w:hint="eastAsia" w:ascii="仿宋" w:hAnsi="仿宋" w:eastAsia="仿宋" w:cs="仿宋"/>
          <w:b/>
          <w:bCs/>
          <w:color w:val="auto"/>
          <w:sz w:val="72"/>
          <w:szCs w:val="72"/>
          <w:highlight w:val="none"/>
          <w:lang w:eastAsia="zh-CN"/>
        </w:rPr>
        <w:tab/>
      </w:r>
    </w:p>
    <w:p>
      <w:pPr>
        <w:jc w:val="center"/>
        <w:rPr>
          <w:rFonts w:hint="eastAsia" w:ascii="仿宋" w:hAnsi="仿宋" w:eastAsia="仿宋" w:cs="仿宋"/>
          <w:b/>
          <w:bCs/>
          <w:color w:val="auto"/>
          <w:sz w:val="72"/>
          <w:szCs w:val="72"/>
          <w:highlight w:val="none"/>
        </w:rPr>
      </w:pPr>
      <w:r>
        <w:rPr>
          <w:rFonts w:hint="eastAsia" w:ascii="仿宋" w:hAnsi="仿宋" w:eastAsia="仿宋" w:cs="仿宋"/>
          <w:b/>
          <w:bCs/>
          <w:color w:val="auto"/>
          <w:sz w:val="72"/>
          <w:szCs w:val="72"/>
          <w:highlight w:val="none"/>
        </w:rPr>
        <w:t>件</w:t>
      </w:r>
    </w:p>
    <w:p>
      <w:pPr>
        <w:rPr>
          <w:rFonts w:hint="eastAsia" w:ascii="仿宋" w:hAnsi="仿宋" w:eastAsia="仿宋" w:cs="仿宋"/>
          <w:b/>
          <w:bCs/>
          <w:color w:val="auto"/>
          <w:sz w:val="36"/>
          <w:szCs w:val="36"/>
          <w:highlight w:val="none"/>
        </w:rPr>
      </w:pPr>
    </w:p>
    <w:p>
      <w:pPr>
        <w:rPr>
          <w:rFonts w:hint="eastAsia" w:ascii="仿宋" w:hAnsi="仿宋" w:eastAsia="仿宋" w:cs="仿宋"/>
          <w:color w:val="auto"/>
          <w:sz w:val="36"/>
          <w:szCs w:val="36"/>
          <w:highlight w:val="none"/>
        </w:rPr>
      </w:pPr>
    </w:p>
    <w:p>
      <w:pPr>
        <w:rPr>
          <w:rFonts w:hint="eastAsia" w:ascii="仿宋" w:hAnsi="仿宋" w:eastAsia="仿宋" w:cs="仿宋"/>
          <w:color w:val="auto"/>
          <w:sz w:val="36"/>
          <w:szCs w:val="36"/>
          <w:highlight w:val="none"/>
        </w:rPr>
      </w:pPr>
    </w:p>
    <w:tbl>
      <w:tblPr>
        <w:tblStyle w:val="26"/>
        <w:tblW w:w="8593" w:type="dxa"/>
        <w:jc w:val="center"/>
        <w:tblLayout w:type="autofit"/>
        <w:tblCellMar>
          <w:top w:w="0" w:type="dxa"/>
          <w:left w:w="108" w:type="dxa"/>
          <w:bottom w:w="0" w:type="dxa"/>
          <w:right w:w="108" w:type="dxa"/>
        </w:tblCellMar>
      </w:tblPr>
      <w:tblGrid>
        <w:gridCol w:w="2396"/>
        <w:gridCol w:w="6197"/>
      </w:tblGrid>
      <w:tr>
        <w:tblPrEx>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rPr>
                <w:rFonts w:hint="eastAsia" w:ascii="仿宋" w:hAnsi="仿宋" w:eastAsia="仿宋" w:cs="仿宋"/>
                <w:color w:val="auto"/>
                <w:sz w:val="28"/>
                <w:highlight w:val="none"/>
              </w:rPr>
            </w:pPr>
            <w:r>
              <w:rPr>
                <w:rFonts w:hint="eastAsia" w:ascii="仿宋" w:hAnsi="仿宋" w:eastAsia="仿宋" w:cs="仿宋"/>
                <w:color w:val="auto"/>
                <w:sz w:val="28"/>
                <w:highlight w:val="none"/>
              </w:rPr>
              <w:t>项目编号：</w:t>
            </w:r>
          </w:p>
        </w:tc>
        <w:tc>
          <w:tcPr>
            <w:tcW w:w="6193" w:type="dxa"/>
            <w:tcBorders>
              <w:top w:val="nil"/>
              <w:left w:val="nil"/>
              <w:bottom w:val="nil"/>
              <w:right w:val="nil"/>
            </w:tcBorders>
            <w:noWrap/>
            <w:vAlign w:val="center"/>
          </w:tcPr>
          <w:p>
            <w:pPr>
              <w:rPr>
                <w:rFonts w:hint="eastAsia" w:ascii="仿宋" w:hAnsi="仿宋" w:eastAsia="仿宋" w:cs="仿宋"/>
                <w:color w:val="auto"/>
                <w:sz w:val="28"/>
                <w:highlight w:val="none"/>
                <w:u w:val="single"/>
              </w:rPr>
            </w:pPr>
            <w:r>
              <w:rPr>
                <w:rFonts w:hint="eastAsia" w:ascii="仿宋" w:hAnsi="仿宋" w:eastAsia="仿宋" w:cs="仿宋"/>
                <w:color w:val="auto"/>
                <w:sz w:val="28"/>
                <w:highlight w:val="none"/>
                <w:u w:val="none"/>
              </w:rPr>
              <w:t>YCDL2022-06-0047</w:t>
            </w:r>
          </w:p>
        </w:tc>
      </w:tr>
      <w:tr>
        <w:tblPrEx>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rPr>
                <w:rFonts w:hint="eastAsia" w:ascii="仿宋" w:hAnsi="仿宋" w:eastAsia="仿宋" w:cs="仿宋"/>
                <w:color w:val="auto"/>
                <w:sz w:val="28"/>
                <w:highlight w:val="none"/>
              </w:rPr>
            </w:pPr>
            <w:r>
              <w:rPr>
                <w:rFonts w:hint="eastAsia" w:ascii="仿宋" w:hAnsi="仿宋" w:eastAsia="仿宋" w:cs="仿宋"/>
                <w:color w:val="auto"/>
                <w:sz w:val="28"/>
                <w:highlight w:val="none"/>
              </w:rPr>
              <w:t>采购单位：</w:t>
            </w:r>
          </w:p>
        </w:tc>
        <w:tc>
          <w:tcPr>
            <w:tcW w:w="6193" w:type="dxa"/>
            <w:tcBorders>
              <w:top w:val="nil"/>
              <w:left w:val="nil"/>
              <w:bottom w:val="nil"/>
              <w:right w:val="nil"/>
            </w:tcBorders>
            <w:noWrap/>
            <w:vAlign w:val="center"/>
          </w:tcPr>
          <w:p>
            <w:pPr>
              <w:rPr>
                <w:rFonts w:hint="eastAsia" w:ascii="仿宋" w:hAnsi="仿宋" w:eastAsia="仿宋" w:cs="仿宋"/>
                <w:color w:val="auto"/>
                <w:sz w:val="28"/>
                <w:highlight w:val="none"/>
              </w:rPr>
            </w:pPr>
            <w:r>
              <w:rPr>
                <w:rFonts w:hint="eastAsia" w:ascii="仿宋" w:hAnsi="仿宋" w:eastAsia="仿宋" w:cs="仿宋"/>
                <w:color w:val="auto"/>
                <w:sz w:val="28"/>
                <w:highlight w:val="none"/>
              </w:rPr>
              <w:t>绍兴黄酒小镇建设投资有限公司</w:t>
            </w:r>
          </w:p>
        </w:tc>
      </w:tr>
      <w:tr>
        <w:tblPrEx>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rPr>
                <w:rFonts w:hint="eastAsia" w:ascii="仿宋" w:hAnsi="仿宋" w:eastAsia="仿宋" w:cs="仿宋"/>
                <w:color w:val="auto"/>
                <w:sz w:val="28"/>
                <w:highlight w:val="none"/>
              </w:rPr>
            </w:pPr>
            <w:r>
              <w:rPr>
                <w:rFonts w:hint="eastAsia" w:ascii="仿宋" w:hAnsi="仿宋" w:eastAsia="仿宋" w:cs="仿宋"/>
                <w:color w:val="auto"/>
                <w:sz w:val="28"/>
                <w:highlight w:val="none"/>
              </w:rPr>
              <w:t>采购代理机构：</w:t>
            </w:r>
          </w:p>
        </w:tc>
        <w:tc>
          <w:tcPr>
            <w:tcW w:w="6193" w:type="dxa"/>
            <w:tcBorders>
              <w:top w:val="nil"/>
              <w:left w:val="nil"/>
              <w:bottom w:val="nil"/>
              <w:right w:val="nil"/>
            </w:tcBorders>
            <w:noWrap/>
            <w:vAlign w:val="center"/>
          </w:tcPr>
          <w:p>
            <w:pPr>
              <w:rPr>
                <w:rFonts w:hint="eastAsia" w:ascii="仿宋" w:hAnsi="仿宋" w:eastAsia="仿宋" w:cs="仿宋"/>
                <w:color w:val="auto"/>
                <w:sz w:val="28"/>
                <w:highlight w:val="none"/>
              </w:rPr>
            </w:pPr>
            <w:r>
              <w:rPr>
                <w:rFonts w:hint="eastAsia" w:ascii="仿宋" w:hAnsi="仿宋" w:eastAsia="仿宋" w:cs="仿宋"/>
                <w:color w:val="auto"/>
                <w:sz w:val="28"/>
                <w:highlight w:val="none"/>
              </w:rPr>
              <w:t>浙江翔实建设项目管理有限公司</w:t>
            </w:r>
          </w:p>
        </w:tc>
      </w:tr>
      <w:tr>
        <w:tblPrEx>
          <w:tblCellMar>
            <w:top w:w="0" w:type="dxa"/>
            <w:left w:w="108" w:type="dxa"/>
            <w:bottom w:w="0" w:type="dxa"/>
            <w:right w:w="108" w:type="dxa"/>
          </w:tblCellMar>
        </w:tblPrEx>
        <w:trPr>
          <w:trHeight w:val="905" w:hRule="atLeast"/>
          <w:jc w:val="center"/>
        </w:trPr>
        <w:tc>
          <w:tcPr>
            <w:tcW w:w="2395" w:type="dxa"/>
            <w:tcBorders>
              <w:top w:val="nil"/>
              <w:left w:val="nil"/>
              <w:bottom w:val="nil"/>
              <w:right w:val="nil"/>
            </w:tcBorders>
            <w:noWrap/>
            <w:vAlign w:val="center"/>
          </w:tcPr>
          <w:p>
            <w:pPr>
              <w:rPr>
                <w:rFonts w:hint="eastAsia" w:ascii="仿宋" w:hAnsi="仿宋" w:eastAsia="仿宋" w:cs="仿宋"/>
                <w:color w:val="auto"/>
                <w:sz w:val="28"/>
                <w:highlight w:val="none"/>
              </w:rPr>
            </w:pPr>
            <w:r>
              <w:rPr>
                <w:rFonts w:hint="eastAsia" w:ascii="仿宋" w:hAnsi="仿宋" w:eastAsia="仿宋" w:cs="仿宋"/>
                <w:color w:val="auto"/>
                <w:sz w:val="28"/>
                <w:highlight w:val="none"/>
              </w:rPr>
              <w:t>监督单位：</w:t>
            </w:r>
          </w:p>
        </w:tc>
        <w:tc>
          <w:tcPr>
            <w:tcW w:w="6193" w:type="dxa"/>
            <w:tcBorders>
              <w:top w:val="nil"/>
              <w:left w:val="nil"/>
              <w:bottom w:val="nil"/>
              <w:right w:val="nil"/>
            </w:tcBorders>
            <w:noWrap/>
            <w:vAlign w:val="center"/>
          </w:tcPr>
          <w:p>
            <w:pPr>
              <w:rPr>
                <w:rFonts w:hint="eastAsia" w:ascii="仿宋" w:hAnsi="仿宋" w:eastAsia="仿宋" w:cs="仿宋"/>
                <w:color w:val="auto"/>
                <w:sz w:val="28"/>
                <w:highlight w:val="none"/>
              </w:rPr>
            </w:pPr>
            <w:r>
              <w:rPr>
                <w:rFonts w:hint="eastAsia" w:ascii="仿宋" w:hAnsi="仿宋" w:eastAsia="仿宋" w:cs="仿宋"/>
                <w:color w:val="auto"/>
                <w:sz w:val="28"/>
                <w:highlight w:val="none"/>
              </w:rPr>
              <w:t>绍兴黄酒小镇（东浦）开发建设管理委员会</w:t>
            </w:r>
          </w:p>
        </w:tc>
      </w:tr>
    </w:tbl>
    <w:p>
      <w:pPr>
        <w:jc w:val="center"/>
        <w:rPr>
          <w:rFonts w:hint="eastAsia" w:ascii="仿宋" w:hAnsi="仿宋" w:eastAsia="仿宋" w:cs="仿宋"/>
          <w:color w:val="auto"/>
          <w:sz w:val="28"/>
          <w:highlight w:val="none"/>
        </w:rPr>
      </w:pPr>
    </w:p>
    <w:p>
      <w:pPr>
        <w:jc w:val="center"/>
        <w:rPr>
          <w:rFonts w:hint="eastAsia" w:ascii="仿宋" w:hAnsi="仿宋" w:eastAsia="仿宋" w:cs="仿宋"/>
          <w:color w:val="auto"/>
          <w:sz w:val="28"/>
          <w:highlight w:val="none"/>
        </w:rPr>
      </w:pPr>
      <w:r>
        <w:rPr>
          <w:rFonts w:hint="eastAsia" w:ascii="仿宋" w:hAnsi="仿宋" w:eastAsia="仿宋" w:cs="仿宋"/>
          <w:color w:val="auto"/>
          <w:sz w:val="28"/>
          <w:highlight w:val="none"/>
          <w:u w:val="single"/>
        </w:rPr>
        <w:t>2022</w:t>
      </w:r>
      <w:r>
        <w:rPr>
          <w:rFonts w:hint="eastAsia" w:ascii="仿宋" w:hAnsi="仿宋" w:eastAsia="仿宋" w:cs="仿宋"/>
          <w:color w:val="auto"/>
          <w:sz w:val="28"/>
          <w:highlight w:val="none"/>
        </w:rPr>
        <w:t>年</w:t>
      </w:r>
      <w:r>
        <w:rPr>
          <w:rFonts w:hint="eastAsia" w:ascii="仿宋" w:hAnsi="仿宋" w:eastAsia="仿宋" w:cs="仿宋"/>
          <w:color w:val="auto"/>
          <w:sz w:val="28"/>
          <w:highlight w:val="none"/>
          <w:u w:val="single"/>
        </w:rPr>
        <w:t>6</w:t>
      </w:r>
      <w:r>
        <w:rPr>
          <w:rFonts w:hint="eastAsia" w:ascii="仿宋" w:hAnsi="仿宋" w:eastAsia="仿宋" w:cs="仿宋"/>
          <w:color w:val="auto"/>
          <w:sz w:val="28"/>
          <w:highlight w:val="none"/>
        </w:rPr>
        <w:t>月</w:t>
      </w:r>
    </w:p>
    <w:p>
      <w:pPr>
        <w:rPr>
          <w:rFonts w:hint="eastAsia" w:ascii="仿宋" w:hAnsi="仿宋" w:eastAsia="仿宋" w:cs="仿宋"/>
          <w:color w:val="auto"/>
          <w:sz w:val="28"/>
          <w:highlight w:val="none"/>
        </w:rPr>
      </w:pPr>
    </w:p>
    <w:p>
      <w:pPr>
        <w:rPr>
          <w:rFonts w:hint="eastAsia" w:ascii="仿宋" w:hAnsi="仿宋" w:eastAsia="仿宋" w:cs="仿宋"/>
          <w:color w:val="auto"/>
          <w:sz w:val="28"/>
          <w:highlight w:val="none"/>
        </w:rPr>
      </w:pPr>
    </w:p>
    <w:p>
      <w:pPr>
        <w:jc w:val="center"/>
        <w:rPr>
          <w:rFonts w:hint="eastAsia" w:ascii="仿宋" w:hAnsi="仿宋" w:eastAsia="仿宋" w:cs="仿宋"/>
          <w:color w:val="auto"/>
          <w:sz w:val="28"/>
          <w:highlight w:val="none"/>
        </w:rPr>
      </w:pPr>
      <w:r>
        <w:rPr>
          <w:rFonts w:hint="eastAsia" w:ascii="仿宋" w:hAnsi="仿宋" w:eastAsia="仿宋" w:cs="仿宋"/>
          <w:b/>
          <w:color w:val="auto"/>
          <w:sz w:val="44"/>
          <w:szCs w:val="44"/>
          <w:highlight w:val="none"/>
        </w:rPr>
        <w:t>目录</w:t>
      </w:r>
    </w:p>
    <w:p>
      <w:pPr>
        <w:jc w:val="center"/>
        <w:rPr>
          <w:rFonts w:hint="eastAsia" w:ascii="仿宋" w:hAnsi="仿宋" w:eastAsia="仿宋" w:cs="仿宋"/>
          <w:b/>
          <w:color w:val="auto"/>
          <w:sz w:val="44"/>
          <w:szCs w:val="44"/>
          <w:highlight w:val="none"/>
        </w:rPr>
      </w:pPr>
    </w:p>
    <w:p>
      <w:pPr>
        <w:pStyle w:val="22"/>
        <w:tabs>
          <w:tab w:val="right" w:leader="dot" w:pos="830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TOC \o "1-2" \h \u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"_Toc643610525" </w:instrText>
      </w:r>
      <w:r>
        <w:rPr>
          <w:rFonts w:hint="eastAsia" w:ascii="仿宋" w:hAnsi="仿宋" w:eastAsia="仿宋" w:cs="仿宋"/>
          <w:color w:val="auto"/>
          <w:highlight w:val="none"/>
        </w:rPr>
        <w:fldChar w:fldCharType="separate"/>
      </w:r>
      <w:r>
        <w:rPr>
          <w:rFonts w:hint="eastAsia" w:ascii="仿宋" w:hAnsi="仿宋" w:eastAsia="仿宋" w:cs="仿宋"/>
          <w:color w:val="auto"/>
          <w:sz w:val="28"/>
          <w:szCs w:val="28"/>
          <w:highlight w:val="none"/>
        </w:rPr>
        <w:t>第一章  采购公告</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PageRef _Toc643610525 \h</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2"/>
        <w:tabs>
          <w:tab w:val="right" w:leader="dot" w:pos="8301"/>
        </w:tabs>
        <w:rPr>
          <w:rFonts w:hint="eastAsia" w:ascii="仿宋" w:hAnsi="仿宋" w:eastAsia="仿宋" w:cs="仿宋"/>
          <w:color w:val="auto"/>
          <w:sz w:val="28"/>
          <w:szCs w:val="28"/>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"_Toc643610526" </w:instrText>
      </w:r>
      <w:r>
        <w:rPr>
          <w:rFonts w:hint="eastAsia" w:ascii="仿宋" w:hAnsi="仿宋" w:eastAsia="仿宋" w:cs="仿宋"/>
          <w:color w:val="auto"/>
          <w:highlight w:val="none"/>
        </w:rPr>
        <w:fldChar w:fldCharType="separate"/>
      </w:r>
      <w:r>
        <w:rPr>
          <w:rFonts w:hint="eastAsia" w:ascii="仿宋" w:hAnsi="仿宋" w:eastAsia="仿宋" w:cs="仿宋"/>
          <w:color w:val="auto"/>
          <w:sz w:val="28"/>
          <w:szCs w:val="28"/>
          <w:highlight w:val="none"/>
        </w:rPr>
        <w:t>第二章  供应商须知</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PageRef _Toc643610526 \h</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4"/>
        <w:tabs>
          <w:tab w:val="right" w:leader="dot" w:pos="8301"/>
        </w:tabs>
        <w:rPr>
          <w:rFonts w:hint="eastAsia" w:ascii="仿宋" w:hAnsi="仿宋" w:eastAsia="仿宋" w:cs="仿宋"/>
          <w:color w:val="auto"/>
          <w:sz w:val="28"/>
          <w:szCs w:val="28"/>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"_Toc643610527" </w:instrText>
      </w:r>
      <w:r>
        <w:rPr>
          <w:rFonts w:hint="eastAsia" w:ascii="仿宋" w:hAnsi="仿宋" w:eastAsia="仿宋" w:cs="仿宋"/>
          <w:color w:val="auto"/>
          <w:highlight w:val="none"/>
        </w:rPr>
        <w:fldChar w:fldCharType="separate"/>
      </w:r>
      <w:r>
        <w:rPr>
          <w:rFonts w:hint="eastAsia" w:ascii="仿宋" w:hAnsi="仿宋" w:eastAsia="仿宋" w:cs="仿宋"/>
          <w:color w:val="auto"/>
          <w:sz w:val="28"/>
          <w:szCs w:val="28"/>
          <w:highlight w:val="none"/>
        </w:rPr>
        <w:t>一、前附表</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PageRef _Toc643610527 \h</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4"/>
        <w:tabs>
          <w:tab w:val="right" w:leader="dot" w:pos="8301"/>
        </w:tabs>
        <w:rPr>
          <w:rFonts w:hint="eastAsia" w:ascii="仿宋" w:hAnsi="仿宋" w:eastAsia="仿宋" w:cs="仿宋"/>
          <w:color w:val="auto"/>
          <w:sz w:val="28"/>
          <w:szCs w:val="28"/>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"_Toc643610528" </w:instrText>
      </w:r>
      <w:r>
        <w:rPr>
          <w:rFonts w:hint="eastAsia" w:ascii="仿宋" w:hAnsi="仿宋" w:eastAsia="仿宋" w:cs="仿宋"/>
          <w:color w:val="auto"/>
          <w:highlight w:val="none"/>
        </w:rPr>
        <w:fldChar w:fldCharType="separate"/>
      </w:r>
      <w:r>
        <w:rPr>
          <w:rFonts w:hint="eastAsia" w:ascii="仿宋" w:hAnsi="仿宋" w:eastAsia="仿宋" w:cs="仿宋"/>
          <w:color w:val="auto"/>
          <w:sz w:val="28"/>
          <w:szCs w:val="28"/>
          <w:highlight w:val="none"/>
        </w:rPr>
        <w:t>二、采购文件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PageRef _Toc643610528 \h</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4"/>
        <w:tabs>
          <w:tab w:val="right" w:leader="dot" w:pos="8301"/>
        </w:tabs>
        <w:rPr>
          <w:rFonts w:hint="eastAsia" w:ascii="仿宋" w:hAnsi="仿宋" w:eastAsia="仿宋" w:cs="仿宋"/>
          <w:color w:val="auto"/>
          <w:sz w:val="28"/>
          <w:szCs w:val="28"/>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"_Toc643610529" </w:instrText>
      </w:r>
      <w:r>
        <w:rPr>
          <w:rFonts w:hint="eastAsia" w:ascii="仿宋" w:hAnsi="仿宋" w:eastAsia="仿宋" w:cs="仿宋"/>
          <w:color w:val="auto"/>
          <w:highlight w:val="none"/>
        </w:rPr>
        <w:fldChar w:fldCharType="separate"/>
      </w:r>
      <w:r>
        <w:rPr>
          <w:rFonts w:hint="eastAsia" w:ascii="仿宋" w:hAnsi="仿宋" w:eastAsia="仿宋" w:cs="仿宋"/>
          <w:color w:val="auto"/>
          <w:sz w:val="28"/>
          <w:szCs w:val="28"/>
          <w:highlight w:val="none"/>
        </w:rPr>
        <w:t>三、投标文件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PageRef _Toc643610529 \h</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7</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4"/>
        <w:tabs>
          <w:tab w:val="right" w:leader="dot" w:pos="8301"/>
        </w:tabs>
        <w:rPr>
          <w:rFonts w:hint="eastAsia" w:ascii="仿宋" w:hAnsi="仿宋" w:eastAsia="仿宋" w:cs="仿宋"/>
          <w:color w:val="auto"/>
          <w:sz w:val="28"/>
          <w:szCs w:val="28"/>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"_Toc643610530" </w:instrText>
      </w:r>
      <w:r>
        <w:rPr>
          <w:rFonts w:hint="eastAsia" w:ascii="仿宋" w:hAnsi="仿宋" w:eastAsia="仿宋" w:cs="仿宋"/>
          <w:color w:val="auto"/>
          <w:highlight w:val="none"/>
        </w:rPr>
        <w:fldChar w:fldCharType="separate"/>
      </w:r>
      <w:r>
        <w:rPr>
          <w:rFonts w:hint="eastAsia" w:ascii="仿宋" w:hAnsi="仿宋" w:eastAsia="仿宋" w:cs="仿宋"/>
          <w:color w:val="auto"/>
          <w:sz w:val="28"/>
          <w:szCs w:val="28"/>
          <w:highlight w:val="none"/>
        </w:rPr>
        <w:t>四、开标评标</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PageRef _Toc643610530 \h</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9</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4"/>
        <w:tabs>
          <w:tab w:val="right" w:leader="dot" w:pos="8301"/>
        </w:tabs>
        <w:rPr>
          <w:rFonts w:hint="eastAsia" w:ascii="仿宋" w:hAnsi="仿宋" w:eastAsia="仿宋" w:cs="仿宋"/>
          <w:color w:val="auto"/>
          <w:sz w:val="28"/>
          <w:szCs w:val="28"/>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"_Toc643610531" </w:instrText>
      </w:r>
      <w:r>
        <w:rPr>
          <w:rFonts w:hint="eastAsia" w:ascii="仿宋" w:hAnsi="仿宋" w:eastAsia="仿宋" w:cs="仿宋"/>
          <w:color w:val="auto"/>
          <w:highlight w:val="none"/>
        </w:rPr>
        <w:fldChar w:fldCharType="separate"/>
      </w:r>
      <w:r>
        <w:rPr>
          <w:rFonts w:hint="eastAsia" w:ascii="仿宋" w:hAnsi="仿宋" w:eastAsia="仿宋" w:cs="仿宋"/>
          <w:color w:val="auto"/>
          <w:sz w:val="28"/>
          <w:szCs w:val="28"/>
          <w:highlight w:val="none"/>
        </w:rPr>
        <w:t>五、合同签订及履约</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PageRef _Toc643610531 \h</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13</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2"/>
        <w:tabs>
          <w:tab w:val="right" w:leader="dot" w:pos="8301"/>
        </w:tabs>
        <w:rPr>
          <w:rFonts w:hint="eastAsia" w:ascii="仿宋" w:hAnsi="仿宋" w:eastAsia="仿宋" w:cs="仿宋"/>
          <w:color w:val="auto"/>
          <w:sz w:val="28"/>
          <w:szCs w:val="28"/>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"_Toc643610532" </w:instrText>
      </w:r>
      <w:r>
        <w:rPr>
          <w:rFonts w:hint="eastAsia" w:ascii="仿宋" w:hAnsi="仿宋" w:eastAsia="仿宋" w:cs="仿宋"/>
          <w:color w:val="auto"/>
          <w:highlight w:val="none"/>
        </w:rPr>
        <w:fldChar w:fldCharType="separate"/>
      </w:r>
      <w:r>
        <w:rPr>
          <w:rFonts w:hint="eastAsia" w:ascii="仿宋" w:hAnsi="仿宋" w:eastAsia="仿宋" w:cs="仿宋"/>
          <w:color w:val="auto"/>
          <w:sz w:val="28"/>
          <w:szCs w:val="28"/>
          <w:highlight w:val="none"/>
        </w:rPr>
        <w:t>第三章  采购需求</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PageRef _Toc643610532 \h</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16</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4"/>
        <w:tabs>
          <w:tab w:val="right" w:leader="dot" w:pos="8301"/>
        </w:tabs>
        <w:rPr>
          <w:rFonts w:hint="eastAsia" w:ascii="仿宋" w:hAnsi="仿宋" w:eastAsia="仿宋" w:cs="仿宋"/>
          <w:color w:val="auto"/>
          <w:sz w:val="28"/>
          <w:szCs w:val="28"/>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"_Toc643610533" </w:instrText>
      </w:r>
      <w:r>
        <w:rPr>
          <w:rFonts w:hint="eastAsia" w:ascii="仿宋" w:hAnsi="仿宋" w:eastAsia="仿宋" w:cs="仿宋"/>
          <w:color w:val="auto"/>
          <w:highlight w:val="none"/>
        </w:rPr>
        <w:fldChar w:fldCharType="separate"/>
      </w:r>
      <w:r>
        <w:rPr>
          <w:rFonts w:hint="eastAsia" w:ascii="仿宋" w:hAnsi="仿宋" w:eastAsia="仿宋" w:cs="仿宋"/>
          <w:color w:val="auto"/>
          <w:sz w:val="28"/>
          <w:szCs w:val="28"/>
          <w:highlight w:val="none"/>
        </w:rPr>
        <w:t>一、货物清单及技术要求</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PageRef _Toc643610533 \h</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16</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4"/>
        <w:tabs>
          <w:tab w:val="right" w:leader="dot" w:pos="8301"/>
        </w:tabs>
        <w:rPr>
          <w:rFonts w:hint="eastAsia" w:ascii="仿宋" w:hAnsi="仿宋" w:eastAsia="仿宋" w:cs="仿宋"/>
          <w:color w:val="auto"/>
          <w:sz w:val="28"/>
          <w:szCs w:val="28"/>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"_Toc643610534" </w:instrText>
      </w:r>
      <w:r>
        <w:rPr>
          <w:rFonts w:hint="eastAsia" w:ascii="仿宋" w:hAnsi="仿宋" w:eastAsia="仿宋" w:cs="仿宋"/>
          <w:color w:val="auto"/>
          <w:highlight w:val="none"/>
        </w:rPr>
        <w:fldChar w:fldCharType="separate"/>
      </w:r>
      <w:r>
        <w:rPr>
          <w:rFonts w:hint="eastAsia" w:ascii="仿宋" w:hAnsi="仿宋" w:eastAsia="仿宋" w:cs="仿宋"/>
          <w:color w:val="auto"/>
          <w:sz w:val="28"/>
          <w:szCs w:val="28"/>
          <w:highlight w:val="none"/>
        </w:rPr>
        <w:t>二、商务要求</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PageRef _Toc643610534 \h</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23</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2"/>
        <w:tabs>
          <w:tab w:val="right" w:leader="dot" w:pos="8301"/>
        </w:tabs>
        <w:rPr>
          <w:rFonts w:hint="eastAsia" w:ascii="仿宋" w:hAnsi="仿宋" w:eastAsia="仿宋" w:cs="仿宋"/>
          <w:color w:val="auto"/>
          <w:sz w:val="28"/>
          <w:szCs w:val="28"/>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"_Toc643610535" </w:instrText>
      </w:r>
      <w:r>
        <w:rPr>
          <w:rFonts w:hint="eastAsia" w:ascii="仿宋" w:hAnsi="仿宋" w:eastAsia="仿宋" w:cs="仿宋"/>
          <w:color w:val="auto"/>
          <w:highlight w:val="none"/>
        </w:rPr>
        <w:fldChar w:fldCharType="separate"/>
      </w:r>
      <w:r>
        <w:rPr>
          <w:rFonts w:hint="eastAsia" w:ascii="仿宋" w:hAnsi="仿宋" w:eastAsia="仿宋" w:cs="仿宋"/>
          <w:color w:val="auto"/>
          <w:sz w:val="28"/>
          <w:szCs w:val="28"/>
          <w:highlight w:val="none"/>
        </w:rPr>
        <w:t>第四章  拟签订合同的主要条款</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PageRef _Toc643610535 \h</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33</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2"/>
        <w:tabs>
          <w:tab w:val="right" w:leader="dot" w:pos="8301"/>
        </w:tabs>
        <w:rPr>
          <w:rFonts w:hint="eastAsia" w:ascii="仿宋" w:hAnsi="仿宋" w:eastAsia="仿宋" w:cs="仿宋"/>
          <w:color w:val="auto"/>
          <w:sz w:val="28"/>
          <w:szCs w:val="28"/>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"_Toc643610536" </w:instrText>
      </w:r>
      <w:r>
        <w:rPr>
          <w:rFonts w:hint="eastAsia" w:ascii="仿宋" w:hAnsi="仿宋" w:eastAsia="仿宋" w:cs="仿宋"/>
          <w:color w:val="auto"/>
          <w:highlight w:val="none"/>
        </w:rPr>
        <w:fldChar w:fldCharType="separate"/>
      </w:r>
      <w:r>
        <w:rPr>
          <w:rFonts w:hint="eastAsia" w:ascii="仿宋" w:hAnsi="仿宋" w:eastAsia="仿宋" w:cs="仿宋"/>
          <w:color w:val="auto"/>
          <w:sz w:val="28"/>
          <w:szCs w:val="28"/>
          <w:highlight w:val="none"/>
        </w:rPr>
        <w:t>第五章  评标办法及标准</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PageRef _Toc643610536 \h</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38</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2"/>
        <w:tabs>
          <w:tab w:val="right" w:leader="dot" w:pos="8301"/>
        </w:tabs>
        <w:rPr>
          <w:rFonts w:hint="eastAsia" w:ascii="仿宋" w:hAnsi="仿宋" w:eastAsia="仿宋" w:cs="仿宋"/>
          <w:color w:val="auto"/>
          <w:sz w:val="28"/>
          <w:szCs w:val="28"/>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"_Toc643610537" </w:instrText>
      </w:r>
      <w:r>
        <w:rPr>
          <w:rFonts w:hint="eastAsia" w:ascii="仿宋" w:hAnsi="仿宋" w:eastAsia="仿宋" w:cs="仿宋"/>
          <w:color w:val="auto"/>
          <w:highlight w:val="none"/>
        </w:rPr>
        <w:fldChar w:fldCharType="separate"/>
      </w:r>
      <w:r>
        <w:rPr>
          <w:rFonts w:hint="eastAsia" w:ascii="仿宋" w:hAnsi="仿宋" w:eastAsia="仿宋" w:cs="仿宋"/>
          <w:color w:val="auto"/>
          <w:sz w:val="28"/>
          <w:szCs w:val="28"/>
          <w:highlight w:val="none"/>
        </w:rPr>
        <w:t>第六章  投标文件格式附件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PageRef _Toc643610537 \h</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42</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2"/>
        <w:tabs>
          <w:tab w:val="right" w:leader="dot" w:pos="8301"/>
        </w:tabs>
        <w:rPr>
          <w:rFonts w:hint="eastAsia" w:ascii="仿宋" w:hAnsi="仿宋" w:eastAsia="仿宋" w:cs="仿宋"/>
          <w:color w:val="auto"/>
          <w:sz w:val="28"/>
          <w:szCs w:val="28"/>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"_Toc643610538" </w:instrText>
      </w:r>
      <w:r>
        <w:rPr>
          <w:rFonts w:hint="eastAsia" w:ascii="仿宋" w:hAnsi="仿宋" w:eastAsia="仿宋" w:cs="仿宋"/>
          <w:color w:val="auto"/>
          <w:highlight w:val="none"/>
        </w:rPr>
        <w:fldChar w:fldCharType="separate"/>
      </w:r>
      <w:r>
        <w:rPr>
          <w:rFonts w:hint="eastAsia" w:ascii="仿宋" w:hAnsi="仿宋" w:eastAsia="仿宋" w:cs="仿宋"/>
          <w:color w:val="auto"/>
          <w:sz w:val="28"/>
          <w:szCs w:val="28"/>
          <w:highlight w:val="none"/>
        </w:rPr>
        <w:t>第七章  询问、质疑及投诉</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PageRef _Toc643610538 \h</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66</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4"/>
        <w:tabs>
          <w:tab w:val="right" w:leader="dot" w:pos="8301"/>
        </w:tabs>
        <w:rPr>
          <w:rFonts w:hint="eastAsia" w:ascii="仿宋" w:hAnsi="仿宋" w:eastAsia="仿宋" w:cs="仿宋"/>
          <w:color w:val="auto"/>
          <w:sz w:val="28"/>
          <w:szCs w:val="28"/>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"_Toc643610539" </w:instrText>
      </w:r>
      <w:r>
        <w:rPr>
          <w:rFonts w:hint="eastAsia" w:ascii="仿宋" w:hAnsi="仿宋" w:eastAsia="仿宋" w:cs="仿宋"/>
          <w:color w:val="auto"/>
          <w:highlight w:val="none"/>
        </w:rPr>
        <w:fldChar w:fldCharType="separate"/>
      </w:r>
      <w:r>
        <w:rPr>
          <w:rFonts w:hint="eastAsia" w:ascii="仿宋" w:hAnsi="仿宋" w:eastAsia="仿宋" w:cs="仿宋"/>
          <w:color w:val="auto"/>
          <w:sz w:val="28"/>
          <w:szCs w:val="28"/>
          <w:highlight w:val="none"/>
        </w:rPr>
        <w:t>一、供应商询问</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PageRef _Toc643610539 \h</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66</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4"/>
        <w:tabs>
          <w:tab w:val="right" w:leader="dot" w:pos="8301"/>
        </w:tabs>
        <w:rPr>
          <w:rFonts w:hint="eastAsia" w:ascii="仿宋" w:hAnsi="仿宋" w:eastAsia="仿宋" w:cs="仿宋"/>
          <w:color w:val="auto"/>
          <w:sz w:val="28"/>
          <w:szCs w:val="28"/>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"_Toc643610540" </w:instrText>
      </w:r>
      <w:r>
        <w:rPr>
          <w:rFonts w:hint="eastAsia" w:ascii="仿宋" w:hAnsi="仿宋" w:eastAsia="仿宋" w:cs="仿宋"/>
          <w:color w:val="auto"/>
          <w:highlight w:val="none"/>
        </w:rPr>
        <w:fldChar w:fldCharType="separate"/>
      </w:r>
      <w:r>
        <w:rPr>
          <w:rFonts w:hint="eastAsia" w:ascii="仿宋" w:hAnsi="仿宋" w:eastAsia="仿宋" w:cs="仿宋"/>
          <w:color w:val="auto"/>
          <w:sz w:val="28"/>
          <w:szCs w:val="28"/>
          <w:highlight w:val="none"/>
        </w:rPr>
        <w:t>二、供应商质疑</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PageRef _Toc643610540 \h</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66</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4"/>
        <w:tabs>
          <w:tab w:val="right" w:leader="dot" w:pos="8301"/>
        </w:tabs>
        <w:rPr>
          <w:rFonts w:hint="eastAsia" w:ascii="仿宋" w:hAnsi="仿宋" w:eastAsia="仿宋" w:cs="仿宋"/>
          <w:color w:val="auto"/>
          <w:sz w:val="28"/>
          <w:szCs w:val="28"/>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"_Toc643610541" </w:instrText>
      </w:r>
      <w:r>
        <w:rPr>
          <w:rFonts w:hint="eastAsia" w:ascii="仿宋" w:hAnsi="仿宋" w:eastAsia="仿宋" w:cs="仿宋"/>
          <w:color w:val="auto"/>
          <w:highlight w:val="none"/>
        </w:rPr>
        <w:fldChar w:fldCharType="separate"/>
      </w:r>
      <w:r>
        <w:rPr>
          <w:rFonts w:hint="eastAsia" w:ascii="仿宋" w:hAnsi="仿宋" w:eastAsia="仿宋" w:cs="仿宋"/>
          <w:color w:val="auto"/>
          <w:sz w:val="28"/>
          <w:szCs w:val="28"/>
          <w:highlight w:val="none"/>
        </w:rPr>
        <w:t>三、供应商投诉</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PageRef _Toc643610541 \h</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67</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rPr>
          <w:rFonts w:hint="eastAsia" w:ascii="仿宋" w:hAnsi="仿宋" w:eastAsia="仿宋" w:cs="仿宋"/>
          <w:color w:val="auto"/>
          <w:highlight w:val="none"/>
        </w:rPr>
      </w:pPr>
    </w:p>
    <w:p>
      <w:pPr>
        <w:pStyle w:val="4"/>
        <w:rPr>
          <w:rFonts w:hint="eastAsia" w:ascii="仿宋" w:hAnsi="仿宋" w:eastAsia="仿宋" w:cs="仿宋"/>
          <w:color w:val="auto"/>
          <w:highlight w:val="none"/>
        </w:rPr>
        <w:sectPr>
          <w:pgSz w:w="11907" w:h="16840"/>
          <w:pgMar w:top="1440" w:right="1463" w:bottom="1440" w:left="1803" w:header="851" w:footer="992" w:gutter="0"/>
          <w:pgBorders>
            <w:top w:val="none" w:sz="0" w:space="0"/>
            <w:left w:val="none" w:sz="0" w:space="0"/>
            <w:bottom w:val="none" w:sz="0" w:space="0"/>
            <w:right w:val="none" w:sz="0" w:space="0"/>
          </w:pgBorders>
          <w:cols w:space="720" w:num="1"/>
          <w:docGrid w:type="lines" w:linePitch="312" w:charSpace="0"/>
        </w:sectPr>
      </w:pPr>
      <w:bookmarkStart w:id="0" w:name="_Toc643610525"/>
    </w:p>
    <w:p>
      <w:pPr>
        <w:pStyle w:val="4"/>
        <w:rPr>
          <w:rFonts w:hint="eastAsia" w:ascii="仿宋" w:hAnsi="仿宋" w:eastAsia="仿宋" w:cs="仿宋"/>
          <w:color w:val="auto"/>
          <w:highlight w:val="none"/>
        </w:rPr>
      </w:pPr>
      <w:r>
        <w:rPr>
          <w:rFonts w:hint="eastAsia" w:ascii="仿宋" w:hAnsi="仿宋" w:eastAsia="仿宋" w:cs="仿宋"/>
          <w:color w:val="auto"/>
          <w:highlight w:val="none"/>
        </w:rPr>
        <w:t>第一章  采购公告</w:t>
      </w:r>
      <w:bookmarkEnd w:id="0"/>
    </w:p>
    <w:p>
      <w:pPr>
        <w:spacing w:line="360" w:lineRule="auto"/>
        <w:ind w:firstLine="482" w:firstLineChars="200"/>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u w:val="single"/>
        </w:rPr>
        <w:t>浙江翔实建设项目管理有限公司</w:t>
      </w:r>
      <w:r>
        <w:rPr>
          <w:rFonts w:hint="eastAsia" w:ascii="仿宋" w:hAnsi="仿宋" w:eastAsia="仿宋" w:cs="仿宋"/>
          <w:b/>
          <w:bCs/>
          <w:color w:val="auto"/>
          <w:sz w:val="24"/>
          <w:highlight w:val="none"/>
        </w:rPr>
        <w:t>（代理机构）</w:t>
      </w:r>
      <w:r>
        <w:rPr>
          <w:rFonts w:hint="eastAsia" w:ascii="仿宋" w:hAnsi="仿宋" w:eastAsia="仿宋" w:cs="仿宋"/>
          <w:bCs/>
          <w:color w:val="auto"/>
          <w:sz w:val="24"/>
          <w:highlight w:val="none"/>
        </w:rPr>
        <w:t xml:space="preserve">受 </w:t>
      </w:r>
      <w:r>
        <w:rPr>
          <w:rFonts w:hint="eastAsia" w:ascii="仿宋" w:hAnsi="仿宋" w:eastAsia="仿宋" w:cs="仿宋"/>
          <w:b/>
          <w:color w:val="auto"/>
          <w:sz w:val="24"/>
          <w:highlight w:val="none"/>
          <w:u w:val="single"/>
        </w:rPr>
        <w:t>绍兴黄酒小镇建设投资有限公司</w:t>
      </w:r>
      <w:r>
        <w:rPr>
          <w:rFonts w:hint="eastAsia" w:ascii="仿宋" w:hAnsi="仿宋" w:eastAsia="仿宋" w:cs="仿宋"/>
          <w:b/>
          <w:bCs/>
          <w:color w:val="auto"/>
          <w:sz w:val="24"/>
          <w:highlight w:val="none"/>
        </w:rPr>
        <w:t>（采购人）</w:t>
      </w:r>
      <w:r>
        <w:rPr>
          <w:rFonts w:hint="eastAsia" w:ascii="仿宋" w:hAnsi="仿宋" w:eastAsia="仿宋" w:cs="仿宋"/>
          <w:bCs/>
          <w:color w:val="auto"/>
          <w:sz w:val="24"/>
          <w:highlight w:val="none"/>
        </w:rPr>
        <w:t>委托，就下列项目进行</w:t>
      </w:r>
      <w:r>
        <w:rPr>
          <w:rFonts w:hint="eastAsia" w:ascii="仿宋" w:hAnsi="仿宋" w:eastAsia="仿宋" w:cs="仿宋"/>
          <w:bCs/>
          <w:color w:val="auto"/>
          <w:sz w:val="24"/>
          <w:highlight w:val="none"/>
          <w:u w:val="single"/>
        </w:rPr>
        <w:t xml:space="preserve">   公开招标   </w:t>
      </w:r>
      <w:r>
        <w:rPr>
          <w:rFonts w:hint="eastAsia" w:ascii="仿宋" w:hAnsi="仿宋" w:eastAsia="仿宋" w:cs="仿宋"/>
          <w:b/>
          <w:bCs/>
          <w:color w:val="auto"/>
          <w:sz w:val="24"/>
          <w:highlight w:val="none"/>
        </w:rPr>
        <w:t>（采购方式）</w:t>
      </w:r>
      <w:r>
        <w:rPr>
          <w:rFonts w:hint="eastAsia" w:ascii="仿宋" w:hAnsi="仿宋" w:eastAsia="仿宋" w:cs="仿宋"/>
          <w:bCs/>
          <w:color w:val="auto"/>
          <w:sz w:val="24"/>
          <w:highlight w:val="none"/>
        </w:rPr>
        <w:t>，现将有关事项公告如下：</w:t>
      </w:r>
    </w:p>
    <w:p>
      <w:pPr>
        <w:numPr>
          <w:ilvl w:val="0"/>
          <w:numId w:val="3"/>
        </w:num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rPr>
        <w:t>项目编号：YCDL2022-06-0047</w:t>
      </w:r>
    </w:p>
    <w:p>
      <w:pPr>
        <w:numPr>
          <w:ilvl w:val="0"/>
          <w:numId w:val="3"/>
        </w:num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rPr>
        <w:t>采购组织类型：</w:t>
      </w:r>
      <w:r>
        <w:rPr>
          <w:rFonts w:hint="eastAsia" w:ascii="仿宋" w:hAnsi="仿宋" w:eastAsia="仿宋" w:cs="仿宋"/>
          <w:bCs/>
          <w:color w:val="auto"/>
          <w:sz w:val="24"/>
          <w:highlight w:val="none"/>
          <w:u w:val="single"/>
        </w:rPr>
        <w:t xml:space="preserve">  国企采购委托代理   </w:t>
      </w:r>
      <w:r>
        <w:rPr>
          <w:rFonts w:hint="eastAsia" w:ascii="仿宋" w:hAnsi="仿宋" w:eastAsia="仿宋" w:cs="仿宋"/>
          <w:bCs/>
          <w:color w:val="auto"/>
          <w:sz w:val="24"/>
          <w:highlight w:val="none"/>
        </w:rPr>
        <w:t xml:space="preserve">           </w:t>
      </w:r>
      <w:r>
        <w:rPr>
          <w:rFonts w:hint="eastAsia" w:ascii="仿宋" w:hAnsi="仿宋" w:eastAsia="仿宋" w:cs="仿宋"/>
          <w:b/>
          <w:bCs/>
          <w:color w:val="auto"/>
          <w:sz w:val="24"/>
          <w:highlight w:val="none"/>
        </w:rPr>
        <w:t>采购类别：</w:t>
      </w:r>
      <w:r>
        <w:rPr>
          <w:rFonts w:hint="eastAsia" w:ascii="仿宋" w:hAnsi="仿宋" w:eastAsia="仿宋" w:cs="仿宋"/>
          <w:b/>
          <w:bCs/>
          <w:color w:val="auto"/>
          <w:sz w:val="24"/>
          <w:highlight w:val="none"/>
          <w:u w:val="single"/>
        </w:rPr>
        <w:t xml:space="preserve">  </w:t>
      </w:r>
      <w:r>
        <w:rPr>
          <w:rFonts w:hint="eastAsia" w:ascii="仿宋" w:hAnsi="仿宋" w:eastAsia="仿宋" w:cs="仿宋"/>
          <w:color w:val="auto"/>
          <w:sz w:val="24"/>
          <w:highlight w:val="none"/>
          <w:u w:val="single"/>
        </w:rPr>
        <w:t xml:space="preserve">货物  </w:t>
      </w:r>
    </w:p>
    <w:p>
      <w:pPr>
        <w:numPr>
          <w:ilvl w:val="0"/>
          <w:numId w:val="3"/>
        </w:num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rPr>
        <w:t>项目概况：</w:t>
      </w:r>
    </w:p>
    <w:tbl>
      <w:tblPr>
        <w:tblStyle w:val="26"/>
        <w:tblW w:w="8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3848"/>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9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标段编号</w:t>
            </w:r>
          </w:p>
        </w:tc>
        <w:tc>
          <w:tcPr>
            <w:tcW w:w="3848"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标段名称</w:t>
            </w:r>
          </w:p>
        </w:tc>
        <w:tc>
          <w:tcPr>
            <w:tcW w:w="263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预算金额或上限价</w:t>
            </w:r>
          </w:p>
          <w:p>
            <w:pPr>
              <w:spacing w:line="360" w:lineRule="exact"/>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9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hint="eastAsia" w:ascii="仿宋" w:hAnsi="仿宋" w:eastAsia="仿宋" w:cs="仿宋"/>
                <w:color w:val="auto"/>
                <w:szCs w:val="21"/>
                <w:highlight w:val="none"/>
                <w:lang w:val="en-US" w:eastAsia="zh-CN"/>
              </w:rPr>
            </w:pPr>
            <w:r>
              <w:rPr>
                <w:rFonts w:hint="eastAsia" w:ascii="仿宋" w:hAnsi="仿宋" w:eastAsia="仿宋" w:cs="仿宋"/>
                <w:b w:val="0"/>
                <w:bCs w:val="0"/>
                <w:color w:val="auto"/>
                <w:sz w:val="24"/>
                <w:highlight w:val="none"/>
              </w:rPr>
              <w:t>YCDL2022-06-0047</w:t>
            </w:r>
            <w:r>
              <w:rPr>
                <w:rFonts w:hint="eastAsia" w:ascii="仿宋" w:hAnsi="仿宋" w:eastAsia="仿宋" w:cs="仿宋"/>
                <w:b w:val="0"/>
                <w:bCs w:val="0"/>
                <w:color w:val="auto"/>
                <w:sz w:val="24"/>
                <w:highlight w:val="none"/>
                <w:lang w:val="en-US" w:eastAsia="zh-CN"/>
              </w:rPr>
              <w:t>-1</w:t>
            </w:r>
          </w:p>
        </w:tc>
        <w:tc>
          <w:tcPr>
            <w:tcW w:w="3848"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黄酒艺术光影体验馆布展项目</w:t>
            </w:r>
          </w:p>
        </w:tc>
        <w:tc>
          <w:tcPr>
            <w:tcW w:w="263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eastAsia="zh-CN"/>
              </w:rPr>
              <w:t>4600000</w:t>
            </w:r>
          </w:p>
        </w:tc>
      </w:tr>
    </w:tbl>
    <w:p>
      <w:pPr>
        <w:spacing w:line="360" w:lineRule="auto"/>
        <w:ind w:left="48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四、采购需求：</w:t>
      </w:r>
      <w:r>
        <w:rPr>
          <w:rFonts w:hint="eastAsia" w:ascii="仿宋" w:hAnsi="仿宋" w:eastAsia="仿宋" w:cs="仿宋"/>
          <w:color w:val="auto"/>
          <w:sz w:val="24"/>
          <w:szCs w:val="24"/>
          <w:highlight w:val="none"/>
        </w:rPr>
        <w:t>详见采购文件第三章。</w:t>
      </w:r>
    </w:p>
    <w:p>
      <w:pPr>
        <w:spacing w:line="360" w:lineRule="auto"/>
        <w:ind w:left="48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五、本项目资格条件：</w:t>
      </w:r>
    </w:p>
    <w:p>
      <w:pPr>
        <w:spacing w:line="360" w:lineRule="exact"/>
        <w:ind w:firstLine="470" w:firstLineChars="19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1.符合政府采购法第二十二条之供应商资格规定；</w:t>
      </w:r>
    </w:p>
    <w:p>
      <w:pPr>
        <w:spacing w:line="360" w:lineRule="exact"/>
        <w:ind w:firstLine="470" w:firstLineChars="19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2.未被“信用中国”（www.creditchina.gov.cn）、中国政府采购网（www.ccgp.gov.cn）列入失信被执行人、重大税收违法案件当事人名单、政府采购严重违法失信行为记录名单；</w:t>
      </w:r>
    </w:p>
    <w:p>
      <w:pPr>
        <w:spacing w:line="360" w:lineRule="auto"/>
        <w:ind w:left="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3．本项目</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否</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highlight w:val="none"/>
        </w:rPr>
        <w:t>允许联合体投标。</w:t>
      </w:r>
    </w:p>
    <w:p>
      <w:pPr>
        <w:spacing w:line="360" w:lineRule="auto"/>
        <w:ind w:left="480"/>
        <w:rPr>
          <w:rFonts w:hint="eastAsia" w:ascii="仿宋" w:hAnsi="仿宋" w:eastAsia="仿宋" w:cs="仿宋"/>
          <w:b/>
          <w:bCs/>
          <w:strike w:val="0"/>
          <w:color w:val="auto"/>
          <w:kern w:val="0"/>
          <w:sz w:val="24"/>
          <w:highlight w:val="none"/>
        </w:rPr>
      </w:pPr>
      <w:r>
        <w:rPr>
          <w:rFonts w:hint="eastAsia" w:ascii="仿宋" w:hAnsi="仿宋" w:eastAsia="仿宋" w:cs="仿宋"/>
          <w:b/>
          <w:bCs/>
          <w:strike w:val="0"/>
          <w:color w:val="auto"/>
          <w:kern w:val="0"/>
          <w:sz w:val="24"/>
          <w:highlight w:val="none"/>
        </w:rPr>
        <w:t>4．特定资格条件：</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无。</w:t>
      </w:r>
    </w:p>
    <w:p>
      <w:pPr>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sz w:val="24"/>
          <w:szCs w:val="24"/>
          <w:highlight w:val="none"/>
        </w:rPr>
        <w:t>注：</w:t>
      </w:r>
      <w:r>
        <w:rPr>
          <w:rFonts w:hint="eastAsia" w:ascii="仿宋" w:hAnsi="仿宋" w:eastAsia="仿宋" w:cs="仿宋"/>
          <w:color w:val="auto"/>
          <w:kern w:val="0"/>
          <w:sz w:val="24"/>
          <w:highlight w:val="none"/>
        </w:rPr>
        <w:t>1.单位负责人为同一人或者存在直接控股、管理关系的不同供应商，不得同时参加同一标段的投标。</w:t>
      </w:r>
    </w:p>
    <w:p>
      <w:pPr>
        <w:spacing w:line="360" w:lineRule="exact"/>
        <w:ind w:firstLine="540" w:firstLineChars="225"/>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2.为项目提供整体设计、规范编制或者项目管理、监理、检测等服务的供应商，不得再参加该采购项目的其他采购活动。</w:t>
      </w:r>
    </w:p>
    <w:p>
      <w:pPr>
        <w:spacing w:line="360" w:lineRule="exact"/>
        <w:ind w:firstLine="542" w:firstLineChars="225"/>
        <w:rPr>
          <w:rFonts w:hint="eastAsia" w:ascii="仿宋" w:hAnsi="仿宋" w:eastAsia="仿宋" w:cs="仿宋"/>
          <w:color w:val="auto"/>
          <w:kern w:val="0"/>
          <w:sz w:val="24"/>
          <w:highlight w:val="none"/>
        </w:rPr>
      </w:pPr>
      <w:r>
        <w:rPr>
          <w:rFonts w:hint="eastAsia" w:ascii="仿宋" w:hAnsi="仿宋" w:eastAsia="仿宋" w:cs="仿宋"/>
          <w:b/>
          <w:bCs/>
          <w:color w:val="auto"/>
          <w:sz w:val="24"/>
          <w:highlight w:val="none"/>
        </w:rPr>
        <w:t>六、资格审查方式：</w:t>
      </w:r>
    </w:p>
    <w:p>
      <w:pPr>
        <w:spacing w:line="360" w:lineRule="exact"/>
        <w:ind w:firstLine="540" w:firstLineChars="225"/>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1.资格后审。</w:t>
      </w:r>
    </w:p>
    <w:p>
      <w:pPr>
        <w:spacing w:line="360" w:lineRule="exact"/>
        <w:ind w:firstLine="542" w:firstLineChars="225"/>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七、报名时间及方式</w:t>
      </w:r>
      <w:r>
        <w:rPr>
          <w:rFonts w:hint="eastAsia" w:ascii="仿宋" w:hAnsi="仿宋" w:eastAsia="仿宋" w:cs="仿宋"/>
          <w:color w:val="auto"/>
          <w:sz w:val="24"/>
          <w:highlight w:val="none"/>
        </w:rPr>
        <w:t>：</w:t>
      </w:r>
    </w:p>
    <w:p>
      <w:pPr>
        <w:spacing w:line="360" w:lineRule="exact"/>
        <w:ind w:firstLine="540" w:firstLineChars="225"/>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1.报名时间：投标截止时间前。</w:t>
      </w:r>
    </w:p>
    <w:p>
      <w:pPr>
        <w:spacing w:line="360" w:lineRule="exact"/>
        <w:ind w:firstLine="540" w:firstLineChars="225"/>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2.报名方式：越城区公共资源电子交易平台（以下简称“区交易平台”），网址</w:t>
      </w:r>
      <w:r>
        <w:rPr>
          <w:rFonts w:hint="eastAsia" w:ascii="仿宋" w:hAnsi="仿宋" w:eastAsia="仿宋" w:cs="仿宋"/>
          <w:bCs/>
          <w:color w:val="auto"/>
          <w:sz w:val="24"/>
          <w:highlight w:val="none"/>
          <w:u w:val="single"/>
        </w:rPr>
        <w:t>http://220.191.224.183:8081/TPBidder/memberLogin</w:t>
      </w:r>
      <w:r>
        <w:rPr>
          <w:rFonts w:hint="eastAsia" w:ascii="仿宋" w:hAnsi="仿宋" w:eastAsia="仿宋" w:cs="仿宋"/>
          <w:bCs/>
          <w:color w:val="auto"/>
          <w:sz w:val="24"/>
          <w:highlight w:val="none"/>
        </w:rPr>
        <w:t>。报名后不参加投标的供应商，须向采购代理机构提供书面说明。</w:t>
      </w:r>
    </w:p>
    <w:p>
      <w:pPr>
        <w:spacing w:line="360" w:lineRule="exact"/>
        <w:ind w:firstLine="540" w:firstLineChars="225"/>
        <w:rPr>
          <w:rFonts w:hint="eastAsia" w:ascii="仿宋" w:hAnsi="仿宋" w:eastAsia="仿宋" w:cs="仿宋"/>
          <w:color w:val="auto"/>
          <w:sz w:val="24"/>
          <w:highlight w:val="none"/>
        </w:rPr>
      </w:pPr>
      <w:r>
        <w:rPr>
          <w:rFonts w:hint="eastAsia" w:ascii="仿宋" w:hAnsi="仿宋" w:eastAsia="仿宋" w:cs="仿宋"/>
          <w:bCs/>
          <w:color w:val="auto"/>
          <w:sz w:val="24"/>
          <w:highlight w:val="none"/>
        </w:rPr>
        <w:t>3.提示：</w:t>
      </w:r>
      <w:r>
        <w:rPr>
          <w:rFonts w:hint="eastAsia" w:ascii="仿宋" w:hAnsi="仿宋" w:eastAsia="仿宋" w:cs="仿宋"/>
          <w:color w:val="auto"/>
          <w:sz w:val="24"/>
          <w:highlight w:val="none"/>
        </w:rPr>
        <w:t>以联合体形式参加本项目采购活动的，联合体牵头人报名即可。</w:t>
      </w:r>
    </w:p>
    <w:p>
      <w:pPr>
        <w:spacing w:line="360" w:lineRule="exact"/>
        <w:ind w:firstLine="540" w:firstLineChars="225"/>
        <w:rPr>
          <w:rFonts w:hint="eastAsia" w:ascii="仿宋" w:hAnsi="仿宋" w:eastAsia="仿宋" w:cs="仿宋"/>
          <w:color w:val="auto"/>
          <w:sz w:val="24"/>
          <w:highlight w:val="none"/>
        </w:rPr>
      </w:pPr>
      <w:r>
        <w:rPr>
          <w:rFonts w:hint="eastAsia" w:ascii="仿宋" w:hAnsi="仿宋" w:eastAsia="仿宋" w:cs="仿宋"/>
          <w:color w:val="auto"/>
          <w:sz w:val="24"/>
          <w:highlight w:val="none"/>
        </w:rPr>
        <w:t>4、采购文件售价：</w:t>
      </w:r>
      <w:r>
        <w:rPr>
          <w:rFonts w:hint="eastAsia" w:ascii="仿宋" w:hAnsi="仿宋" w:eastAsia="仿宋" w:cs="仿宋"/>
          <w:color w:val="auto"/>
          <w:sz w:val="24"/>
          <w:highlight w:val="none"/>
          <w:u w:val="single"/>
        </w:rPr>
        <w:t>免费</w:t>
      </w:r>
      <w:r>
        <w:rPr>
          <w:rFonts w:hint="eastAsia" w:ascii="仿宋" w:hAnsi="仿宋" w:eastAsia="仿宋" w:cs="仿宋"/>
          <w:color w:val="auto"/>
          <w:sz w:val="24"/>
          <w:highlight w:val="none"/>
        </w:rPr>
        <w:t>。</w:t>
      </w:r>
    </w:p>
    <w:p>
      <w:pPr>
        <w:spacing w:line="360" w:lineRule="exact"/>
        <w:ind w:firstLine="542" w:firstLineChars="225"/>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八、投标截止时间及地点</w:t>
      </w:r>
      <w:r>
        <w:rPr>
          <w:rFonts w:hint="eastAsia" w:ascii="仿宋" w:hAnsi="仿宋" w:eastAsia="仿宋" w:cs="仿宋"/>
          <w:color w:val="auto"/>
          <w:sz w:val="24"/>
          <w:highlight w:val="none"/>
        </w:rPr>
        <w:t>：供应商应于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年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r>
        <w:rPr>
          <w:rFonts w:hint="eastAsia" w:ascii="仿宋" w:hAnsi="仿宋" w:eastAsia="仿宋" w:cs="仿宋"/>
          <w:color w:val="auto"/>
          <w:sz w:val="24"/>
          <w:highlight w:val="none"/>
          <w:u w:val="single"/>
        </w:rPr>
        <w:t xml:space="preserve">   ： </w:t>
      </w:r>
      <w:r>
        <w:rPr>
          <w:rFonts w:hint="eastAsia" w:ascii="仿宋" w:hAnsi="仿宋" w:eastAsia="仿宋" w:cs="仿宋"/>
          <w:color w:val="auto"/>
          <w:sz w:val="24"/>
          <w:highlight w:val="none"/>
        </w:rPr>
        <w:t>时整以前将投标文件密封送交到浙江省绍兴市延安东路660号新地大厦三楼绍兴市公共资源交易中心越城区分中心</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室，逾期送达不予接收，</w:t>
      </w:r>
      <w:r>
        <w:rPr>
          <w:rFonts w:hint="eastAsia" w:ascii="仿宋" w:hAnsi="仿宋" w:eastAsia="仿宋" w:cs="仿宋"/>
          <w:b/>
          <w:bCs/>
          <w:color w:val="auto"/>
          <w:sz w:val="24"/>
          <w:highlight w:val="none"/>
        </w:rPr>
        <w:t>时间以开标室时间为准。</w:t>
      </w:r>
    </w:p>
    <w:p>
      <w:pPr>
        <w:spacing w:line="360" w:lineRule="auto"/>
        <w:ind w:firstLine="482" w:firstLineChars="200"/>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rPr>
        <w:t>九、开标时间及地点</w:t>
      </w:r>
      <w:r>
        <w:rPr>
          <w:rFonts w:hint="eastAsia" w:ascii="仿宋" w:hAnsi="仿宋" w:eastAsia="仿宋" w:cs="仿宋"/>
          <w:color w:val="auto"/>
          <w:sz w:val="24"/>
          <w:highlight w:val="none"/>
        </w:rPr>
        <w:t>：同投标截止时间及地点。</w:t>
      </w:r>
    </w:p>
    <w:p>
      <w:pPr>
        <w:spacing w:line="360" w:lineRule="auto"/>
        <w:ind w:firstLine="349" w:firstLineChars="150"/>
        <w:rPr>
          <w:rFonts w:hint="eastAsia" w:ascii="仿宋" w:hAnsi="仿宋" w:eastAsia="仿宋" w:cs="仿宋"/>
          <w:color w:val="auto"/>
          <w:sz w:val="24"/>
          <w:highlight w:val="none"/>
        </w:rPr>
      </w:pPr>
      <w:r>
        <w:rPr>
          <w:rFonts w:hint="eastAsia" w:ascii="仿宋" w:hAnsi="仿宋" w:eastAsia="仿宋" w:cs="仿宋"/>
          <w:b/>
          <w:bCs/>
          <w:color w:val="auto"/>
          <w:spacing w:val="-4"/>
          <w:sz w:val="24"/>
          <w:highlight w:val="none"/>
        </w:rPr>
        <w:t>十、</w:t>
      </w:r>
      <w:r>
        <w:rPr>
          <w:rFonts w:hint="eastAsia" w:ascii="仿宋" w:hAnsi="仿宋" w:eastAsia="仿宋" w:cs="仿宋"/>
          <w:b/>
          <w:color w:val="auto"/>
          <w:spacing w:val="-4"/>
          <w:sz w:val="24"/>
          <w:highlight w:val="none"/>
        </w:rPr>
        <w:t>采购公告及更正公告发布网址：</w:t>
      </w:r>
      <w:bookmarkStart w:id="1" w:name="_Hlt10553107"/>
      <w:bookmarkEnd w:id="1"/>
      <w:bookmarkStart w:id="2" w:name="_Hlt10553106"/>
      <w:bookmarkEnd w:id="2"/>
      <w:r>
        <w:rPr>
          <w:rFonts w:hint="eastAsia" w:ascii="仿宋" w:hAnsi="仿宋" w:eastAsia="仿宋" w:cs="仿宋"/>
          <w:color w:val="auto"/>
          <w:spacing w:val="-4"/>
          <w:sz w:val="24"/>
          <w:highlight w:val="none"/>
        </w:rPr>
        <w:t>浙江政府采购网：http://zfcg.czt.zj.gov.cn/ 和绍兴市越城区人民政府网站公共资源交易版块：http://www.sxyc.gov.cn/col/col1559777/index.html，</w:t>
      </w:r>
      <w:r>
        <w:rPr>
          <w:rFonts w:hint="eastAsia" w:ascii="仿宋" w:hAnsi="仿宋" w:eastAsia="仿宋" w:cs="仿宋"/>
          <w:b/>
          <w:bCs/>
          <w:color w:val="auto"/>
          <w:spacing w:val="-4"/>
          <w:sz w:val="24"/>
          <w:highlight w:val="none"/>
        </w:rPr>
        <w:t>采购文件详见后者</w:t>
      </w:r>
      <w:r>
        <w:rPr>
          <w:rFonts w:hint="eastAsia" w:ascii="仿宋" w:hAnsi="仿宋" w:eastAsia="仿宋" w:cs="仿宋"/>
          <w:color w:val="auto"/>
          <w:spacing w:val="-4"/>
          <w:sz w:val="24"/>
          <w:highlight w:val="none"/>
        </w:rPr>
        <w:t>。更正公告</w:t>
      </w:r>
      <w:r>
        <w:rPr>
          <w:rFonts w:hint="eastAsia" w:ascii="仿宋" w:hAnsi="仿宋" w:eastAsia="仿宋" w:cs="仿宋"/>
          <w:bCs/>
          <w:color w:val="auto"/>
          <w:sz w:val="24"/>
          <w:highlight w:val="none"/>
        </w:rPr>
        <w:t>请自行登录区交易平台或在浙江政府采购网更正公告页面或越城区人民政府门户网站采购公告页面中下载。</w:t>
      </w:r>
    </w:p>
    <w:p>
      <w:pPr>
        <w:spacing w:line="360" w:lineRule="exact"/>
        <w:ind w:firstLine="466" w:firstLineChars="200"/>
        <w:rPr>
          <w:rFonts w:hint="eastAsia" w:ascii="仿宋" w:hAnsi="仿宋" w:eastAsia="仿宋" w:cs="仿宋"/>
          <w:color w:val="auto"/>
          <w:spacing w:val="-4"/>
          <w:sz w:val="24"/>
          <w:highlight w:val="none"/>
        </w:rPr>
      </w:pPr>
      <w:r>
        <w:rPr>
          <w:rFonts w:hint="eastAsia" w:ascii="仿宋" w:hAnsi="仿宋" w:eastAsia="仿宋" w:cs="仿宋"/>
          <w:b/>
          <w:color w:val="auto"/>
          <w:spacing w:val="-4"/>
          <w:sz w:val="24"/>
          <w:highlight w:val="none"/>
        </w:rPr>
        <w:t>十一、采购公告期限：</w:t>
      </w:r>
      <w:r>
        <w:rPr>
          <w:rFonts w:hint="eastAsia" w:ascii="仿宋" w:hAnsi="仿宋" w:eastAsia="仿宋" w:cs="仿宋"/>
          <w:color w:val="auto"/>
          <w:spacing w:val="-4"/>
          <w:sz w:val="24"/>
          <w:highlight w:val="none"/>
        </w:rPr>
        <w:t>本公告发布之日起五个工作日。</w:t>
      </w:r>
    </w:p>
    <w:p>
      <w:pPr>
        <w:spacing w:line="3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十二、质疑和投诉：</w:t>
      </w:r>
    </w:p>
    <w:p>
      <w:pPr>
        <w:spacing w:line="360" w:lineRule="auto"/>
        <w:ind w:left="120" w:leftChars="57"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认为采购公告中的资格条件、报名时间设定等不符合有关规定，致使供应商不能参与本项目采购活动的，可以在知道或者应知其权益受到损害之日起七个工作日内，以书面形式或加盖供应商电子签章的数据电文形式（</w:t>
      </w:r>
      <w:r>
        <w:rPr>
          <w:rFonts w:hint="eastAsia" w:ascii="仿宋" w:hAnsi="仿宋" w:eastAsia="仿宋" w:cs="仿宋"/>
          <w:b/>
          <w:bCs/>
          <w:color w:val="auto"/>
          <w:sz w:val="24"/>
          <w:highlight w:val="none"/>
        </w:rPr>
        <w:t>不接受扫描件、复印件或图片</w:t>
      </w:r>
      <w:r>
        <w:rPr>
          <w:rFonts w:hint="eastAsia" w:ascii="仿宋" w:hAnsi="仿宋" w:eastAsia="仿宋" w:cs="仿宋"/>
          <w:color w:val="auto"/>
          <w:sz w:val="24"/>
          <w:highlight w:val="none"/>
        </w:rPr>
        <w:t>）向采购机构提出质疑（</w:t>
      </w:r>
      <w:r>
        <w:rPr>
          <w:rFonts w:hint="eastAsia" w:ascii="仿宋" w:hAnsi="仿宋" w:eastAsia="仿宋" w:cs="仿宋"/>
          <w:b/>
          <w:bCs/>
          <w:color w:val="auto"/>
          <w:sz w:val="24"/>
          <w:highlight w:val="none"/>
        </w:rPr>
        <w:t>对采购文件其他内容的质疑及投诉需在报名之后提出，否则不予受理。</w:t>
      </w:r>
      <w:r>
        <w:rPr>
          <w:rFonts w:hint="eastAsia" w:ascii="仿宋" w:hAnsi="仿宋" w:eastAsia="仿宋" w:cs="仿宋"/>
          <w:color w:val="auto"/>
          <w:sz w:val="24"/>
          <w:highlight w:val="none"/>
        </w:rPr>
        <w:t>）质疑受理地点：</w:t>
      </w:r>
      <w:r>
        <w:rPr>
          <w:rFonts w:hint="eastAsia" w:ascii="仿宋" w:hAnsi="仿宋" w:eastAsia="仿宋" w:cs="仿宋"/>
          <w:color w:val="auto"/>
          <w:sz w:val="24"/>
          <w:highlight w:val="none"/>
          <w:u w:val="single"/>
        </w:rPr>
        <w:t>绍兴市阳明北路692号浙江翔实建设项目管理有限公司一楼政府采购部</w:t>
      </w: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single"/>
        </w:rPr>
        <w:t>孙莉</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single"/>
        </w:rPr>
        <w:t xml:space="preserve">0575-88976639 </w:t>
      </w:r>
      <w:r>
        <w:rPr>
          <w:rFonts w:hint="eastAsia" w:ascii="仿宋" w:hAnsi="仿宋" w:eastAsia="仿宋" w:cs="仿宋"/>
          <w:color w:val="auto"/>
          <w:sz w:val="24"/>
          <w:highlight w:val="none"/>
        </w:rPr>
        <w:t>；数据电文接收邮箱：</w:t>
      </w:r>
      <w:r>
        <w:rPr>
          <w:rFonts w:hint="eastAsia" w:ascii="仿宋" w:hAnsi="仿宋" w:eastAsia="仿宋" w:cs="仿宋"/>
          <w:color w:val="auto"/>
          <w:sz w:val="24"/>
          <w:highlight w:val="none"/>
          <w:u w:val="single"/>
        </w:rPr>
        <w:t>983866732@qq.com</w:t>
      </w:r>
      <w:r>
        <w:rPr>
          <w:rFonts w:hint="eastAsia" w:ascii="仿宋" w:hAnsi="仿宋" w:eastAsia="仿宋" w:cs="仿宋"/>
          <w:color w:val="auto"/>
          <w:sz w:val="24"/>
          <w:highlight w:val="none"/>
        </w:rPr>
        <w:t>。</w:t>
      </w:r>
      <w:r>
        <w:rPr>
          <w:rFonts w:hint="eastAsia" w:ascii="仿宋" w:hAnsi="仿宋" w:eastAsia="仿宋" w:cs="仿宋"/>
          <w:b/>
          <w:bCs/>
          <w:color w:val="auto"/>
          <w:sz w:val="24"/>
          <w:highlight w:val="none"/>
        </w:rPr>
        <w:t>质疑书格式详见采购文件第七章。</w:t>
      </w:r>
    </w:p>
    <w:p>
      <w:pPr>
        <w:spacing w:line="360" w:lineRule="auto"/>
        <w:ind w:left="120" w:leftChars="57" w:firstLine="480" w:firstLineChars="200"/>
        <w:rPr>
          <w:rFonts w:hint="eastAsia" w:ascii="仿宋" w:hAnsi="仿宋" w:eastAsia="仿宋" w:cs="仿宋"/>
          <w:bCs/>
          <w:color w:val="auto"/>
          <w:sz w:val="24"/>
          <w:highlight w:val="none"/>
        </w:rPr>
      </w:pPr>
      <w:r>
        <w:rPr>
          <w:rFonts w:hint="eastAsia" w:ascii="仿宋" w:hAnsi="仿宋" w:eastAsia="仿宋" w:cs="仿宋"/>
          <w:color w:val="auto"/>
          <w:sz w:val="24"/>
          <w:highlight w:val="none"/>
        </w:rPr>
        <w:t>供应商对质疑答复不满意或者采购机构未在规定时间内作出答复的，可以在答复期满后十五个工作日内向本项目监督部门投诉。投诉受理地点：</w:t>
      </w:r>
      <w:r>
        <w:rPr>
          <w:rFonts w:hint="eastAsia" w:ascii="仿宋" w:hAnsi="仿宋" w:eastAsia="仿宋" w:cs="仿宋"/>
          <w:color w:val="auto"/>
          <w:sz w:val="24"/>
          <w:highlight w:val="none"/>
          <w:u w:val="single"/>
        </w:rPr>
        <w:t>绍兴黄酒小镇（东浦）开发建设管理委员会</w:t>
      </w: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single"/>
        </w:rPr>
        <w:t>林工</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single"/>
        </w:rPr>
        <w:t>0575-85388907</w:t>
      </w:r>
      <w:r>
        <w:rPr>
          <w:rFonts w:hint="eastAsia" w:ascii="仿宋" w:hAnsi="仿宋" w:eastAsia="仿宋" w:cs="仿宋"/>
          <w:color w:val="auto"/>
          <w:sz w:val="24"/>
          <w:highlight w:val="none"/>
        </w:rPr>
        <w:t>。</w:t>
      </w:r>
    </w:p>
    <w:p>
      <w:pPr>
        <w:spacing w:line="360" w:lineRule="exact"/>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十三、联系方式：</w:t>
      </w:r>
    </w:p>
    <w:p>
      <w:pPr>
        <w:spacing w:line="360" w:lineRule="exact"/>
        <w:ind w:firstLine="470" w:firstLineChars="196"/>
        <w:rPr>
          <w:rFonts w:hint="eastAsia" w:ascii="仿宋" w:hAnsi="仿宋" w:eastAsia="仿宋" w:cs="仿宋"/>
          <w:b/>
          <w:color w:val="auto"/>
          <w:sz w:val="24"/>
          <w:highlight w:val="none"/>
        </w:rPr>
      </w:pPr>
      <w:r>
        <w:rPr>
          <w:rFonts w:hint="eastAsia" w:ascii="仿宋" w:hAnsi="仿宋" w:eastAsia="仿宋" w:cs="仿宋"/>
          <w:color w:val="auto"/>
          <w:sz w:val="24"/>
          <w:highlight w:val="none"/>
        </w:rPr>
        <w:t>1. 采购人：</w:t>
      </w:r>
      <w:r>
        <w:rPr>
          <w:rFonts w:hint="eastAsia" w:ascii="仿宋" w:hAnsi="仿宋" w:eastAsia="仿宋" w:cs="仿宋"/>
          <w:color w:val="auto"/>
          <w:sz w:val="24"/>
          <w:highlight w:val="none"/>
          <w:u w:val="single"/>
        </w:rPr>
        <w:t>绍兴黄酒小镇建设投资有限公司</w:t>
      </w: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single"/>
        </w:rPr>
        <w:t xml:space="preserve">徐工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single"/>
        </w:rPr>
        <w:t>0575-85388901</w:t>
      </w:r>
      <w:r>
        <w:rPr>
          <w:rFonts w:hint="eastAsia" w:ascii="仿宋" w:hAnsi="仿宋" w:eastAsia="仿宋" w:cs="仿宋"/>
          <w:color w:val="auto"/>
          <w:sz w:val="24"/>
          <w:highlight w:val="none"/>
        </w:rPr>
        <w:t>。</w:t>
      </w:r>
    </w:p>
    <w:p>
      <w:pPr>
        <w:spacing w:line="360" w:lineRule="exact"/>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2.采购代理机构：</w:t>
      </w:r>
      <w:r>
        <w:rPr>
          <w:rFonts w:hint="eastAsia" w:ascii="仿宋" w:hAnsi="仿宋" w:eastAsia="仿宋" w:cs="仿宋"/>
          <w:color w:val="auto"/>
          <w:sz w:val="24"/>
          <w:highlight w:val="none"/>
          <w:u w:val="single"/>
        </w:rPr>
        <w:t>浙江翔实建设项目管理有限公司</w:t>
      </w: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single"/>
        </w:rPr>
        <w:t>丁诗哲</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single"/>
        </w:rPr>
        <w:t>13857501150</w:t>
      </w:r>
      <w:r>
        <w:rPr>
          <w:rFonts w:hint="eastAsia" w:ascii="仿宋" w:hAnsi="仿宋" w:eastAsia="仿宋" w:cs="仿宋"/>
          <w:color w:val="auto"/>
          <w:sz w:val="24"/>
          <w:highlight w:val="none"/>
        </w:rPr>
        <w:t>。</w:t>
      </w:r>
    </w:p>
    <w:p>
      <w:pPr>
        <w:spacing w:line="360" w:lineRule="exact"/>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十四、供应商入驻：</w:t>
      </w:r>
    </w:p>
    <w:p>
      <w:pPr>
        <w:spacing w:line="3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参与越城区国企采购的供应商，必须入驻区交易平台，入驻登记流程详见：</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"http://www.sxyc.gov.cn/art/2021/2/23/art_1559761_59026237.html" </w:instrText>
      </w:r>
      <w:r>
        <w:rPr>
          <w:rFonts w:hint="eastAsia" w:ascii="仿宋" w:hAnsi="仿宋" w:eastAsia="仿宋" w:cs="仿宋"/>
          <w:color w:val="auto"/>
          <w:highlight w:val="none"/>
        </w:rPr>
        <w:fldChar w:fldCharType="separate"/>
      </w:r>
      <w:r>
        <w:rPr>
          <w:rStyle w:val="37"/>
          <w:rFonts w:hint="eastAsia" w:ascii="仿宋" w:hAnsi="仿宋" w:eastAsia="仿宋" w:cs="仿宋"/>
          <w:color w:val="auto"/>
          <w:sz w:val="24"/>
          <w:highlight w:val="none"/>
        </w:rPr>
        <w:t>http://www.sxyc.gov.cn/art/2021/2/23/art_1559761_59026237.html</w:t>
      </w:r>
      <w:r>
        <w:rPr>
          <w:rStyle w:val="37"/>
          <w:rFonts w:hint="eastAsia" w:ascii="仿宋" w:hAnsi="仿宋" w:eastAsia="仿宋" w:cs="仿宋"/>
          <w:color w:val="auto"/>
          <w:sz w:val="24"/>
          <w:highlight w:val="none"/>
        </w:rPr>
        <w:fldChar w:fldCharType="end"/>
      </w:r>
    </w:p>
    <w:p>
      <w:pPr>
        <w:wordWrap w:val="0"/>
        <w:spacing w:line="360" w:lineRule="exact"/>
        <w:jc w:val="right"/>
        <w:rPr>
          <w:rFonts w:hint="eastAsia" w:ascii="仿宋" w:hAnsi="仿宋" w:eastAsia="仿宋" w:cs="仿宋"/>
          <w:color w:val="auto"/>
          <w:highlight w:val="none"/>
        </w:rPr>
      </w:pPr>
    </w:p>
    <w:p>
      <w:pPr>
        <w:wordWrap w:val="0"/>
        <w:spacing w:line="360" w:lineRule="exact"/>
        <w:jc w:val="right"/>
        <w:rPr>
          <w:rFonts w:hint="eastAsia" w:ascii="仿宋" w:hAnsi="仿宋" w:eastAsia="仿宋" w:cs="仿宋"/>
          <w:color w:val="auto"/>
          <w:sz w:val="24"/>
          <w:highlight w:val="none"/>
          <w:u w:val="single"/>
        </w:rPr>
      </w:pP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浙江翔实建设项目管理有限公司</w:t>
      </w:r>
    </w:p>
    <w:p>
      <w:pPr>
        <w:wordWrap w:val="0"/>
        <w:spacing w:line="360" w:lineRule="exact"/>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2022</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rPr>
          <w:rFonts w:hint="eastAsia" w:ascii="仿宋" w:hAnsi="仿宋" w:eastAsia="仿宋" w:cs="仿宋"/>
          <w:color w:val="auto"/>
          <w:highlight w:val="none"/>
        </w:rPr>
      </w:pPr>
      <w:bookmarkStart w:id="3" w:name="_Toc643610526"/>
      <w:r>
        <w:rPr>
          <w:rFonts w:hint="eastAsia" w:ascii="仿宋" w:hAnsi="仿宋" w:eastAsia="仿宋" w:cs="仿宋"/>
          <w:color w:val="auto"/>
          <w:highlight w:val="none"/>
        </w:rPr>
        <w:br w:type="page"/>
      </w:r>
    </w:p>
    <w:p>
      <w:pPr>
        <w:pStyle w:val="4"/>
        <w:rPr>
          <w:rFonts w:hint="eastAsia" w:ascii="仿宋" w:hAnsi="仿宋" w:eastAsia="仿宋" w:cs="仿宋"/>
          <w:color w:val="auto"/>
          <w:highlight w:val="none"/>
        </w:rPr>
      </w:pPr>
      <w:r>
        <w:rPr>
          <w:rFonts w:hint="eastAsia" w:ascii="仿宋" w:hAnsi="仿宋" w:eastAsia="仿宋" w:cs="仿宋"/>
          <w:color w:val="auto"/>
          <w:highlight w:val="none"/>
        </w:rPr>
        <w:t>第二章  供应商须知</w:t>
      </w:r>
      <w:bookmarkEnd w:id="3"/>
    </w:p>
    <w:p>
      <w:pPr>
        <w:pStyle w:val="5"/>
        <w:rPr>
          <w:rFonts w:hint="eastAsia" w:ascii="仿宋" w:hAnsi="仿宋" w:eastAsia="仿宋" w:cs="仿宋"/>
          <w:color w:val="auto"/>
          <w:highlight w:val="none"/>
        </w:rPr>
      </w:pPr>
      <w:bookmarkStart w:id="4" w:name="_Toc643610527"/>
      <w:r>
        <w:rPr>
          <w:rFonts w:hint="eastAsia" w:ascii="仿宋" w:hAnsi="仿宋" w:eastAsia="仿宋" w:cs="仿宋"/>
          <w:color w:val="auto"/>
          <w:highlight w:val="none"/>
        </w:rPr>
        <w:t>一、前附表</w:t>
      </w:r>
      <w:bookmarkEnd w:id="4"/>
    </w:p>
    <w:tbl>
      <w:tblPr>
        <w:tblStyle w:val="26"/>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3" w:afterLines="30" w:line="3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3" w:afterLines="30" w:line="3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hAnsi="仿宋" w:eastAsia="仿宋" w:cs="仿宋"/>
                <w:color w:val="auto"/>
                <w:sz w:val="24"/>
                <w:highlight w:val="none"/>
              </w:rPr>
            </w:pPr>
            <w:r>
              <w:rPr>
                <w:rFonts w:hint="eastAsia" w:ascii="仿宋" w:hAnsi="仿宋" w:eastAsia="仿宋" w:cs="仿宋"/>
                <w:b/>
                <w:color w:val="auto"/>
                <w:sz w:val="24"/>
                <w:highlight w:val="none"/>
              </w:rPr>
              <w:t>项目名称</w:t>
            </w:r>
            <w:r>
              <w:rPr>
                <w:rFonts w:hint="eastAsia" w:ascii="仿宋" w:hAnsi="仿宋" w:eastAsia="仿宋" w:cs="仿宋"/>
                <w:color w:val="auto"/>
                <w:sz w:val="24"/>
                <w:highlight w:val="none"/>
              </w:rPr>
              <w:t>：黄酒艺术光影体验馆布展项目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hAnsi="仿宋" w:eastAsia="仿宋" w:cs="仿宋"/>
                <w:color w:val="auto"/>
                <w:sz w:val="24"/>
                <w:highlight w:val="none"/>
              </w:rPr>
            </w:pPr>
            <w:r>
              <w:rPr>
                <w:rFonts w:hint="eastAsia" w:ascii="仿宋" w:hAnsi="仿宋" w:eastAsia="仿宋" w:cs="仿宋"/>
                <w:b/>
                <w:color w:val="auto"/>
                <w:sz w:val="24"/>
                <w:highlight w:val="none"/>
              </w:rPr>
              <w:t>投标有效期：</w:t>
            </w:r>
            <w:r>
              <w:rPr>
                <w:rFonts w:hint="eastAsia" w:ascii="仿宋" w:hAnsi="仿宋" w:eastAsia="仿宋" w:cs="仿宋"/>
                <w:color w:val="auto"/>
                <w:sz w:val="24"/>
                <w:highlight w:val="none"/>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hAnsi="仿宋" w:eastAsia="仿宋" w:cs="仿宋"/>
                <w:b/>
                <w:color w:val="auto"/>
                <w:sz w:val="24"/>
                <w:highlight w:val="none"/>
                <w:u w:val="single"/>
              </w:rPr>
            </w:pPr>
            <w:r>
              <w:rPr>
                <w:rFonts w:hint="eastAsia" w:ascii="仿宋" w:hAnsi="仿宋" w:eastAsia="仿宋" w:cs="仿宋"/>
                <w:b/>
                <w:color w:val="auto"/>
                <w:sz w:val="24"/>
                <w:highlight w:val="none"/>
              </w:rPr>
              <w:t>是否提供样品：</w:t>
            </w:r>
            <w:r>
              <w:rPr>
                <w:rFonts w:hint="eastAsia" w:ascii="仿宋" w:hAnsi="仿宋" w:eastAsia="仿宋" w:cs="仿宋"/>
                <w:b/>
                <w:color w:val="auto"/>
                <w:sz w:val="24"/>
                <w:highlight w:val="none"/>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是否演示：</w:t>
            </w:r>
            <w:r>
              <w:rPr>
                <w:rFonts w:hint="eastAsia" w:ascii="仿宋" w:hAnsi="仿宋" w:eastAsia="仿宋" w:cs="仿宋"/>
                <w:b/>
                <w:color w:val="auto"/>
                <w:sz w:val="24"/>
                <w:highlight w:val="none"/>
                <w:u w:val="single"/>
              </w:rPr>
              <w:t xml:space="preserve">    </w:t>
            </w:r>
            <w:r>
              <w:rPr>
                <w:rFonts w:hint="eastAsia" w:ascii="仿宋" w:hAnsi="仿宋" w:eastAsia="仿宋" w:cs="仿宋"/>
                <w:color w:val="auto"/>
                <w:sz w:val="24"/>
                <w:highlight w:val="none"/>
                <w:u w:val="single"/>
              </w:rPr>
              <w:t>否</w:t>
            </w:r>
            <w:r>
              <w:rPr>
                <w:rFonts w:hint="eastAsia" w:ascii="仿宋" w:hAnsi="仿宋" w:eastAsia="仿宋" w:cs="仿宋"/>
                <w:b/>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360" w:lineRule="exact"/>
              <w:textAlignment w:val="bottom"/>
              <w:rPr>
                <w:rFonts w:hint="eastAsia" w:ascii="仿宋" w:hAnsi="仿宋" w:eastAsia="仿宋" w:cs="仿宋"/>
                <w:color w:val="auto"/>
                <w:sz w:val="24"/>
                <w:highlight w:val="none"/>
              </w:rPr>
            </w:pPr>
            <w:r>
              <w:rPr>
                <w:rFonts w:hint="eastAsia" w:ascii="仿宋" w:hAnsi="仿宋" w:eastAsia="仿宋" w:cs="仿宋"/>
                <w:b/>
                <w:color w:val="auto"/>
                <w:sz w:val="24"/>
                <w:highlight w:val="none"/>
              </w:rPr>
              <w:t>是否组织现场踏勘：</w:t>
            </w:r>
            <w:r>
              <w:rPr>
                <w:rFonts w:hint="eastAsia" w:ascii="仿宋" w:hAnsi="仿宋" w:eastAsia="仿宋" w:cs="仿宋"/>
                <w:color w:val="auto"/>
                <w:sz w:val="24"/>
                <w:highlight w:val="none"/>
              </w:rPr>
              <w:t>投标供应商可自行现场踏勘。</w:t>
            </w:r>
          </w:p>
          <w:p>
            <w:pPr>
              <w:autoSpaceDE w:val="0"/>
              <w:autoSpaceDN w:val="0"/>
              <w:spacing w:line="360" w:lineRule="exact"/>
              <w:textAlignment w:val="bottom"/>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为使投标供应商对本项目情况有所了解，投标供应商自行组织对项目所在场地及周围环境进行现场勘察，以便获取由投标供应商自行负责编制投标文件和签订合同所需的一切资料。现场勘察所发生的费用由投标供应商自行承担。</w:t>
            </w:r>
          </w:p>
          <w:p>
            <w:pPr>
              <w:autoSpaceDE w:val="0"/>
              <w:autoSpaceDN w:val="0"/>
              <w:spacing w:line="360" w:lineRule="exact"/>
              <w:textAlignment w:val="bottom"/>
              <w:rPr>
                <w:rFonts w:hint="eastAsia" w:ascii="仿宋" w:hAnsi="仿宋" w:eastAsia="仿宋" w:cs="仿宋"/>
                <w:color w:val="auto"/>
                <w:sz w:val="24"/>
                <w:highlight w:val="none"/>
              </w:rPr>
            </w:pPr>
            <w:r>
              <w:rPr>
                <w:rFonts w:hint="eastAsia" w:ascii="仿宋" w:hAnsi="仿宋" w:eastAsia="仿宋" w:cs="仿宋"/>
                <w:color w:val="auto"/>
                <w:sz w:val="24"/>
                <w:highlight w:val="none"/>
              </w:rPr>
              <w:t>2.现场勘察完毕，将认为供应商已了解现场情况，并充分理解了为之所承担的风险、义务和责任。</w:t>
            </w:r>
          </w:p>
          <w:p>
            <w:pPr>
              <w:autoSpaceDE w:val="0"/>
              <w:autoSpaceDN w:val="0"/>
              <w:spacing w:line="360" w:lineRule="exact"/>
              <w:textAlignment w:val="bottom"/>
              <w:rPr>
                <w:rFonts w:hint="eastAsia" w:ascii="仿宋" w:hAnsi="仿宋" w:eastAsia="仿宋" w:cs="仿宋"/>
                <w:b/>
                <w:color w:val="auto"/>
                <w:sz w:val="24"/>
                <w:highlight w:val="none"/>
              </w:rPr>
            </w:pPr>
            <w:r>
              <w:rPr>
                <w:rFonts w:hint="eastAsia" w:ascii="仿宋" w:hAnsi="仿宋" w:eastAsia="仿宋" w:cs="仿宋"/>
                <w:color w:val="auto"/>
                <w:sz w:val="24"/>
                <w:highlight w:val="none"/>
              </w:rPr>
              <w:t>3.在现场勘察过程中，投标供应商应承担在此期间所造成的人身伤害、财产损失或损坏的责任，无论何种原因所造成，采购人均不负责，如由此导致采购人承担责任的，采购人有权向该供应商行使追偿权。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hAnsi="仿宋" w:eastAsia="仿宋" w:cs="仿宋"/>
                <w:color w:val="auto"/>
                <w:sz w:val="24"/>
                <w:highlight w:val="none"/>
              </w:rPr>
            </w:pPr>
            <w:r>
              <w:rPr>
                <w:rFonts w:hint="eastAsia" w:ascii="仿宋" w:hAnsi="仿宋" w:eastAsia="仿宋" w:cs="仿宋"/>
                <w:b/>
                <w:color w:val="auto"/>
                <w:sz w:val="24"/>
                <w:highlight w:val="none"/>
              </w:rPr>
              <w:t>投标文件份数：正本一份，副本</w:t>
            </w:r>
            <w:r>
              <w:rPr>
                <w:rFonts w:hint="eastAsia" w:ascii="仿宋" w:hAnsi="仿宋" w:eastAsia="仿宋" w:cs="仿宋"/>
                <w:b/>
                <w:color w:val="auto"/>
                <w:sz w:val="24"/>
                <w:highlight w:val="none"/>
                <w:u w:val="single"/>
              </w:rPr>
              <w:t>四</w:t>
            </w:r>
            <w:r>
              <w:rPr>
                <w:rFonts w:hint="eastAsia" w:ascii="仿宋" w:hAnsi="仿宋" w:eastAsia="仿宋" w:cs="仿宋"/>
                <w:b/>
                <w:color w:val="auto"/>
                <w:sz w:val="24"/>
                <w:highlight w:val="none"/>
              </w:rPr>
              <w:t>份</w:t>
            </w:r>
            <w:r>
              <w:rPr>
                <w:rFonts w:hint="eastAsia" w:ascii="仿宋" w:hAnsi="仿宋" w:eastAsia="仿宋" w:cs="仿宋"/>
                <w:color w:val="auto"/>
                <w:sz w:val="24"/>
                <w:highlight w:val="none"/>
              </w:rPr>
              <w:t>。正本与副本内容不一致的，以正本为准。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hAnsi="仿宋" w:eastAsia="仿宋" w:cs="仿宋"/>
                <w:color w:val="auto"/>
                <w:kern w:val="0"/>
                <w:sz w:val="24"/>
                <w:szCs w:val="24"/>
                <w:highlight w:val="none"/>
                <w:u w:val="single"/>
                <w:lang w:val="zh-CN" w:eastAsia="zh-CN" w:bidi="ar-SA"/>
              </w:rPr>
            </w:pPr>
            <w:r>
              <w:rPr>
                <w:rFonts w:hint="eastAsia" w:ascii="仿宋" w:hAnsi="仿宋" w:eastAsia="仿宋" w:cs="仿宋"/>
                <w:b/>
                <w:color w:val="auto"/>
                <w:sz w:val="24"/>
                <w:highlight w:val="none"/>
              </w:rPr>
              <w:t>履约保证金及缴退时间：</w:t>
            </w:r>
            <w:r>
              <w:rPr>
                <w:rFonts w:hint="eastAsia" w:ascii="仿宋" w:hAnsi="仿宋" w:eastAsia="仿宋" w:cs="仿宋"/>
                <w:color w:val="auto"/>
                <w:kern w:val="0"/>
                <w:sz w:val="24"/>
                <w:szCs w:val="24"/>
                <w:highlight w:val="none"/>
                <w:u w:val="single"/>
                <w:lang w:val="zh-CN" w:eastAsia="zh-CN" w:bidi="ar-SA"/>
              </w:rPr>
              <w:t>中标价的2.5%，在质保期满后无质量问题的情况下，一次性退还。</w:t>
            </w:r>
          </w:p>
          <w:p>
            <w:pPr>
              <w:autoSpaceDE w:val="0"/>
              <w:autoSpaceDN w:val="0"/>
              <w:spacing w:line="500" w:lineRule="exact"/>
              <w:textAlignment w:val="bottom"/>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0"/>
              <w:spacing w:after="0" w:line="440" w:lineRule="exact"/>
              <w:jc w:val="left"/>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分包与转包</w:t>
            </w:r>
            <w:r>
              <w:rPr>
                <w:rFonts w:hint="eastAsia" w:ascii="仿宋" w:hAnsi="仿宋" w:eastAsia="仿宋" w:cs="仿宋"/>
                <w:color w:val="auto"/>
                <w:sz w:val="24"/>
                <w:highlight w:val="none"/>
              </w:rPr>
              <w:t>：本项目</w:t>
            </w:r>
            <w:r>
              <w:rPr>
                <w:rFonts w:hint="eastAsia" w:ascii="仿宋" w:hAnsi="仿宋" w:eastAsia="仿宋" w:cs="仿宋"/>
                <w:color w:val="auto"/>
                <w:sz w:val="24"/>
                <w:highlight w:val="none"/>
                <w:u w:val="single"/>
              </w:rPr>
              <w:t xml:space="preserve"> 允许 </w:t>
            </w:r>
            <w:r>
              <w:rPr>
                <w:rFonts w:hint="eastAsia" w:ascii="仿宋" w:hAnsi="仿宋" w:eastAsia="仿宋" w:cs="仿宋"/>
                <w:color w:val="auto"/>
                <w:sz w:val="24"/>
                <w:highlight w:val="none"/>
              </w:rPr>
              <w:t>分包</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u w:val="single"/>
                <w:lang w:eastAsia="zh-CN"/>
              </w:rPr>
              <w:t>不允许</w:t>
            </w:r>
            <w:r>
              <w:rPr>
                <w:rFonts w:hint="eastAsia" w:ascii="仿宋" w:hAnsi="仿宋" w:eastAsia="仿宋" w:cs="仿宋"/>
                <w:color w:val="auto"/>
                <w:sz w:val="24"/>
                <w:highlight w:val="none"/>
              </w:rPr>
              <w:t>转包</w:t>
            </w:r>
            <w:r>
              <w:rPr>
                <w:rFonts w:hint="eastAsia" w:ascii="仿宋" w:hAnsi="仿宋" w:eastAsia="仿宋" w:cs="仿宋"/>
                <w:color w:val="auto"/>
                <w:sz w:val="24"/>
                <w:highlight w:val="none"/>
                <w:lang w:eastAsia="zh-CN"/>
              </w:rPr>
              <w:t>。</w:t>
            </w:r>
            <w:r>
              <w:rPr>
                <w:rFonts w:hint="eastAsia" w:ascii="仿宋" w:hAnsi="仿宋" w:eastAsia="仿宋" w:cs="仿宋"/>
                <w:color w:val="auto"/>
                <w:sz w:val="24"/>
                <w:szCs w:val="24"/>
                <w:highlight w:val="none"/>
                <w:lang w:val="zh-CN"/>
              </w:rPr>
              <w:t>在设计图纸定稿后，图纸中如涉及到某项专业工程，中标人如具备涉及到的专业工程资质，则一并纳入本工程范围；如不具备所涉及的专业资质，经招标人同意，由中标人依法分包。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left"/>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采购代理服务费：</w:t>
            </w:r>
            <w:r>
              <w:rPr>
                <w:rFonts w:hint="eastAsia" w:ascii="仿宋" w:hAnsi="仿宋" w:eastAsia="仿宋" w:cs="仿宋"/>
                <w:color w:val="auto"/>
                <w:sz w:val="24"/>
                <w:highlight w:val="none"/>
              </w:rPr>
              <w:t>中标人须向招标代理机构交纳代理服务费：</w:t>
            </w:r>
          </w:p>
          <w:p>
            <w:pPr>
              <w:spacing w:line="36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（1）以中标通知中确定的中标总金额作为服务费的计算基数，招标代理费按照国家计委计价格[2002]1980号</w:t>
            </w:r>
            <w:r>
              <w:rPr>
                <w:rFonts w:hint="eastAsia" w:ascii="仿宋" w:hAnsi="仿宋" w:eastAsia="仿宋" w:cs="仿宋"/>
                <w:color w:val="auto"/>
                <w:sz w:val="24"/>
                <w:highlight w:val="none"/>
                <w:lang w:eastAsia="zh-CN"/>
              </w:rPr>
              <w:t>、发改委</w:t>
            </w:r>
            <w:r>
              <w:rPr>
                <w:rFonts w:hint="eastAsia" w:ascii="仿宋" w:hAnsi="仿宋" w:eastAsia="仿宋" w:cs="仿宋"/>
                <w:color w:val="auto"/>
                <w:sz w:val="24"/>
                <w:highlight w:val="none"/>
              </w:rPr>
              <w:t>[20</w:t>
            </w:r>
            <w:r>
              <w:rPr>
                <w:rFonts w:hint="eastAsia" w:ascii="仿宋" w:hAnsi="仿宋" w:eastAsia="仿宋" w:cs="仿宋"/>
                <w:color w:val="auto"/>
                <w:sz w:val="24"/>
                <w:highlight w:val="none"/>
                <w:lang w:val="en-US" w:eastAsia="zh-CN"/>
              </w:rPr>
              <w:t>11</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534</w:t>
            </w:r>
            <w:r>
              <w:rPr>
                <w:rFonts w:hint="eastAsia" w:ascii="仿宋" w:hAnsi="仿宋" w:eastAsia="仿宋" w:cs="仿宋"/>
                <w:color w:val="auto"/>
                <w:sz w:val="24"/>
                <w:highlight w:val="none"/>
              </w:rPr>
              <w:t>号文件规定的标准收费</w:t>
            </w:r>
            <w:r>
              <w:rPr>
                <w:rFonts w:hint="eastAsia" w:ascii="仿宋" w:hAnsi="仿宋" w:eastAsia="仿宋" w:cs="仿宋"/>
                <w:color w:val="auto"/>
                <w:sz w:val="24"/>
                <w:highlight w:val="none"/>
                <w:lang w:eastAsia="zh-CN"/>
              </w:rPr>
              <w:t>下浮</w:t>
            </w:r>
            <w:r>
              <w:rPr>
                <w:rFonts w:hint="eastAsia" w:ascii="仿宋" w:hAnsi="仿宋" w:eastAsia="仿宋" w:cs="仿宋"/>
                <w:color w:val="auto"/>
                <w:sz w:val="24"/>
                <w:highlight w:val="none"/>
                <w:lang w:val="en-US" w:eastAsia="zh-CN"/>
              </w:rPr>
              <w:t>44%计取</w:t>
            </w:r>
            <w:r>
              <w:rPr>
                <w:rFonts w:hint="eastAsia" w:ascii="仿宋" w:hAnsi="仿宋" w:eastAsia="仿宋" w:cs="仿宋"/>
                <w:color w:val="auto"/>
                <w:sz w:val="24"/>
                <w:highlight w:val="none"/>
                <w:lang w:eastAsia="zh-CN"/>
              </w:rPr>
              <w:t>（保底价</w:t>
            </w:r>
            <w:r>
              <w:rPr>
                <w:rFonts w:hint="eastAsia" w:ascii="仿宋" w:hAnsi="仿宋" w:eastAsia="仿宋" w:cs="仿宋"/>
                <w:color w:val="auto"/>
                <w:sz w:val="24"/>
                <w:highlight w:val="none"/>
                <w:lang w:val="en-US" w:eastAsia="zh-CN"/>
              </w:rPr>
              <w:t>2000</w:t>
            </w:r>
            <w:r>
              <w:rPr>
                <w:rFonts w:hint="eastAsia" w:ascii="仿宋" w:hAnsi="仿宋" w:eastAsia="仿宋" w:cs="仿宋"/>
                <w:color w:val="auto"/>
                <w:sz w:val="24"/>
                <w:highlight w:val="none"/>
              </w:rPr>
              <w:t>元计取</w:t>
            </w:r>
            <w:r>
              <w:rPr>
                <w:rFonts w:hint="eastAsia" w:ascii="仿宋" w:hAnsi="仿宋" w:eastAsia="仿宋" w:cs="仿宋"/>
                <w:color w:val="auto"/>
                <w:sz w:val="24"/>
                <w:highlight w:val="none"/>
                <w:lang w:eastAsia="zh-CN"/>
              </w:rPr>
              <w:t>）。</w:t>
            </w:r>
          </w:p>
          <w:p>
            <w:pPr>
              <w:spacing w:line="36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收费标准：中标金额在100万以下部分为1.5%，100万元到500万元部分为1.1%；</w:t>
            </w:r>
          </w:p>
          <w:p>
            <w:pPr>
              <w:spacing w:line="36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（2）代理服务费的交纳方式：</w:t>
            </w:r>
          </w:p>
          <w:p>
            <w:pPr>
              <w:spacing w:line="5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用银行支票、汇票、电汇、现金等付款方式直接交纳招标代理服务费。</w:t>
            </w:r>
          </w:p>
          <w:p>
            <w:pPr>
              <w:spacing w:line="5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公司名称：浙江翔实建设项目管理有限公司</w:t>
            </w:r>
          </w:p>
          <w:p>
            <w:pPr>
              <w:spacing w:line="5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开户行：建行绍兴越城支行 </w:t>
            </w:r>
          </w:p>
          <w:p>
            <w:pPr>
              <w:spacing w:line="50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账  号：33001653549053003519。</w:t>
            </w:r>
          </w:p>
          <w:p>
            <w:pPr>
              <w:spacing w:line="50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（3）招标代理费在招标完成后由中标单位一次性付清。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本项目所属行业：</w:t>
            </w:r>
            <w:r>
              <w:rPr>
                <w:rFonts w:hint="eastAsia" w:ascii="仿宋" w:hAnsi="仿宋" w:eastAsia="仿宋" w:cs="仿宋"/>
                <w:b/>
                <w:bCs/>
                <w:color w:val="auto"/>
                <w:sz w:val="24"/>
                <w:highlight w:val="none"/>
                <w:u w:val="single"/>
              </w:rPr>
              <w:t xml:space="preserve"> </w:t>
            </w:r>
            <w:r>
              <w:rPr>
                <w:rFonts w:hint="eastAsia" w:ascii="仿宋" w:hAnsi="仿宋" w:eastAsia="仿宋" w:cs="仿宋"/>
                <w:b/>
                <w:bCs/>
                <w:color w:val="auto"/>
                <w:sz w:val="24"/>
                <w:highlight w:val="none"/>
                <w:u w:val="single"/>
                <w:lang w:eastAsia="zh-CN"/>
              </w:rPr>
              <w:t>制造业</w:t>
            </w:r>
            <w:r>
              <w:rPr>
                <w:rFonts w:hint="eastAsia" w:ascii="仿宋" w:hAnsi="仿宋" w:eastAsia="仿宋" w:cs="仿宋"/>
                <w:color w:val="auto"/>
                <w:sz w:val="24"/>
                <w:highlight w:val="none"/>
                <w:u w:val="single"/>
              </w:rPr>
              <w:t xml:space="preserve"> 。</w:t>
            </w:r>
          </w:p>
        </w:tc>
      </w:tr>
    </w:tbl>
    <w:p>
      <w:pPr>
        <w:ind w:left="238"/>
        <w:jc w:val="center"/>
        <w:rPr>
          <w:rFonts w:hint="eastAsia" w:ascii="仿宋" w:hAnsi="仿宋" w:eastAsia="仿宋" w:cs="仿宋"/>
          <w:color w:val="auto"/>
          <w:sz w:val="24"/>
          <w:highlight w:val="none"/>
        </w:rPr>
      </w:pPr>
    </w:p>
    <w:p>
      <w:pPr>
        <w:rPr>
          <w:rFonts w:hint="eastAsia" w:ascii="仿宋" w:hAnsi="仿宋" w:eastAsia="仿宋" w:cs="仿宋"/>
          <w:color w:val="auto"/>
          <w:highlight w:val="none"/>
        </w:rPr>
      </w:pPr>
      <w:bookmarkStart w:id="5" w:name="_Toc643610528"/>
      <w:r>
        <w:rPr>
          <w:rFonts w:hint="eastAsia" w:ascii="仿宋" w:hAnsi="仿宋" w:eastAsia="仿宋" w:cs="仿宋"/>
          <w:color w:val="auto"/>
          <w:highlight w:val="none"/>
        </w:rPr>
        <w:br w:type="page"/>
      </w:r>
    </w:p>
    <w:p>
      <w:pPr>
        <w:pStyle w:val="5"/>
        <w:rPr>
          <w:rFonts w:hint="eastAsia" w:ascii="仿宋" w:hAnsi="仿宋" w:eastAsia="仿宋" w:cs="仿宋"/>
          <w:color w:val="auto"/>
          <w:highlight w:val="none"/>
        </w:rPr>
      </w:pPr>
      <w:r>
        <w:rPr>
          <w:rFonts w:hint="eastAsia" w:ascii="仿宋" w:hAnsi="仿宋" w:eastAsia="仿宋" w:cs="仿宋"/>
          <w:color w:val="auto"/>
          <w:highlight w:val="none"/>
        </w:rPr>
        <w:t>二、采购文件</w:t>
      </w:r>
      <w:bookmarkEnd w:id="5"/>
    </w:p>
    <w:p>
      <w:pPr>
        <w:snapToGrid w:val="0"/>
        <w:spacing w:line="44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 采购文件效力</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1.1本采购文件适用于本次所述项目的招标、投标、评标、定标、验收、合同签订及履约、付款等全过程（法律法规另有规定的从其规定）。</w:t>
      </w:r>
    </w:p>
    <w:p>
      <w:pPr>
        <w:snapToGrid w:val="0"/>
        <w:spacing w:line="440" w:lineRule="exact"/>
        <w:jc w:val="left"/>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1.2</w:t>
      </w:r>
      <w:r>
        <w:rPr>
          <w:rFonts w:hint="eastAsia" w:ascii="仿宋" w:hAnsi="仿宋" w:eastAsia="仿宋" w:cs="仿宋"/>
          <w:b/>
          <w:bCs/>
          <w:color w:val="auto"/>
          <w:sz w:val="24"/>
          <w:highlight w:val="none"/>
        </w:rPr>
        <w:t>供应商对本采购文件如有异议，均应在法定时间内提出质疑或投诉，否则即被视为认可采购文件的全部内容。</w:t>
      </w:r>
    </w:p>
    <w:p>
      <w:pPr>
        <w:snapToGrid w:val="0"/>
        <w:spacing w:line="44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2、名词定义</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w:t>
      </w:r>
      <w:r>
        <w:rPr>
          <w:rFonts w:hint="eastAsia" w:ascii="仿宋" w:hAnsi="仿宋" w:eastAsia="仿宋" w:cs="仿宋"/>
          <w:b/>
          <w:bCs/>
          <w:color w:val="auto"/>
          <w:sz w:val="24"/>
          <w:highlight w:val="none"/>
        </w:rPr>
        <w:t>采购代理机构</w:t>
      </w:r>
      <w:r>
        <w:rPr>
          <w:rFonts w:hint="eastAsia" w:ascii="仿宋" w:hAnsi="仿宋" w:eastAsia="仿宋" w:cs="仿宋"/>
          <w:color w:val="auto"/>
          <w:sz w:val="24"/>
          <w:highlight w:val="none"/>
        </w:rPr>
        <w:t>”：国企采购项目的采购代理机构为社会中介代理机构。采购代理机构按照与采购人的采购代理合同约定组织采购活动等事宜。</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2.2“</w:t>
      </w:r>
      <w:r>
        <w:rPr>
          <w:rFonts w:hint="eastAsia" w:ascii="仿宋" w:hAnsi="仿宋" w:eastAsia="仿宋" w:cs="仿宋"/>
          <w:b/>
          <w:bCs/>
          <w:color w:val="auto"/>
          <w:sz w:val="24"/>
          <w:highlight w:val="none"/>
        </w:rPr>
        <w:t>采购机构</w:t>
      </w:r>
      <w:r>
        <w:rPr>
          <w:rFonts w:hint="eastAsia" w:ascii="仿宋" w:hAnsi="仿宋" w:eastAsia="仿宋" w:cs="仿宋"/>
          <w:color w:val="auto"/>
          <w:sz w:val="24"/>
          <w:highlight w:val="none"/>
        </w:rPr>
        <w:t>”：采购人及其采购代理机构。</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 “</w:t>
      </w:r>
      <w:r>
        <w:rPr>
          <w:rFonts w:hint="eastAsia" w:ascii="仿宋" w:hAnsi="仿宋" w:eastAsia="仿宋" w:cs="仿宋"/>
          <w:b/>
          <w:bCs/>
          <w:color w:val="auto"/>
          <w:sz w:val="24"/>
          <w:highlight w:val="none"/>
        </w:rPr>
        <w:t>产品</w:t>
      </w:r>
      <w:r>
        <w:rPr>
          <w:rFonts w:hint="eastAsia" w:ascii="仿宋" w:hAnsi="仿宋" w:eastAsia="仿宋" w:cs="仿宋"/>
          <w:color w:val="auto"/>
          <w:sz w:val="24"/>
          <w:highlight w:val="none"/>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2.4 “</w:t>
      </w:r>
      <w:r>
        <w:rPr>
          <w:rFonts w:hint="eastAsia" w:ascii="仿宋" w:hAnsi="仿宋" w:eastAsia="仿宋" w:cs="仿宋"/>
          <w:b/>
          <w:bCs/>
          <w:color w:val="auto"/>
          <w:sz w:val="24"/>
          <w:highlight w:val="none"/>
        </w:rPr>
        <w:t>服务</w:t>
      </w:r>
      <w:r>
        <w:rPr>
          <w:rFonts w:hint="eastAsia" w:ascii="仿宋" w:hAnsi="仿宋" w:eastAsia="仿宋" w:cs="仿宋"/>
          <w:color w:val="auto"/>
          <w:sz w:val="24"/>
          <w:highlight w:val="none"/>
        </w:rPr>
        <w:t>”系指采购文件规定供应商须承担的安装、调试、技术协助、校准、培训、技术指导以及其他类似的义务。</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2.5 “</w:t>
      </w:r>
      <w:r>
        <w:rPr>
          <w:rFonts w:hint="eastAsia" w:ascii="仿宋" w:hAnsi="仿宋" w:eastAsia="仿宋" w:cs="仿宋"/>
          <w:b/>
          <w:bCs/>
          <w:color w:val="auto"/>
          <w:sz w:val="24"/>
          <w:highlight w:val="none"/>
        </w:rPr>
        <w:t>供应商</w:t>
      </w:r>
      <w:r>
        <w:rPr>
          <w:rFonts w:hint="eastAsia" w:ascii="仿宋" w:hAnsi="仿宋" w:eastAsia="仿宋" w:cs="仿宋"/>
          <w:color w:val="auto"/>
          <w:sz w:val="24"/>
          <w:highlight w:val="none"/>
        </w:rPr>
        <w:t>”指已经按采购公告要求报名的投标供应商。“</w:t>
      </w:r>
      <w:r>
        <w:rPr>
          <w:rFonts w:hint="eastAsia" w:ascii="仿宋" w:hAnsi="仿宋" w:eastAsia="仿宋" w:cs="仿宋"/>
          <w:b/>
          <w:bCs/>
          <w:color w:val="auto"/>
          <w:sz w:val="24"/>
          <w:highlight w:val="none"/>
        </w:rPr>
        <w:t>潜在供应商</w:t>
      </w:r>
      <w:r>
        <w:rPr>
          <w:rFonts w:hint="eastAsia" w:ascii="仿宋" w:hAnsi="仿宋" w:eastAsia="仿宋" w:cs="仿宋"/>
          <w:color w:val="auto"/>
          <w:sz w:val="24"/>
          <w:highlight w:val="none"/>
        </w:rPr>
        <w:t>”指未按采购公告要求报名的供应商。</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2.6 “</w:t>
      </w:r>
      <w:r>
        <w:rPr>
          <w:rFonts w:hint="eastAsia" w:ascii="仿宋" w:hAnsi="仿宋" w:eastAsia="仿宋" w:cs="仿宋"/>
          <w:b/>
          <w:bCs/>
          <w:color w:val="auto"/>
          <w:sz w:val="24"/>
          <w:highlight w:val="none"/>
        </w:rPr>
        <w:t>授权代表</w:t>
      </w:r>
      <w:r>
        <w:rPr>
          <w:rFonts w:hint="eastAsia" w:ascii="仿宋" w:hAnsi="仿宋" w:eastAsia="仿宋" w:cs="仿宋"/>
          <w:color w:val="auto"/>
          <w:sz w:val="24"/>
          <w:highlight w:val="none"/>
        </w:rPr>
        <w:t>”即“</w:t>
      </w:r>
      <w:r>
        <w:rPr>
          <w:rFonts w:hint="eastAsia" w:ascii="仿宋" w:hAnsi="仿宋" w:eastAsia="仿宋" w:cs="仿宋"/>
          <w:b/>
          <w:bCs/>
          <w:color w:val="auto"/>
          <w:sz w:val="24"/>
          <w:highlight w:val="none"/>
        </w:rPr>
        <w:t>供应商代表</w:t>
      </w:r>
      <w:r>
        <w:rPr>
          <w:rFonts w:hint="eastAsia" w:ascii="仿宋" w:hAnsi="仿宋" w:eastAsia="仿宋" w:cs="仿宋"/>
          <w:color w:val="auto"/>
          <w:sz w:val="24"/>
          <w:highlight w:val="none"/>
        </w:rPr>
        <w:t>”，指受投标供应商的法定代表人委托，办理本项目投标、质疑投诉、合同签订等整个采购活动的被授权委托人。授权代表应当为投标供应商</w:t>
      </w:r>
      <w:r>
        <w:rPr>
          <w:rFonts w:hint="eastAsia" w:ascii="仿宋" w:hAnsi="仿宋" w:eastAsia="仿宋" w:cs="仿宋"/>
          <w:bCs/>
          <w:color w:val="auto"/>
          <w:sz w:val="24"/>
          <w:highlight w:val="none"/>
        </w:rPr>
        <w:t>（包括授权供应商）的在职职工或退休返聘职工。</w:t>
      </w:r>
      <w:r>
        <w:rPr>
          <w:rFonts w:hint="eastAsia" w:ascii="仿宋" w:hAnsi="仿宋" w:eastAsia="仿宋" w:cs="仿宋"/>
          <w:color w:val="auto"/>
          <w:sz w:val="24"/>
          <w:highlight w:val="none"/>
        </w:rPr>
        <w:t>个体工商户参与投标的，经营者等同于法定代表人。</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2.7“</w:t>
      </w:r>
      <w:r>
        <w:rPr>
          <w:rFonts w:hint="eastAsia" w:ascii="仿宋" w:hAnsi="仿宋" w:eastAsia="仿宋" w:cs="仿宋"/>
          <w:b/>
          <w:bCs/>
          <w:color w:val="auto"/>
          <w:sz w:val="24"/>
          <w:highlight w:val="none"/>
        </w:rPr>
        <w:t>实质性响应条款</w:t>
      </w:r>
      <w:r>
        <w:rPr>
          <w:rFonts w:hint="eastAsia" w:ascii="仿宋" w:hAnsi="仿宋" w:eastAsia="仿宋" w:cs="仿宋"/>
          <w:color w:val="auto"/>
          <w:sz w:val="24"/>
          <w:highlight w:val="none"/>
        </w:rPr>
        <w:t>”：供应商必须响应的条款，未响应的作无效投标处理。在本采购文件中，实质性响应条款前标注“★”符号。</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2.8</w:t>
      </w:r>
      <w:r>
        <w:rPr>
          <w:rFonts w:hint="eastAsia" w:ascii="仿宋" w:hAnsi="仿宋" w:eastAsia="仿宋" w:cs="仿宋"/>
          <w:b/>
          <w:bCs/>
          <w:color w:val="auto"/>
          <w:sz w:val="24"/>
          <w:highlight w:val="none"/>
        </w:rPr>
        <w:t>“公章”</w:t>
      </w:r>
      <w:r>
        <w:rPr>
          <w:rFonts w:hint="eastAsia" w:ascii="仿宋" w:hAnsi="仿宋" w:eastAsia="仿宋" w:cs="仿宋"/>
          <w:color w:val="auto"/>
          <w:sz w:val="24"/>
          <w:highlight w:val="none"/>
        </w:rPr>
        <w:t>指供应商或采购人的</w:t>
      </w:r>
      <w:r>
        <w:rPr>
          <w:rFonts w:hint="eastAsia" w:ascii="仿宋" w:hAnsi="仿宋" w:eastAsia="仿宋" w:cs="仿宋"/>
          <w:b/>
          <w:bCs/>
          <w:color w:val="auto"/>
          <w:sz w:val="24"/>
          <w:highlight w:val="none"/>
          <w:u w:val="single"/>
        </w:rPr>
        <w:t>法定名称章</w:t>
      </w:r>
      <w:r>
        <w:rPr>
          <w:rFonts w:hint="eastAsia" w:ascii="仿宋" w:hAnsi="仿宋" w:eastAsia="仿宋" w:cs="仿宋"/>
          <w:color w:val="auto"/>
          <w:sz w:val="24"/>
          <w:highlight w:val="none"/>
        </w:rPr>
        <w:t>。投标响应文件内供应商盖章处均需盖公章。</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2.9“</w:t>
      </w:r>
      <w:r>
        <w:rPr>
          <w:rFonts w:hint="eastAsia" w:ascii="仿宋" w:hAnsi="仿宋" w:eastAsia="仿宋" w:cs="仿宋"/>
          <w:b/>
          <w:bCs/>
          <w:color w:val="auto"/>
          <w:sz w:val="24"/>
          <w:highlight w:val="none"/>
        </w:rPr>
        <w:t>投标有效期</w:t>
      </w:r>
      <w:r>
        <w:rPr>
          <w:rFonts w:hint="eastAsia" w:ascii="仿宋" w:hAnsi="仿宋" w:eastAsia="仿宋" w:cs="仿宋"/>
          <w:color w:val="auto"/>
          <w:sz w:val="24"/>
          <w:highlight w:val="none"/>
        </w:rPr>
        <w:t>”指采购文件中规定的一个适当时间，投标有效期内需完成开评标以及与中标人签订合同等事宜。</w:t>
      </w:r>
    </w:p>
    <w:p>
      <w:pPr>
        <w:snapToGrid w:val="0"/>
        <w:spacing w:line="44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3、本项目执行的采购政策性规定</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3.1采购本国产品</w:t>
      </w:r>
    </w:p>
    <w:p>
      <w:pPr>
        <w:snapToGrid w:val="0"/>
        <w:spacing w:line="44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一般不采购进口产品，确需采购的，不得限制潜在国产的同类产品参与投标，即“进口”不得作为实质性响应条件。</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3.2扶持中小企业</w:t>
      </w:r>
    </w:p>
    <w:p>
      <w:pPr>
        <w:snapToGrid w:val="0"/>
        <w:spacing w:line="420" w:lineRule="exact"/>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非专门面向中小企业的采购项目，对产品制造商全部符合《政府采购促进中小企业发展管理办法》（</w:t>
      </w:r>
      <w:r>
        <w:rPr>
          <w:rFonts w:hint="eastAsia" w:ascii="仿宋" w:hAnsi="仿宋" w:eastAsia="仿宋" w:cs="仿宋"/>
          <w:color w:val="auto"/>
          <w:sz w:val="24"/>
          <w:szCs w:val="24"/>
          <w:highlight w:val="none"/>
          <w:shd w:val="clear" w:color="auto" w:fill="FFFFFF"/>
        </w:rPr>
        <w:t>财库〔2020〕46号</w:t>
      </w:r>
      <w:r>
        <w:rPr>
          <w:rFonts w:hint="eastAsia" w:ascii="仿宋" w:hAnsi="仿宋" w:eastAsia="仿宋" w:cs="仿宋"/>
          <w:color w:val="auto"/>
          <w:sz w:val="24"/>
          <w:highlight w:val="none"/>
        </w:rPr>
        <w:t>）第二条规定的小型和微型企业的投标价格</w:t>
      </w:r>
      <w:r>
        <w:rPr>
          <w:rFonts w:hint="eastAsia" w:ascii="仿宋" w:hAnsi="仿宋" w:eastAsia="仿宋" w:cs="仿宋"/>
          <w:b/>
          <w:bCs/>
          <w:color w:val="auto"/>
          <w:sz w:val="24"/>
          <w:highlight w:val="none"/>
        </w:rPr>
        <w:t>给予10 %的扣除（工程项目为5%）</w:t>
      </w:r>
      <w:r>
        <w:rPr>
          <w:rFonts w:hint="eastAsia" w:ascii="仿宋" w:hAnsi="仿宋" w:eastAsia="仿宋" w:cs="仿宋"/>
          <w:color w:val="auto"/>
          <w:sz w:val="24"/>
          <w:highlight w:val="none"/>
        </w:rPr>
        <w:t>，用扣除后的价格参与评审（不作为合同签订依据）。服务类项目则投标供应商为小型、微型企业即可享受评审价格折扣。</w:t>
      </w:r>
    </w:p>
    <w:p>
      <w:pPr>
        <w:snapToGrid w:val="0"/>
        <w:spacing w:line="420" w:lineRule="exact"/>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中小微型企业按照采购文件的格式要求提供《中小企业声明函》。</w:t>
      </w:r>
    </w:p>
    <w:p>
      <w:pPr>
        <w:snapToGrid w:val="0"/>
        <w:spacing w:line="420" w:lineRule="exact"/>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符合《关于促进残疾人就业政府采购政策的通知》（财库〔2017〕141号）规定的条件并按照采购文件的格式要求提供《残疾人福利性单位声明函》的残疾人福利性单位视同小型、微型企业。《残疾人福利性单位声明函》需与中标公告同时发布，接受社会监督，如供应商提供的《残疾人福利性单位声明函》与事实不符的，中标结果无效，且依照《政府采购法》第七十七条第一款的规定追究法律责任。</w:t>
      </w:r>
    </w:p>
    <w:p>
      <w:pPr>
        <w:snapToGrid w:val="0"/>
        <w:spacing w:line="420" w:lineRule="exact"/>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供应商提供由省级以上监狱管理局、戒毒管理局（含新疆生产建设兵团）出具的属于监狱企业的证明文件（格式自拟），视同为小型和微型企业。</w:t>
      </w:r>
    </w:p>
    <w:p>
      <w:pPr>
        <w:snapToGrid w:val="0"/>
        <w:spacing w:line="420" w:lineRule="exact"/>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接受大中型企业与小微企业组成联合体或者允许大中型企业向一家或者多家小微企业分包的采购项目，对于联合体协议或者分包意向协议约定小微企业的合同份额占到合同总金额 30%以上的，对联合体或者大中型企业的报价给予3%的扣除，用扣除后的价格参加评审。联合体各方均为小型、微型企业的，联合体视同为小型、微型企业。组成联合体或者接受分包的小微企业与联合体内其他企业、分包企业之间存在直接控股、管理关系的，不享受价格扣除优惠政策。</w:t>
      </w:r>
    </w:p>
    <w:p>
      <w:pPr>
        <w:snapToGrid w:val="0"/>
        <w:spacing w:line="44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4.采购文件的澄清与修改</w:t>
      </w:r>
    </w:p>
    <w:p>
      <w:pPr>
        <w:pStyle w:val="9"/>
        <w:widowControl w:val="0"/>
        <w:numPr>
          <w:ilvl w:val="0"/>
          <w:numId w:val="0"/>
        </w:numPr>
        <w:spacing w:after="0" w:afterLines="0" w:line="440" w:lineRule="exact"/>
        <w:rPr>
          <w:rFonts w:hint="eastAsia" w:ascii="仿宋" w:hAnsi="仿宋" w:eastAsia="仿宋" w:cs="仿宋"/>
          <w:color w:val="auto"/>
          <w:highlight w:val="none"/>
        </w:rPr>
      </w:pPr>
      <w:r>
        <w:rPr>
          <w:rFonts w:hint="eastAsia" w:ascii="仿宋" w:hAnsi="仿宋" w:eastAsia="仿宋" w:cs="仿宋"/>
          <w:color w:val="auto"/>
          <w:highlight w:val="none"/>
        </w:rPr>
        <w:t>4.1采购人如对采购文件进行澄清、补充、变更的，或者在投标截止时间前规定时间内，招标人需要对采购文件进行补充或修改的，采购人将会通过</w:t>
      </w:r>
      <w:r>
        <w:rPr>
          <w:rFonts w:hint="eastAsia" w:ascii="仿宋" w:hAnsi="仿宋" w:eastAsia="仿宋" w:cs="仿宋"/>
          <w:color w:val="auto"/>
          <w:spacing w:val="-4"/>
          <w:highlight w:val="none"/>
        </w:rPr>
        <w:t>浙江政府采购网http://zfcg.czt.zj.gov.cn/ 和绍兴市越城区人民政府网站公共资源交易板块http://www.sxyc.gov.cn/col/col1559777/index.html</w:t>
      </w:r>
      <w:r>
        <w:rPr>
          <w:rFonts w:hint="eastAsia" w:ascii="仿宋" w:hAnsi="仿宋" w:eastAsia="仿宋" w:cs="仿宋"/>
          <w:color w:val="auto"/>
          <w:highlight w:val="none"/>
        </w:rPr>
        <w:t>以更正公告的形式发布，公告中没有注明更改投标截止时间的视为截止时间不变。更正公告作为采购文件的补充和组成部分，对所有供应商均有约束力。</w:t>
      </w:r>
      <w:r>
        <w:rPr>
          <w:rFonts w:hint="eastAsia" w:ascii="仿宋" w:hAnsi="仿宋" w:eastAsia="仿宋" w:cs="仿宋"/>
          <w:bCs/>
          <w:color w:val="auto"/>
          <w:highlight w:val="none"/>
        </w:rPr>
        <w:t>请自行登录区交易平台或在浙江政府采购网更正公告页面或越城区人民政府门户网站采购公告页面中下载。</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4.2为使供应商有足够的时间按修改文件要求修正投标文件，招标人可酌情推迟投标截止时间和开标时间，并将此变更以更正公告的形式通过上述途径通知供应商。</w:t>
      </w:r>
    </w:p>
    <w:p>
      <w:pPr>
        <w:snapToGrid w:val="0"/>
        <w:spacing w:line="44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5、参考品牌</w:t>
      </w:r>
    </w:p>
    <w:p>
      <w:pPr>
        <w:snapToGrid w:val="0"/>
        <w:spacing w:line="44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采购文件如涉及各类品牌、型号，则所述品牌、型号是结合实际现有情况的推荐性参考方案，供应商也可根据采购文件得要求推荐性能相当或高于、服务条款相等或高于、符合采购人实际业务需求其他同档次优质品牌的产品，进行方案优化。</w:t>
      </w:r>
    </w:p>
    <w:p>
      <w:pPr>
        <w:pStyle w:val="5"/>
        <w:rPr>
          <w:rFonts w:hint="eastAsia" w:ascii="仿宋" w:hAnsi="仿宋" w:eastAsia="仿宋" w:cs="仿宋"/>
          <w:color w:val="auto"/>
          <w:highlight w:val="none"/>
        </w:rPr>
      </w:pPr>
      <w:bookmarkStart w:id="6" w:name="_Toc643610529"/>
      <w:r>
        <w:rPr>
          <w:rFonts w:hint="eastAsia" w:ascii="仿宋" w:hAnsi="仿宋" w:eastAsia="仿宋" w:cs="仿宋"/>
          <w:color w:val="auto"/>
          <w:highlight w:val="none"/>
        </w:rPr>
        <w:t>三、投标文件</w:t>
      </w:r>
      <w:bookmarkEnd w:id="6"/>
    </w:p>
    <w:p>
      <w:pPr>
        <w:numPr>
          <w:ilvl w:val="0"/>
          <w:numId w:val="4"/>
        </w:numPr>
        <w:snapToGrid w:val="0"/>
        <w:spacing w:line="44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投标文件的语言及货币单位</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1.1投标文件以及有关投标事宜的所有来往函电均应以中文书写，专业术语和外文证明材料除外。</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1.2投标文件以人民币元报价或以下浮率（优惠率）报价，具体详见《开标一览表》。</w:t>
      </w:r>
    </w:p>
    <w:p>
      <w:pPr>
        <w:numPr>
          <w:ilvl w:val="0"/>
          <w:numId w:val="4"/>
        </w:numPr>
        <w:snapToGrid w:val="0"/>
        <w:spacing w:line="44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投标文件的组成</w:t>
      </w:r>
    </w:p>
    <w:p>
      <w:pPr>
        <w:snapToGrid w:val="0"/>
        <w:spacing w:line="440" w:lineRule="exact"/>
        <w:ind w:firstLine="479"/>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本项目投标文件由“资格条件”、“商务和技术文件”、“报价文件”三部分组成：</w:t>
      </w:r>
    </w:p>
    <w:p>
      <w:pPr>
        <w:snapToGrid w:val="0"/>
        <w:spacing w:line="44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2.1“资格文件”包括以下内容：</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2.1.1投标声明函；</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2.1.2联合体协议书（如有）；</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2.1.3法定代表人授权委托书（法定代表人可以不授权他人参与投标，若授权的，需附上</w:t>
      </w:r>
      <w:r>
        <w:rPr>
          <w:rFonts w:hint="eastAsia" w:ascii="仿宋" w:hAnsi="仿宋" w:eastAsia="仿宋" w:cs="仿宋"/>
          <w:bCs/>
          <w:color w:val="auto"/>
          <w:sz w:val="24"/>
          <w:highlight w:val="none"/>
        </w:rPr>
        <w:t>由社保机构出具的该授权代表的社保证明</w:t>
      </w:r>
      <w:r>
        <w:rPr>
          <w:rFonts w:hint="eastAsia" w:ascii="仿宋" w:hAnsi="仿宋" w:eastAsia="仿宋" w:cs="仿宋"/>
          <w:color w:val="auto"/>
          <w:sz w:val="24"/>
          <w:highlight w:val="none"/>
        </w:rPr>
        <w:t>，格式见第六章。个体工商户需经营者参与投标，不得授权）</w:t>
      </w:r>
      <w:r>
        <w:rPr>
          <w:rFonts w:hint="eastAsia" w:ascii="仿宋" w:hAnsi="仿宋" w:eastAsia="仿宋" w:cs="仿宋"/>
          <w:bCs/>
          <w:color w:val="auto"/>
          <w:sz w:val="24"/>
          <w:highlight w:val="none"/>
        </w:rPr>
        <w:t>；</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2.1.4法定代表人及其授权代表的身份证（复印件）；</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bCs/>
          <w:color w:val="auto"/>
          <w:sz w:val="24"/>
          <w:highlight w:val="none"/>
        </w:rPr>
        <w:t>2.1.5 授权代表社保证明</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2.1.6 资格条件证明材料（复印件或打印件）：</w:t>
      </w:r>
    </w:p>
    <w:p>
      <w:pPr>
        <w:snapToGrid w:val="0"/>
        <w:spacing w:line="440" w:lineRule="exact"/>
        <w:ind w:firstLine="600" w:firstLineChars="2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2.1.6.1营业执照或事业单位法人登记证书；</w:t>
      </w:r>
    </w:p>
    <w:p>
      <w:pPr>
        <w:snapToGrid w:val="0"/>
        <w:spacing w:line="440" w:lineRule="exact"/>
        <w:ind w:firstLine="600" w:firstLineChars="2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2.1.6.2最近一期财务状况报告；</w:t>
      </w:r>
    </w:p>
    <w:p>
      <w:pPr>
        <w:snapToGrid w:val="0"/>
        <w:spacing w:line="440" w:lineRule="exact"/>
        <w:ind w:firstLine="600" w:firstLineChars="2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2.1.6.3依法缴纳税收材料（完税凭证或税务部门出具的证明）；</w:t>
      </w:r>
    </w:p>
    <w:p>
      <w:pPr>
        <w:snapToGrid w:val="0"/>
        <w:spacing w:line="440" w:lineRule="exact"/>
        <w:ind w:firstLine="600" w:firstLineChars="2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2.1.6.4依法缴纳社会保障资金材料（缴纳凭证或人社部门出具的证明）；</w:t>
      </w:r>
    </w:p>
    <w:p>
      <w:pPr>
        <w:snapToGrid w:val="0"/>
        <w:spacing w:line="440" w:lineRule="exact"/>
        <w:ind w:firstLine="600" w:firstLineChars="2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2.1.6.5特定资格条件证明材料（如有）。</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仿宋" w:hAnsi="仿宋" w:eastAsia="仿宋" w:cs="仿宋"/>
          <w:b/>
          <w:bCs/>
          <w:color w:val="auto"/>
          <w:sz w:val="32"/>
          <w:szCs w:val="32"/>
          <w:highlight w:val="none"/>
          <w:u w:val="single"/>
          <w:shd w:val="clear" w:color="auto" w:fill="auto"/>
        </w:rPr>
      </w:pPr>
      <w:r>
        <w:rPr>
          <w:rFonts w:hint="eastAsia" w:ascii="仿宋" w:hAnsi="仿宋" w:eastAsia="仿宋" w:cs="仿宋"/>
          <w:b/>
          <w:bCs/>
          <w:color w:val="auto"/>
          <w:sz w:val="32"/>
          <w:szCs w:val="32"/>
          <w:highlight w:val="none"/>
          <w:u w:val="single"/>
          <w:shd w:val="clear" w:color="auto" w:fill="auto"/>
        </w:rPr>
        <w:t>注：“资格文件”需按采购文件要求的内容制作，复印件需加盖供应商公章。未按第六章附件的要求签字、盖章或内容实质性偏离的，资格审查不通过。</w:t>
      </w:r>
    </w:p>
    <w:p>
      <w:pPr>
        <w:snapToGrid w:val="0"/>
        <w:spacing w:line="44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2.2“商务和技术文件”包括以下内容：</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2.2.1评分对应表；</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2.2.2项目明细清单；</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2.2.3技术响应表（供应商在技术响应表中，</w:t>
      </w:r>
      <w:r>
        <w:rPr>
          <w:rFonts w:hint="eastAsia" w:ascii="仿宋" w:hAnsi="仿宋" w:eastAsia="仿宋" w:cs="仿宋"/>
          <w:color w:val="auto"/>
          <w:kern w:val="0"/>
          <w:sz w:val="24"/>
          <w:highlight w:val="none"/>
          <w:lang w:val="zh-CN"/>
        </w:rPr>
        <w:t>应对</w:t>
      </w:r>
      <w:r>
        <w:rPr>
          <w:rFonts w:hint="eastAsia" w:ascii="仿宋" w:hAnsi="仿宋" w:eastAsia="仿宋" w:cs="仿宋"/>
          <w:color w:val="auto"/>
          <w:sz w:val="24"/>
          <w:highlight w:val="none"/>
        </w:rPr>
        <w:t>采购需求中的各项技术规范</w:t>
      </w:r>
      <w:r>
        <w:rPr>
          <w:rFonts w:hint="eastAsia" w:ascii="仿宋" w:hAnsi="仿宋" w:eastAsia="仿宋" w:cs="仿宋"/>
          <w:color w:val="auto"/>
          <w:kern w:val="0"/>
          <w:sz w:val="24"/>
          <w:highlight w:val="none"/>
          <w:lang w:val="zh-CN"/>
        </w:rPr>
        <w:t>要求进行答复、说明和解释，正偏离的需详细说明缘由。如果供应商在技术响应表中注明无偏离或正偏离，评标结束后、签订采购合同前又认为其实际产品与投标技术需求不一致的，视为供应商在投标有效期内对其投标文件进行了实质性修改，其投标将被追认为无效，采购机构将把这一情况报送采购监管部门。</w:t>
      </w:r>
      <w:r>
        <w:rPr>
          <w:rFonts w:hint="eastAsia" w:ascii="仿宋" w:hAnsi="仿宋" w:eastAsia="仿宋" w:cs="仿宋"/>
          <w:color w:val="auto"/>
          <w:sz w:val="24"/>
          <w:highlight w:val="none"/>
        </w:rPr>
        <w:t>）；</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2.2.4商务响应表（需对采购文件中付款方式、供货期限等商务要求进行逐一答复、说明和解释，</w:t>
      </w:r>
      <w:r>
        <w:rPr>
          <w:rFonts w:hint="eastAsia" w:ascii="仿宋" w:hAnsi="仿宋" w:eastAsia="仿宋" w:cs="仿宋"/>
          <w:color w:val="auto"/>
          <w:kern w:val="0"/>
          <w:sz w:val="24"/>
          <w:highlight w:val="none"/>
          <w:lang w:val="zh-CN"/>
        </w:rPr>
        <w:t>正偏离的需详细说明）；</w:t>
      </w:r>
    </w:p>
    <w:p>
      <w:pPr>
        <w:tabs>
          <w:tab w:val="left" w:pos="3870"/>
          <w:tab w:val="left" w:pos="4085"/>
        </w:tabs>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2.2.5项目实施方案；</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2.2.6项目实施人员清单；</w:t>
      </w:r>
    </w:p>
    <w:p>
      <w:pPr>
        <w:pStyle w:val="48"/>
        <w:spacing w:line="360" w:lineRule="auto"/>
        <w:ind w:firstLine="0" w:firstLineChars="0"/>
        <w:jc w:val="left"/>
        <w:rPr>
          <w:rFonts w:hint="eastAsia" w:ascii="仿宋" w:hAnsi="仿宋" w:eastAsia="仿宋" w:cs="仿宋"/>
          <w:color w:val="auto"/>
          <w:szCs w:val="20"/>
          <w:highlight w:val="none"/>
        </w:rPr>
      </w:pPr>
      <w:r>
        <w:rPr>
          <w:rFonts w:hint="eastAsia" w:ascii="仿宋" w:hAnsi="仿宋" w:eastAsia="仿宋" w:cs="仿宋"/>
          <w:color w:val="auto"/>
          <w:szCs w:val="20"/>
          <w:highlight w:val="none"/>
          <w:lang w:val="zh-CN"/>
        </w:rPr>
        <w:t>2.2.7备品备件及供选择的配套零部件清单（格式自拟）；</w:t>
      </w:r>
    </w:p>
    <w:p>
      <w:pPr>
        <w:pStyle w:val="48"/>
        <w:spacing w:line="360" w:lineRule="auto"/>
        <w:ind w:firstLine="0" w:firstLineChars="0"/>
        <w:jc w:val="left"/>
        <w:rPr>
          <w:rFonts w:hint="eastAsia" w:ascii="仿宋" w:hAnsi="仿宋" w:eastAsia="仿宋" w:cs="仿宋"/>
          <w:color w:val="auto"/>
          <w:szCs w:val="20"/>
          <w:highlight w:val="none"/>
        </w:rPr>
      </w:pPr>
      <w:r>
        <w:rPr>
          <w:rFonts w:hint="eastAsia" w:ascii="仿宋" w:hAnsi="仿宋" w:eastAsia="仿宋" w:cs="仿宋"/>
          <w:color w:val="auto"/>
          <w:szCs w:val="20"/>
          <w:highlight w:val="none"/>
          <w:lang w:val="zh-CN"/>
        </w:rPr>
        <w:t>2.2.8消耗品、维修零配件及其价格清单；</w:t>
      </w:r>
    </w:p>
    <w:p>
      <w:pPr>
        <w:pStyle w:val="48"/>
        <w:spacing w:line="360" w:lineRule="auto"/>
        <w:ind w:firstLine="0" w:firstLineChars="0"/>
        <w:jc w:val="left"/>
        <w:rPr>
          <w:rFonts w:hint="eastAsia" w:ascii="仿宋" w:hAnsi="仿宋" w:eastAsia="仿宋" w:cs="仿宋"/>
          <w:color w:val="auto"/>
          <w:szCs w:val="20"/>
          <w:highlight w:val="none"/>
        </w:rPr>
      </w:pPr>
      <w:r>
        <w:rPr>
          <w:rFonts w:hint="eastAsia" w:ascii="仿宋" w:hAnsi="仿宋" w:eastAsia="仿宋" w:cs="仿宋"/>
          <w:color w:val="auto"/>
          <w:szCs w:val="20"/>
          <w:highlight w:val="none"/>
        </w:rPr>
        <w:t>2.2.9类似业绩一览表（附业绩证明材料）（如有）；</w:t>
      </w:r>
    </w:p>
    <w:p>
      <w:pPr>
        <w:pStyle w:val="48"/>
        <w:spacing w:line="360" w:lineRule="auto"/>
        <w:ind w:firstLine="0" w:firstLineChars="0"/>
        <w:jc w:val="left"/>
        <w:rPr>
          <w:rFonts w:hint="eastAsia" w:ascii="仿宋" w:hAnsi="仿宋" w:eastAsia="仿宋" w:cs="仿宋"/>
          <w:color w:val="auto"/>
          <w:szCs w:val="20"/>
          <w:highlight w:val="none"/>
        </w:rPr>
      </w:pPr>
      <w:r>
        <w:rPr>
          <w:rFonts w:hint="eastAsia" w:ascii="仿宋" w:hAnsi="仿宋" w:eastAsia="仿宋" w:cs="仿宋"/>
          <w:color w:val="auto"/>
          <w:szCs w:val="20"/>
          <w:highlight w:val="none"/>
          <w:lang w:val="zh-CN"/>
        </w:rPr>
        <w:t>2.2.10优惠条件及其他额外承诺；</w:t>
      </w:r>
    </w:p>
    <w:p>
      <w:pPr>
        <w:snapToGrid w:val="0"/>
        <w:spacing w:line="440" w:lineRule="exact"/>
        <w:jc w:val="left"/>
        <w:rPr>
          <w:rFonts w:hint="eastAsia" w:ascii="仿宋" w:hAnsi="仿宋" w:eastAsia="仿宋" w:cs="仿宋"/>
          <w:b/>
          <w:bCs/>
          <w:color w:val="auto"/>
          <w:kern w:val="0"/>
          <w:sz w:val="24"/>
          <w:highlight w:val="none"/>
          <w:lang w:val="zh-CN"/>
        </w:rPr>
      </w:pPr>
      <w:r>
        <w:rPr>
          <w:rFonts w:hint="eastAsia" w:ascii="仿宋" w:hAnsi="仿宋" w:eastAsia="仿宋" w:cs="仿宋"/>
          <w:b/>
          <w:bCs/>
          <w:color w:val="auto"/>
          <w:kern w:val="0"/>
          <w:sz w:val="24"/>
          <w:highlight w:val="none"/>
          <w:lang w:val="zh-CN"/>
        </w:rPr>
        <w:t>2.2.11按评分细则中要求提供的其他资料（重要）；</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2.2.12其他供应商认为需要提供的材料，如供应商简介等，格式自拟。</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b/>
          <w:bCs/>
          <w:color w:val="auto"/>
          <w:sz w:val="32"/>
          <w:szCs w:val="32"/>
          <w:highlight w:val="none"/>
          <w:u w:val="single"/>
        </w:rPr>
        <w:t>注：“商务和技术文件”可在上述内容格式的基础上适当调整，以使内容更加完备。盖章、签署等要求按采购文件第六章和标段内的规定执行。</w:t>
      </w:r>
    </w:p>
    <w:p>
      <w:pPr>
        <w:snapToGrid w:val="0"/>
        <w:spacing w:line="44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2.3“报价文件”包括以下内容：</w:t>
      </w:r>
    </w:p>
    <w:p>
      <w:pPr>
        <w:tabs>
          <w:tab w:val="left" w:pos="3870"/>
          <w:tab w:val="left" w:pos="4085"/>
        </w:tabs>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2.3.1开标一览表；</w:t>
      </w:r>
    </w:p>
    <w:p>
      <w:pPr>
        <w:widowControl/>
        <w:snapToGrid w:val="0"/>
        <w:spacing w:line="440" w:lineRule="exact"/>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2.3.2明细报价表</w:t>
      </w:r>
      <w:r>
        <w:rPr>
          <w:rFonts w:hint="eastAsia" w:ascii="仿宋" w:hAnsi="仿宋" w:eastAsia="仿宋" w:cs="仿宋"/>
          <w:color w:val="auto"/>
          <w:sz w:val="24"/>
          <w:highlight w:val="none"/>
          <w:lang w:eastAsia="zh-CN"/>
        </w:rPr>
        <w:t>；</w:t>
      </w:r>
    </w:p>
    <w:p>
      <w:pPr>
        <w:widowControl/>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2.3.3</w:t>
      </w:r>
      <w:r>
        <w:rPr>
          <w:rFonts w:hint="eastAsia" w:ascii="仿宋" w:hAnsi="仿宋" w:eastAsia="仿宋" w:cs="仿宋"/>
          <w:color w:val="auto"/>
          <w:sz w:val="24"/>
          <w:highlight w:val="none"/>
        </w:rPr>
        <w:t>中小企业声明函（如有，附证明材料）；</w:t>
      </w:r>
    </w:p>
    <w:p>
      <w:pPr>
        <w:widowControl/>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残疾人福利性单位声明函（如有）；</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关于报价的其他说明（如有，格式自拟）。</w:t>
      </w:r>
    </w:p>
    <w:p>
      <w:pPr>
        <w:snapToGrid w:val="0"/>
        <w:spacing w:line="440" w:lineRule="exact"/>
        <w:jc w:val="left"/>
        <w:rPr>
          <w:rFonts w:hint="eastAsia" w:ascii="仿宋" w:hAnsi="仿宋" w:eastAsia="仿宋" w:cs="仿宋"/>
          <w:b/>
          <w:bCs/>
          <w:color w:val="auto"/>
          <w:sz w:val="32"/>
          <w:szCs w:val="32"/>
          <w:highlight w:val="none"/>
          <w:u w:val="single"/>
          <w:shd w:val="clear" w:color="auto" w:fill="auto"/>
        </w:rPr>
      </w:pPr>
      <w:r>
        <w:rPr>
          <w:rFonts w:hint="eastAsia" w:ascii="仿宋" w:hAnsi="仿宋" w:eastAsia="仿宋" w:cs="仿宋"/>
          <w:b/>
          <w:bCs/>
          <w:color w:val="auto"/>
          <w:sz w:val="32"/>
          <w:szCs w:val="32"/>
          <w:highlight w:val="none"/>
          <w:u w:val="single"/>
          <w:shd w:val="clear" w:color="auto" w:fill="auto"/>
        </w:rPr>
        <w:t>注：“报价文件”按采购文件第六章规定的内容填写，内容有实质性偏离的作无效投标处理。</w:t>
      </w:r>
    </w:p>
    <w:p>
      <w:pPr>
        <w:numPr>
          <w:ilvl w:val="0"/>
          <w:numId w:val="4"/>
        </w:numPr>
        <w:snapToGrid w:val="0"/>
        <w:spacing w:line="44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投标文件的制作要求</w:t>
      </w:r>
    </w:p>
    <w:p>
      <w:pPr>
        <w:widowControl/>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3.1封包要求：“资格文件”“商务和技术文件”和“报价文件”需装订成册，分三部分分别密封封装。封装表面至少标注项目名称、项目编号、投标人名称、标段编号并加盖供应商公章，若要修改须在修改处加盖单位公章或其授权代表签字或盖章。未按照采购文件规定制作、密封封装的投标文件可不予接收。</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3.2签署要求：按采购文件第六章“投标文件格式附件”各表单要求签署。</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3.3制作要求：建议采用A4幅面，编制页码，制作目录，提倡双面打印。</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注意：联合体投标的，除联合体协议外，均只需联合体牵头人盖章；签字处只需联合体牵头人法定代表人或授权代表签字。</w:t>
      </w:r>
    </w:p>
    <w:p>
      <w:pPr>
        <w:widowControl/>
        <w:snapToGrid w:val="0"/>
        <w:spacing w:line="440" w:lineRule="exact"/>
        <w:rPr>
          <w:rFonts w:hint="eastAsia" w:ascii="仿宋" w:hAnsi="仿宋" w:eastAsia="仿宋" w:cs="仿宋"/>
          <w:b/>
          <w:color w:val="auto"/>
          <w:kern w:val="0"/>
          <w:sz w:val="24"/>
          <w:highlight w:val="none"/>
        </w:rPr>
      </w:pPr>
      <w:r>
        <w:rPr>
          <w:rFonts w:hint="eastAsia" w:ascii="仿宋" w:hAnsi="仿宋" w:eastAsia="仿宋" w:cs="仿宋"/>
          <w:b/>
          <w:color w:val="auto"/>
          <w:sz w:val="24"/>
          <w:highlight w:val="none"/>
        </w:rPr>
        <w:t>4．</w:t>
      </w:r>
      <w:r>
        <w:rPr>
          <w:rFonts w:hint="eastAsia" w:ascii="仿宋" w:hAnsi="仿宋" w:eastAsia="仿宋" w:cs="仿宋"/>
          <w:b/>
          <w:color w:val="auto"/>
          <w:kern w:val="0"/>
          <w:sz w:val="24"/>
          <w:highlight w:val="none"/>
        </w:rPr>
        <w:t>投标文件的补充和修改</w:t>
      </w:r>
    </w:p>
    <w:p>
      <w:pPr>
        <w:widowControl/>
        <w:snapToGrid w:val="0"/>
        <w:spacing w:line="440" w:lineRule="exact"/>
        <w:ind w:firstLine="482" w:firstLineChars="200"/>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投标截止时间前</w:t>
      </w:r>
      <w:r>
        <w:rPr>
          <w:rFonts w:hint="eastAsia" w:ascii="仿宋" w:hAnsi="仿宋" w:eastAsia="仿宋" w:cs="仿宋"/>
          <w:color w:val="auto"/>
          <w:kern w:val="0"/>
          <w:sz w:val="24"/>
          <w:highlight w:val="none"/>
        </w:rPr>
        <w:t>，供应商可以以书面形式提出对投标文件进行补充和修改，相应部分以最后的补充和修改为准。若修改和补充为书面材料的应当密封，</w:t>
      </w:r>
      <w:r>
        <w:rPr>
          <w:rFonts w:hint="eastAsia" w:ascii="仿宋" w:hAnsi="仿宋" w:eastAsia="仿宋" w:cs="仿宋"/>
          <w:color w:val="auto"/>
          <w:sz w:val="24"/>
          <w:highlight w:val="none"/>
        </w:rPr>
        <w:t>并明确注明“资格文件（或</w:t>
      </w:r>
      <w:r>
        <w:rPr>
          <w:rFonts w:hint="eastAsia" w:ascii="仿宋" w:hAnsi="仿宋" w:eastAsia="仿宋" w:cs="仿宋"/>
          <w:color w:val="auto"/>
          <w:kern w:val="0"/>
          <w:sz w:val="24"/>
          <w:highlight w:val="none"/>
        </w:rPr>
        <w:t>商务和技术文件或报价文件）修改（或补充）材料、项目名称或项目（标段）编号、供应商名称</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rPr>
        <w:t>字样</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rPr>
        <w:t>同时由</w:t>
      </w:r>
      <w:r>
        <w:rPr>
          <w:rFonts w:hint="eastAsia" w:ascii="仿宋" w:hAnsi="仿宋" w:eastAsia="仿宋" w:cs="仿宋"/>
          <w:color w:val="auto"/>
          <w:sz w:val="24"/>
          <w:highlight w:val="none"/>
        </w:rPr>
        <w:t>法定代表人或其授权代表签字或盖章</w:t>
      </w:r>
      <w:r>
        <w:rPr>
          <w:rFonts w:hint="eastAsia" w:ascii="仿宋" w:hAnsi="仿宋" w:eastAsia="仿宋" w:cs="仿宋"/>
          <w:color w:val="auto"/>
          <w:kern w:val="0"/>
          <w:sz w:val="24"/>
          <w:highlight w:val="none"/>
        </w:rPr>
        <w:t>。未按上述规则制作的补充和修改材料将被拒收。</w:t>
      </w:r>
    </w:p>
    <w:p>
      <w:pPr>
        <w:pStyle w:val="9"/>
        <w:numPr>
          <w:ilvl w:val="0"/>
          <w:numId w:val="0"/>
        </w:numPr>
        <w:spacing w:after="0" w:afterLines="0" w:line="440" w:lineRule="atLeast"/>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5.投标文件的有效期</w:t>
      </w:r>
    </w:p>
    <w:p>
      <w:pPr>
        <w:pStyle w:val="9"/>
        <w:numPr>
          <w:ilvl w:val="0"/>
          <w:numId w:val="0"/>
        </w:numPr>
        <w:spacing w:after="0" w:afterLines="0" w:line="440" w:lineRule="atLeast"/>
        <w:rPr>
          <w:rFonts w:hint="eastAsia" w:ascii="仿宋" w:hAnsi="仿宋" w:eastAsia="仿宋" w:cs="仿宋"/>
          <w:color w:val="auto"/>
          <w:szCs w:val="24"/>
          <w:highlight w:val="none"/>
        </w:rPr>
      </w:pPr>
      <w:r>
        <w:rPr>
          <w:rFonts w:hint="eastAsia" w:ascii="仿宋" w:hAnsi="仿宋" w:eastAsia="仿宋" w:cs="仿宋"/>
          <w:color w:val="auto"/>
          <w:szCs w:val="24"/>
          <w:highlight w:val="none"/>
        </w:rPr>
        <w:t>5.1</w:t>
      </w:r>
      <w:r>
        <w:rPr>
          <w:rFonts w:hint="eastAsia" w:ascii="仿宋" w:hAnsi="仿宋" w:eastAsia="仿宋" w:cs="仿宋"/>
          <w:color w:val="auto"/>
          <w:highlight w:val="none"/>
        </w:rPr>
        <w:t>投标文件有效期详见前附表。投标有效期内，供应商不得撤销或更换投标文件。</w:t>
      </w:r>
    </w:p>
    <w:p>
      <w:pPr>
        <w:pStyle w:val="9"/>
        <w:numPr>
          <w:ilvl w:val="0"/>
          <w:numId w:val="0"/>
        </w:numPr>
        <w:spacing w:after="0" w:afterLines="0" w:line="440" w:lineRule="atLeast"/>
        <w:rPr>
          <w:rFonts w:hint="eastAsia" w:ascii="仿宋" w:hAnsi="仿宋" w:eastAsia="仿宋" w:cs="仿宋"/>
          <w:color w:val="auto"/>
          <w:szCs w:val="24"/>
          <w:highlight w:val="none"/>
        </w:rPr>
      </w:pPr>
      <w:r>
        <w:rPr>
          <w:rFonts w:hint="eastAsia" w:ascii="仿宋" w:hAnsi="仿宋" w:eastAsia="仿宋" w:cs="仿宋"/>
          <w:color w:val="auto"/>
          <w:szCs w:val="24"/>
          <w:highlight w:val="none"/>
        </w:rPr>
        <w:t>5.2投标有效期内未完成开评标及与中标人签订合同的，采购人需与供应商书面协商延长投标书的有效期。</w:t>
      </w:r>
    </w:p>
    <w:p>
      <w:pPr>
        <w:pStyle w:val="9"/>
        <w:numPr>
          <w:ilvl w:val="0"/>
          <w:numId w:val="0"/>
        </w:numPr>
        <w:spacing w:after="0" w:afterLines="0" w:line="440" w:lineRule="atLeast"/>
        <w:rPr>
          <w:rFonts w:hint="eastAsia" w:ascii="仿宋" w:hAnsi="仿宋" w:eastAsia="仿宋" w:cs="仿宋"/>
          <w:color w:val="auto"/>
          <w:szCs w:val="24"/>
          <w:highlight w:val="none"/>
        </w:rPr>
      </w:pPr>
      <w:r>
        <w:rPr>
          <w:rFonts w:hint="eastAsia" w:ascii="仿宋" w:hAnsi="仿宋" w:eastAsia="仿宋" w:cs="仿宋"/>
          <w:color w:val="auto"/>
          <w:szCs w:val="24"/>
          <w:highlight w:val="none"/>
        </w:rPr>
        <w:t>5.3供应商可拒绝接受延期要求。同意延长有效期的供应商不能修改投标文件。</w:t>
      </w:r>
    </w:p>
    <w:p>
      <w:pPr>
        <w:pStyle w:val="9"/>
        <w:numPr>
          <w:ilvl w:val="0"/>
          <w:numId w:val="0"/>
        </w:numPr>
        <w:spacing w:after="0" w:afterLines="0" w:line="440" w:lineRule="atLeast"/>
        <w:rPr>
          <w:rFonts w:hint="eastAsia" w:ascii="仿宋" w:hAnsi="仿宋" w:eastAsia="仿宋" w:cs="仿宋"/>
          <w:color w:val="auto"/>
          <w:szCs w:val="24"/>
          <w:highlight w:val="none"/>
        </w:rPr>
      </w:pPr>
      <w:r>
        <w:rPr>
          <w:rFonts w:hint="eastAsia" w:ascii="仿宋" w:hAnsi="仿宋" w:eastAsia="仿宋" w:cs="仿宋"/>
          <w:color w:val="auto"/>
          <w:szCs w:val="24"/>
          <w:highlight w:val="none"/>
        </w:rPr>
        <w:t>5.4投标文件不予退还。</w:t>
      </w:r>
    </w:p>
    <w:p>
      <w:pPr>
        <w:pStyle w:val="5"/>
        <w:rPr>
          <w:rFonts w:hint="eastAsia" w:ascii="仿宋" w:hAnsi="仿宋" w:eastAsia="仿宋" w:cs="仿宋"/>
          <w:color w:val="auto"/>
          <w:highlight w:val="none"/>
        </w:rPr>
      </w:pPr>
      <w:bookmarkStart w:id="7" w:name="_Toc643610530"/>
      <w:r>
        <w:rPr>
          <w:rFonts w:hint="eastAsia" w:ascii="仿宋" w:hAnsi="仿宋" w:eastAsia="仿宋" w:cs="仿宋"/>
          <w:color w:val="auto"/>
          <w:highlight w:val="none"/>
        </w:rPr>
        <w:t>四、开标评标</w:t>
      </w:r>
      <w:bookmarkEnd w:id="7"/>
    </w:p>
    <w:p>
      <w:pPr>
        <w:snapToGrid w:val="0"/>
        <w:spacing w:line="44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1．开标出席</w:t>
      </w:r>
    </w:p>
    <w:p>
      <w:pPr>
        <w:snapToGrid w:val="0"/>
        <w:spacing w:line="48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1.1 投标供应商法定代表人或其授权代表或个体工商户经营者需准时出席开标会议，未出席将可能导致无法顺利询标，且事后不得对采购相关人员、开标过程和开标结果提出质疑。</w:t>
      </w:r>
    </w:p>
    <w:p>
      <w:pPr>
        <w:snapToGrid w:val="0"/>
        <w:spacing w:line="44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2．投标文件的提交</w:t>
      </w:r>
    </w:p>
    <w:p>
      <w:pPr>
        <w:snapToGrid w:val="0"/>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2.1投标文件递交地点以招标文件载明的开标室为准，递交时间以开标室的电子时钟显示为准，逾期不予接受。</w:t>
      </w:r>
    </w:p>
    <w:p>
      <w:pPr>
        <w:snapToGrid w:val="0"/>
        <w:spacing w:line="48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2.2供应商在投标截止时间后不得在开标室外补充提交标书、各类证书证明等材料。</w:t>
      </w:r>
    </w:p>
    <w:p>
      <w:pPr>
        <w:snapToGrid w:val="0"/>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2.3投标截止时间前，供应商有权对投标文件包封、签署、盖章进行完善。</w:t>
      </w:r>
    </w:p>
    <w:p>
      <w:pPr>
        <w:snapToGrid w:val="0"/>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2.4投标文件提交后，供应商应当签署《投标（响应）文件签收登记表》。</w:t>
      </w:r>
    </w:p>
    <w:p>
      <w:pPr>
        <w:snapToGrid w:val="0"/>
        <w:spacing w:line="44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3．开标大会程序</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开标大会由采购代理机构主持。</w:t>
      </w:r>
    </w:p>
    <w:p>
      <w:pPr>
        <w:snapToGrid w:val="0"/>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3.1主持人宣布开标会开始，介绍到会单位和人员。</w:t>
      </w:r>
    </w:p>
    <w:p>
      <w:pPr>
        <w:snapToGrid w:val="0"/>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3.2采购代理机构核对、宣读完成标书提交并签到的供应商名单。</w:t>
      </w:r>
    </w:p>
    <w:p>
      <w:pPr>
        <w:snapToGrid w:val="0"/>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3.3采购代理机构组织供应商代表相互检查投标文件包封情况，不满足采购文件规定的将予以拒收。</w:t>
      </w:r>
    </w:p>
    <w:p>
      <w:pPr>
        <w:snapToGrid w:val="0"/>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3.4采购代理机构组织各供应商法定代表人或其授权代表签署《采购活动现场确认声明书》。</w:t>
      </w:r>
    </w:p>
    <w:p>
      <w:pPr>
        <w:snapToGrid w:val="0"/>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3.5启封“资格文件”，采购机构对法定代表人或其授权代表的身份进行核验，核验通过后采购机构对“资格文件”进行资格审查，公布审查结果。</w:t>
      </w:r>
    </w:p>
    <w:p>
      <w:pPr>
        <w:snapToGrid w:val="0"/>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3.6启封“商务和技术文件”，交由评审委员会评审。如有演示要求，组织各供应商逐一演示，具体详见《前附表》中的演示要求。</w:t>
      </w:r>
    </w:p>
    <w:p>
      <w:pPr>
        <w:snapToGrid w:val="0"/>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3.7主持人宣布“商务和技术文件”得分情况及无效（废）投标情形（如有），无效供应商可收回未拆封的报价文件和原件材料（如有）并签字确认。</w:t>
      </w:r>
    </w:p>
    <w:p>
      <w:pPr>
        <w:snapToGrid w:val="0"/>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3.8启封“报价文件”，宣读供应商名称、投标报价等内容。宣读结束后，参加开标会的法定代表人或其授权代表应对报价和宣读的内容签字确认。</w:t>
      </w:r>
    </w:p>
    <w:p>
      <w:pPr>
        <w:snapToGrid w:val="0"/>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3.9评审委员会对“报价文件”进行评审，计算评标价及价格分，汇总商务技术分、价格分，根据得分排序确定中标候选人。</w:t>
      </w:r>
    </w:p>
    <w:p>
      <w:pPr>
        <w:snapToGrid w:val="0"/>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3.10主持人向投标单位公布评审结果。</w:t>
      </w:r>
    </w:p>
    <w:p>
      <w:pPr>
        <w:snapToGrid w:val="0"/>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以上程序在不违反公开、公平、公正原则的基础上，可适当调整。</w:t>
      </w:r>
    </w:p>
    <w:p>
      <w:pPr>
        <w:spacing w:line="48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4.评审委员会的组成</w:t>
      </w:r>
    </w:p>
    <w:p>
      <w:pPr>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4.1评审委员会由采购单位依法组建，负责项目评审活动及协助处理质疑投诉。参与本项目进口论证的专家不得作为采购评审专家参与同一项目的采购评审工作。</w:t>
      </w:r>
    </w:p>
    <w:p>
      <w:pPr>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4.2评审委员会由采购人代表（采购人视情委派）和有关方面的专家组成，成员人数为五人及以上单数。预算金额在1000万及以上的，成员人数为七人及以上单数。</w:t>
      </w:r>
    </w:p>
    <w:p>
      <w:pPr>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4.3采购人代表不得担任评审组长。</w:t>
      </w:r>
    </w:p>
    <w:p>
      <w:pPr>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4.4经采购监督部门同意，由于专家库相应专业专家人数不足且技术复杂等原因，允许采购人推荐组成临时专家库并从中随机抽取，推荐规则参照政府采购相关规定执行。</w:t>
      </w:r>
    </w:p>
    <w:p>
      <w:pPr>
        <w:spacing w:line="48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5.评审</w:t>
      </w:r>
    </w:p>
    <w:p>
      <w:pPr>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5.1评审内容包括但并仅限于格式审查、内容评审、违反法律法规情况审查。</w:t>
      </w:r>
    </w:p>
    <w:p>
      <w:pPr>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5.2评审委员会应当严格按照采购文件、投标（响应）文件（包括样品或演示内容、证明材料）进行评审，不得依据投标（响应）文件以外的资料评审。</w:t>
      </w:r>
    </w:p>
    <w:p>
      <w:pPr>
        <w:spacing w:line="480" w:lineRule="exact"/>
        <w:jc w:val="left"/>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5.3对于投标文件中含义不明确、同类问题表述不一致或者有明显文字和计算错误的内容，评审委员会应当以询标方式要求供应商作出必要的澄清、说明或者补正。供应商的澄清、说明或者补正应当采用书面形式，并加盖公章或者由法定代表人或其授权代表签字。供应商的澄清、说明或者补正不得超出投标文件的范围或者改变投标文件的实质性内容。</w:t>
      </w:r>
      <w:r>
        <w:rPr>
          <w:rFonts w:hint="eastAsia" w:ascii="仿宋" w:hAnsi="仿宋" w:eastAsia="仿宋" w:cs="仿宋"/>
          <w:b/>
          <w:bCs/>
          <w:color w:val="auto"/>
          <w:sz w:val="24"/>
          <w:highlight w:val="none"/>
        </w:rPr>
        <w:t>不接受供应商提出的主动澄清。不出席现场开标会的供应商将失去该权利。</w:t>
      </w:r>
    </w:p>
    <w:p>
      <w:pPr>
        <w:widowControl/>
        <w:snapToGrid w:val="0"/>
        <w:spacing w:line="48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5.4评审委员会不负责解释供应商的得分高低和失分情况，不退还已经拆封的投标文件。</w:t>
      </w:r>
    </w:p>
    <w:p>
      <w:pPr>
        <w:spacing w:line="44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6.报价修正规则</w:t>
      </w:r>
    </w:p>
    <w:p>
      <w:pPr>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6.1投标文件中开标一览表内容与投标文件中相应内容不一致的，以开标一览表为准；</w:t>
      </w:r>
    </w:p>
    <w:p>
      <w:pPr>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6.2大写金额和小写金额不一致的，以大写金额为准；</w:t>
      </w:r>
    </w:p>
    <w:p>
      <w:pPr>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6.3单价金额小数点或者百分比有明显错位的，以开标一览表的总价为准，并修改单价；</w:t>
      </w:r>
    </w:p>
    <w:p>
      <w:pPr>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6.4总价金额与按单价汇总金额不一致的，以单价金额计算结果为准。</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同时出现两种以上不一致的，按照前款规定的顺序修正。</w:t>
      </w:r>
      <w:r>
        <w:rPr>
          <w:rFonts w:hint="eastAsia" w:ascii="仿宋" w:hAnsi="仿宋" w:eastAsia="仿宋" w:cs="仿宋"/>
          <w:bCs/>
          <w:color w:val="auto"/>
          <w:sz w:val="24"/>
          <w:highlight w:val="none"/>
        </w:rPr>
        <w:t>修正后的报价按照财政部公布第87号令 《政府采购货物和服务招标投标管理办法》</w:t>
      </w:r>
      <w:r>
        <w:rPr>
          <w:rFonts w:hint="eastAsia" w:ascii="仿宋" w:hAnsi="仿宋" w:eastAsia="仿宋" w:cs="仿宋"/>
          <w:color w:val="auto"/>
          <w:sz w:val="24"/>
          <w:highlight w:val="none"/>
        </w:rPr>
        <w:t>第五十一条第二款的规定经供应商确认后产生约束力，供应商不确认的，其投标无效。</w:t>
      </w:r>
    </w:p>
    <w:p>
      <w:pPr>
        <w:pStyle w:val="18"/>
        <w:snapToGrid w:val="0"/>
        <w:spacing w:line="440" w:lineRule="exact"/>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7．无效投标的情形</w:t>
      </w:r>
    </w:p>
    <w:p>
      <w:pPr>
        <w:tabs>
          <w:tab w:val="left" w:pos="4085"/>
        </w:tabs>
        <w:snapToGrid w:val="0"/>
        <w:spacing w:line="44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投标响应文件有下列情形之一的作无效投标处理：</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7.1单位负责人为同一人或者存在直接控股、管理关系的不同供应商参加本项目同一合同项（标段）下的采购活动的（双方均作无效投标处理）；</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7.2为采购项目提供整体设计、规范编制或者项目管理、监理、检测等服务的供应商再参加该采购项目的其他采购活动的（单一来源采购除外）；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7.3供应商不具备采购文件中规定的资格要求的（供应商未按采购文件要求提供资格证明文件的，视为供应商不具备采购文件中规定的资格要求）；</w:t>
      </w:r>
    </w:p>
    <w:p>
      <w:pPr>
        <w:snapToGrid w:val="0"/>
        <w:spacing w:line="440" w:lineRule="exact"/>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7.4</w:t>
      </w:r>
      <w:r>
        <w:rPr>
          <w:rFonts w:hint="eastAsia" w:ascii="仿宋" w:hAnsi="仿宋" w:eastAsia="仿宋" w:cs="仿宋"/>
          <w:color w:val="auto"/>
          <w:kern w:val="0"/>
          <w:sz w:val="24"/>
          <w:highlight w:val="none"/>
        </w:rPr>
        <w:t>法定代表人、个体工商户经营者参加开标会，</w:t>
      </w:r>
      <w:r>
        <w:rPr>
          <w:rFonts w:hint="eastAsia" w:ascii="仿宋" w:hAnsi="仿宋" w:eastAsia="仿宋" w:cs="仿宋"/>
          <w:color w:val="auto"/>
          <w:sz w:val="24"/>
          <w:highlight w:val="none"/>
        </w:rPr>
        <w:t>未能出具身份证明的或</w:t>
      </w:r>
      <w:r>
        <w:rPr>
          <w:rFonts w:hint="eastAsia" w:ascii="仿宋" w:hAnsi="仿宋" w:eastAsia="仿宋" w:cs="仿宋"/>
          <w:color w:val="auto"/>
          <w:kern w:val="0"/>
          <w:sz w:val="24"/>
          <w:highlight w:val="none"/>
        </w:rPr>
        <w:t>提供的身份证明与营业执照不一致的；</w:t>
      </w:r>
      <w:r>
        <w:rPr>
          <w:rFonts w:hint="eastAsia" w:ascii="仿宋" w:hAnsi="仿宋" w:eastAsia="仿宋" w:cs="仿宋"/>
          <w:color w:val="auto"/>
          <w:sz w:val="24"/>
          <w:highlight w:val="none"/>
        </w:rPr>
        <w:t>授权代表</w:t>
      </w:r>
      <w:r>
        <w:rPr>
          <w:rFonts w:hint="eastAsia" w:ascii="仿宋" w:hAnsi="仿宋" w:eastAsia="仿宋" w:cs="仿宋"/>
          <w:color w:val="auto"/>
          <w:kern w:val="0"/>
          <w:sz w:val="24"/>
          <w:highlight w:val="none"/>
        </w:rPr>
        <w:t>无《法定代表人授权委托书》或《法定代表人授权委托书》填写错误或</w:t>
      </w:r>
      <w:r>
        <w:rPr>
          <w:rFonts w:hint="eastAsia" w:ascii="仿宋" w:hAnsi="仿宋" w:eastAsia="仿宋" w:cs="仿宋"/>
          <w:color w:val="auto"/>
          <w:sz w:val="24"/>
          <w:highlight w:val="none"/>
        </w:rPr>
        <w:t>未能出具身份证明的</w:t>
      </w:r>
      <w:r>
        <w:rPr>
          <w:rFonts w:hint="eastAsia" w:ascii="仿宋" w:hAnsi="仿宋" w:eastAsia="仿宋" w:cs="仿宋"/>
          <w:color w:val="auto"/>
          <w:kern w:val="0"/>
          <w:sz w:val="24"/>
          <w:highlight w:val="none"/>
        </w:rPr>
        <w:t>；</w:t>
      </w:r>
    </w:p>
    <w:p>
      <w:pPr>
        <w:snapToGrid w:val="0"/>
        <w:spacing w:line="440" w:lineRule="exact"/>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7.5授权代表非投标单位正式职工的（以社保证明为准，如授权代表为离退休返聘人员的，需提供退休证明及单位聘用证明），法定代表人或个体工商户经营者参加开标会的除外；</w:t>
      </w:r>
    </w:p>
    <w:p>
      <w:pPr>
        <w:snapToGrid w:val="0"/>
        <w:spacing w:line="440" w:lineRule="exact"/>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7.6投标文件制作出现如下情况：</w:t>
      </w:r>
    </w:p>
    <w:p>
      <w:pPr>
        <w:snapToGrid w:val="0"/>
        <w:spacing w:line="44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szCs w:val="24"/>
          <w:highlight w:val="none"/>
        </w:rPr>
        <w:t>7.6.</w:t>
      </w:r>
      <w:r>
        <w:rPr>
          <w:rFonts w:hint="eastAsia" w:ascii="仿宋" w:hAnsi="仿宋" w:eastAsia="仿宋" w:cs="仿宋"/>
          <w:color w:val="auto"/>
          <w:kern w:val="0"/>
          <w:sz w:val="24"/>
          <w:highlight w:val="none"/>
        </w:rPr>
        <w:t>1“资格文件”、“报价文件”的签字、盖章或内容有实质性偏离的；</w:t>
      </w:r>
    </w:p>
    <w:p>
      <w:pPr>
        <w:snapToGrid w:val="0"/>
        <w:spacing w:line="44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7.6.</w:t>
      </w:r>
      <w:r>
        <w:rPr>
          <w:rFonts w:hint="eastAsia" w:ascii="仿宋" w:hAnsi="仿宋" w:eastAsia="仿宋" w:cs="仿宋"/>
          <w:color w:val="auto"/>
          <w:sz w:val="24"/>
          <w:highlight w:val="none"/>
        </w:rPr>
        <w:t>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7.6.</w:t>
      </w:r>
      <w:r>
        <w:rPr>
          <w:rFonts w:hint="eastAsia" w:ascii="仿宋" w:hAnsi="仿宋" w:eastAsia="仿宋" w:cs="仿宋"/>
          <w:color w:val="auto"/>
          <w:sz w:val="24"/>
          <w:highlight w:val="none"/>
        </w:rPr>
        <w:t>3“资格文件”或“商务和技术文件”或证明材料原件中出现用于价格分评审的投标报价的（采购文件另有规定的参与“商务和技术文件”评审的报价除外）；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7.6.</w:t>
      </w:r>
      <w:r>
        <w:rPr>
          <w:rFonts w:hint="eastAsia" w:ascii="仿宋" w:hAnsi="仿宋" w:eastAsia="仿宋" w:cs="仿宋"/>
          <w:color w:val="auto"/>
          <w:sz w:val="24"/>
          <w:highlight w:val="none"/>
        </w:rPr>
        <w:t>4对采购服务或技术或产品等要求未详细应答或应答内容不全、有缺失的,经评审委员会认定为无法评审的；</w:t>
      </w:r>
    </w:p>
    <w:p>
      <w:pPr>
        <w:snapToGrid w:val="0"/>
        <w:spacing w:line="44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7.6.</w:t>
      </w:r>
      <w:r>
        <w:rPr>
          <w:rFonts w:hint="eastAsia" w:ascii="仿宋" w:hAnsi="仿宋" w:eastAsia="仿宋" w:cs="仿宋"/>
          <w:color w:val="auto"/>
          <w:sz w:val="24"/>
          <w:highlight w:val="none"/>
        </w:rPr>
        <w:t>5关键信息填写不完整或字迹不能辨认或有漏项的，经评审委员会认定属于重大偏差的；</w:t>
      </w:r>
    </w:p>
    <w:p>
      <w:pPr>
        <w:snapToGrid w:val="0"/>
        <w:spacing w:line="44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7.6.</w:t>
      </w:r>
      <w:r>
        <w:rPr>
          <w:rFonts w:hint="eastAsia" w:ascii="仿宋" w:hAnsi="仿宋" w:eastAsia="仿宋" w:cs="仿宋"/>
          <w:color w:val="auto"/>
          <w:sz w:val="24"/>
          <w:highlight w:val="none"/>
        </w:rPr>
        <w:t>6未按采购文件规定要求签署盖章的。</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7.7</w:t>
      </w:r>
      <w:r>
        <w:rPr>
          <w:rFonts w:hint="eastAsia" w:ascii="仿宋" w:hAnsi="仿宋" w:eastAsia="仿宋" w:cs="仿宋"/>
          <w:color w:val="auto"/>
          <w:sz w:val="24"/>
          <w:highlight w:val="none"/>
        </w:rPr>
        <w:t>投标文件与项目不符或内容严重不全或就同一项目递交多份明显内容不同的投标文件的；</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7.8</w:t>
      </w:r>
      <w:r>
        <w:rPr>
          <w:rFonts w:hint="eastAsia" w:ascii="仿宋" w:hAnsi="仿宋" w:eastAsia="仿宋" w:cs="仿宋"/>
          <w:color w:val="auto"/>
          <w:sz w:val="24"/>
          <w:highlight w:val="none"/>
        </w:rPr>
        <w:t>未按照采购文件规定要求密封封装、签署、盖章的；</w:t>
      </w:r>
    </w:p>
    <w:p>
      <w:pPr>
        <w:tabs>
          <w:tab w:val="left" w:pos="3870"/>
          <w:tab w:val="left" w:pos="4085"/>
        </w:tabs>
        <w:snapToGrid w:val="0"/>
        <w:spacing w:line="440" w:lineRule="exact"/>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7.9</w:t>
      </w:r>
      <w:r>
        <w:rPr>
          <w:rFonts w:hint="eastAsia" w:ascii="仿宋" w:hAnsi="仿宋" w:eastAsia="仿宋" w:cs="仿宋"/>
          <w:color w:val="auto"/>
          <w:kern w:val="0"/>
          <w:sz w:val="24"/>
          <w:highlight w:val="none"/>
        </w:rPr>
        <w:t>投标响应文件含有采购人不能接受的附加条件的；</w:t>
      </w:r>
    </w:p>
    <w:p>
      <w:pPr>
        <w:tabs>
          <w:tab w:val="left" w:pos="3870"/>
          <w:tab w:val="left" w:pos="4085"/>
        </w:tabs>
        <w:snapToGrid w:val="0"/>
        <w:spacing w:line="440" w:lineRule="exact"/>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7.10</w:t>
      </w:r>
      <w:r>
        <w:rPr>
          <w:rFonts w:hint="eastAsia" w:ascii="仿宋" w:hAnsi="仿宋" w:eastAsia="仿宋" w:cs="仿宋"/>
          <w:color w:val="auto"/>
          <w:sz w:val="24"/>
          <w:highlight w:val="none"/>
        </w:rPr>
        <w:t>评审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w:t>
      </w:r>
    </w:p>
    <w:p>
      <w:pPr>
        <w:tabs>
          <w:tab w:val="left" w:pos="3870"/>
          <w:tab w:val="left" w:pos="4085"/>
        </w:tabs>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7.11报价超过招标文件中规定的预算金额或最高限价（包括单价限价等采购文件规定的各类限价）的；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7.12供应商对根据修正原则修正后的报价不确认的；</w:t>
      </w:r>
    </w:p>
    <w:p>
      <w:pPr>
        <w:tabs>
          <w:tab w:val="left" w:pos="3870"/>
          <w:tab w:val="left" w:pos="4085"/>
        </w:tabs>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7.13重要信息前后不一致，经评审委员会询标后仍然无法评审的；</w:t>
      </w:r>
    </w:p>
    <w:p>
      <w:pPr>
        <w:tabs>
          <w:tab w:val="left" w:pos="3870"/>
          <w:tab w:val="left" w:pos="4085"/>
        </w:tabs>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7.14供应商提供虚假材料投标的（包括但不限于以下情节）；</w:t>
      </w:r>
    </w:p>
    <w:p>
      <w:pPr>
        <w:tabs>
          <w:tab w:val="left" w:pos="3870"/>
          <w:tab w:val="left" w:pos="4085"/>
        </w:tabs>
        <w:snapToGrid w:val="0"/>
        <w:spacing w:line="440" w:lineRule="exact"/>
        <w:ind w:firstLine="470" w:firstLineChars="19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7.14.1使用伪造、变造的许可证件；</w:t>
      </w:r>
    </w:p>
    <w:p>
      <w:pPr>
        <w:tabs>
          <w:tab w:val="left" w:pos="3870"/>
          <w:tab w:val="left" w:pos="4085"/>
        </w:tabs>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7.14.2提供虚假的财务状况或者业绩；</w:t>
      </w:r>
    </w:p>
    <w:p>
      <w:pPr>
        <w:tabs>
          <w:tab w:val="left" w:pos="3870"/>
          <w:tab w:val="left" w:pos="4085"/>
        </w:tabs>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7.14.3提供虚假的项目负责人或者主要技术人员简历、劳动关系证明；</w:t>
      </w:r>
    </w:p>
    <w:p>
      <w:pPr>
        <w:tabs>
          <w:tab w:val="left" w:pos="3870"/>
          <w:tab w:val="left" w:pos="4085"/>
        </w:tabs>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7.14.4提供虚假的信用状况；</w:t>
      </w:r>
    </w:p>
    <w:p>
      <w:pPr>
        <w:tabs>
          <w:tab w:val="left" w:pos="3870"/>
          <w:tab w:val="left" w:pos="4085"/>
        </w:tabs>
        <w:snapToGrid w:val="0"/>
        <w:spacing w:line="440" w:lineRule="exact"/>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7.14.5其他弄虚作假的行为。</w:t>
      </w:r>
    </w:p>
    <w:p>
      <w:pPr>
        <w:tabs>
          <w:tab w:val="left" w:pos="3870"/>
          <w:tab w:val="left" w:pos="4085"/>
        </w:tabs>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7.15供应商串通投标的。</w:t>
      </w:r>
    </w:p>
    <w:p>
      <w:pPr>
        <w:tabs>
          <w:tab w:val="left" w:pos="3870"/>
          <w:tab w:val="left" w:pos="4085"/>
        </w:tabs>
        <w:snapToGrid w:val="0"/>
        <w:spacing w:line="44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有下列情形之一的，视为供应商串通投标，其投标无效：</w:t>
      </w:r>
    </w:p>
    <w:p>
      <w:pPr>
        <w:tabs>
          <w:tab w:val="left" w:pos="3870"/>
          <w:tab w:val="left" w:pos="4085"/>
        </w:tabs>
        <w:snapToGrid w:val="0"/>
        <w:spacing w:line="440" w:lineRule="exact"/>
        <w:ind w:firstLine="422" w:firstLineChars="17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7.15.1不同供应商的投标文件由同一单位或者个人编制；</w:t>
      </w:r>
    </w:p>
    <w:p>
      <w:pPr>
        <w:tabs>
          <w:tab w:val="left" w:pos="3870"/>
          <w:tab w:val="left" w:pos="4085"/>
        </w:tabs>
        <w:snapToGrid w:val="0"/>
        <w:spacing w:line="440" w:lineRule="exact"/>
        <w:ind w:firstLine="422" w:firstLineChars="17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7.15.2不同供应商委托同一单位或者个人办理投标事宜；</w:t>
      </w:r>
    </w:p>
    <w:p>
      <w:pPr>
        <w:tabs>
          <w:tab w:val="left" w:pos="3870"/>
          <w:tab w:val="left" w:pos="4085"/>
        </w:tabs>
        <w:snapToGrid w:val="0"/>
        <w:spacing w:line="440" w:lineRule="exact"/>
        <w:ind w:firstLine="422" w:firstLineChars="17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7.15.3不同供应商的投标文件载明的项目管理成员或者联系人员为同一人；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7.15.4不同供应商的投标文件异常一致或者投标报价呈规律性差异；</w:t>
      </w:r>
    </w:p>
    <w:p>
      <w:pPr>
        <w:tabs>
          <w:tab w:val="left" w:pos="3870"/>
          <w:tab w:val="left" w:pos="4085"/>
        </w:tabs>
        <w:snapToGrid w:val="0"/>
        <w:spacing w:line="440" w:lineRule="exact"/>
        <w:ind w:firstLine="422" w:firstLineChars="17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7.15.5不同供应商的投标文件相互混装；</w:t>
      </w:r>
    </w:p>
    <w:p>
      <w:pPr>
        <w:tabs>
          <w:tab w:val="left" w:pos="3870"/>
          <w:tab w:val="left" w:pos="4085"/>
        </w:tabs>
        <w:snapToGrid w:val="0"/>
        <w:spacing w:line="440" w:lineRule="exact"/>
        <w:ind w:firstLine="422" w:firstLineChars="17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7.15.6不同供应商的投标保证金从同一单位或者个人的账户转出。</w:t>
      </w:r>
    </w:p>
    <w:p>
      <w:pPr>
        <w:tabs>
          <w:tab w:val="left" w:pos="3870"/>
          <w:tab w:val="left" w:pos="4085"/>
        </w:tabs>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szCs w:val="21"/>
          <w:highlight w:val="none"/>
        </w:rPr>
        <w:t>7.16</w:t>
      </w:r>
      <w:r>
        <w:rPr>
          <w:rFonts w:hint="eastAsia" w:ascii="仿宋" w:hAnsi="仿宋" w:eastAsia="仿宋" w:cs="仿宋"/>
          <w:color w:val="auto"/>
          <w:sz w:val="24"/>
          <w:highlight w:val="none"/>
        </w:rPr>
        <w:t>评审委员会认定有重大偏差或实质性不响应采购文件要求的；</w:t>
      </w:r>
    </w:p>
    <w:p>
      <w:pPr>
        <w:tabs>
          <w:tab w:val="left" w:pos="3870"/>
          <w:tab w:val="left" w:pos="4085"/>
        </w:tabs>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7.17属于《中华人民共和国政府采购法实施条例》第七十四条规定的恶意串通情形的，其投标无效：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7.18联合体投标的，联合体各方在同一招标项目中以自己名义单独投标或者参加其他联合体投标的，相关投标均无效。</w:t>
      </w:r>
    </w:p>
    <w:p>
      <w:pPr>
        <w:snapToGrid w:val="0"/>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7.19违反法律、法规及本采购文件规定的其他无效投标情形。</w:t>
      </w:r>
    </w:p>
    <w:p>
      <w:pPr>
        <w:spacing w:line="48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8.定标</w:t>
      </w:r>
    </w:p>
    <w:p>
      <w:pPr>
        <w:widowControl/>
        <w:snapToGrid w:val="0"/>
        <w:spacing w:line="48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8.1采购人在收到评标报告之日起5个工作日内在评审报告推荐的中标或成交候选人中按顺序确定中标或成交供应商。</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8.2采购代理机构在采购人确认中标或成交供应商后2个工作日内发布中标公告。中标公告与采购公告发布网址一致。中标公告期限为一个工作日。</w:t>
      </w:r>
    </w:p>
    <w:p>
      <w:pPr>
        <w:spacing w:line="48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9.中标通知书的申领</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9.1本项目中标通知书在采购代理机构处领取。</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9.2中标通知书在中标公告发布的同时发出。</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9.3中标通知书发出后，采购人不得违法改变中标结果，中标人无正当理由不得放弃中标。</w:t>
      </w:r>
    </w:p>
    <w:p>
      <w:pPr>
        <w:widowControl/>
        <w:snapToGrid w:val="0"/>
        <w:spacing w:line="480" w:lineRule="exact"/>
        <w:rPr>
          <w:rFonts w:hint="eastAsia" w:ascii="仿宋" w:hAnsi="仿宋" w:eastAsia="仿宋" w:cs="仿宋"/>
          <w:b/>
          <w:bCs/>
          <w:color w:val="auto"/>
          <w:kern w:val="0"/>
          <w:sz w:val="24"/>
          <w:highlight w:val="none"/>
        </w:rPr>
      </w:pPr>
      <w:bookmarkStart w:id="8" w:name="_Toc643610531"/>
      <w:r>
        <w:rPr>
          <w:rFonts w:hint="eastAsia" w:ascii="仿宋" w:hAnsi="仿宋" w:eastAsia="仿宋" w:cs="仿宋"/>
          <w:b/>
          <w:bCs/>
          <w:color w:val="auto"/>
          <w:kern w:val="0"/>
          <w:sz w:val="24"/>
          <w:highlight w:val="none"/>
        </w:rPr>
        <w:t>9.4成交通知书的领取不妨碍相关质疑投诉的提出和处置，成交结果在法定情形内允许改变。在处理完针对成交结果的质疑或投诉前，原则上不签订采购合同。</w:t>
      </w:r>
    </w:p>
    <w:p>
      <w:pPr>
        <w:pStyle w:val="5"/>
        <w:rPr>
          <w:rFonts w:hint="eastAsia" w:ascii="仿宋" w:hAnsi="仿宋" w:eastAsia="仿宋" w:cs="仿宋"/>
          <w:color w:val="auto"/>
          <w:highlight w:val="none"/>
        </w:rPr>
      </w:pPr>
      <w:r>
        <w:rPr>
          <w:rFonts w:hint="eastAsia" w:ascii="仿宋" w:hAnsi="仿宋" w:eastAsia="仿宋" w:cs="仿宋"/>
          <w:color w:val="auto"/>
          <w:highlight w:val="none"/>
        </w:rPr>
        <w:t>五、合同签订及履约</w:t>
      </w:r>
      <w:bookmarkEnd w:id="8"/>
    </w:p>
    <w:p>
      <w:pPr>
        <w:spacing w:line="48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1.合同签订</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1.2采购人和中标人不得向对方提出任何不合理的要求作为签订合同的条件。</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1.3采购人和中标人需在投标有效期内签订采购合同。投标有效期允许延长，但需征得中标人同意。</w:t>
      </w:r>
    </w:p>
    <w:p>
      <w:pPr>
        <w:spacing w:line="44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2．履约保证金</w:t>
      </w:r>
    </w:p>
    <w:p>
      <w:pPr>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2.1采购合同签订的同时，中标人应当以支票、汇票、本票或者金融机构、担保机构出具的保函等非现金形式交纳履约保证金。</w:t>
      </w:r>
    </w:p>
    <w:p>
      <w:pPr>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2.2供应商在履行完合同约定事项后，采购人应及时退还履约保证金。采购人验收不合格的，不予退还履约保证金。</w:t>
      </w:r>
    </w:p>
    <w:p>
      <w:pPr>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2.3供应商以银行、保险公司出具保函形式提交履约保证金的，采购人不得拒收。</w:t>
      </w:r>
    </w:p>
    <w:p>
      <w:pPr>
        <w:spacing w:line="44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3．合同备案</w:t>
      </w:r>
    </w:p>
    <w:p>
      <w:pPr>
        <w:spacing w:line="44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3.1中标人应当自采购合同签订之日起3个工作日内，将采购合同原件报采购代理机构备案存档。</w:t>
      </w:r>
    </w:p>
    <w:p>
      <w:pPr>
        <w:spacing w:line="44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4.履约验收</w:t>
      </w:r>
    </w:p>
    <w:p>
      <w:pPr>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4.3采购人可以邀请参加本项目的其他供应商或者第三方机构参与验收。参与验收的供应商或者第三方机构的意见作为验收书的参考资料一并存档。</w:t>
      </w:r>
    </w:p>
    <w:p>
      <w:pPr>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4.4政府向社会公众提供的公共服务项目验收时应当邀请服务对象参与并出具意见，验收结果应当向社会公告。</w:t>
      </w:r>
    </w:p>
    <w:p>
      <w:pPr>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4.5 采购合同的履行、违约责任和解决争议的方式等适用《中华人民共和国合同法》。</w:t>
      </w:r>
    </w:p>
    <w:p>
      <w:pPr>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4.6供应商在履约过程中有政府采购法律法规规定的违法违规情形的，采购人应当及时报告本项目采购监督部门。</w:t>
      </w:r>
    </w:p>
    <w:p>
      <w:pPr>
        <w:spacing w:line="44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5. 履约检查</w:t>
      </w:r>
    </w:p>
    <w:p>
      <w:pPr>
        <w:spacing w:line="44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机构将联合采购监管部门不定期对合同的履约情况进行检查，发现未按合同规定进行履约的，有弄虚作假，偷工减料，以次充好、服务不达标等情形，达不到国家、行业有关标准和采购文件规定或有违采购合同的，一经查实，由采购监督部门给予相应处罚。</w:t>
      </w:r>
    </w:p>
    <w:p>
      <w:pPr>
        <w:rPr>
          <w:rFonts w:hint="eastAsia" w:ascii="仿宋" w:hAnsi="仿宋" w:eastAsia="仿宋" w:cs="仿宋"/>
          <w:color w:val="auto"/>
          <w:highlight w:val="none"/>
        </w:rPr>
      </w:pPr>
      <w:bookmarkStart w:id="9" w:name="_Toc643610532"/>
      <w:r>
        <w:rPr>
          <w:rFonts w:hint="eastAsia" w:ascii="仿宋" w:hAnsi="仿宋" w:eastAsia="仿宋" w:cs="仿宋"/>
          <w:color w:val="auto"/>
          <w:highlight w:val="none"/>
        </w:rPr>
        <w:br w:type="page"/>
      </w:r>
    </w:p>
    <w:p>
      <w:pPr>
        <w:pStyle w:val="4"/>
        <w:rPr>
          <w:rFonts w:hint="eastAsia" w:ascii="仿宋" w:hAnsi="仿宋" w:eastAsia="仿宋" w:cs="仿宋"/>
          <w:color w:val="auto"/>
          <w:highlight w:val="none"/>
        </w:rPr>
      </w:pPr>
      <w:r>
        <w:rPr>
          <w:rFonts w:hint="eastAsia" w:ascii="仿宋" w:hAnsi="仿宋" w:eastAsia="仿宋" w:cs="仿宋"/>
          <w:color w:val="auto"/>
          <w:highlight w:val="none"/>
        </w:rPr>
        <w:t>第三章  采购需求</w:t>
      </w:r>
      <w:bookmarkEnd w:id="9"/>
    </w:p>
    <w:p>
      <w:pPr>
        <w:pStyle w:val="5"/>
        <w:rPr>
          <w:rFonts w:hint="eastAsia" w:ascii="仿宋" w:hAnsi="仿宋" w:eastAsia="仿宋" w:cs="仿宋"/>
          <w:color w:val="auto"/>
          <w:highlight w:val="none"/>
        </w:rPr>
      </w:pPr>
      <w:bookmarkStart w:id="10" w:name="_Toc643610533"/>
      <w:r>
        <w:rPr>
          <w:rFonts w:hint="eastAsia" w:ascii="仿宋" w:hAnsi="仿宋" w:eastAsia="仿宋" w:cs="仿宋"/>
          <w:color w:val="auto"/>
          <w:highlight w:val="none"/>
        </w:rPr>
        <w:t>一、货物清单及技术要求</w:t>
      </w:r>
      <w:bookmarkEnd w:id="10"/>
    </w:p>
    <w:p>
      <w:pPr>
        <w:pStyle w:val="50"/>
        <w:numPr>
          <w:ilvl w:val="0"/>
          <w:numId w:val="5"/>
        </w:numPr>
        <w:spacing w:after="0" w:line="440" w:lineRule="exact"/>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项目策划方案任务书</w:t>
      </w:r>
    </w:p>
    <w:p>
      <w:pPr>
        <w:pStyle w:val="50"/>
        <w:numPr>
          <w:ilvl w:val="0"/>
          <w:numId w:val="6"/>
        </w:numPr>
        <w:spacing w:after="0" w:line="440" w:lineRule="exact"/>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项目概况</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绍兴东浦古镇暨黄酒小镇，是浙江省第一批37个特色小镇之一， 充满了浓浓的江南水乡韵味和黄酒文化风情，具有典型的江南水乡风貌，拥有完整的街、巷、水、桥、民居等水乡基地和悠久的黄酒历史文化， 有“水乡，酒乡，桥乡，名士之乡”、“越酒闻天下，东浦酒最佳”、“绍兴老酒出东浦”、“东浦师傅绍兴酒”等美称。</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如今的黄酒小镇是绍兴迎客第一站，其位于“融杭联甬接沪”这一重要交通节点位置， 未来随着杭绍台高速的全线打通，区域位置和交通优势将越发彰显，将是连接柯桥与越城的重要节点，是绍兴发展的城市门户和新中心， 将成为绍兴文化和生活方式的集中展现地和最佳体验地。</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在绍兴迈向世界和未来的诸多方略中，打造世界级黄酒文化主题旅游度假目的地，成为核心和引领性战略。黄酒的发展历史悠久，是中国人的“国酿”，黄酒文化可以代表中国酒的历史和文化。黄酒产业和文化是黄酒小镇独具唯一性的IP和优势，作为绍兴和江南众多古镇之一， 黄酒小镇亟待差异化突围。</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如何让黄酒的客群变得更年轻化、多元化？如何让游客能更身临其境地体验到古镇和黄酒文化的魅力？就是这次打造黄酒艺术光影体验馆的目标。中标单位需利用最新的沉浸式技术打造出一座能让人感动的黄酒文化活化体验空间，为古镇打造一张文旅新名片。</w:t>
      </w:r>
    </w:p>
    <w:p>
      <w:pPr>
        <w:pStyle w:val="50"/>
        <w:numPr>
          <w:ilvl w:val="0"/>
          <w:numId w:val="6"/>
        </w:numPr>
        <w:spacing w:after="0" w:line="440" w:lineRule="exact"/>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设计原则</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 坚持总体描述与重点展示相结合、宣传教育与互动体验相结合、精致美观与经久耐用相结合，高技术与人性化设计相结合的原则进行布展设计，努力将展馆建成设计先进、主题突出、内容新颖、互动有趣、安全可靠的文化旅游标杆项目。</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 在展项设计上，注重体验环节，恰当运用多媒体和声光电等技术手段为主，少用图文说明，兼顾投入运行和维护成本。</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3. 充分利用既有建筑结构空间，做到展厅划分科学、展项紧凑、布局巧妙、流线顺畅、参观空间宜人、体验区域合理。</w:t>
      </w:r>
    </w:p>
    <w:p>
      <w:pPr>
        <w:pStyle w:val="50"/>
        <w:numPr>
          <w:ilvl w:val="0"/>
          <w:numId w:val="6"/>
        </w:numPr>
        <w:spacing w:after="0" w:line="440" w:lineRule="exact"/>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指导思想</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采用艺术的构思、科学的内容编排、引人入胜的体验，以沉浸式场景体验和多媒体互动等展览形式，重点展示黄酒文化和黄酒小镇的特色，向世界敞开一扇窗口，通过互动体验等体验方式，吸引更多的年轻人关注黄酒文化、了解黄酒小镇的历史。</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布展设计要综合考虑展馆的展示内容、场地环境、参观路线、观众行为特点等因素，按照“主题突出、脉络清晰、手段新颖、安全可靠、效果明显”的原则做好布展设计。具体要做到“五化”：</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 科技化</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充分运用声、光、电、仿真和影视合成、计算机演示等现代技术，结合趣味性、互动性和知识性，将展馆打造成科技含量高，时代气息浓，互动性强的展馆。</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 艺术化</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运用视觉艺术、交互艺术等艺术手段，重点处理好展示空间的总体布局，设计出奇妙的场景和独到的细部构思，体现艺术魅力，营造历史情节艺术氛围。</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3. 人性化</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坚持以人为本，尽量满足参观者的需求。展馆内采取多元化表现形式，充分运用群众普遍欢迎的互动体验等方式，引导公众了解掌握精神核心，能正面影响之后的文化继承。</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 个性化</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将个性化设计贯彻于整个展示的全过程：一要重点突出内容和时代特色；二要注重公共安全，突出做好防火、防潮和环保设计；三要根据信息技术更新速度快的特点，在软、硬件使用设计时，需考虑兼容、更新、安全及可维管性，为场馆未来发展留有充分的余地。</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5. 规范化</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各设计单位要严格按本任务书内容和要求进行规范设计、设计方案要具体做好“三完整”：一是完整的方案说明；二是完整的画面表达；三是完整的展项解述。</w:t>
      </w:r>
    </w:p>
    <w:p>
      <w:pPr>
        <w:pStyle w:val="50"/>
        <w:numPr>
          <w:ilvl w:val="0"/>
          <w:numId w:val="6"/>
        </w:numPr>
        <w:spacing w:after="0" w:line="440" w:lineRule="exact"/>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设计总体要求</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 方案设计要求</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1.1 方案设计</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负责展厅方案设计、内容脚本编写、空间布展设计、展项设计与制作、多媒体交互玩法设定、编制设备清单。</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设计方案需充分考虑数字媒体等艺术展示手段进行展示，内容以黄酒文化、黄酒小镇及绍兴当地文化作为蓝本进行艺术视觉创作，做到视觉震撼吸引人，内容丰富有意思，将传统文化结合最新潮的沉浸式技术手段进行展现。</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1.2 展项制作</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根据历史文化科普传播的目的要求，认真研究并科学地设计展项，合理地安排内容，营造黄酒小镇文化氛围，以使观众清晰容易地接受展览传递的信息。</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1.3 展示手段</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合理运用各种展示手段，以投影和多种交互玩法为主，辅以文字、图像、实物、音频、视频等。</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1.4 空间设计</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环境氛围上，要结合现代化艺术的体验感；要充分利用现场展区实际条件，突出建筑结构优势、避免劣势；各分区要有统一的主题和重点参观线路，力求简洁、开放、大气；在布展流线上，结合场地实际出入口位置进行设计，避免出现人流交叉现象；整体游览满足残疾人参观体验的需求</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ascii="仿宋" w:hAnsi="仿宋" w:eastAsia="仿宋" w:cs="仿宋"/>
          <w:color w:val="auto"/>
          <w:sz w:val="24"/>
          <w:szCs w:val="24"/>
          <w:highlight w:val="none"/>
          <w:lang w:val="zh-CN"/>
        </w:rPr>
        <w:t>展厅空间规划在3个大区域空间内</w:t>
      </w:r>
      <w:r>
        <w:rPr>
          <w:rFonts w:hint="eastAsia" w:ascii="仿宋" w:hAnsi="仿宋" w:eastAsia="仿宋" w:cs="仿宋"/>
          <w:color w:val="auto"/>
          <w:sz w:val="24"/>
          <w:szCs w:val="24"/>
          <w:highlight w:val="none"/>
          <w:lang w:val="zh-CN"/>
        </w:rPr>
        <w:t>，</w:t>
      </w:r>
      <w:r>
        <w:rPr>
          <w:rFonts w:ascii="仿宋" w:hAnsi="仿宋" w:eastAsia="仿宋" w:cs="仿宋"/>
          <w:color w:val="auto"/>
          <w:sz w:val="24"/>
          <w:szCs w:val="24"/>
          <w:highlight w:val="none"/>
          <w:lang w:val="zh-CN"/>
        </w:rPr>
        <w:t>以沉浸式互动的科技手段分别讲述黄酒小镇的优美自然风光、历史乡土民俗、黄酒文化传统、名人掌故逸闻、以及黄酒小镇的酒馆故事。</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 配套设计要求</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标识导览系统：统一规范的各种标识和指示牌。</w:t>
      </w:r>
    </w:p>
    <w:p>
      <w:pPr>
        <w:pStyle w:val="50"/>
        <w:numPr>
          <w:ilvl w:val="0"/>
          <w:numId w:val="6"/>
        </w:numPr>
        <w:spacing w:after="0" w:line="440" w:lineRule="exact"/>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设计成果要求</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 投标阶段工作内容包括但不仅限于：</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1.1 展馆整体主题设计大纲；</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1.2 各展项故事脚本设计；</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1.3 各展项交互体验脚本设计；</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1.4 多媒体视觉创意脚本设计;</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1.5 展馆总平面布置图；</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1.6 装修及改造设计；</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1.7</w:t>
      </w:r>
      <w:r>
        <w:rPr>
          <w:rFonts w:hint="eastAsia" w:ascii="仿宋" w:hAnsi="仿宋" w:eastAsia="仿宋" w:cs="仿宋"/>
          <w:color w:val="auto"/>
          <w:sz w:val="24"/>
          <w:szCs w:val="24"/>
          <w:highlight w:val="none"/>
          <w:lang w:val="zh-CN"/>
        </w:rPr>
        <w:t>空间动线设计；</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val="zh-CN"/>
        </w:rPr>
        <w:t xml:space="preserve"> 各展项效果图展示；</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lang w:val="zh-CN"/>
        </w:rPr>
        <w:t xml:space="preserve"> 导向指引及标识系统设计；</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lang w:val="zh-CN"/>
        </w:rPr>
        <w:t xml:space="preserve"> 详细的设备清单；</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1.1</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val="zh-CN"/>
        </w:rPr>
        <w:t xml:space="preserve"> 设备用电量统计</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1.1</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val="zh-CN"/>
        </w:rPr>
        <w:t xml:space="preserve"> 系统原理图设计；</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val="zh-CN"/>
        </w:rPr>
        <w:t xml:space="preserve"> 所有设备点位及安装大样图；</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 中标后设计深化阶段工作内容</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2.1 明确施工地点的场地交付条件</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2.2 方案设计最终设计成果需要在投标阶段设计成果的基础上进一步完善和深化，最终设计成果深度需达到可以在此基础上开展图纸设计的要求；</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2.3 展厅所有视觉内容整理与编辑，包括多媒体内容分镜头脚本；</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2.4 对现场巡查和技术指导，提供咨询意见；</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2.5 展厅相关各项控制系统；</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2.6 其它具体工作内容以合同为准。</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3. 设计成果文件格式要求</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3.1 文本文件要求</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a. 提供内容符合要求的文本文件一式三份，正本一份，副本两份；</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b. 文本以A4规格编排装订；</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3.2 电子文件要求</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a. 全部设计成果应制作成计算机电子文件，一套两份；</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b. 文本文件采用*.docx格式或*.PDF；</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c. 方案设计文件应采用PDF格式文件；</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d. 图纸文件采用*.DWG或*.PDF文件；</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 多媒体设计要求</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投标人设计方案中，需至少运用以下主要多媒体设备展项及软件：</w:t>
      </w:r>
    </w:p>
    <w:tbl>
      <w:tblPr>
        <w:tblStyle w:val="27"/>
        <w:tblW w:w="0" w:type="auto"/>
        <w:tblInd w:w="-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0"/>
        <w:gridCol w:w="5074"/>
        <w:gridCol w:w="1433"/>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10" w:type="dxa"/>
          </w:tcPr>
          <w:p>
            <w:pPr>
              <w:pStyle w:val="5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设备名</w:t>
            </w:r>
          </w:p>
        </w:tc>
        <w:tc>
          <w:tcPr>
            <w:tcW w:w="5074" w:type="dxa"/>
          </w:tcPr>
          <w:p>
            <w:pPr>
              <w:pStyle w:val="5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规格</w:t>
            </w:r>
          </w:p>
        </w:tc>
        <w:tc>
          <w:tcPr>
            <w:tcW w:w="1433" w:type="dxa"/>
          </w:tcPr>
          <w:p>
            <w:pPr>
              <w:pStyle w:val="5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数量</w:t>
            </w:r>
          </w:p>
        </w:tc>
        <w:tc>
          <w:tcPr>
            <w:tcW w:w="1262" w:type="dxa"/>
          </w:tcPr>
          <w:p>
            <w:pPr>
              <w:pStyle w:val="5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79" w:type="dxa"/>
            <w:gridSpan w:val="4"/>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一、沉浸式投影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110" w:type="dxa"/>
            <w:vMerge w:val="restart"/>
            <w:vAlign w:val="center"/>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投影机</w:t>
            </w: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显示持术：采用3芯片技术，如3芯片LCD、3芯片DLP，不接受单芯片技术；</w:t>
            </w:r>
          </w:p>
        </w:tc>
        <w:tc>
          <w:tcPr>
            <w:tcW w:w="1433" w:type="dxa"/>
            <w:vMerge w:val="restart"/>
            <w:vAlign w:val="center"/>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不少于</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台</w:t>
            </w:r>
          </w:p>
        </w:tc>
        <w:tc>
          <w:tcPr>
            <w:tcW w:w="1262" w:type="dxa"/>
            <w:vMerge w:val="restart"/>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亮度输出：标称亮度≥7500流明（ISO标准，不接受缩减光源寿命的高亮模式亮度作为标称亮度）；</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输出分辨率：≥1920×1200；</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光源技术：激光光源；</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物联网（IoT）功能：支持不少于Crestron Connected 、AMX Device Discovery、EXTRON XTP、PJ Link技术；</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支持网络桥功能，能在LAN或Wireless接口的网络协议与RS-232C接口的串行协议之间相互转换，实现对外部设备的控制和通讯；</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镜头：可更换多种镜头，多款镜头中投射比最小≤0.38，最大≥8.3；</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4K信号输入：不少于HDMI、HDBaseT、DisplayPort 三个端口支持4K 信号输入；</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支持HDBaseT输入；</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应用功能要求：</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支持快速启动，启用快速启动待机模式后，关机后30 分钟内再开机时间≤1 秒；</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支持自动开机功能，当投影机处于待机模式并检测到特定端口信号输入时投影机自动启动显示图像；</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支持HDR高画质，提供至少两种针对HDR高画质的图像调节模式，通过激活扩大亮度的动态使用范围使得呈现的投影画面更为逼真。</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标配信号接口要求：</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标配信号输入接口不少于：HDMI 连接器×2、DisplayPort 连接器×1、15针微型D-sub端子×1、VIDEO RCA端子×1、3.5 毫米（立体声）迷你插孔 ×1、AUDIO RCA 插孔L/R ×1、HDBaseT RJ-45插孔×1；</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标配信号输出接口不少于：HDMI 连接器×1、15针微型D-sub端子×1、3.5 毫米（立体声）迷你插孔 × 1；</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标配信号控制接口不少于：9针D-sub端子×1、REMOTE CONTROL IN 3.5 毫米（立体声）迷你插孔 ×1、REMOTE CONTROL OUT 3.5 毫米（立体声）迷你插孔 ×1；</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选配网络接口：支持选装USB无线2.4G/5G双频段适配器；</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商务要求：</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认证：CCC认证，即通过国家强制检验并取得《中国国家强制性产品认证证书》、节能认证、环保认证；</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中标后签订合同前必须提供原厂商出具的售后服务函并加盖厂商公章，否则视为违约处理；</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交货时必须提供原厂商或总代理单位出具的包含用户名称和全部交货机身序列号的供货证明函并加盖厂商公章，否则视为无合法来源拒收；</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10" w:type="dxa"/>
            <w:vMerge w:val="restart"/>
            <w:vAlign w:val="center"/>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超短焦投影机</w:t>
            </w:r>
          </w:p>
        </w:tc>
        <w:tc>
          <w:tcPr>
            <w:tcW w:w="5074" w:type="dxa"/>
          </w:tcPr>
          <w:p>
            <w:pPr>
              <w:pStyle w:val="5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基本参数要求：</w:t>
            </w:r>
          </w:p>
        </w:tc>
        <w:tc>
          <w:tcPr>
            <w:tcW w:w="1433" w:type="dxa"/>
            <w:vMerge w:val="restart"/>
            <w:vAlign w:val="center"/>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不少于</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台</w:t>
            </w:r>
          </w:p>
        </w:tc>
        <w:tc>
          <w:tcPr>
            <w:tcW w:w="1262" w:type="dxa"/>
            <w:vMerge w:val="restart"/>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显示持术：采用3芯片技术，如3芯片LCD、3芯片DLP，不接受任何单芯片技术；</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亮度输出：标称亮度≥5300流明（ISO标准，不接受缩减光源寿命的高亮模式亮度作为标称亮度）；</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输出分辨率：≥1920x1200；</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光源技术：激光光源；</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镜头：投射比≤0.235；</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物联网（IoT）功能：支持不少于Crestron RoomView 、AMX Discovery、PJ Link技术；</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应用功能要求：</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支持自动吊装检测功能；</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支持INPUT搜索功能；</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支持自动PC功能；</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标配信号接口要求：</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标配信号输入接口不少于：VGA x1；HDMI 1.4B x2；3.5音频 x1；</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标配信号输出接口不少于：VGA x1；3.5音频 x1；</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标配信号控制接口不少于：9针D-sub端子×1；</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商务要求：</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认证：CCC认证，即通过国家强制检验并取得《中国国家强制性产品认证证书》、节能认证、环保认证、取得CEL能效标志；</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中标后签订合同前必须提供原厂商出具的售后服务函并加盖厂商公章，否则视为违约处理；</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l  交货时必须提供原厂商或总代理单位出具的包含用户名称和全部交货机身序列号的供货证明函并加盖厂商公章，否则视为无合法来源拒收；</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79" w:type="dxa"/>
            <w:gridSpan w:val="4"/>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二、互动部分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10" w:type="dxa"/>
            <w:vMerge w:val="restart"/>
            <w:vAlign w:val="center"/>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传感器</w:t>
            </w: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激光光源</w:t>
            </w:r>
          </w:p>
        </w:tc>
        <w:tc>
          <w:tcPr>
            <w:tcW w:w="1433" w:type="dxa"/>
            <w:vMerge w:val="restart"/>
            <w:vAlign w:val="center"/>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不少于</w:t>
            </w:r>
            <w:r>
              <w:rPr>
                <w:rFonts w:hint="eastAsia" w:ascii="仿宋" w:hAnsi="仿宋" w:eastAsia="仿宋" w:cs="仿宋"/>
                <w:color w:val="auto"/>
                <w:sz w:val="24"/>
                <w:szCs w:val="24"/>
                <w:highlight w:val="none"/>
                <w:lang w:val="en-US" w:eastAsia="zh-CN"/>
              </w:rPr>
              <w:t>19</w:t>
            </w:r>
            <w:r>
              <w:rPr>
                <w:rFonts w:hint="eastAsia" w:ascii="仿宋" w:hAnsi="仿宋" w:eastAsia="仿宋" w:cs="仿宋"/>
                <w:color w:val="auto"/>
                <w:sz w:val="24"/>
                <w:szCs w:val="24"/>
                <w:highlight w:val="none"/>
              </w:rPr>
              <w:t>台</w:t>
            </w:r>
          </w:p>
        </w:tc>
        <w:tc>
          <w:tcPr>
            <w:tcW w:w="1262" w:type="dxa"/>
            <w:vMerge w:val="restart"/>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半导体激光二极管 (λ=905nm)，</w:t>
            </w:r>
          </w:p>
        </w:tc>
        <w:tc>
          <w:tcPr>
            <w:tcW w:w="1433" w:type="dxa"/>
            <w:vMerge w:val="continue"/>
            <w:vAlign w:val="center"/>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激光安全等级 1(FDA)</w:t>
            </w:r>
          </w:p>
        </w:tc>
        <w:tc>
          <w:tcPr>
            <w:tcW w:w="1433" w:type="dxa"/>
            <w:vMerge w:val="continue"/>
            <w:vAlign w:val="center"/>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测量距离</w:t>
            </w:r>
          </w:p>
        </w:tc>
        <w:tc>
          <w:tcPr>
            <w:tcW w:w="1433" w:type="dxa"/>
            <w:vMerge w:val="continue"/>
            <w:vAlign w:val="center"/>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0.06 to 20m, Max.60m, 270°</w:t>
            </w:r>
          </w:p>
        </w:tc>
        <w:tc>
          <w:tcPr>
            <w:tcW w:w="1433" w:type="dxa"/>
            <w:vMerge w:val="continue"/>
            <w:vAlign w:val="center"/>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0.06 to 8m（10%反射率） </w:t>
            </w:r>
          </w:p>
        </w:tc>
        <w:tc>
          <w:tcPr>
            <w:tcW w:w="1433" w:type="dxa"/>
            <w:vMerge w:val="continue"/>
            <w:vAlign w:val="center"/>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精度</w:t>
            </w:r>
          </w:p>
        </w:tc>
        <w:tc>
          <w:tcPr>
            <w:tcW w:w="1433" w:type="dxa"/>
            <w:vMerge w:val="continue"/>
            <w:vAlign w:val="center"/>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±40mm</w:t>
            </w:r>
          </w:p>
        </w:tc>
        <w:tc>
          <w:tcPr>
            <w:tcW w:w="1433" w:type="dxa"/>
            <w:vMerge w:val="continue"/>
            <w:vAlign w:val="center"/>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角度分辨率</w:t>
            </w:r>
          </w:p>
        </w:tc>
        <w:tc>
          <w:tcPr>
            <w:tcW w:w="1433" w:type="dxa"/>
            <w:vMerge w:val="continue"/>
            <w:vAlign w:val="center"/>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0.25° (360°/1,440 steps)</w:t>
            </w:r>
          </w:p>
        </w:tc>
        <w:tc>
          <w:tcPr>
            <w:tcW w:w="1433" w:type="dxa"/>
            <w:vMerge w:val="continue"/>
            <w:vAlign w:val="center"/>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扫描时间</w:t>
            </w:r>
          </w:p>
        </w:tc>
        <w:tc>
          <w:tcPr>
            <w:tcW w:w="1433" w:type="dxa"/>
            <w:vMerge w:val="continue"/>
            <w:vAlign w:val="center"/>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25msec/scan</w:t>
            </w:r>
          </w:p>
        </w:tc>
        <w:tc>
          <w:tcPr>
            <w:tcW w:w="1433" w:type="dxa"/>
            <w:vMerge w:val="continue"/>
            <w:vAlign w:val="center"/>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1110" w:type="dxa"/>
            <w:vMerge w:val="restart"/>
            <w:vAlign w:val="center"/>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实时渲染引擎软件</w:t>
            </w: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支持融合服务器集中管理，通过专门的服务器面板统一控制；支持任意分辨率实时渲染图像；支持大数据互动，采集大数据信息转变为影像实时渲染输出。</w:t>
            </w:r>
          </w:p>
        </w:tc>
        <w:tc>
          <w:tcPr>
            <w:tcW w:w="1433" w:type="dxa"/>
            <w:vMerge w:val="restart"/>
            <w:vAlign w:val="center"/>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1套</w:t>
            </w:r>
          </w:p>
        </w:tc>
        <w:tc>
          <w:tcPr>
            <w:tcW w:w="1262" w:type="dxa"/>
            <w:vMerge w:val="restart"/>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接受外部接口控制，支持MIDI、RS232、TCP/IP、DMX512、RS485、I/O等协议转换互通；支持多机同步播放，同步精度1/1000秒；</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互动视频引擎（IVE）：互动视频在播放器中支持的各种互动功能，这些功能包括播放记录同步、X因子处理、交互展示、交互命令处理、统计等；</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互动视频服务（IVS）：围绕互动视频提供生产服务、播放服务、用户相关功能在内的多套服务；</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支持一控多显级联，自动保存编辑的节目，在突发情况下可恢复未保存的工程文件支持多机同步播放，同步精度1/1000秒；</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互动视频引擎（IVE）：互动视频在播放器中支持的各种互动功能，这些功能包括播放记录同步、X因子处理、交互展示、交互命令处理、统计等；</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互动视频服务（IVS）：围绕互动视频提供生产服务、播放服务、用户相关功能在内的多套服务；</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支持一控多显级联，自动保存编辑的节目，在突发情况下可恢复未保存的工程文件</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实时互动软件包包：</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可与多种传感器和舞台灯光设备元素进行协作和集成。使用对Kinect Azure，Realsense，ZED，Vive，Oculus，支持多达16个雷达等硬件设备的支持，</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支持以极少或几乎没有代码的形式创建交互式沉浸音。软件支持TCP,UDP,DMX512,TUIO,RS232,OSC,Midi等协议</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1110" w:type="dxa"/>
            <w:vMerge w:val="continue"/>
          </w:tcPr>
          <w:p>
            <w:pPr>
              <w:pStyle w:val="50"/>
              <w:rPr>
                <w:rFonts w:hint="eastAsia" w:ascii="仿宋" w:hAnsi="仿宋" w:eastAsia="仿宋" w:cs="仿宋"/>
                <w:color w:val="auto"/>
                <w:sz w:val="24"/>
                <w:szCs w:val="24"/>
                <w:highlight w:val="none"/>
              </w:rPr>
            </w:pPr>
          </w:p>
        </w:tc>
        <w:tc>
          <w:tcPr>
            <w:tcW w:w="5074"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多声道渲染录制软件|：支持创建132声道音源和录制系统音和麦克风声音; .支持多种音频输出格式，如MP3,AAC,WMA,WAV,FLAC等。</w:t>
            </w:r>
          </w:p>
        </w:tc>
        <w:tc>
          <w:tcPr>
            <w:tcW w:w="1433" w:type="dxa"/>
            <w:vMerge w:val="continue"/>
          </w:tcPr>
          <w:p>
            <w:pPr>
              <w:pStyle w:val="50"/>
              <w:rPr>
                <w:rFonts w:hint="eastAsia" w:ascii="仿宋" w:hAnsi="仿宋" w:eastAsia="仿宋" w:cs="仿宋"/>
                <w:color w:val="auto"/>
                <w:sz w:val="24"/>
                <w:szCs w:val="24"/>
                <w:highlight w:val="none"/>
              </w:rPr>
            </w:pPr>
          </w:p>
        </w:tc>
        <w:tc>
          <w:tcPr>
            <w:tcW w:w="1262" w:type="dxa"/>
            <w:vMerge w:val="continue"/>
          </w:tcPr>
          <w:p>
            <w:pPr>
              <w:pStyle w:val="50"/>
              <w:rPr>
                <w:rFonts w:hint="eastAsia" w:ascii="仿宋" w:hAnsi="仿宋" w:eastAsia="仿宋" w:cs="仿宋"/>
                <w:color w:val="auto"/>
                <w:sz w:val="24"/>
                <w:szCs w:val="24"/>
                <w:highlight w:val="none"/>
              </w:rPr>
            </w:pPr>
          </w:p>
        </w:tc>
      </w:tr>
    </w:tbl>
    <w:p>
      <w:pPr>
        <w:snapToGrid w:val="0"/>
        <w:spacing w:line="440" w:lineRule="exact"/>
        <w:jc w:val="left"/>
        <w:rPr>
          <w:rFonts w:hint="eastAsia" w:ascii="仿宋" w:hAnsi="仿宋" w:eastAsia="仿宋" w:cs="仿宋"/>
          <w:b/>
          <w:bCs/>
          <w:color w:val="auto"/>
          <w:sz w:val="32"/>
          <w:szCs w:val="32"/>
          <w:highlight w:val="none"/>
          <w:u w:val="single"/>
        </w:rPr>
      </w:pPr>
      <w:bookmarkStart w:id="11" w:name="_Toc643610534"/>
      <w:r>
        <w:rPr>
          <w:rFonts w:hint="eastAsia" w:ascii="仿宋" w:hAnsi="仿宋" w:eastAsia="仿宋" w:cs="仿宋"/>
          <w:b/>
          <w:bCs/>
          <w:color w:val="auto"/>
          <w:sz w:val="32"/>
          <w:szCs w:val="32"/>
          <w:highlight w:val="none"/>
          <w:u w:val="single"/>
        </w:rPr>
        <w:t>注：投标人提交的“投标文件”中设备清单需包含并不少于以上表所列出的设备和软件，设备参数和数量如有偏离的作无效投标处理。</w:t>
      </w:r>
    </w:p>
    <w:p>
      <w:pPr>
        <w:pStyle w:val="2"/>
        <w:numPr>
          <w:ilvl w:val="0"/>
          <w:numId w:val="7"/>
        </w:numPr>
        <w:rPr>
          <w:rFonts w:hint="eastAsia" w:ascii="仿宋" w:hAnsi="仿宋" w:eastAsia="仿宋" w:cs="仿宋"/>
          <w:b/>
          <w:bCs/>
          <w:color w:val="auto"/>
          <w:sz w:val="32"/>
          <w:szCs w:val="32"/>
          <w:highlight w:val="none"/>
          <w:u w:val="single"/>
          <w:lang w:val="en-US" w:eastAsia="zh-CN"/>
        </w:rPr>
      </w:pPr>
      <w:r>
        <w:rPr>
          <w:rFonts w:hint="eastAsia" w:ascii="仿宋" w:hAnsi="仿宋" w:eastAsia="仿宋" w:cs="仿宋"/>
          <w:b/>
          <w:bCs/>
          <w:color w:val="auto"/>
          <w:sz w:val="32"/>
          <w:szCs w:val="32"/>
          <w:highlight w:val="none"/>
          <w:u w:val="single"/>
          <w:lang w:val="en-US" w:eastAsia="zh-CN"/>
        </w:rPr>
        <w:t>装修及改造工程量</w:t>
      </w:r>
    </w:p>
    <w:tbl>
      <w:tblPr>
        <w:tblStyle w:val="26"/>
        <w:tblW w:w="901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351"/>
        <w:gridCol w:w="2"/>
        <w:gridCol w:w="1292"/>
        <w:gridCol w:w="3"/>
        <w:gridCol w:w="1914"/>
        <w:gridCol w:w="4"/>
        <w:gridCol w:w="2873"/>
        <w:gridCol w:w="6"/>
        <w:gridCol w:w="780"/>
        <w:gridCol w:w="6"/>
        <w:gridCol w:w="780"/>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gridAfter w:val="1"/>
          <w:wAfter w:w="6" w:type="dxa"/>
          <w:trHeight w:val="502" w:hRule="atLeast"/>
        </w:trPr>
        <w:tc>
          <w:tcPr>
            <w:tcW w:w="1351" w:type="dxa"/>
            <w:vMerge w:val="restart"/>
            <w:shd w:val="clear" w:color="auto" w:fill="auto"/>
            <w:vAlign w:val="center"/>
          </w:tcPr>
          <w:p>
            <w:pPr>
              <w:keepNext w:val="0"/>
              <w:keepLines w:val="0"/>
              <w:widowControl/>
              <w:suppressLineNumbers w:val="0"/>
              <w:jc w:val="center"/>
              <w:textAlignment w:val="center"/>
              <w:rPr>
                <w:rFonts w:ascii="幼圆" w:hAnsi="幼圆" w:eastAsia="幼圆" w:cs="幼圆"/>
                <w:i w:val="0"/>
                <w:iCs w:val="0"/>
                <w:color w:val="auto"/>
                <w:sz w:val="20"/>
                <w:szCs w:val="20"/>
                <w:highlight w:val="none"/>
                <w:u w:val="none"/>
                <w:shd w:val="clear" w:color="auto" w:fill="auto"/>
              </w:rPr>
            </w:pPr>
            <w:r>
              <w:rPr>
                <w:rFonts w:hint="eastAsia" w:ascii="幼圆" w:hAnsi="幼圆" w:eastAsia="幼圆" w:cs="幼圆"/>
                <w:i w:val="0"/>
                <w:iCs w:val="0"/>
                <w:color w:val="auto"/>
                <w:kern w:val="0"/>
                <w:sz w:val="20"/>
                <w:szCs w:val="20"/>
                <w:highlight w:val="none"/>
                <w:u w:val="none"/>
                <w:shd w:val="clear" w:color="auto" w:fill="auto"/>
                <w:lang w:val="en-US" w:eastAsia="zh-CN" w:bidi="ar"/>
              </w:rPr>
              <w:t>序号</w:t>
            </w:r>
          </w:p>
        </w:tc>
        <w:tc>
          <w:tcPr>
            <w:tcW w:w="1294" w:type="dxa"/>
            <w:gridSpan w:val="2"/>
            <w:vMerge w:val="restart"/>
            <w:shd w:val="clear" w:color="auto" w:fill="auto"/>
            <w:vAlign w:val="center"/>
          </w:tcPr>
          <w:p>
            <w:pPr>
              <w:jc w:val="center"/>
              <w:rPr>
                <w:rFonts w:hint="eastAsia" w:ascii="幼圆" w:hAnsi="幼圆" w:eastAsia="幼圆" w:cs="幼圆"/>
                <w:i w:val="0"/>
                <w:iCs w:val="0"/>
                <w:color w:val="auto"/>
                <w:sz w:val="20"/>
                <w:szCs w:val="20"/>
                <w:highlight w:val="none"/>
                <w:u w:val="none"/>
                <w:shd w:val="clear" w:color="auto" w:fill="auto"/>
              </w:rPr>
            </w:pPr>
          </w:p>
        </w:tc>
        <w:tc>
          <w:tcPr>
            <w:tcW w:w="1917" w:type="dxa"/>
            <w:gridSpan w:val="2"/>
            <w:vMerge w:val="restart"/>
            <w:shd w:val="clear" w:color="auto" w:fill="auto"/>
            <w:vAlign w:val="center"/>
          </w:tcPr>
          <w:p>
            <w:pPr>
              <w:keepNext w:val="0"/>
              <w:keepLines w:val="0"/>
              <w:widowControl/>
              <w:suppressLineNumbers w:val="0"/>
              <w:jc w:val="center"/>
              <w:textAlignment w:val="center"/>
              <w:rPr>
                <w:rFonts w:hint="eastAsia" w:ascii="幼圆" w:hAnsi="幼圆" w:eastAsia="幼圆" w:cs="幼圆"/>
                <w:i w:val="0"/>
                <w:iCs w:val="0"/>
                <w:color w:val="auto"/>
                <w:sz w:val="20"/>
                <w:szCs w:val="20"/>
                <w:highlight w:val="none"/>
                <w:u w:val="none"/>
                <w:shd w:val="clear" w:color="auto" w:fill="auto"/>
              </w:rPr>
            </w:pPr>
            <w:r>
              <w:rPr>
                <w:rFonts w:hint="eastAsia" w:ascii="幼圆" w:hAnsi="幼圆" w:eastAsia="幼圆" w:cs="幼圆"/>
                <w:i w:val="0"/>
                <w:iCs w:val="0"/>
                <w:color w:val="auto"/>
                <w:kern w:val="0"/>
                <w:sz w:val="20"/>
                <w:szCs w:val="20"/>
                <w:highlight w:val="none"/>
                <w:u w:val="none"/>
                <w:shd w:val="clear" w:color="auto" w:fill="auto"/>
                <w:lang w:val="en-US" w:eastAsia="zh-CN" w:bidi="ar"/>
              </w:rPr>
              <w:t>内容</w:t>
            </w:r>
          </w:p>
        </w:tc>
        <w:tc>
          <w:tcPr>
            <w:tcW w:w="2877" w:type="dxa"/>
            <w:gridSpan w:val="2"/>
            <w:vMerge w:val="restart"/>
            <w:shd w:val="clear" w:color="auto" w:fill="auto"/>
            <w:vAlign w:val="center"/>
          </w:tcPr>
          <w:p>
            <w:pPr>
              <w:keepNext w:val="0"/>
              <w:keepLines w:val="0"/>
              <w:widowControl/>
              <w:suppressLineNumbers w:val="0"/>
              <w:jc w:val="center"/>
              <w:textAlignment w:val="center"/>
              <w:rPr>
                <w:rFonts w:hint="eastAsia" w:ascii="幼圆" w:hAnsi="幼圆" w:eastAsia="幼圆" w:cs="幼圆"/>
                <w:i w:val="0"/>
                <w:iCs w:val="0"/>
                <w:color w:val="auto"/>
                <w:sz w:val="20"/>
                <w:szCs w:val="20"/>
                <w:highlight w:val="none"/>
                <w:u w:val="none"/>
                <w:shd w:val="clear" w:color="auto" w:fill="auto"/>
              </w:rPr>
            </w:pPr>
            <w:r>
              <w:rPr>
                <w:rFonts w:hint="eastAsia" w:ascii="幼圆" w:hAnsi="幼圆" w:eastAsia="幼圆" w:cs="幼圆"/>
                <w:i w:val="0"/>
                <w:iCs w:val="0"/>
                <w:color w:val="auto"/>
                <w:kern w:val="0"/>
                <w:sz w:val="20"/>
                <w:szCs w:val="20"/>
                <w:highlight w:val="none"/>
                <w:u w:val="none"/>
                <w:shd w:val="clear" w:color="auto" w:fill="auto"/>
                <w:lang w:val="en-US" w:eastAsia="zh-CN" w:bidi="ar"/>
              </w:rPr>
              <w:t>描述</w:t>
            </w:r>
          </w:p>
        </w:tc>
        <w:tc>
          <w:tcPr>
            <w:tcW w:w="786" w:type="dxa"/>
            <w:gridSpan w:val="2"/>
            <w:vMerge w:val="restart"/>
            <w:shd w:val="clear" w:color="auto" w:fill="auto"/>
            <w:vAlign w:val="center"/>
          </w:tcPr>
          <w:p>
            <w:pPr>
              <w:keepNext w:val="0"/>
              <w:keepLines w:val="0"/>
              <w:widowControl/>
              <w:suppressLineNumbers w:val="0"/>
              <w:jc w:val="center"/>
              <w:textAlignment w:val="center"/>
              <w:rPr>
                <w:rFonts w:hint="eastAsia" w:ascii="幼圆" w:hAnsi="幼圆" w:eastAsia="幼圆" w:cs="幼圆"/>
                <w:i w:val="0"/>
                <w:iCs w:val="0"/>
                <w:color w:val="auto"/>
                <w:sz w:val="20"/>
                <w:szCs w:val="20"/>
                <w:highlight w:val="none"/>
                <w:u w:val="none"/>
                <w:shd w:val="clear" w:color="auto" w:fill="auto"/>
              </w:rPr>
            </w:pPr>
            <w:r>
              <w:rPr>
                <w:rFonts w:hint="eastAsia" w:ascii="幼圆" w:hAnsi="幼圆" w:eastAsia="幼圆" w:cs="幼圆"/>
                <w:i w:val="0"/>
                <w:iCs w:val="0"/>
                <w:color w:val="auto"/>
                <w:kern w:val="0"/>
                <w:sz w:val="20"/>
                <w:szCs w:val="20"/>
                <w:highlight w:val="none"/>
                <w:u w:val="none"/>
                <w:shd w:val="clear" w:color="auto" w:fill="auto"/>
                <w:lang w:val="en-US" w:eastAsia="zh-CN" w:bidi="ar"/>
              </w:rPr>
              <w:t>单位</w:t>
            </w:r>
          </w:p>
        </w:tc>
        <w:tc>
          <w:tcPr>
            <w:tcW w:w="786" w:type="dxa"/>
            <w:gridSpan w:val="2"/>
            <w:vMerge w:val="restart"/>
            <w:shd w:val="clear" w:color="auto" w:fill="auto"/>
            <w:vAlign w:val="center"/>
          </w:tcPr>
          <w:p>
            <w:pPr>
              <w:keepNext w:val="0"/>
              <w:keepLines w:val="0"/>
              <w:widowControl/>
              <w:suppressLineNumbers w:val="0"/>
              <w:jc w:val="center"/>
              <w:textAlignment w:val="center"/>
              <w:rPr>
                <w:rFonts w:hint="eastAsia" w:ascii="幼圆" w:hAnsi="幼圆" w:eastAsia="幼圆" w:cs="幼圆"/>
                <w:i w:val="0"/>
                <w:iCs w:val="0"/>
                <w:color w:val="auto"/>
                <w:sz w:val="20"/>
                <w:szCs w:val="20"/>
                <w:highlight w:val="none"/>
                <w:u w:val="none"/>
                <w:shd w:val="clear" w:color="auto" w:fill="auto"/>
              </w:rPr>
            </w:pPr>
            <w:r>
              <w:rPr>
                <w:rFonts w:hint="eastAsia" w:ascii="幼圆" w:hAnsi="幼圆" w:eastAsia="幼圆" w:cs="幼圆"/>
                <w:i w:val="0"/>
                <w:iCs w:val="0"/>
                <w:color w:val="auto"/>
                <w:kern w:val="0"/>
                <w:sz w:val="20"/>
                <w:szCs w:val="20"/>
                <w:highlight w:val="none"/>
                <w:u w:val="none"/>
                <w:shd w:val="clear" w:color="auto" w:fill="auto"/>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12" w:hRule="atLeast"/>
        </w:trPr>
        <w:tc>
          <w:tcPr>
            <w:tcW w:w="1351" w:type="dxa"/>
            <w:vMerge w:val="continue"/>
            <w:shd w:val="clear" w:color="auto" w:fill="auto"/>
            <w:vAlign w:val="center"/>
          </w:tcPr>
          <w:p>
            <w:pPr>
              <w:jc w:val="center"/>
              <w:rPr>
                <w:rFonts w:hint="eastAsia" w:ascii="幼圆" w:hAnsi="幼圆" w:eastAsia="幼圆" w:cs="幼圆"/>
                <w:i w:val="0"/>
                <w:iCs w:val="0"/>
                <w:color w:val="auto"/>
                <w:sz w:val="20"/>
                <w:szCs w:val="20"/>
                <w:highlight w:val="none"/>
                <w:u w:val="none"/>
                <w:shd w:val="clear" w:color="auto" w:fill="auto"/>
              </w:rPr>
            </w:pPr>
          </w:p>
        </w:tc>
        <w:tc>
          <w:tcPr>
            <w:tcW w:w="1294" w:type="dxa"/>
            <w:gridSpan w:val="2"/>
            <w:vMerge w:val="continue"/>
            <w:shd w:val="clear" w:color="auto" w:fill="auto"/>
            <w:vAlign w:val="center"/>
          </w:tcPr>
          <w:p>
            <w:pPr>
              <w:jc w:val="center"/>
              <w:rPr>
                <w:rFonts w:hint="eastAsia" w:ascii="幼圆" w:hAnsi="幼圆" w:eastAsia="幼圆" w:cs="幼圆"/>
                <w:i w:val="0"/>
                <w:iCs w:val="0"/>
                <w:color w:val="auto"/>
                <w:sz w:val="20"/>
                <w:szCs w:val="20"/>
                <w:highlight w:val="none"/>
                <w:u w:val="none"/>
                <w:shd w:val="clear" w:color="auto" w:fill="auto"/>
              </w:rPr>
            </w:pPr>
          </w:p>
        </w:tc>
        <w:tc>
          <w:tcPr>
            <w:tcW w:w="1917" w:type="dxa"/>
            <w:gridSpan w:val="2"/>
            <w:vMerge w:val="continue"/>
            <w:shd w:val="clear" w:color="auto" w:fill="auto"/>
            <w:vAlign w:val="center"/>
          </w:tcPr>
          <w:p>
            <w:pPr>
              <w:jc w:val="center"/>
              <w:rPr>
                <w:rFonts w:hint="eastAsia" w:ascii="幼圆" w:hAnsi="幼圆" w:eastAsia="幼圆" w:cs="幼圆"/>
                <w:i w:val="0"/>
                <w:iCs w:val="0"/>
                <w:color w:val="auto"/>
                <w:sz w:val="20"/>
                <w:szCs w:val="20"/>
                <w:highlight w:val="none"/>
                <w:u w:val="none"/>
                <w:shd w:val="clear" w:color="auto" w:fill="auto"/>
              </w:rPr>
            </w:pPr>
          </w:p>
        </w:tc>
        <w:tc>
          <w:tcPr>
            <w:tcW w:w="2877" w:type="dxa"/>
            <w:gridSpan w:val="2"/>
            <w:vMerge w:val="continue"/>
            <w:shd w:val="clear" w:color="auto" w:fill="auto"/>
            <w:vAlign w:val="center"/>
          </w:tcPr>
          <w:p>
            <w:pPr>
              <w:jc w:val="center"/>
              <w:rPr>
                <w:rFonts w:hint="eastAsia" w:ascii="幼圆" w:hAnsi="幼圆" w:eastAsia="幼圆" w:cs="幼圆"/>
                <w:i w:val="0"/>
                <w:iCs w:val="0"/>
                <w:color w:val="auto"/>
                <w:sz w:val="20"/>
                <w:szCs w:val="20"/>
                <w:highlight w:val="none"/>
                <w:u w:val="none"/>
                <w:shd w:val="clear" w:color="auto" w:fill="auto"/>
              </w:rPr>
            </w:pPr>
          </w:p>
        </w:tc>
        <w:tc>
          <w:tcPr>
            <w:tcW w:w="786" w:type="dxa"/>
            <w:gridSpan w:val="2"/>
            <w:vMerge w:val="continue"/>
            <w:shd w:val="clear" w:color="auto" w:fill="auto"/>
            <w:vAlign w:val="center"/>
          </w:tcPr>
          <w:p>
            <w:pPr>
              <w:jc w:val="center"/>
              <w:rPr>
                <w:rFonts w:hint="eastAsia" w:ascii="幼圆" w:hAnsi="幼圆" w:eastAsia="幼圆" w:cs="幼圆"/>
                <w:i w:val="0"/>
                <w:iCs w:val="0"/>
                <w:color w:val="auto"/>
                <w:sz w:val="20"/>
                <w:szCs w:val="20"/>
                <w:highlight w:val="none"/>
                <w:u w:val="none"/>
                <w:shd w:val="clear" w:color="auto" w:fill="auto"/>
              </w:rPr>
            </w:pPr>
          </w:p>
        </w:tc>
        <w:tc>
          <w:tcPr>
            <w:tcW w:w="786" w:type="dxa"/>
            <w:gridSpan w:val="2"/>
            <w:vMerge w:val="continue"/>
            <w:shd w:val="clear" w:color="auto" w:fill="auto"/>
            <w:vAlign w:val="center"/>
          </w:tcPr>
          <w:p>
            <w:pPr>
              <w:jc w:val="center"/>
              <w:rPr>
                <w:rFonts w:hint="eastAsia" w:ascii="幼圆" w:hAnsi="幼圆" w:eastAsia="幼圆" w:cs="幼圆"/>
                <w:i w:val="0"/>
                <w:iCs w:val="0"/>
                <w:color w:val="auto"/>
                <w:sz w:val="20"/>
                <w:szCs w:val="20"/>
                <w:highlight w:val="none"/>
                <w:u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53" w:type="dxa"/>
            <w:gridSpan w:val="2"/>
            <w:shd w:val="clear" w:color="auto" w:fill="auto"/>
            <w:vAlign w:val="center"/>
          </w:tcPr>
          <w:p>
            <w:pPr>
              <w:keepNext w:val="0"/>
              <w:keepLines w:val="0"/>
              <w:widowControl/>
              <w:suppressLineNumbers w:val="0"/>
              <w:jc w:val="center"/>
              <w:textAlignment w:val="center"/>
              <w:rPr>
                <w:rFonts w:ascii="幼圆" w:hAnsi="幼圆" w:eastAsia="幼圆" w:cs="幼圆"/>
                <w:i w:val="0"/>
                <w:iCs w:val="0"/>
                <w:color w:val="auto"/>
                <w:sz w:val="20"/>
                <w:szCs w:val="20"/>
                <w:highlight w:val="none"/>
                <w:u w:val="none"/>
                <w:shd w:val="clear" w:color="auto" w:fill="auto"/>
              </w:rPr>
            </w:pPr>
            <w:r>
              <w:rPr>
                <w:rFonts w:hint="eastAsia" w:ascii="幼圆" w:hAnsi="幼圆" w:eastAsia="幼圆" w:cs="幼圆"/>
                <w:i w:val="0"/>
                <w:iCs w:val="0"/>
                <w:color w:val="auto"/>
                <w:kern w:val="0"/>
                <w:sz w:val="20"/>
                <w:szCs w:val="20"/>
                <w:highlight w:val="none"/>
                <w:u w:val="none"/>
                <w:shd w:val="clear" w:color="auto" w:fill="auto"/>
                <w:lang w:val="en-US" w:eastAsia="zh-CN" w:bidi="ar"/>
              </w:rPr>
              <w:t>1</w:t>
            </w:r>
          </w:p>
        </w:tc>
        <w:tc>
          <w:tcPr>
            <w:tcW w:w="1295" w:type="dxa"/>
            <w:gridSpan w:val="2"/>
            <w:vMerge w:val="restart"/>
            <w:shd w:val="clear" w:color="auto" w:fill="auto"/>
            <w:vAlign w:val="center"/>
          </w:tcPr>
          <w:p>
            <w:pPr>
              <w:keepNext w:val="0"/>
              <w:keepLines w:val="0"/>
              <w:widowControl/>
              <w:suppressLineNumbers w:val="0"/>
              <w:jc w:val="left"/>
              <w:textAlignment w:val="center"/>
              <w:rPr>
                <w:rFonts w:hint="eastAsia" w:ascii="幼圆" w:hAnsi="幼圆" w:eastAsia="幼圆" w:cs="幼圆"/>
                <w:i w:val="0"/>
                <w:iCs w:val="0"/>
                <w:color w:val="auto"/>
                <w:sz w:val="20"/>
                <w:szCs w:val="20"/>
                <w:highlight w:val="none"/>
                <w:u w:val="none"/>
                <w:shd w:val="clear" w:color="auto" w:fill="auto"/>
              </w:rPr>
            </w:pPr>
            <w:r>
              <w:rPr>
                <w:rFonts w:hint="eastAsia" w:ascii="幼圆" w:hAnsi="幼圆" w:eastAsia="幼圆" w:cs="幼圆"/>
                <w:i w:val="0"/>
                <w:iCs w:val="0"/>
                <w:color w:val="auto"/>
                <w:kern w:val="0"/>
                <w:sz w:val="20"/>
                <w:szCs w:val="20"/>
                <w:highlight w:val="none"/>
                <w:u w:val="none"/>
                <w:shd w:val="clear" w:color="auto" w:fill="auto"/>
                <w:lang w:val="en-US" w:eastAsia="zh-CN" w:bidi="ar"/>
              </w:rPr>
              <w:t>装修及改造</w:t>
            </w:r>
          </w:p>
        </w:tc>
        <w:tc>
          <w:tcPr>
            <w:tcW w:w="1918" w:type="dxa"/>
            <w:gridSpan w:val="2"/>
            <w:shd w:val="clear" w:color="auto" w:fill="auto"/>
            <w:vAlign w:val="center"/>
          </w:tcPr>
          <w:p>
            <w:pPr>
              <w:keepNext w:val="0"/>
              <w:keepLines w:val="0"/>
              <w:widowControl/>
              <w:suppressLineNumbers w:val="0"/>
              <w:jc w:val="center"/>
              <w:textAlignment w:val="center"/>
              <w:rPr>
                <w:rFonts w:hint="eastAsia" w:ascii="幼圆" w:hAnsi="幼圆" w:eastAsia="幼圆" w:cs="幼圆"/>
                <w:i w:val="0"/>
                <w:iCs w:val="0"/>
                <w:color w:val="auto"/>
                <w:sz w:val="20"/>
                <w:szCs w:val="20"/>
                <w:highlight w:val="none"/>
                <w:u w:val="none"/>
                <w:shd w:val="clear" w:color="auto" w:fill="auto"/>
              </w:rPr>
            </w:pPr>
            <w:r>
              <w:rPr>
                <w:rFonts w:hint="eastAsia" w:ascii="幼圆" w:hAnsi="幼圆" w:eastAsia="幼圆" w:cs="幼圆"/>
                <w:i w:val="0"/>
                <w:iCs w:val="0"/>
                <w:color w:val="auto"/>
                <w:kern w:val="0"/>
                <w:sz w:val="20"/>
                <w:szCs w:val="20"/>
                <w:highlight w:val="none"/>
                <w:u w:val="none"/>
                <w:shd w:val="clear" w:color="auto" w:fill="auto"/>
                <w:lang w:val="en-US" w:eastAsia="zh-CN" w:bidi="ar"/>
              </w:rPr>
              <w:t>空间结构改造</w:t>
            </w:r>
          </w:p>
        </w:tc>
        <w:tc>
          <w:tcPr>
            <w:tcW w:w="2879" w:type="dxa"/>
            <w:gridSpan w:val="2"/>
            <w:shd w:val="clear" w:color="auto" w:fill="auto"/>
            <w:vAlign w:val="center"/>
          </w:tcPr>
          <w:p>
            <w:pPr>
              <w:keepNext w:val="0"/>
              <w:keepLines w:val="0"/>
              <w:widowControl/>
              <w:suppressLineNumbers w:val="0"/>
              <w:jc w:val="center"/>
              <w:textAlignment w:val="center"/>
              <w:rPr>
                <w:rFonts w:hint="eastAsia" w:ascii="幼圆" w:hAnsi="幼圆" w:eastAsia="幼圆" w:cs="幼圆"/>
                <w:i w:val="0"/>
                <w:iCs w:val="0"/>
                <w:color w:val="auto"/>
                <w:sz w:val="20"/>
                <w:szCs w:val="20"/>
                <w:highlight w:val="none"/>
                <w:u w:val="none"/>
                <w:shd w:val="clear" w:color="auto" w:fill="auto"/>
              </w:rPr>
            </w:pPr>
            <w:r>
              <w:rPr>
                <w:rFonts w:hint="eastAsia" w:ascii="幼圆" w:hAnsi="幼圆" w:eastAsia="幼圆" w:cs="幼圆"/>
                <w:i w:val="0"/>
                <w:iCs w:val="0"/>
                <w:color w:val="auto"/>
                <w:kern w:val="0"/>
                <w:sz w:val="20"/>
                <w:szCs w:val="20"/>
                <w:highlight w:val="none"/>
                <w:u w:val="none"/>
                <w:shd w:val="clear" w:color="auto" w:fill="auto"/>
                <w:lang w:val="en-US" w:eastAsia="zh-CN" w:bidi="ar"/>
              </w:rPr>
              <w:t>空间结构改造</w:t>
            </w:r>
          </w:p>
        </w:tc>
        <w:tc>
          <w:tcPr>
            <w:tcW w:w="786" w:type="dxa"/>
            <w:gridSpan w:val="2"/>
            <w:shd w:val="clear" w:color="auto" w:fill="auto"/>
            <w:vAlign w:val="center"/>
          </w:tcPr>
          <w:p>
            <w:pPr>
              <w:keepNext w:val="0"/>
              <w:keepLines w:val="0"/>
              <w:widowControl/>
              <w:suppressLineNumbers w:val="0"/>
              <w:jc w:val="center"/>
              <w:textAlignment w:val="center"/>
              <w:rPr>
                <w:rFonts w:hint="eastAsia" w:ascii="幼圆" w:hAnsi="幼圆" w:eastAsia="幼圆" w:cs="幼圆"/>
                <w:i w:val="0"/>
                <w:iCs w:val="0"/>
                <w:color w:val="auto"/>
                <w:sz w:val="20"/>
                <w:szCs w:val="20"/>
                <w:highlight w:val="none"/>
                <w:u w:val="none"/>
                <w:shd w:val="clear" w:color="auto" w:fill="auto"/>
              </w:rPr>
            </w:pPr>
            <w:r>
              <w:rPr>
                <w:rFonts w:hint="eastAsia" w:ascii="幼圆" w:hAnsi="幼圆" w:eastAsia="幼圆" w:cs="幼圆"/>
                <w:i w:val="0"/>
                <w:iCs w:val="0"/>
                <w:color w:val="auto"/>
                <w:kern w:val="0"/>
                <w:sz w:val="20"/>
                <w:szCs w:val="20"/>
                <w:highlight w:val="none"/>
                <w:u w:val="none"/>
                <w:shd w:val="clear" w:color="auto" w:fill="auto"/>
                <w:lang w:val="en-US" w:eastAsia="zh-CN" w:bidi="ar"/>
              </w:rPr>
              <w:t>项</w:t>
            </w:r>
          </w:p>
        </w:tc>
        <w:tc>
          <w:tcPr>
            <w:tcW w:w="786" w:type="dxa"/>
            <w:gridSpan w:val="2"/>
            <w:shd w:val="clear" w:color="auto" w:fill="auto"/>
            <w:vAlign w:val="center"/>
          </w:tcPr>
          <w:p>
            <w:pPr>
              <w:keepNext w:val="0"/>
              <w:keepLines w:val="0"/>
              <w:widowControl/>
              <w:suppressLineNumbers w:val="0"/>
              <w:jc w:val="center"/>
              <w:textAlignment w:val="center"/>
              <w:rPr>
                <w:rFonts w:hint="eastAsia" w:ascii="幼圆" w:hAnsi="幼圆" w:eastAsia="幼圆" w:cs="幼圆"/>
                <w:i w:val="0"/>
                <w:iCs w:val="0"/>
                <w:color w:val="auto"/>
                <w:sz w:val="20"/>
                <w:szCs w:val="20"/>
                <w:highlight w:val="none"/>
                <w:u w:val="none"/>
                <w:shd w:val="clear" w:color="auto" w:fill="auto"/>
              </w:rPr>
            </w:pPr>
            <w:r>
              <w:rPr>
                <w:rFonts w:hint="eastAsia" w:ascii="幼圆" w:hAnsi="幼圆" w:eastAsia="幼圆" w:cs="幼圆"/>
                <w:i w:val="0"/>
                <w:iCs w:val="0"/>
                <w:color w:val="auto"/>
                <w:kern w:val="0"/>
                <w:sz w:val="20"/>
                <w:szCs w:val="20"/>
                <w:highlight w:val="none"/>
                <w:u w:val="none"/>
                <w:shd w:val="clear" w:color="auto" w:fill="auto"/>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353" w:type="dxa"/>
            <w:gridSpan w:val="2"/>
            <w:shd w:val="clear" w:color="auto" w:fill="auto"/>
            <w:vAlign w:val="center"/>
          </w:tcPr>
          <w:p>
            <w:pPr>
              <w:jc w:val="center"/>
              <w:rPr>
                <w:rFonts w:hint="eastAsia" w:ascii="幼圆" w:hAnsi="幼圆" w:eastAsia="幼圆" w:cs="幼圆"/>
                <w:i w:val="0"/>
                <w:iCs w:val="0"/>
                <w:color w:val="auto"/>
                <w:sz w:val="20"/>
                <w:szCs w:val="20"/>
                <w:highlight w:val="none"/>
                <w:u w:val="none"/>
                <w:shd w:val="clear" w:color="auto" w:fill="auto"/>
                <w:lang w:val="en-US" w:eastAsia="zh-CN"/>
              </w:rPr>
            </w:pPr>
            <w:r>
              <w:rPr>
                <w:rFonts w:hint="eastAsia" w:ascii="幼圆" w:hAnsi="幼圆" w:eastAsia="幼圆" w:cs="幼圆"/>
                <w:i w:val="0"/>
                <w:iCs w:val="0"/>
                <w:color w:val="auto"/>
                <w:sz w:val="20"/>
                <w:szCs w:val="20"/>
                <w:highlight w:val="none"/>
                <w:u w:val="none"/>
                <w:shd w:val="clear" w:color="auto" w:fill="auto"/>
                <w:lang w:val="en-US" w:eastAsia="zh-CN"/>
              </w:rPr>
              <w:t>2</w:t>
            </w:r>
          </w:p>
        </w:tc>
        <w:tc>
          <w:tcPr>
            <w:tcW w:w="1295" w:type="dxa"/>
            <w:gridSpan w:val="2"/>
            <w:vMerge w:val="continue"/>
            <w:shd w:val="clear" w:color="auto" w:fill="auto"/>
            <w:vAlign w:val="center"/>
          </w:tcPr>
          <w:p>
            <w:pPr>
              <w:rPr>
                <w:rFonts w:hint="eastAsia" w:ascii="幼圆" w:hAnsi="幼圆" w:eastAsia="幼圆" w:cs="幼圆"/>
                <w:i w:val="0"/>
                <w:iCs w:val="0"/>
                <w:color w:val="auto"/>
                <w:sz w:val="20"/>
                <w:szCs w:val="20"/>
                <w:highlight w:val="none"/>
                <w:u w:val="none"/>
                <w:shd w:val="clear" w:color="auto" w:fill="auto"/>
              </w:rPr>
            </w:pPr>
          </w:p>
        </w:tc>
        <w:tc>
          <w:tcPr>
            <w:tcW w:w="1918" w:type="dxa"/>
            <w:gridSpan w:val="2"/>
            <w:shd w:val="clear" w:color="auto" w:fill="auto"/>
            <w:vAlign w:val="center"/>
          </w:tcPr>
          <w:p>
            <w:pPr>
              <w:keepNext w:val="0"/>
              <w:keepLines w:val="0"/>
              <w:widowControl/>
              <w:suppressLineNumbers w:val="0"/>
              <w:jc w:val="center"/>
              <w:textAlignment w:val="center"/>
              <w:rPr>
                <w:rFonts w:hint="eastAsia" w:ascii="幼圆" w:hAnsi="幼圆" w:eastAsia="幼圆" w:cs="幼圆"/>
                <w:i w:val="0"/>
                <w:iCs w:val="0"/>
                <w:color w:val="auto"/>
                <w:sz w:val="20"/>
                <w:szCs w:val="20"/>
                <w:highlight w:val="none"/>
                <w:u w:val="none"/>
                <w:shd w:val="clear" w:color="auto" w:fill="auto"/>
              </w:rPr>
            </w:pPr>
            <w:r>
              <w:rPr>
                <w:rFonts w:hint="eastAsia" w:ascii="幼圆" w:hAnsi="幼圆" w:eastAsia="幼圆" w:cs="幼圆"/>
                <w:i w:val="0"/>
                <w:iCs w:val="0"/>
                <w:color w:val="auto"/>
                <w:kern w:val="0"/>
                <w:sz w:val="20"/>
                <w:szCs w:val="20"/>
                <w:highlight w:val="none"/>
                <w:u w:val="none"/>
                <w:shd w:val="clear" w:color="auto" w:fill="auto"/>
                <w:lang w:val="en-US" w:eastAsia="zh-CN" w:bidi="ar"/>
              </w:rPr>
              <w:t>内部装修</w:t>
            </w:r>
          </w:p>
        </w:tc>
        <w:tc>
          <w:tcPr>
            <w:tcW w:w="2879" w:type="dxa"/>
            <w:gridSpan w:val="2"/>
            <w:shd w:val="clear" w:color="auto" w:fill="auto"/>
            <w:vAlign w:val="center"/>
          </w:tcPr>
          <w:p>
            <w:pPr>
              <w:keepNext w:val="0"/>
              <w:keepLines w:val="0"/>
              <w:widowControl/>
              <w:suppressLineNumbers w:val="0"/>
              <w:jc w:val="center"/>
              <w:textAlignment w:val="center"/>
              <w:rPr>
                <w:rFonts w:hint="eastAsia" w:ascii="幼圆" w:hAnsi="幼圆" w:eastAsia="幼圆" w:cs="幼圆"/>
                <w:i w:val="0"/>
                <w:iCs w:val="0"/>
                <w:color w:val="auto"/>
                <w:sz w:val="20"/>
                <w:szCs w:val="20"/>
                <w:highlight w:val="none"/>
                <w:u w:val="none"/>
                <w:shd w:val="clear" w:color="auto" w:fill="auto"/>
              </w:rPr>
            </w:pPr>
            <w:r>
              <w:rPr>
                <w:rFonts w:hint="eastAsia" w:ascii="幼圆" w:hAnsi="幼圆" w:eastAsia="幼圆" w:cs="幼圆"/>
                <w:i w:val="0"/>
                <w:iCs w:val="0"/>
                <w:color w:val="auto"/>
                <w:kern w:val="0"/>
                <w:sz w:val="20"/>
                <w:szCs w:val="20"/>
                <w:highlight w:val="none"/>
                <w:u w:val="none"/>
                <w:shd w:val="clear" w:color="auto" w:fill="auto"/>
                <w:lang w:val="en-US" w:eastAsia="zh-CN" w:bidi="ar"/>
              </w:rPr>
              <w:t>建墙，涂料，地面找平</w:t>
            </w:r>
          </w:p>
        </w:tc>
        <w:tc>
          <w:tcPr>
            <w:tcW w:w="786" w:type="dxa"/>
            <w:gridSpan w:val="2"/>
            <w:shd w:val="clear" w:color="auto" w:fill="auto"/>
            <w:vAlign w:val="center"/>
          </w:tcPr>
          <w:p>
            <w:pPr>
              <w:keepNext w:val="0"/>
              <w:keepLines w:val="0"/>
              <w:widowControl/>
              <w:suppressLineNumbers w:val="0"/>
              <w:jc w:val="center"/>
              <w:textAlignment w:val="center"/>
              <w:rPr>
                <w:rFonts w:hint="eastAsia" w:ascii="幼圆" w:hAnsi="幼圆" w:eastAsia="幼圆" w:cs="幼圆"/>
                <w:i w:val="0"/>
                <w:iCs w:val="0"/>
                <w:color w:val="auto"/>
                <w:sz w:val="20"/>
                <w:szCs w:val="20"/>
                <w:highlight w:val="none"/>
                <w:u w:val="none"/>
                <w:shd w:val="clear" w:color="auto" w:fill="auto"/>
              </w:rPr>
            </w:pPr>
            <w:r>
              <w:rPr>
                <w:rFonts w:hint="eastAsia" w:ascii="幼圆" w:hAnsi="幼圆" w:eastAsia="幼圆" w:cs="幼圆"/>
                <w:i w:val="0"/>
                <w:iCs w:val="0"/>
                <w:color w:val="auto"/>
                <w:kern w:val="0"/>
                <w:sz w:val="20"/>
                <w:szCs w:val="20"/>
                <w:highlight w:val="none"/>
                <w:u w:val="none"/>
                <w:shd w:val="clear" w:color="auto" w:fill="auto"/>
                <w:lang w:val="en-US" w:eastAsia="zh-CN" w:bidi="ar"/>
              </w:rPr>
              <w:t>平米</w:t>
            </w:r>
          </w:p>
        </w:tc>
        <w:tc>
          <w:tcPr>
            <w:tcW w:w="786" w:type="dxa"/>
            <w:gridSpan w:val="2"/>
            <w:shd w:val="clear" w:color="auto" w:fill="auto"/>
            <w:vAlign w:val="center"/>
          </w:tcPr>
          <w:p>
            <w:pPr>
              <w:keepNext w:val="0"/>
              <w:keepLines w:val="0"/>
              <w:widowControl/>
              <w:suppressLineNumbers w:val="0"/>
              <w:jc w:val="center"/>
              <w:textAlignment w:val="center"/>
              <w:rPr>
                <w:rFonts w:hint="eastAsia" w:ascii="幼圆" w:hAnsi="幼圆" w:eastAsia="幼圆" w:cs="幼圆"/>
                <w:i w:val="0"/>
                <w:iCs w:val="0"/>
                <w:color w:val="auto"/>
                <w:sz w:val="20"/>
                <w:szCs w:val="20"/>
                <w:highlight w:val="none"/>
                <w:u w:val="none"/>
                <w:shd w:val="clear" w:color="auto" w:fill="auto"/>
              </w:rPr>
            </w:pPr>
            <w:r>
              <w:rPr>
                <w:rFonts w:hint="eastAsia" w:ascii="幼圆" w:hAnsi="幼圆" w:eastAsia="幼圆" w:cs="幼圆"/>
                <w:i w:val="0"/>
                <w:iCs w:val="0"/>
                <w:color w:val="auto"/>
                <w:kern w:val="0"/>
                <w:sz w:val="20"/>
                <w:szCs w:val="20"/>
                <w:highlight w:val="none"/>
                <w:u w:val="none"/>
                <w:shd w:val="clear" w:color="auto" w:fill="auto"/>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17" w:type="dxa"/>
            <w:gridSpan w:val="12"/>
            <w:shd w:val="clear" w:color="auto" w:fill="auto"/>
            <w:vAlign w:val="center"/>
          </w:tcPr>
          <w:p>
            <w:pPr>
              <w:rPr>
                <w:rFonts w:hint="default" w:ascii="幼圆" w:hAnsi="幼圆" w:eastAsia="幼圆" w:cs="幼圆"/>
                <w:i w:val="0"/>
                <w:iCs w:val="0"/>
                <w:color w:val="auto"/>
                <w:kern w:val="0"/>
                <w:sz w:val="20"/>
                <w:szCs w:val="20"/>
                <w:highlight w:val="none"/>
                <w:u w:val="none"/>
                <w:shd w:val="clear" w:color="auto" w:fill="auto"/>
                <w:lang w:val="en-US" w:eastAsia="zh-CN" w:bidi="ar"/>
              </w:rPr>
            </w:pPr>
            <w:r>
              <w:rPr>
                <w:rFonts w:hint="eastAsia" w:ascii="仿宋" w:hAnsi="仿宋" w:eastAsia="仿宋" w:cs="仿宋"/>
                <w:b/>
                <w:bCs/>
                <w:color w:val="auto"/>
                <w:kern w:val="0"/>
                <w:sz w:val="24"/>
                <w:szCs w:val="24"/>
                <w:highlight w:val="none"/>
                <w:lang w:val="zh-CN"/>
              </w:rPr>
              <w:t>装修及改造</w:t>
            </w:r>
            <w:r>
              <w:rPr>
                <w:rFonts w:hint="eastAsia" w:ascii="仿宋" w:hAnsi="仿宋" w:eastAsia="仿宋" w:cs="仿宋"/>
                <w:b/>
                <w:bCs/>
                <w:color w:val="auto"/>
                <w:kern w:val="0"/>
                <w:sz w:val="24"/>
                <w:highlight w:val="none"/>
                <w:lang w:val="en-US" w:eastAsia="zh-CN"/>
              </w:rPr>
              <w:t>施工</w:t>
            </w:r>
            <w:r>
              <w:rPr>
                <w:rFonts w:hint="eastAsia" w:ascii="仿宋" w:hAnsi="仿宋" w:eastAsia="仿宋" w:cs="仿宋"/>
                <w:b/>
                <w:bCs/>
                <w:color w:val="auto"/>
                <w:kern w:val="0"/>
                <w:sz w:val="24"/>
                <w:highlight w:val="none"/>
                <w:lang w:val="zh-CN"/>
              </w:rPr>
              <w:t>单项报价=上限价（</w:t>
            </w:r>
            <w:r>
              <w:rPr>
                <w:rFonts w:hint="eastAsia" w:ascii="仿宋" w:hAnsi="仿宋" w:eastAsia="仿宋" w:cs="仿宋"/>
                <w:b/>
                <w:bCs/>
                <w:color w:val="auto"/>
                <w:kern w:val="0"/>
                <w:sz w:val="24"/>
                <w:highlight w:val="none"/>
                <w:lang w:val="en-US" w:eastAsia="zh-CN"/>
              </w:rPr>
              <w:t>400000元</w:t>
            </w:r>
            <w:r>
              <w:rPr>
                <w:rFonts w:hint="eastAsia" w:ascii="仿宋" w:hAnsi="仿宋" w:eastAsia="仿宋" w:cs="仿宋"/>
                <w:b/>
                <w:bCs/>
                <w:color w:val="auto"/>
                <w:kern w:val="0"/>
                <w:sz w:val="24"/>
                <w:highlight w:val="none"/>
                <w:lang w:val="zh-CN"/>
              </w:rPr>
              <w:t>）*（1-下浮率报价），该项报价不参与竞争，下浮率报价：</w:t>
            </w:r>
            <w:r>
              <w:rPr>
                <w:rFonts w:hint="eastAsia" w:ascii="仿宋" w:hAnsi="仿宋" w:eastAsia="仿宋" w:cs="仿宋"/>
                <w:b/>
                <w:bCs/>
                <w:color w:val="auto"/>
                <w:kern w:val="0"/>
                <w:sz w:val="24"/>
                <w:highlight w:val="none"/>
                <w:u w:val="single"/>
                <w:lang w:val="zh-CN"/>
              </w:rPr>
              <w:t xml:space="preserve"> </w:t>
            </w:r>
            <w:r>
              <w:rPr>
                <w:rFonts w:hint="eastAsia" w:ascii="仿宋" w:hAnsi="仿宋" w:eastAsia="仿宋" w:cs="仿宋"/>
                <w:b/>
                <w:bCs/>
                <w:color w:val="auto"/>
                <w:kern w:val="0"/>
                <w:sz w:val="24"/>
                <w:highlight w:val="none"/>
                <w:u w:val="single"/>
                <w:lang w:val="en-US" w:eastAsia="zh-CN"/>
              </w:rPr>
              <w:t>8.00</w:t>
            </w:r>
            <w:r>
              <w:rPr>
                <w:rFonts w:hint="eastAsia" w:ascii="仿宋" w:hAnsi="仿宋" w:eastAsia="仿宋" w:cs="仿宋"/>
                <w:b/>
                <w:bCs/>
                <w:color w:val="auto"/>
                <w:kern w:val="0"/>
                <w:sz w:val="24"/>
                <w:highlight w:val="none"/>
                <w:u w:val="single"/>
                <w:lang w:val="zh-CN"/>
              </w:rPr>
              <w:t xml:space="preserve"> </w:t>
            </w:r>
            <w:r>
              <w:rPr>
                <w:rFonts w:hint="eastAsia" w:ascii="仿宋" w:hAnsi="仿宋" w:eastAsia="仿宋" w:cs="仿宋"/>
                <w:b/>
                <w:bCs/>
                <w:color w:val="auto"/>
                <w:kern w:val="0"/>
                <w:sz w:val="24"/>
                <w:highlight w:val="none"/>
                <w:lang w:val="zh-CN"/>
              </w:rPr>
              <w:t xml:space="preserve"> %，下浮率不作调整，结算时以审定后的招标人参考标底为基数。本项目费用结算时，装修及改造施工部分按结算审定价结算（结算审定价不得超过装修及改造施工部分中标价,超过部分由供应商自行承担）</w:t>
            </w:r>
          </w:p>
        </w:tc>
      </w:tr>
    </w:tbl>
    <w:p>
      <w:pPr>
        <w:pStyle w:val="2"/>
        <w:rPr>
          <w:rFonts w:hint="eastAsia"/>
          <w:color w:val="auto"/>
          <w:highlight w:val="none"/>
        </w:rPr>
      </w:pPr>
    </w:p>
    <w:p>
      <w:pPr>
        <w:keepNext w:val="0"/>
        <w:keepLines w:val="0"/>
        <w:pageBreakBefore w:val="0"/>
        <w:widowControl w:val="0"/>
        <w:tabs>
          <w:tab w:val="left" w:pos="420"/>
        </w:tabs>
        <w:kinsoku/>
        <w:wordWrap/>
        <w:overflowPunct/>
        <w:topLinePunct w:val="0"/>
        <w:autoSpaceDE/>
        <w:autoSpaceDN/>
        <w:bidi w:val="0"/>
        <w:adjustRightInd/>
        <w:snapToGrid/>
        <w:spacing w:after="0" w:line="440" w:lineRule="exact"/>
        <w:ind w:firstLine="480" w:firstLineChars="200"/>
        <w:jc w:val="both"/>
        <w:textAlignment w:val="auto"/>
        <w:outlineLvl w:val="3"/>
        <w:rPr>
          <w:rFonts w:hint="eastAsia" w:ascii="仿宋" w:hAnsi="仿宋" w:eastAsia="仿宋" w:cs="仿宋"/>
          <w:b/>
          <w:color w:val="auto"/>
          <w:kern w:val="2"/>
          <w:sz w:val="24"/>
          <w:szCs w:val="24"/>
          <w:highlight w:val="none"/>
        </w:rPr>
      </w:pPr>
      <w:r>
        <w:rPr>
          <w:rFonts w:hint="eastAsia" w:ascii="仿宋" w:hAnsi="仿宋" w:eastAsia="仿宋" w:cs="仿宋"/>
          <w:color w:val="auto"/>
          <w:sz w:val="24"/>
          <w:szCs w:val="24"/>
          <w:highlight w:val="none"/>
          <w:lang w:val="en-US" w:eastAsia="zh-CN"/>
        </w:rPr>
        <w:t>二、</w:t>
      </w:r>
      <w:r>
        <w:rPr>
          <w:rFonts w:hint="eastAsia" w:ascii="仿宋" w:hAnsi="仿宋" w:eastAsia="仿宋" w:cs="仿宋"/>
          <w:b/>
          <w:color w:val="auto"/>
          <w:kern w:val="2"/>
          <w:sz w:val="24"/>
          <w:szCs w:val="24"/>
          <w:highlight w:val="none"/>
        </w:rPr>
        <w:t>设计、施工参照标准、规范及相关要求</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主要标准和规范如下（包括但不限于）：</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（1）《建筑给水排水设计规范》GB 50015-2003 (2009版)；</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（2）《建筑给水排水及采暖工程施工质量验收规范》GB50242-2002；</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（3）《民用建筑电气设计规范》（JGJ16-2008）；</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（4）《建筑电气工程施工质量验收规范》GB50303—2002；</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（5）《民用建筑照明设计标准》（GBJ 133-90）；</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（6）《建筑设计防火规范》（GB 50016--2006）；</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（7）《采暖通风与空调设计规范》(GB50019-2003)</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（8）《通风与空调工程施工及验收规范》（GB50243-2002）；</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（9）《建筑涂饰工程施工及验收规范》（JGJ/29-2003）；</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（10）《建筑地面工程施工质量验收规范》（GB50209-2002）；</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（11）《铝合金门窗工程设计、施工及验收规定》（BDJ15-30-2002）；</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（12）《建筑工程施工质量验收统一标准》（GB50300-2001）；</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（13）《建筑施工安全检查标准》（</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"http://www.baidu.com/link?url=VDLmz9bBo2c6agDGZDKnRzmM3G58dd3N9HnbX0jeRGsYrbWW_WjnDiFfR2kS1GZTJVd_8zszUB4wvvSHuCZRns08oUlARRBhmRMXZ2ZTs97"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kern w:val="2"/>
          <w:sz w:val="24"/>
          <w:szCs w:val="24"/>
          <w:highlight w:val="none"/>
        </w:rPr>
        <w:t>JGJ59-2011</w:t>
      </w:r>
      <w:r>
        <w:rPr>
          <w:rFonts w:hint="eastAsia" w:ascii="仿宋" w:hAnsi="仿宋" w:eastAsia="仿宋" w:cs="仿宋"/>
          <w:color w:val="auto"/>
          <w:kern w:val="2"/>
          <w:sz w:val="24"/>
          <w:szCs w:val="24"/>
          <w:highlight w:val="none"/>
        </w:rPr>
        <w:fldChar w:fldCharType="end"/>
      </w:r>
      <w:r>
        <w:rPr>
          <w:rFonts w:hint="eastAsia" w:ascii="仿宋" w:hAnsi="仿宋" w:eastAsia="仿宋" w:cs="仿宋"/>
          <w:color w:val="auto"/>
          <w:kern w:val="2"/>
          <w:sz w:val="24"/>
          <w:szCs w:val="24"/>
          <w:highlight w:val="none"/>
        </w:rPr>
        <w:t>）；</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（14）《建筑机械使用安全技术规》（JGJ33-2012）；</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（15）《展览展示工程服务基本要求》；</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（16）绍市财建【2021】8号《绍兴市级政府投资项目限额控制标准》；</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（17）财办预【2017】56号《陈列展览项目支出预算方案编制规范和预算编制标准试行办法》；</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（18）其他国家及地方设计、施工法律、法规及规范、标准。</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bCs/>
          <w:color w:val="auto"/>
          <w:sz w:val="32"/>
          <w:szCs w:val="32"/>
          <w:highlight w:val="none"/>
          <w:u w:val="single"/>
        </w:rPr>
      </w:pPr>
      <w:r>
        <w:rPr>
          <w:rFonts w:hint="eastAsia" w:ascii="仿宋" w:hAnsi="仿宋" w:eastAsia="仿宋" w:cs="仿宋"/>
          <w:color w:val="auto"/>
          <w:kern w:val="2"/>
          <w:sz w:val="24"/>
          <w:szCs w:val="24"/>
          <w:highlight w:val="none"/>
        </w:rPr>
        <w:t>5.2质量标准：设计应达到《建筑工程设计文件编制深度规定》中有关施工图的深度要求及本工程涉及的相关专业设计规范；施工达到《建筑工程施工质量验收统一标准》及各专业工程施工质量验收规范。符合国家和浙江省有关室内装饰装修工程工艺标准和质量验收标准。</w:t>
      </w:r>
    </w:p>
    <w:p>
      <w:pPr>
        <w:pStyle w:val="5"/>
        <w:rPr>
          <w:rFonts w:hint="eastAsia" w:ascii="仿宋" w:hAnsi="仿宋" w:eastAsia="仿宋" w:cs="仿宋"/>
          <w:color w:val="auto"/>
          <w:highlight w:val="none"/>
        </w:rPr>
      </w:pPr>
      <w:r>
        <w:rPr>
          <w:rFonts w:hint="eastAsia" w:ascii="仿宋" w:hAnsi="仿宋" w:eastAsia="仿宋" w:cs="仿宋"/>
          <w:color w:val="auto"/>
          <w:highlight w:val="none"/>
        </w:rPr>
        <w:t>二、商务要求</w:t>
      </w:r>
      <w:bookmarkEnd w:id="11"/>
    </w:p>
    <w:p>
      <w:pPr>
        <w:widowControl/>
        <w:snapToGrid w:val="0"/>
        <w:spacing w:line="480" w:lineRule="exact"/>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2.1供货期</w:t>
      </w:r>
    </w:p>
    <w:p>
      <w:pPr>
        <w:widowControl/>
        <w:snapToGrid w:val="0"/>
        <w:spacing w:line="480" w:lineRule="exact"/>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自甲乙双方签订合同之日起</w:t>
      </w:r>
      <w:r>
        <w:rPr>
          <w:rFonts w:hint="eastAsia" w:ascii="仿宋" w:hAnsi="仿宋" w:eastAsia="仿宋" w:cs="仿宋"/>
          <w:b/>
          <w:bCs/>
          <w:color w:val="auto"/>
          <w:kern w:val="0"/>
          <w:sz w:val="24"/>
          <w:highlight w:val="none"/>
          <w:lang w:val="en-US" w:eastAsia="zh-CN"/>
        </w:rPr>
        <w:t>75</w:t>
      </w:r>
      <w:r>
        <w:rPr>
          <w:rFonts w:hint="eastAsia" w:ascii="仿宋" w:hAnsi="仿宋" w:eastAsia="仿宋" w:cs="仿宋"/>
          <w:b/>
          <w:bCs/>
          <w:color w:val="auto"/>
          <w:kern w:val="0"/>
          <w:sz w:val="24"/>
          <w:highlight w:val="none"/>
        </w:rPr>
        <w:t>天内完成方案深化、施工图设计、展示内容的设计制作及所有展区施工，并具备竣工验收条件。</w:t>
      </w:r>
    </w:p>
    <w:p>
      <w:pPr>
        <w:widowControl/>
        <w:snapToGrid w:val="0"/>
        <w:spacing w:line="480" w:lineRule="exact"/>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2.2安装调试：</w:t>
      </w:r>
    </w:p>
    <w:p>
      <w:pPr>
        <w:widowControl/>
        <w:snapToGrid w:val="0"/>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中标人负责设备的安装、调试，费用由中标人承担，请考虑到本次投标报价中。</w:t>
      </w:r>
    </w:p>
    <w:p>
      <w:pPr>
        <w:widowControl/>
        <w:snapToGrid w:val="0"/>
        <w:spacing w:line="480" w:lineRule="exac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2.3质保期</w:t>
      </w:r>
    </w:p>
    <w:p>
      <w:pPr>
        <w:widowControl/>
        <w:snapToGrid w:val="0"/>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本次采购质保期为2年。质保期时间从整个项目竣工验收合格之日算起。在质保期内，承包人须免费负责修理和替换任何由于货物自身的质量问题造成的损坏及故障，以及所有设备的免费维护。</w:t>
      </w:r>
    </w:p>
    <w:p>
      <w:pPr>
        <w:widowControl/>
        <w:snapToGrid w:val="0"/>
        <w:spacing w:line="480" w:lineRule="exac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2.4技术培训</w:t>
      </w:r>
    </w:p>
    <w:p>
      <w:pPr>
        <w:widowControl/>
        <w:snapToGrid w:val="0"/>
        <w:spacing w:line="48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中标人需负责对采购人的技术人员就行培训。供应商须在投标文件中提供详细的培训计划，包括培训内容、培训时间、培训费用等。技术培训费用应包含在投标总价。</w:t>
      </w:r>
    </w:p>
    <w:p>
      <w:pPr>
        <w:widowControl/>
        <w:snapToGrid w:val="0"/>
        <w:spacing w:line="480" w:lineRule="exac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2.5售后服务</w:t>
      </w:r>
    </w:p>
    <w:p>
      <w:pPr>
        <w:widowControl/>
        <w:snapToGrid w:val="0"/>
        <w:spacing w:line="480" w:lineRule="exact"/>
        <w:ind w:firstLine="479"/>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中标人需提供专门的售后服务电话，中标人在接到采购人通知后，</w:t>
      </w:r>
      <w:r>
        <w:rPr>
          <w:rFonts w:hint="eastAsia" w:ascii="仿宋" w:hAnsi="仿宋" w:eastAsia="仿宋" w:cs="仿宋"/>
          <w:color w:val="auto"/>
          <w:kern w:val="0"/>
          <w:sz w:val="24"/>
          <w:highlight w:val="none"/>
          <w:u w:val="single"/>
        </w:rPr>
        <w:t>24</w:t>
      </w:r>
      <w:r>
        <w:rPr>
          <w:rFonts w:hint="eastAsia" w:ascii="仿宋" w:hAnsi="仿宋" w:eastAsia="仿宋" w:cs="仿宋"/>
          <w:color w:val="auto"/>
          <w:kern w:val="0"/>
          <w:sz w:val="24"/>
          <w:highlight w:val="none"/>
        </w:rPr>
        <w:t>小时内做出响应，</w:t>
      </w:r>
      <w:r>
        <w:rPr>
          <w:rFonts w:hint="eastAsia" w:ascii="仿宋" w:hAnsi="仿宋" w:eastAsia="仿宋" w:cs="仿宋"/>
          <w:color w:val="auto"/>
          <w:kern w:val="0"/>
          <w:sz w:val="24"/>
          <w:highlight w:val="none"/>
          <w:u w:val="single"/>
          <w:lang w:val="en-US" w:eastAsia="zh-CN"/>
        </w:rPr>
        <w:t>72</w:t>
      </w:r>
      <w:r>
        <w:rPr>
          <w:rFonts w:hint="eastAsia" w:ascii="仿宋" w:hAnsi="仿宋" w:eastAsia="仿宋" w:cs="仿宋"/>
          <w:color w:val="auto"/>
          <w:kern w:val="0"/>
          <w:sz w:val="24"/>
          <w:highlight w:val="none"/>
        </w:rPr>
        <w:t>小时内派人赴现场处理问题。</w:t>
      </w:r>
      <w:r>
        <w:rPr>
          <w:rFonts w:hint="eastAsia" w:ascii="仿宋" w:hAnsi="仿宋" w:eastAsia="仿宋" w:cs="仿宋"/>
          <w:color w:val="auto"/>
          <w:kern w:val="0"/>
          <w:sz w:val="24"/>
          <w:highlight w:val="none"/>
          <w:u w:val="single"/>
          <w:lang w:val="en-US" w:eastAsia="zh-CN"/>
        </w:rPr>
        <w:t>7</w:t>
      </w:r>
      <w:r>
        <w:rPr>
          <w:rFonts w:hint="eastAsia" w:ascii="仿宋" w:hAnsi="仿宋" w:eastAsia="仿宋" w:cs="仿宋"/>
          <w:color w:val="auto"/>
          <w:kern w:val="0"/>
          <w:sz w:val="24"/>
          <w:highlight w:val="none"/>
          <w:u w:val="none"/>
          <w:lang w:val="en-US" w:eastAsia="zh-CN"/>
        </w:rPr>
        <w:t>日</w:t>
      </w:r>
      <w:r>
        <w:rPr>
          <w:rFonts w:hint="eastAsia" w:ascii="仿宋" w:hAnsi="仿宋" w:eastAsia="仿宋" w:cs="仿宋"/>
          <w:color w:val="auto"/>
          <w:kern w:val="0"/>
          <w:sz w:val="24"/>
          <w:highlight w:val="none"/>
          <w:u w:val="none"/>
        </w:rPr>
        <w:t>内</w:t>
      </w:r>
      <w:r>
        <w:rPr>
          <w:rFonts w:hint="eastAsia" w:ascii="仿宋" w:hAnsi="仿宋" w:eastAsia="仿宋" w:cs="仿宋"/>
          <w:color w:val="auto"/>
          <w:kern w:val="0"/>
          <w:sz w:val="24"/>
          <w:highlight w:val="none"/>
        </w:rPr>
        <w:t>无法修复的，中标人需提供</w:t>
      </w:r>
      <w:r>
        <w:rPr>
          <w:rFonts w:hint="eastAsia" w:ascii="仿宋" w:hAnsi="仿宋" w:eastAsia="仿宋" w:cs="仿宋"/>
          <w:color w:val="auto"/>
          <w:sz w:val="24"/>
          <w:highlight w:val="none"/>
        </w:rPr>
        <w:t>无偿提供备机或备用零件供采购人使用。项目完工后投入使用前，中标人负责做好场馆运营相关人员的培训工作（含：</w:t>
      </w:r>
      <w:r>
        <w:rPr>
          <w:rFonts w:hint="eastAsia" w:ascii="仿宋" w:hAnsi="仿宋" w:eastAsia="仿宋" w:cs="仿宋"/>
          <w:color w:val="auto"/>
          <w:sz w:val="24"/>
          <w:highlight w:val="none"/>
          <w:lang w:eastAsia="zh-CN"/>
        </w:rPr>
        <w:t>项目</w:t>
      </w:r>
      <w:r>
        <w:rPr>
          <w:rFonts w:hint="eastAsia" w:ascii="仿宋" w:hAnsi="仿宋" w:eastAsia="仿宋" w:cs="仿宋"/>
          <w:color w:val="auto"/>
          <w:sz w:val="24"/>
          <w:highlight w:val="none"/>
        </w:rPr>
        <w:t>范围内的软件、硬件控制与维护，讲解人员的岗前培训等）。</w:t>
      </w:r>
    </w:p>
    <w:p>
      <w:pPr>
        <w:widowControl/>
        <w:snapToGrid w:val="0"/>
        <w:spacing w:line="480" w:lineRule="exac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2.6付款方式</w:t>
      </w:r>
    </w:p>
    <w:p>
      <w:pPr>
        <w:keepNext w:val="0"/>
        <w:keepLines w:val="0"/>
        <w:pageBreakBefore w:val="0"/>
        <w:widowControl/>
        <w:kinsoku/>
        <w:wordWrap/>
        <w:overflowPunct/>
        <w:topLinePunct w:val="0"/>
        <w:autoSpaceDE/>
        <w:autoSpaceDN/>
        <w:bidi w:val="0"/>
        <w:adjustRightInd/>
        <w:snapToGrid w:val="0"/>
        <w:spacing w:line="480" w:lineRule="exact"/>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（一）空间软装及道具、多媒体硬件系统、监控系统、消防应急灯系统、空调系统、机房设备及线管、互动设备及软件、内容创作等项目（以下简称内容一）和（二）装修及改造施工两部分分别付款。</w:t>
      </w:r>
    </w:p>
    <w:p>
      <w:pPr>
        <w:pStyle w:val="2"/>
        <w:keepNext w:val="0"/>
        <w:keepLines w:val="0"/>
        <w:pageBreakBefore w:val="0"/>
        <w:kinsoku/>
        <w:wordWrap/>
        <w:overflowPunct/>
        <w:topLinePunct w:val="0"/>
        <w:autoSpaceDE/>
        <w:autoSpaceDN/>
        <w:bidi w:val="0"/>
        <w:adjustRightInd/>
        <w:spacing w:after="0" w:line="480" w:lineRule="exact"/>
        <w:textAlignment w:val="auto"/>
        <w:rPr>
          <w:rFonts w:hint="eastAsia"/>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（一）内容一付款方式：</w:t>
      </w:r>
    </w:p>
    <w:p>
      <w:pPr>
        <w:pStyle w:val="14"/>
        <w:keepNext w:val="0"/>
        <w:keepLines w:val="0"/>
        <w:pageBreakBefore w:val="0"/>
        <w:kinsoku/>
        <w:wordWrap/>
        <w:overflowPunct/>
        <w:topLinePunct w:val="0"/>
        <w:autoSpaceDE/>
        <w:autoSpaceDN/>
        <w:bidi w:val="0"/>
        <w:adjustRightInd/>
        <w:spacing w:line="48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1）合同签订且具备实施条件15日内支付项目</w:t>
      </w:r>
      <w:r>
        <w:rPr>
          <w:rFonts w:hint="eastAsia" w:ascii="仿宋" w:hAnsi="仿宋" w:eastAsia="仿宋" w:cs="仿宋"/>
          <w:color w:val="auto"/>
          <w:sz w:val="24"/>
          <w:szCs w:val="24"/>
          <w:highlight w:val="none"/>
          <w:lang w:eastAsia="zh-CN"/>
        </w:rPr>
        <w:t>内容一</w:t>
      </w:r>
      <w:r>
        <w:rPr>
          <w:rFonts w:hint="eastAsia" w:ascii="仿宋" w:hAnsi="仿宋" w:eastAsia="仿宋" w:cs="仿宋"/>
          <w:color w:val="auto"/>
          <w:sz w:val="24"/>
          <w:szCs w:val="24"/>
          <w:highlight w:val="none"/>
        </w:rPr>
        <w:t>合同金额的30%；</w:t>
      </w:r>
    </w:p>
    <w:p>
      <w:pPr>
        <w:pStyle w:val="14"/>
        <w:keepNext w:val="0"/>
        <w:keepLines w:val="0"/>
        <w:pageBreakBefore w:val="0"/>
        <w:kinsoku/>
        <w:wordWrap/>
        <w:overflowPunct/>
        <w:topLinePunct w:val="0"/>
        <w:autoSpaceDE/>
        <w:autoSpaceDN/>
        <w:bidi w:val="0"/>
        <w:adjustRightInd/>
        <w:spacing w:line="48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2）设备到货后支付项目合同总金额的40%；</w:t>
      </w:r>
    </w:p>
    <w:p>
      <w:pPr>
        <w:pStyle w:val="14"/>
        <w:keepNext w:val="0"/>
        <w:keepLines w:val="0"/>
        <w:pageBreakBefore w:val="0"/>
        <w:kinsoku/>
        <w:wordWrap/>
        <w:overflowPunct/>
        <w:topLinePunct w:val="0"/>
        <w:autoSpaceDE/>
        <w:autoSpaceDN/>
        <w:bidi w:val="0"/>
        <w:adjustRightInd/>
        <w:spacing w:line="48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3）所有设备安装调试完成后，支付项目合同总金额的15%；</w:t>
      </w:r>
    </w:p>
    <w:p>
      <w:pPr>
        <w:pStyle w:val="14"/>
        <w:keepNext w:val="0"/>
        <w:keepLines w:val="0"/>
        <w:pageBreakBefore w:val="0"/>
        <w:kinsoku/>
        <w:wordWrap/>
        <w:overflowPunct/>
        <w:topLinePunct w:val="0"/>
        <w:autoSpaceDE/>
        <w:autoSpaceDN/>
        <w:bidi w:val="0"/>
        <w:adjustRightInd/>
        <w:spacing w:line="480" w:lineRule="exac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4）竣工验收合格后并归档完成后30日内支付项目合同余款</w:t>
      </w:r>
      <w:r>
        <w:rPr>
          <w:rFonts w:hint="eastAsia" w:ascii="仿宋" w:hAnsi="仿宋" w:eastAsia="仿宋" w:cs="仿宋"/>
          <w:color w:val="auto"/>
          <w:sz w:val="24"/>
          <w:szCs w:val="24"/>
          <w:highlight w:val="none"/>
          <w:lang w:eastAsia="zh-CN"/>
        </w:rPr>
        <w:t>；</w:t>
      </w:r>
    </w:p>
    <w:p>
      <w:pPr>
        <w:pStyle w:val="14"/>
        <w:keepNext w:val="0"/>
        <w:keepLines w:val="0"/>
        <w:pageBreakBefore w:val="0"/>
        <w:kinsoku/>
        <w:wordWrap/>
        <w:overflowPunct/>
        <w:topLinePunct w:val="0"/>
        <w:autoSpaceDE/>
        <w:autoSpaceDN/>
        <w:bidi w:val="0"/>
        <w:adjustRightInd/>
        <w:spacing w:line="48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（5）甲方每次付款前，乙方应提交相应金额的发票和请款书。</w:t>
      </w:r>
    </w:p>
    <w:p>
      <w:pPr>
        <w:pStyle w:val="15"/>
        <w:keepNext w:val="0"/>
        <w:keepLines w:val="0"/>
        <w:pageBreakBefore w:val="0"/>
        <w:kinsoku/>
        <w:wordWrap/>
        <w:overflowPunct/>
        <w:topLinePunct w:val="0"/>
        <w:autoSpaceDE/>
        <w:autoSpaceDN/>
        <w:bidi w:val="0"/>
        <w:adjustRightInd/>
        <w:spacing w:after="0" w:line="480" w:lineRule="exact"/>
        <w:textAlignment w:val="auto"/>
        <w:rPr>
          <w:rFonts w:hint="eastAsia"/>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（二）装修及改造施工付款方式：</w:t>
      </w:r>
    </w:p>
    <w:p>
      <w:pPr>
        <w:keepNext w:val="0"/>
        <w:keepLines w:val="0"/>
        <w:pageBreakBefore w:val="0"/>
        <w:kinsoku/>
        <w:wordWrap/>
        <w:overflowPunct/>
        <w:topLinePunct w:val="0"/>
        <w:autoSpaceDE/>
        <w:autoSpaceDN/>
        <w:bidi w:val="0"/>
        <w:adjustRightInd/>
        <w:spacing w:line="480" w:lineRule="exact"/>
        <w:ind w:firstLine="480" w:firstLineChars="2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竣工验收（含提前竣工验收的单位工程）后支付至</w:t>
      </w:r>
      <w:r>
        <w:rPr>
          <w:rFonts w:hint="eastAsia" w:ascii="仿宋" w:hAnsi="仿宋" w:eastAsia="仿宋" w:cs="仿宋"/>
          <w:b/>
          <w:bCs/>
          <w:color w:val="auto"/>
          <w:sz w:val="24"/>
          <w:szCs w:val="24"/>
          <w:highlight w:val="none"/>
          <w:lang w:val="en-US" w:eastAsia="zh-CN"/>
        </w:rPr>
        <w:t>装修及改造施工部分</w:t>
      </w:r>
      <w:r>
        <w:rPr>
          <w:rFonts w:hint="eastAsia" w:ascii="仿宋" w:hAnsi="仿宋" w:eastAsia="仿宋" w:cs="仿宋"/>
          <w:color w:val="auto"/>
          <w:kern w:val="2"/>
          <w:sz w:val="24"/>
          <w:szCs w:val="24"/>
          <w:highlight w:val="none"/>
          <w:lang w:val="en-US" w:eastAsia="zh-CN" w:bidi="ar-SA"/>
        </w:rPr>
        <w:t>合同价的85%，提交结算和施工档案完成归档后支付至</w:t>
      </w:r>
      <w:r>
        <w:rPr>
          <w:rFonts w:hint="eastAsia" w:ascii="仿宋" w:hAnsi="仿宋" w:eastAsia="仿宋" w:cs="仿宋"/>
          <w:b/>
          <w:bCs/>
          <w:color w:val="auto"/>
          <w:sz w:val="24"/>
          <w:szCs w:val="24"/>
          <w:highlight w:val="none"/>
          <w:lang w:val="en-US" w:eastAsia="zh-CN"/>
        </w:rPr>
        <w:t>装修及改造施工部分</w:t>
      </w:r>
      <w:r>
        <w:rPr>
          <w:rFonts w:hint="eastAsia" w:ascii="仿宋" w:hAnsi="仿宋" w:eastAsia="仿宋" w:cs="仿宋"/>
          <w:color w:val="auto"/>
          <w:kern w:val="2"/>
          <w:sz w:val="24"/>
          <w:szCs w:val="24"/>
          <w:highlight w:val="none"/>
          <w:lang w:val="en-US" w:eastAsia="zh-CN" w:bidi="ar-SA"/>
        </w:rPr>
        <w:t xml:space="preserve">合同价的 90%，经结算审计通过后付至审定价的 98.5%，余款作为质量保证金（不计息）。 </w:t>
      </w:r>
    </w:p>
    <w:p>
      <w:pPr>
        <w:keepNext w:val="0"/>
        <w:keepLines w:val="0"/>
        <w:pageBreakBefore w:val="0"/>
        <w:kinsoku/>
        <w:wordWrap/>
        <w:overflowPunct/>
        <w:topLinePunct w:val="0"/>
        <w:autoSpaceDE/>
        <w:autoSpaceDN/>
        <w:bidi w:val="0"/>
        <w:adjustRightInd/>
        <w:spacing w:line="480" w:lineRule="exact"/>
        <w:ind w:firstLine="480" w:firstLineChars="2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上述各项费用的每笔款项支付前，承包人应提交相应金额的增值税专用发票（税率为 9%），发包人凭票支付工程款，否则发包人有权拒绝付款并不承担逾期付款的违约责任。</w:t>
      </w:r>
    </w:p>
    <w:p>
      <w:pPr>
        <w:keepNext w:val="0"/>
        <w:keepLines w:val="0"/>
        <w:pageBreakBefore w:val="0"/>
        <w:kinsoku/>
        <w:wordWrap/>
        <w:overflowPunct/>
        <w:topLinePunct w:val="0"/>
        <w:autoSpaceDE/>
        <w:autoSpaceDN/>
        <w:bidi w:val="0"/>
        <w:adjustRightInd/>
        <w:spacing w:line="480" w:lineRule="exact"/>
        <w:ind w:firstLine="480" w:firstLineChars="2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根据市住建局绍市建设[2020]134号文件精神，实行工程款和工资款两条线拨付制度。在工程承包合同中必须明确工程款和工资款两条线拨付，建设单位不管以何种方式支付工程款，必须按月进度工程款的20％作为工资款打入该项目的农民工工资专用账户，此账户专项用于支付农民工工资，不得挪作他用。</w:t>
      </w:r>
    </w:p>
    <w:p>
      <w:pPr>
        <w:widowControl/>
        <w:snapToGrid w:val="0"/>
        <w:spacing w:line="440" w:lineRule="exact"/>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lang w:val="en-US" w:eastAsia="zh-CN"/>
        </w:rPr>
        <w:t>2.7</w:t>
      </w:r>
      <w:r>
        <w:rPr>
          <w:rFonts w:hint="eastAsia" w:ascii="仿宋" w:hAnsi="仿宋" w:eastAsia="仿宋" w:cs="仿宋"/>
          <w:b/>
          <w:bCs/>
          <w:color w:val="auto"/>
          <w:kern w:val="0"/>
          <w:sz w:val="24"/>
          <w:highlight w:val="none"/>
        </w:rPr>
        <w:t>验收</w:t>
      </w:r>
    </w:p>
    <w:p>
      <w:pPr>
        <w:widowControl/>
        <w:snapToGrid w:val="0"/>
        <w:spacing w:line="44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验收按国家有关规范标准（</w:t>
      </w:r>
      <w:r>
        <w:rPr>
          <w:rFonts w:hint="eastAsia" w:ascii="仿宋" w:hAnsi="仿宋" w:eastAsia="仿宋" w:cs="仿宋"/>
          <w:color w:val="auto"/>
          <w:sz w:val="24"/>
          <w:highlight w:val="none"/>
        </w:rPr>
        <w:t>国家无验收规范标准的按双方合同规定的要求</w:t>
      </w:r>
      <w:r>
        <w:rPr>
          <w:rFonts w:hint="eastAsia" w:ascii="仿宋" w:hAnsi="仿宋" w:eastAsia="仿宋" w:cs="仿宋"/>
          <w:color w:val="auto"/>
          <w:kern w:val="0"/>
          <w:sz w:val="24"/>
          <w:highlight w:val="none"/>
        </w:rPr>
        <w:t>）进行。</w:t>
      </w:r>
    </w:p>
    <w:p>
      <w:pPr>
        <w:widowControl/>
        <w:snapToGrid w:val="0"/>
        <w:spacing w:line="44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中标单位使用的材料、设备必须严格按照图纸要求、投标文件规定和国家有关制造、验收方面的规程和规范和环保要求，不得降低技术标准，不得使用假冒、仿冒、贴牌（包括联营合作企业生产的）产品。</w:t>
      </w:r>
    </w:p>
    <w:p>
      <w:pPr>
        <w:widowControl/>
        <w:snapToGrid w:val="0"/>
        <w:spacing w:line="44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采购人保留邀请参加本项目的其他供应商或者第三方机构或相关技术专家参与验收的权利。参与验收的供应商或者第三方机构的意见作为验收书的参考资料一并存档。</w:t>
      </w:r>
    </w:p>
    <w:p>
      <w:pPr>
        <w:widowControl w:val="0"/>
        <w:adjustRightInd/>
        <w:snapToGrid/>
        <w:spacing w:after="0" w:line="440" w:lineRule="exact"/>
        <w:jc w:val="both"/>
        <w:rPr>
          <w:rFonts w:hint="eastAsia" w:ascii="仿宋" w:hAnsi="仿宋" w:eastAsia="仿宋" w:cs="仿宋"/>
          <w:b/>
          <w:color w:val="auto"/>
          <w:kern w:val="2"/>
          <w:sz w:val="24"/>
          <w:szCs w:val="20"/>
          <w:highlight w:val="none"/>
        </w:rPr>
      </w:pPr>
      <w:r>
        <w:rPr>
          <w:rFonts w:hint="eastAsia" w:ascii="仿宋" w:hAnsi="仿宋" w:eastAsia="仿宋" w:cs="仿宋"/>
          <w:b/>
          <w:color w:val="auto"/>
          <w:kern w:val="2"/>
          <w:sz w:val="24"/>
          <w:szCs w:val="20"/>
          <w:highlight w:val="none"/>
        </w:rPr>
        <w:t>2.</w:t>
      </w:r>
      <w:r>
        <w:rPr>
          <w:rFonts w:hint="eastAsia" w:ascii="仿宋" w:hAnsi="仿宋" w:eastAsia="仿宋" w:cs="仿宋"/>
          <w:b/>
          <w:color w:val="auto"/>
          <w:kern w:val="2"/>
          <w:sz w:val="24"/>
          <w:szCs w:val="20"/>
          <w:highlight w:val="none"/>
          <w:lang w:val="en-US" w:eastAsia="zh-CN"/>
        </w:rPr>
        <w:t>8</w:t>
      </w:r>
      <w:r>
        <w:rPr>
          <w:rFonts w:hint="eastAsia" w:ascii="仿宋" w:hAnsi="仿宋" w:eastAsia="仿宋" w:cs="仿宋"/>
          <w:b/>
          <w:color w:val="auto"/>
          <w:kern w:val="2"/>
          <w:sz w:val="24"/>
          <w:szCs w:val="20"/>
          <w:highlight w:val="none"/>
        </w:rPr>
        <w:t>本项目施工图预算的编制依据（编制口径）：</w:t>
      </w:r>
    </w:p>
    <w:p>
      <w:pPr>
        <w:widowControl w:val="0"/>
        <w:adjustRightInd/>
        <w:snapToGrid/>
        <w:spacing w:after="0" w:line="440" w:lineRule="exact"/>
        <w:ind w:firstLine="480" w:firstLineChars="200"/>
        <w:jc w:val="both"/>
        <w:rPr>
          <w:rFonts w:hint="eastAsia"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t>（1）定额套用：《浙江省建设工程计价规则》（2018版）、《浙江省市政工程预算定额》（2018版）、《浙江省园林绿化及仿古建筑工程预算定额》（2018版）、《浙江省房屋建筑与装饰工程预算定额》（2018版）、《浙江省通用安装工程预算定额》（2018版）、《浙江省建筑安装材料基期价格》（2018版）、《浙江省建设工程施工机械台班费用定额》（2018版）、《建设工程工程量清单计价规范》（GB50500-2013）、《建设工程工程量计算规范（2013）浙江省补充规定》、《浙江省工业化建筑工程计价定额》（2016版）、浙建建〔2018〕61号文等。缺项部分参照浙江省其他适用定额。</w:t>
      </w:r>
    </w:p>
    <w:p>
      <w:pPr>
        <w:widowControl w:val="0"/>
        <w:adjustRightInd/>
        <w:snapToGrid/>
        <w:spacing w:after="0" w:line="440" w:lineRule="exact"/>
        <w:ind w:firstLine="480" w:firstLineChars="200"/>
        <w:jc w:val="both"/>
        <w:rPr>
          <w:rFonts w:hint="eastAsia"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t>（2）材料单价：按开标当月的《绍兴市建设工程造价管理信息》信息价计取，《绍兴市建设工程造价管理信息》中没有的材料按同期《浙江造价信息》信息价及市场调查价计取（</w:t>
      </w:r>
      <w:r>
        <w:rPr>
          <w:rFonts w:hint="eastAsia" w:ascii="仿宋" w:hAnsi="仿宋" w:eastAsia="仿宋" w:cs="仿宋"/>
          <w:color w:val="auto"/>
          <w:kern w:val="0"/>
          <w:sz w:val="24"/>
          <w:szCs w:val="24"/>
          <w:highlight w:val="none"/>
          <w:lang w:val="zh-CN"/>
        </w:rPr>
        <w:t>空间软装及道具、</w:t>
      </w:r>
      <w:r>
        <w:rPr>
          <w:rFonts w:hint="eastAsia" w:ascii="仿宋" w:hAnsi="仿宋" w:eastAsia="仿宋" w:cs="仿宋"/>
          <w:color w:val="auto"/>
          <w:kern w:val="2"/>
          <w:sz w:val="24"/>
          <w:szCs w:val="20"/>
          <w:highlight w:val="none"/>
          <w:lang w:val="zh-CN"/>
        </w:rPr>
        <w:t>多媒体硬件系统、监控系统、消防应急灯系统、空调系统、机房设备及线管、互动设备及软件、内容创作等项目</w:t>
      </w:r>
      <w:r>
        <w:rPr>
          <w:rFonts w:hint="eastAsia" w:ascii="仿宋" w:hAnsi="仿宋" w:eastAsia="仿宋" w:cs="仿宋"/>
          <w:color w:val="auto"/>
          <w:kern w:val="2"/>
          <w:sz w:val="24"/>
          <w:szCs w:val="20"/>
          <w:highlight w:val="none"/>
        </w:rPr>
        <w:t>由投标人自行报价，按此报价结算（不再下浮），同时，结算时供应商须提供</w:t>
      </w:r>
      <w:r>
        <w:rPr>
          <w:rFonts w:hint="eastAsia" w:ascii="仿宋" w:hAnsi="仿宋" w:eastAsia="仿宋" w:cs="仿宋"/>
          <w:color w:val="auto"/>
          <w:kern w:val="0"/>
          <w:sz w:val="24"/>
          <w:szCs w:val="24"/>
          <w:highlight w:val="none"/>
          <w:lang w:val="zh-CN"/>
        </w:rPr>
        <w:t>空间软装及道具、</w:t>
      </w:r>
      <w:r>
        <w:rPr>
          <w:rFonts w:hint="eastAsia" w:ascii="仿宋" w:hAnsi="仿宋" w:eastAsia="仿宋" w:cs="仿宋"/>
          <w:color w:val="auto"/>
          <w:kern w:val="2"/>
          <w:sz w:val="24"/>
          <w:szCs w:val="20"/>
          <w:highlight w:val="none"/>
          <w:lang w:val="zh-CN"/>
        </w:rPr>
        <w:t>多媒体硬件系统、监控系统、消防应急灯系统、空调系统、机房设备及线管、互动设备及软件、内容创作等项目</w:t>
      </w:r>
      <w:r>
        <w:rPr>
          <w:rFonts w:hint="eastAsia" w:ascii="仿宋" w:hAnsi="仿宋" w:eastAsia="仿宋" w:cs="仿宋"/>
          <w:color w:val="auto"/>
          <w:kern w:val="2"/>
          <w:sz w:val="24"/>
          <w:szCs w:val="20"/>
          <w:highlight w:val="none"/>
        </w:rPr>
        <w:t>的采购发票作为依据，若采购发票金额上浮15%后的金额小于供应商此部分中标金额的，则按采购发票金额上浮15%结算</w:t>
      </w:r>
      <w:r>
        <w:rPr>
          <w:rFonts w:hint="eastAsia" w:ascii="仿宋" w:hAnsi="仿宋" w:eastAsia="仿宋" w:cs="仿宋"/>
          <w:color w:val="auto"/>
          <w:kern w:val="2"/>
          <w:sz w:val="24"/>
          <w:szCs w:val="20"/>
          <w:highlight w:val="none"/>
          <w:lang w:eastAsia="zh-CN"/>
        </w:rPr>
        <w:t>）</w:t>
      </w:r>
      <w:r>
        <w:rPr>
          <w:rFonts w:hint="eastAsia" w:ascii="仿宋" w:hAnsi="仿宋" w:eastAsia="仿宋" w:cs="仿宋"/>
          <w:color w:val="auto"/>
          <w:kern w:val="2"/>
          <w:sz w:val="24"/>
          <w:szCs w:val="20"/>
          <w:highlight w:val="none"/>
        </w:rPr>
        <w:t>。</w:t>
      </w:r>
    </w:p>
    <w:p>
      <w:pPr>
        <w:widowControl w:val="0"/>
        <w:adjustRightInd/>
        <w:snapToGrid/>
        <w:spacing w:after="0" w:line="440" w:lineRule="exact"/>
        <w:ind w:firstLine="480" w:firstLineChars="200"/>
        <w:jc w:val="both"/>
        <w:rPr>
          <w:rFonts w:hint="eastAsia"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t>（3）人工单价：按开标当月的《绍兴市建设工程造价管理信息》信息价计取。</w:t>
      </w:r>
    </w:p>
    <w:p>
      <w:pPr>
        <w:widowControl w:val="0"/>
        <w:adjustRightInd/>
        <w:snapToGrid/>
        <w:spacing w:after="0" w:line="440" w:lineRule="exact"/>
        <w:ind w:firstLine="480" w:firstLineChars="200"/>
        <w:jc w:val="both"/>
        <w:rPr>
          <w:rFonts w:hint="eastAsia"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t>（4）其余无价材料价格：由中标人在合同执行时进行报价，经采购人或采购人委托的</w:t>
      </w:r>
      <w:r>
        <w:rPr>
          <w:rFonts w:hint="eastAsia" w:ascii="仿宋" w:hAnsi="仿宋" w:eastAsia="仿宋" w:cs="仿宋"/>
          <w:color w:val="auto"/>
          <w:kern w:val="2"/>
          <w:sz w:val="24"/>
          <w:szCs w:val="20"/>
          <w:highlight w:val="none"/>
          <w:lang w:val="zh-CN"/>
        </w:rPr>
        <w:t>造价咨询机构</w:t>
      </w:r>
      <w:r>
        <w:rPr>
          <w:rFonts w:hint="eastAsia" w:ascii="仿宋" w:hAnsi="仿宋" w:eastAsia="仿宋" w:cs="仿宋"/>
          <w:color w:val="auto"/>
          <w:kern w:val="2"/>
          <w:sz w:val="24"/>
          <w:szCs w:val="20"/>
          <w:highlight w:val="none"/>
        </w:rPr>
        <w:t>市场询价后核定。</w:t>
      </w:r>
    </w:p>
    <w:p>
      <w:pPr>
        <w:widowControl w:val="0"/>
        <w:adjustRightInd/>
        <w:snapToGrid/>
        <w:spacing w:after="0" w:line="440" w:lineRule="exact"/>
        <w:ind w:firstLine="480" w:firstLineChars="200"/>
        <w:jc w:val="both"/>
        <w:rPr>
          <w:rFonts w:hint="eastAsia"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t>（5）费用计取：计价方式采用2018版《浙江省建设工程计价规则》，其中企业管理费、利润费率按2018计价的一般计税费率中值计取；税金费率按2018计价的一般计税费率及浙建建发[2019]92号规定计取；施工组织措施费中的安全文明施工基本费按市区工程一般计税费率中值计取，二次搬运费、冬雨季施工增加费以及行车、行人干扰增加费不予考虑。其他施工组织措施项目费率、其他项目费率预算中不考虑，按实际发生项结算计取（其中提前竣工增加费发生时按一般计税费率中值计取）。本项目规费取费按浙建建﹝2018﹞61号规定的标准费率的100％计算。</w:t>
      </w:r>
    </w:p>
    <w:p>
      <w:pPr>
        <w:widowControl w:val="0"/>
        <w:adjustRightInd/>
        <w:snapToGrid/>
        <w:spacing w:after="0" w:line="440" w:lineRule="exact"/>
        <w:ind w:firstLine="480" w:firstLineChars="200"/>
        <w:jc w:val="both"/>
        <w:rPr>
          <w:rFonts w:hint="eastAsia"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t>（6）民工工伤保险费用已计入施工图预算，由中标供应商按规定负责办理相关手续。供应商不按规定办理的，结算时将扣除本项目应缴民工工伤保险费用，且处违约金10000元。</w:t>
      </w:r>
    </w:p>
    <w:p>
      <w:pPr>
        <w:widowControl w:val="0"/>
        <w:adjustRightInd/>
        <w:snapToGrid/>
        <w:spacing w:after="0" w:line="440" w:lineRule="exact"/>
        <w:ind w:firstLine="480" w:firstLineChars="200"/>
        <w:jc w:val="both"/>
        <w:rPr>
          <w:rFonts w:hint="eastAsia"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t>（7）施工过程中，中标供应商需配合采购人办理相关备案手续，并按采购人要求的内容和数量提供有关工程资料，如施工图、效果图、施工方案等，相关费用由投标人在投标报价中考虑，不再另行计取。</w:t>
      </w:r>
    </w:p>
    <w:p>
      <w:pPr>
        <w:widowControl w:val="0"/>
        <w:adjustRightInd/>
        <w:snapToGrid/>
        <w:spacing w:after="0" w:line="440" w:lineRule="exact"/>
        <w:ind w:firstLine="480" w:firstLineChars="200"/>
        <w:jc w:val="both"/>
        <w:rPr>
          <w:rFonts w:hint="eastAsia"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t>（8）审定后的施工图预算不得突破招标文件中的各相关分项上限价，若突破招标文件中的各相关分项上限价，采购人将视为供应商未做好限额设计工作，超过部分不予支付。</w:t>
      </w:r>
    </w:p>
    <w:p>
      <w:pPr>
        <w:widowControl w:val="0"/>
        <w:adjustRightInd/>
        <w:snapToGrid/>
        <w:spacing w:after="0" w:line="440" w:lineRule="exact"/>
        <w:jc w:val="both"/>
        <w:rPr>
          <w:rFonts w:hint="eastAsia" w:ascii="仿宋" w:hAnsi="仿宋" w:eastAsia="仿宋" w:cs="仿宋"/>
          <w:b/>
          <w:color w:val="auto"/>
          <w:kern w:val="2"/>
          <w:sz w:val="24"/>
          <w:szCs w:val="20"/>
          <w:highlight w:val="none"/>
        </w:rPr>
      </w:pPr>
      <w:r>
        <w:rPr>
          <w:rFonts w:hint="eastAsia" w:ascii="仿宋" w:hAnsi="仿宋" w:eastAsia="仿宋" w:cs="仿宋"/>
          <w:b/>
          <w:bCs/>
          <w:color w:val="auto"/>
          <w:kern w:val="2"/>
          <w:sz w:val="24"/>
          <w:szCs w:val="20"/>
          <w:highlight w:val="none"/>
        </w:rPr>
        <w:t>2.9本项目</w:t>
      </w:r>
      <w:r>
        <w:rPr>
          <w:rFonts w:hint="eastAsia" w:ascii="仿宋" w:hAnsi="仿宋" w:eastAsia="仿宋" w:cs="仿宋"/>
          <w:b/>
          <w:color w:val="auto"/>
          <w:kern w:val="2"/>
          <w:sz w:val="24"/>
          <w:szCs w:val="20"/>
          <w:highlight w:val="none"/>
        </w:rPr>
        <w:t>造价控制流程：</w:t>
      </w:r>
    </w:p>
    <w:p>
      <w:pPr>
        <w:widowControl w:val="0"/>
        <w:adjustRightInd/>
        <w:snapToGrid/>
        <w:spacing w:after="0" w:line="440" w:lineRule="exact"/>
        <w:ind w:firstLine="480" w:firstLineChars="200"/>
        <w:jc w:val="both"/>
        <w:rPr>
          <w:rFonts w:hint="eastAsia"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t>（1）项目招标阶段：</w:t>
      </w:r>
    </w:p>
    <w:p>
      <w:pPr>
        <w:widowControl w:val="0"/>
        <w:adjustRightInd/>
        <w:snapToGrid/>
        <w:spacing w:after="0" w:line="440" w:lineRule="exact"/>
        <w:ind w:firstLine="480" w:firstLineChars="200"/>
        <w:jc w:val="both"/>
        <w:rPr>
          <w:rFonts w:hint="eastAsia"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t>投标人在采购人规定的上限单价或各相关分项上限价内报价。</w:t>
      </w:r>
    </w:p>
    <w:p>
      <w:pPr>
        <w:widowControl w:val="0"/>
        <w:adjustRightInd/>
        <w:snapToGrid/>
        <w:spacing w:after="0" w:line="440" w:lineRule="exact"/>
        <w:ind w:firstLine="480" w:firstLineChars="200"/>
        <w:jc w:val="both"/>
        <w:rPr>
          <w:rFonts w:hint="eastAsia"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t>（2）项目实施阶段：</w:t>
      </w:r>
    </w:p>
    <w:p>
      <w:pPr>
        <w:widowControl w:val="0"/>
        <w:adjustRightInd/>
        <w:snapToGrid/>
        <w:spacing w:after="0" w:line="440" w:lineRule="exact"/>
        <w:ind w:firstLine="480" w:firstLineChars="200"/>
        <w:jc w:val="both"/>
        <w:rPr>
          <w:rFonts w:hint="eastAsia"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t>①合同价以中标供应商的中标价签订。</w:t>
      </w:r>
    </w:p>
    <w:p>
      <w:pPr>
        <w:widowControl w:val="0"/>
        <w:adjustRightInd/>
        <w:snapToGrid/>
        <w:spacing w:after="0" w:line="440" w:lineRule="exact"/>
        <w:ind w:firstLine="480" w:firstLineChars="200"/>
        <w:jc w:val="both"/>
        <w:rPr>
          <w:rFonts w:hint="eastAsia"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t>②在采购人无重大设计变更（工程范围、规模、主要技术标准）要求的前提下，中标供应商必须进行限额设计。不得超过招标文件中的各相关分项上限价。</w:t>
      </w:r>
    </w:p>
    <w:p>
      <w:pPr>
        <w:widowControl w:val="0"/>
        <w:adjustRightInd/>
        <w:snapToGrid/>
        <w:spacing w:after="0" w:line="440" w:lineRule="exact"/>
        <w:ind w:firstLine="480" w:firstLineChars="200"/>
        <w:jc w:val="both"/>
        <w:rPr>
          <w:rFonts w:hint="eastAsia"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t>③相关图纸满足采购人的要求并经采购人确认后7天内，供应商编制并提交施工图预算。</w:t>
      </w:r>
    </w:p>
    <w:p>
      <w:pPr>
        <w:widowControl w:val="0"/>
        <w:adjustRightInd/>
        <w:snapToGrid/>
        <w:spacing w:after="0" w:line="440" w:lineRule="exact"/>
        <w:ind w:firstLine="480" w:firstLineChars="200"/>
        <w:jc w:val="both"/>
        <w:rPr>
          <w:rFonts w:hint="eastAsia"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t>④采购人将中标供应商编制的施工图预算书送有关部门或单位审核，审定后的施工图预算（未下浮）严格控制在采购文件中的各相关分项上限价内，超过部分将由中标供应商自行承担。</w:t>
      </w:r>
    </w:p>
    <w:p>
      <w:pPr>
        <w:widowControl w:val="0"/>
        <w:adjustRightInd/>
        <w:snapToGrid/>
        <w:spacing w:after="0" w:line="440" w:lineRule="exact"/>
        <w:ind w:firstLine="480" w:firstLineChars="200"/>
        <w:jc w:val="both"/>
        <w:rPr>
          <w:rFonts w:hint="eastAsia"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t>审定后的预算下浮价包括：</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textAlignment w:val="auto"/>
        <w:rPr>
          <w:rFonts w:hint="eastAsia" w:ascii="仿宋" w:hAnsi="仿宋" w:eastAsia="仿宋" w:cs="仿宋"/>
          <w:b/>
          <w:color w:val="auto"/>
          <w:kern w:val="2"/>
          <w:sz w:val="24"/>
          <w:szCs w:val="20"/>
          <w:highlight w:val="none"/>
        </w:rPr>
      </w:pPr>
      <w:r>
        <w:rPr>
          <w:rFonts w:hint="eastAsia" w:ascii="仿宋" w:hAnsi="仿宋" w:eastAsia="仿宋" w:cs="仿宋"/>
          <w:color w:val="auto"/>
          <w:kern w:val="2"/>
          <w:sz w:val="24"/>
          <w:szCs w:val="20"/>
          <w:highlight w:val="none"/>
        </w:rPr>
        <w:fldChar w:fldCharType="begin"/>
      </w:r>
      <w:r>
        <w:rPr>
          <w:rFonts w:hint="eastAsia" w:ascii="仿宋" w:hAnsi="仿宋" w:eastAsia="仿宋" w:cs="仿宋"/>
          <w:color w:val="auto"/>
          <w:kern w:val="2"/>
          <w:sz w:val="24"/>
          <w:szCs w:val="20"/>
          <w:highlight w:val="none"/>
        </w:rPr>
        <w:instrText xml:space="preserve"> = 1 \* GB3 </w:instrText>
      </w:r>
      <w:r>
        <w:rPr>
          <w:rFonts w:hint="eastAsia" w:ascii="仿宋" w:hAnsi="仿宋" w:eastAsia="仿宋" w:cs="仿宋"/>
          <w:color w:val="auto"/>
          <w:kern w:val="2"/>
          <w:sz w:val="24"/>
          <w:szCs w:val="20"/>
          <w:highlight w:val="none"/>
        </w:rPr>
        <w:fldChar w:fldCharType="separate"/>
      </w:r>
      <w:r>
        <w:rPr>
          <w:rFonts w:hint="eastAsia" w:ascii="仿宋" w:hAnsi="仿宋" w:eastAsia="仿宋" w:cs="仿宋"/>
          <w:color w:val="auto"/>
          <w:kern w:val="2"/>
          <w:sz w:val="24"/>
          <w:szCs w:val="20"/>
          <w:highlight w:val="none"/>
        </w:rPr>
        <w:t>①</w:t>
      </w:r>
      <w:r>
        <w:rPr>
          <w:rFonts w:hint="eastAsia" w:ascii="仿宋" w:hAnsi="仿宋" w:eastAsia="仿宋" w:cs="仿宋"/>
          <w:color w:val="auto"/>
          <w:kern w:val="2"/>
          <w:sz w:val="24"/>
          <w:szCs w:val="20"/>
          <w:highlight w:val="none"/>
        </w:rPr>
        <w:fldChar w:fldCharType="end"/>
      </w:r>
      <w:r>
        <w:rPr>
          <w:rFonts w:hint="eastAsia" w:ascii="仿宋" w:hAnsi="仿宋" w:eastAsia="仿宋" w:cs="仿宋"/>
          <w:color w:val="auto"/>
          <w:kern w:val="2"/>
          <w:sz w:val="24"/>
          <w:szCs w:val="20"/>
          <w:highlight w:val="none"/>
        </w:rPr>
        <w:t>工程费用1（标底内容包括</w:t>
      </w:r>
      <w:r>
        <w:rPr>
          <w:rFonts w:hint="eastAsia" w:ascii="仿宋" w:hAnsi="仿宋" w:eastAsia="仿宋" w:cs="仿宋"/>
          <w:color w:val="auto"/>
          <w:kern w:val="2"/>
          <w:sz w:val="24"/>
          <w:szCs w:val="20"/>
          <w:highlight w:val="none"/>
          <w:lang w:eastAsia="zh-CN"/>
        </w:rPr>
        <w:t>装修及改造施工</w:t>
      </w:r>
      <w:r>
        <w:rPr>
          <w:rFonts w:hint="eastAsia" w:ascii="仿宋" w:hAnsi="仿宋" w:eastAsia="仿宋" w:cs="仿宋"/>
          <w:color w:val="auto"/>
          <w:kern w:val="2"/>
          <w:sz w:val="24"/>
          <w:szCs w:val="20"/>
          <w:highlight w:val="none"/>
        </w:rPr>
        <w:t>）：按审定后施工图预算（未下浮）与采购文件中的</w:t>
      </w:r>
      <w:r>
        <w:rPr>
          <w:rFonts w:hint="eastAsia" w:ascii="仿宋" w:hAnsi="仿宋" w:eastAsia="仿宋" w:cs="仿宋"/>
          <w:color w:val="auto"/>
          <w:kern w:val="2"/>
          <w:sz w:val="24"/>
          <w:szCs w:val="20"/>
          <w:highlight w:val="none"/>
          <w:lang w:eastAsia="zh-CN"/>
        </w:rPr>
        <w:t>该</w:t>
      </w:r>
      <w:r>
        <w:rPr>
          <w:rFonts w:hint="eastAsia" w:ascii="仿宋" w:hAnsi="仿宋" w:eastAsia="仿宋" w:cs="仿宋"/>
          <w:color w:val="auto"/>
          <w:kern w:val="2"/>
          <w:sz w:val="24"/>
          <w:szCs w:val="20"/>
          <w:highlight w:val="none"/>
        </w:rPr>
        <w:t>分项上限价比较，以两者金额低的为基数，并按中标下浮率下浮。</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textAlignment w:val="auto"/>
        <w:rPr>
          <w:rFonts w:hint="eastAsia"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t>②工程费用2（标底内容包括</w:t>
      </w:r>
      <w:r>
        <w:rPr>
          <w:rFonts w:hint="eastAsia" w:ascii="仿宋" w:hAnsi="仿宋" w:eastAsia="仿宋" w:cs="仿宋"/>
          <w:color w:val="auto"/>
          <w:kern w:val="0"/>
          <w:sz w:val="24"/>
          <w:szCs w:val="24"/>
          <w:highlight w:val="none"/>
          <w:lang w:val="zh-CN"/>
        </w:rPr>
        <w:t>空间软装及道具、</w:t>
      </w:r>
      <w:r>
        <w:rPr>
          <w:rFonts w:hint="eastAsia" w:ascii="仿宋" w:hAnsi="仿宋" w:eastAsia="仿宋" w:cs="仿宋"/>
          <w:color w:val="auto"/>
          <w:kern w:val="2"/>
          <w:sz w:val="24"/>
          <w:szCs w:val="20"/>
          <w:highlight w:val="none"/>
          <w:lang w:val="zh-CN"/>
        </w:rPr>
        <w:t>多媒体硬件系统、监控系统、消防应急灯系统、空调系统、机房设备及线管、互动设备及软件、内容创作等项目</w:t>
      </w:r>
      <w:r>
        <w:rPr>
          <w:rFonts w:hint="eastAsia" w:ascii="仿宋" w:hAnsi="仿宋" w:eastAsia="仿宋" w:cs="仿宋"/>
          <w:color w:val="auto"/>
          <w:kern w:val="2"/>
          <w:sz w:val="24"/>
          <w:szCs w:val="20"/>
          <w:highlight w:val="none"/>
        </w:rPr>
        <w:t>），</w:t>
      </w:r>
      <w:r>
        <w:rPr>
          <w:rFonts w:hint="eastAsia" w:ascii="仿宋" w:hAnsi="仿宋" w:eastAsia="仿宋" w:cs="仿宋"/>
          <w:color w:val="auto"/>
          <w:kern w:val="0"/>
          <w:sz w:val="24"/>
          <w:szCs w:val="24"/>
          <w:highlight w:val="none"/>
          <w:lang w:val="zh-CN"/>
        </w:rPr>
        <w:t>空间软装及道具、</w:t>
      </w:r>
      <w:r>
        <w:rPr>
          <w:rFonts w:hint="eastAsia" w:ascii="仿宋" w:hAnsi="仿宋" w:eastAsia="仿宋" w:cs="仿宋"/>
          <w:color w:val="auto"/>
          <w:kern w:val="2"/>
          <w:sz w:val="24"/>
          <w:szCs w:val="20"/>
          <w:highlight w:val="none"/>
          <w:lang w:val="zh-CN"/>
        </w:rPr>
        <w:t>多媒体硬件系统、监控系统、消防应急灯系统、空调系统、机房设备及线管、互动设备及软件、内容创作等项目</w:t>
      </w:r>
      <w:r>
        <w:rPr>
          <w:rFonts w:hint="eastAsia" w:ascii="仿宋" w:hAnsi="仿宋" w:eastAsia="仿宋" w:cs="仿宋"/>
          <w:color w:val="auto"/>
          <w:kern w:val="2"/>
          <w:sz w:val="24"/>
          <w:szCs w:val="20"/>
          <w:highlight w:val="none"/>
        </w:rPr>
        <w:t>由投标人自行报价，按此报价结算（不再下浮），同时，结算时供应商须提供</w:t>
      </w:r>
      <w:r>
        <w:rPr>
          <w:rFonts w:hint="eastAsia" w:ascii="仿宋" w:hAnsi="仿宋" w:eastAsia="仿宋" w:cs="仿宋"/>
          <w:color w:val="auto"/>
          <w:kern w:val="0"/>
          <w:sz w:val="24"/>
          <w:szCs w:val="24"/>
          <w:highlight w:val="none"/>
          <w:lang w:val="zh-CN"/>
        </w:rPr>
        <w:t>空间软装及道具、</w:t>
      </w:r>
      <w:r>
        <w:rPr>
          <w:rFonts w:hint="eastAsia" w:ascii="仿宋" w:hAnsi="仿宋" w:eastAsia="仿宋" w:cs="仿宋"/>
          <w:color w:val="auto"/>
          <w:kern w:val="2"/>
          <w:sz w:val="24"/>
          <w:szCs w:val="20"/>
          <w:highlight w:val="none"/>
          <w:lang w:val="zh-CN"/>
        </w:rPr>
        <w:t>多媒体硬件系统、监控系统、消防应急灯系统、空调系统、机房设备及线管、互动设备及软件、内容创作等项目</w:t>
      </w:r>
      <w:r>
        <w:rPr>
          <w:rFonts w:hint="eastAsia" w:ascii="仿宋" w:hAnsi="仿宋" w:eastAsia="仿宋" w:cs="仿宋"/>
          <w:color w:val="auto"/>
          <w:kern w:val="2"/>
          <w:sz w:val="24"/>
          <w:szCs w:val="20"/>
          <w:highlight w:val="none"/>
        </w:rPr>
        <w:t>的采购发票作为依据，若采购发票金额上浮15%后的金额小于供应商此部分中标金额的，则按采购发票金额上浮15%结算。</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textAlignment w:val="auto"/>
        <w:rPr>
          <w:rFonts w:hint="eastAsia"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fldChar w:fldCharType="begin"/>
      </w:r>
      <w:r>
        <w:rPr>
          <w:rFonts w:hint="eastAsia" w:ascii="仿宋" w:hAnsi="仿宋" w:eastAsia="仿宋" w:cs="仿宋"/>
          <w:color w:val="auto"/>
          <w:kern w:val="2"/>
          <w:sz w:val="24"/>
          <w:szCs w:val="20"/>
          <w:highlight w:val="none"/>
        </w:rPr>
        <w:instrText xml:space="preserve"> = 3 \* GB3 </w:instrText>
      </w:r>
      <w:r>
        <w:rPr>
          <w:rFonts w:hint="eastAsia" w:ascii="仿宋" w:hAnsi="仿宋" w:eastAsia="仿宋" w:cs="仿宋"/>
          <w:color w:val="auto"/>
          <w:kern w:val="2"/>
          <w:sz w:val="24"/>
          <w:szCs w:val="20"/>
          <w:highlight w:val="none"/>
        </w:rPr>
        <w:fldChar w:fldCharType="separate"/>
      </w:r>
      <w:r>
        <w:rPr>
          <w:rFonts w:hint="eastAsia" w:ascii="仿宋" w:hAnsi="仿宋" w:eastAsia="仿宋" w:cs="仿宋"/>
          <w:color w:val="auto"/>
          <w:kern w:val="2"/>
          <w:sz w:val="24"/>
          <w:szCs w:val="20"/>
          <w:highlight w:val="none"/>
        </w:rPr>
        <w:t>③</w:t>
      </w:r>
      <w:r>
        <w:rPr>
          <w:rFonts w:hint="eastAsia" w:ascii="仿宋" w:hAnsi="仿宋" w:eastAsia="仿宋" w:cs="仿宋"/>
          <w:color w:val="auto"/>
          <w:kern w:val="2"/>
          <w:sz w:val="24"/>
          <w:szCs w:val="20"/>
          <w:highlight w:val="none"/>
        </w:rPr>
        <w:fldChar w:fldCharType="end"/>
      </w:r>
      <w:r>
        <w:rPr>
          <w:rFonts w:hint="eastAsia" w:ascii="仿宋" w:hAnsi="仿宋" w:eastAsia="仿宋" w:cs="仿宋"/>
          <w:color w:val="auto"/>
          <w:kern w:val="2"/>
          <w:sz w:val="24"/>
          <w:szCs w:val="20"/>
          <w:highlight w:val="none"/>
        </w:rPr>
        <w:t>设计费用：按中标设计费计算（不下浮）。</w:t>
      </w:r>
    </w:p>
    <w:p>
      <w:pPr>
        <w:widowControl w:val="0"/>
        <w:adjustRightInd/>
        <w:snapToGrid/>
        <w:spacing w:after="0" w:line="440" w:lineRule="exact"/>
        <w:ind w:firstLine="480" w:firstLineChars="200"/>
        <w:jc w:val="both"/>
        <w:rPr>
          <w:rFonts w:hint="eastAsia"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t>（3）项目结算阶段：</w:t>
      </w:r>
    </w:p>
    <w:p>
      <w:pPr>
        <w:widowControl w:val="0"/>
        <w:adjustRightInd/>
        <w:snapToGrid/>
        <w:spacing w:after="0" w:line="440" w:lineRule="exact"/>
        <w:ind w:firstLine="480" w:firstLineChars="200"/>
        <w:jc w:val="both"/>
        <w:rPr>
          <w:rFonts w:hint="eastAsia"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t>本项目费用审定结算价不得超过投标时各分项报价，如超过的，则超过部分将由中标供应商自行承担。在项目实施过程中，采购人对已确认的设计方案提出改进、优化或增加建设内容的，中标供应商应无条件执行采购人的指令，该部分费用发生时按本项目招标口径进行调整，不受限价控制。</w:t>
      </w:r>
    </w:p>
    <w:p>
      <w:pPr>
        <w:widowControl w:val="0"/>
        <w:adjustRightInd/>
        <w:snapToGrid/>
        <w:spacing w:after="0" w:line="440" w:lineRule="exact"/>
        <w:ind w:firstLine="480" w:firstLineChars="200"/>
        <w:jc w:val="both"/>
        <w:rPr>
          <w:rFonts w:hint="eastAsia"/>
          <w:color w:val="auto"/>
          <w:highlight w:val="none"/>
        </w:rPr>
      </w:pPr>
      <w:r>
        <w:rPr>
          <w:rFonts w:hint="eastAsia" w:ascii="仿宋" w:hAnsi="仿宋" w:eastAsia="仿宋" w:cs="仿宋"/>
          <w:color w:val="auto"/>
          <w:kern w:val="2"/>
          <w:sz w:val="24"/>
          <w:szCs w:val="20"/>
          <w:highlight w:val="none"/>
        </w:rPr>
        <w:t>本项目采购人将委托全过程跟踪审计单位对本项目施工阶段进行全过程工程造价控制。</w:t>
      </w:r>
    </w:p>
    <w:p>
      <w:pPr>
        <w:pStyle w:val="14"/>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2.</w:t>
      </w:r>
      <w:r>
        <w:rPr>
          <w:rFonts w:hint="eastAsia" w:ascii="仿宋" w:hAnsi="仿宋" w:eastAsia="仿宋" w:cs="仿宋"/>
          <w:b/>
          <w:bCs/>
          <w:color w:val="auto"/>
          <w:kern w:val="0"/>
          <w:sz w:val="24"/>
          <w:highlight w:val="none"/>
          <w:lang w:val="en-US" w:eastAsia="zh-CN"/>
        </w:rPr>
        <w:t>10</w:t>
      </w:r>
      <w:r>
        <w:rPr>
          <w:rFonts w:hint="eastAsia" w:ascii="仿宋" w:hAnsi="仿宋" w:eastAsia="仿宋" w:cs="仿宋"/>
          <w:b/>
          <w:bCs/>
          <w:color w:val="auto"/>
          <w:kern w:val="0"/>
          <w:sz w:val="24"/>
          <w:highlight w:val="none"/>
        </w:rPr>
        <w:t>其他要求</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1.投标人中标后应首先按招标人要求在</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lang w:val="zh-CN"/>
        </w:rPr>
        <w:t>日内完成深化设计的施工图纸，施工图纸应符合业主和建设行政主管等有关部门审核要求。如审核未通过，中标人应按照要求进行修改，所发生的所有费用由中标人承担。在设计图纸定稿后，图纸中如涉及到某项专业工程，中标人如具备涉及到的专业工程资质，则一并纳入本工程范围</w:t>
      </w:r>
      <w:r>
        <w:rPr>
          <w:rFonts w:hint="eastAsia" w:ascii="仿宋" w:hAnsi="仿宋" w:eastAsia="仿宋" w:cs="仿宋"/>
          <w:strike w:val="0"/>
          <w:dstrike w:val="0"/>
          <w:color w:val="auto"/>
          <w:sz w:val="24"/>
          <w:szCs w:val="24"/>
          <w:highlight w:val="none"/>
          <w:lang w:val="zh-CN"/>
        </w:rPr>
        <w:t>；如不具备所涉及的专业资质，经招标人同意，由中标人依法分包</w:t>
      </w:r>
      <w:r>
        <w:rPr>
          <w:rFonts w:hint="eastAsia" w:ascii="仿宋" w:hAnsi="仿宋" w:eastAsia="仿宋" w:cs="仿宋"/>
          <w:strike w:val="0"/>
          <w:color w:val="auto"/>
          <w:sz w:val="24"/>
          <w:szCs w:val="24"/>
          <w:highlight w:val="none"/>
          <w:lang w:val="zh-CN"/>
        </w:rPr>
        <w:t>。</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2.投标人使用的材料、设备必须严格按照图纸要求、投标文件规定和国家有关制造、验收方面的规程和规范和环保要求，不得降低技术标准，不得使用假冒、仿冒、贴牌（包括联营合作企业生产的）产品。</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val="zh-CN"/>
        </w:rPr>
        <w:t>.投标单位应做好与材料、设备供应商之间的协调工作，合理安排施工进度，并且专款专用，保证整个工程的进度。</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val="zh-CN"/>
        </w:rPr>
        <w:t>.承包人根据投标方案及发包人的技术条件、方案优化要求、施工图深化设计的要求进行施工图设计并经发包人审核确认。</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val="zh-CN"/>
        </w:rPr>
        <w:t>.风险</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val="zh-CN"/>
        </w:rPr>
        <w:t>.2施工期间的政策性调整，以及各类建材的市场风险承包人自负。</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val="zh-CN"/>
        </w:rPr>
        <w:t>.3以下可能发生的费用已综合考虑，不另行计取：</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a.因施工噪音、物体坠落、材料抛散而扰民及影响环境卫生、交通城管、现场文明和施工安全等问题等产生的费用，由承包人和有关管理部门、人员联系，自行解决。因此造成工期延长由承包人负责。如给发包人另行造成额外的经济损失，发包人可从承包人的工程款中扣回；</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b.实际施工中可能发生的其它管理费（如街道管理费、干扰费、环保费、占道押金等）。</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c.组织专项招标可能引起的费用；</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d.配合、指导、协调专项队伍的现场工作；</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e.对承包人自行组织有专项设备的招标，并进行集成、调试、试运转所产生的费用；</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f.配合室内装饰设计总负责单位可能引起的费用；</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g.方案完善、深化费用；</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h.建筑垃圾清理、运输；</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i.机械设备进出场及安拆费。</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val="zh-CN"/>
        </w:rPr>
        <w:t>.风险范围以外</w:t>
      </w:r>
      <w:r>
        <w:rPr>
          <w:rFonts w:hint="eastAsia" w:ascii="仿宋" w:hAnsi="仿宋" w:eastAsia="仿宋" w:cs="仿宋"/>
          <w:color w:val="auto"/>
          <w:sz w:val="24"/>
          <w:szCs w:val="24"/>
          <w:highlight w:val="none"/>
          <w:lang w:val="en-US" w:eastAsia="zh-CN"/>
        </w:rPr>
        <w:t>价格</w:t>
      </w:r>
      <w:r>
        <w:rPr>
          <w:rFonts w:hint="eastAsia" w:ascii="仿宋" w:hAnsi="仿宋" w:eastAsia="仿宋" w:cs="仿宋"/>
          <w:color w:val="auto"/>
          <w:sz w:val="24"/>
          <w:szCs w:val="24"/>
          <w:highlight w:val="none"/>
          <w:lang w:val="zh-CN"/>
        </w:rPr>
        <w:t>调整：</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val="zh-CN"/>
        </w:rPr>
        <w:t>.1因发包人原因引起的设计变更等，按施工图预算价的编制依据的要求，由承包人计量、发包人及有关部门审核。</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val="zh-CN"/>
        </w:rPr>
        <w:t>.2因承包人原因引起的设计变更，如增加工程量，不予追加；如减少工程量，则按照计价依据按实计算。</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6.3</w:t>
      </w:r>
      <w:r>
        <w:rPr>
          <w:rFonts w:hint="eastAsia" w:ascii="仿宋" w:hAnsi="仿宋" w:eastAsia="仿宋" w:cs="仿宋"/>
          <w:color w:val="auto"/>
          <w:sz w:val="24"/>
          <w:szCs w:val="24"/>
          <w:highlight w:val="none"/>
          <w:lang w:val="zh-CN"/>
        </w:rPr>
        <w:t>签约合同价：以中标价作为签约合同价。合同结算价：根据合同约定的结算方式进行工程结算审计，结算审定价即为合同结算价。</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6.4</w:t>
      </w:r>
      <w:r>
        <w:rPr>
          <w:rFonts w:hint="eastAsia" w:ascii="仿宋" w:hAnsi="仿宋" w:eastAsia="仿宋" w:cs="仿宋"/>
          <w:color w:val="auto"/>
          <w:sz w:val="24"/>
          <w:szCs w:val="24"/>
          <w:highlight w:val="none"/>
          <w:lang w:val="zh-CN"/>
        </w:rPr>
        <w:t>本工程采用固定单价固定下浮率合同 [此处的固定单价是指：审定后的施工图预算单价，固定下浮率是指中标下浮率（“</w:t>
      </w:r>
      <w:r>
        <w:rPr>
          <w:rFonts w:hint="eastAsia" w:ascii="仿宋" w:hAnsi="仿宋" w:eastAsia="仿宋" w:cs="仿宋"/>
          <w:color w:val="auto"/>
          <w:kern w:val="0"/>
          <w:sz w:val="24"/>
          <w:szCs w:val="24"/>
          <w:highlight w:val="none"/>
          <w:lang w:val="zh-CN"/>
        </w:rPr>
        <w:t>空间软装及道具、</w:t>
      </w:r>
      <w:r>
        <w:rPr>
          <w:rFonts w:hint="eastAsia" w:ascii="仿宋" w:hAnsi="仿宋" w:eastAsia="仿宋" w:cs="仿宋"/>
          <w:color w:val="auto"/>
          <w:sz w:val="24"/>
          <w:szCs w:val="24"/>
          <w:highlight w:val="none"/>
          <w:lang w:val="zh-CN"/>
        </w:rPr>
        <w:t>多媒体硬件系统、监控系统、消防应急灯系统、空调系统、机房设备及线管、互动设备及软件、内容创作等项目”由投标人自行报价，按此报价结算（不再下浮），同时，结算时供应商须提供“</w:t>
      </w:r>
      <w:r>
        <w:rPr>
          <w:rFonts w:hint="eastAsia" w:ascii="仿宋" w:hAnsi="仿宋" w:eastAsia="仿宋" w:cs="仿宋"/>
          <w:color w:val="auto"/>
          <w:kern w:val="0"/>
          <w:sz w:val="24"/>
          <w:szCs w:val="24"/>
          <w:highlight w:val="none"/>
          <w:lang w:val="zh-CN"/>
        </w:rPr>
        <w:t>空间软装及道具、</w:t>
      </w:r>
      <w:r>
        <w:rPr>
          <w:rFonts w:hint="eastAsia" w:ascii="仿宋" w:hAnsi="仿宋" w:eastAsia="仿宋" w:cs="仿宋"/>
          <w:color w:val="auto"/>
          <w:sz w:val="24"/>
          <w:szCs w:val="24"/>
          <w:highlight w:val="none"/>
          <w:lang w:val="zh-CN"/>
        </w:rPr>
        <w:t>多媒体硬件系统、监控系统、消防应急灯系统、空调系统、机房设备及线管、互动设备及软件、内容创作等项目”的采购发票作为依据，若采购发票金额上浮15%后的金额小于供应商此部分中标金额的，则按采购发票金额上浮15%结算。）]，除法律及以下规定情形外，合同价格不因物价波动进行调整：</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（1）由于设计变更【经采购人同意的】引起的工程量增减；</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（2）本工程的施工图预算经审定后，在合同实施期间，人工、机械、材料价格均不作调整。</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（3）工程量认定：工程量按施工图纸和施工现场实际发生量按实调整；变更的工程量应根据变更设计图纸、变更联系单，并按招标文件中预算编制口径中的工程量计算规则计算确定。</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（4）单价确定：工程设计变更或工程量清单漏项，其相应单价的确定方法为：</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①经审定后的施工图预算中已有项目单价的，按经审定后的施工图预算中确定的综合单价并按中标下浮率下浮；</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②经审定后的施工图预算中无该项目单价，但有与该项目类似的子目，参照该子目单价并按中标下浮率下浮；</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③经审定后的施工图预算中既无该项目单价，又无类似子目，但可套定额的，按采购文件施工图预算编制口径调整并按中标下浮率下浮；</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④没有项目单价和信息价，且无定额可套用，按照采购人签证价结算。</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lang w:val="zh-CN"/>
        </w:rPr>
        <w:t>发包人将组织验收小组按规定的验收程序对承包人提交的深化设计文件及图纸进行认真而严格的验收。对于深化设计文件和图纸验收不合格或需要调整的，承包人必须在规定的期限内完成相应的深化设计文件和图纸的修改、完善与调整，对预算价有影响的则还须对相应的施工图预算书进行修正。修改完善后的深化设计文件和图纸及相应的施工图预算书须重新提交，由发包人组织验收小组进行再次验收。</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val="zh-CN"/>
        </w:rPr>
        <w:t>.深化设计文件和图纸经验收合格后，其预算书将报给工程造价咨询机构审核。工程造价咨询机构对预算书提出审核意见后，报发包人予以审核。发包人根据工程造价咨询机构的意见对预算书提出综合的预算书审核意见。</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lang w:val="zh-CN"/>
        </w:rPr>
        <w:t>.对通不过审核的预算书，发包人有权根据工程造价咨询机构意见直接对其进行调整，或要求承包人根据预算书审核意见在规定的期限内完成预算书的调整，并重新按上述程序向工程造价咨询机构报审。预算未获得审核通过的，则深化设计不能认定已完成。</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lang w:val="zh-CN"/>
        </w:rPr>
        <w:t>.如施工图预算价格超出合同价格(中标价)，承包人必须在规定期限内无条件完成对展厅深化设计的修改与调整，并调整相应的预算书后按上述程序重新报审，以使本合同预算价格控制在合同价格内，并承诺该修改不改变有关初步设计的原则、内容与要求，不改变初步设计的构思，不降低使用功能、展示效果以及设计质量标准；否则视为承包人违约。</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val="zh-CN"/>
        </w:rPr>
        <w:t>.如预算最终经发包人审批通过(预算审定后的各项单价为最终结算单价)，发包人和承包人必须依据深化设计成果，就本合同的修改及完善签订补充协议，内容包括对主要材料设备的品牌、规格型号、与其他承包商工作面的划分、展厅布局的调整、经审批的具体展厅的预算价及合同预算价格等进行确认。如合同双方就上述补充协议内容发生分歧且无法在 年 月 日或之前全部达成一致，发包人有权终止合同或部分终止合同。</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val="zh-CN"/>
        </w:rPr>
        <w:t>.在上述确认合同预算价格的补充协议签订后，承包人必须严格按本合同的预算价格控制工程造价，不得突破。</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13</w:t>
      </w:r>
      <w:r>
        <w:rPr>
          <w:rFonts w:hint="eastAsia" w:ascii="仿宋" w:hAnsi="仿宋" w:eastAsia="仿宋" w:cs="仿宋"/>
          <w:color w:val="auto"/>
          <w:sz w:val="24"/>
          <w:szCs w:val="24"/>
          <w:highlight w:val="none"/>
          <w:lang w:val="zh-CN"/>
        </w:rPr>
        <w:t>.确定变更价款</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13</w:t>
      </w:r>
      <w:r>
        <w:rPr>
          <w:rFonts w:hint="eastAsia" w:ascii="仿宋" w:hAnsi="仿宋" w:eastAsia="仿宋" w:cs="仿宋"/>
          <w:color w:val="auto"/>
          <w:sz w:val="24"/>
          <w:szCs w:val="24"/>
          <w:highlight w:val="none"/>
          <w:lang w:val="zh-CN"/>
        </w:rPr>
        <w:t>.1合同变更总量应控制在调整后的合同价的增减10%内。</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a. 结算调整范围和方式按招标文件的有关规定及合同相关条款执行。</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b. 本项目的主要材料、设备变更处理办法：经发包人审定的施工图纸，承包人无条件进行施工并达到设计效果，所有的主要材料、设备采购前，承包人必须提前（或不影响施工计划）提供主要材料的采购计划，并提供样板进行参选，待定板封板后才能正式采购。当实际施工时，发包人发现所选用的材料效果达不到设计效果，或不能很好的表达展品的函意时，则发包人有权要求承包人重新选用符合要求的材料施工，即使所选定的材料价比原预算价高也不作调整，所发生的费用已包含在合同造价内，所选定的材料价比原预算价低的，扣减相应造价。</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13</w:t>
      </w:r>
      <w:r>
        <w:rPr>
          <w:rFonts w:hint="eastAsia" w:ascii="仿宋" w:hAnsi="仿宋" w:eastAsia="仿宋" w:cs="仿宋"/>
          <w:color w:val="auto"/>
          <w:sz w:val="24"/>
          <w:szCs w:val="24"/>
          <w:highlight w:val="none"/>
          <w:lang w:val="zh-CN"/>
        </w:rPr>
        <w:t>.2本项目的设计变更的处理方法：本工程采用包方案设计、施工图设计的总价包干的方式承包，包完成的最终施工产品必须满足发包人提供的用户需求书的要求，所有承包人为了达到设计效果、施工质量而采取的变更，均属于合同价内包含的措施费用；发包人如感觉到承包人设计的施工产品没有达到用户需求书的要求，承包人必须修改设计直到满足发包人要求为止。</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lang w:val="zh-CN"/>
        </w:rPr>
        <w:t xml:space="preserve"> 竣工验收通过后7天内承包人应对施工场地进行清理、并且经发包人验收符合要求为止，清场费用由承包人承担。场地清理未达到合同约定的，发包人有权委托其他人恢复或清理，所发生的金额从合同价款中扣除。同时在清场后必须配合发包人将工程移交给使用单位，移交产生的相关费用已包含在合同价款内。</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lang w:val="zh-CN"/>
        </w:rPr>
        <w:t xml:space="preserve"> 投标人根据现场情况，对垂直运输设施或起重机械的利用率，如脚手架、塔吊、施工电梯、井架等，投标时自行考虑，若实际施工采用其它方式不再增加费用。</w:t>
      </w:r>
    </w:p>
    <w:p>
      <w:pPr>
        <w:pStyle w:val="50"/>
        <w:spacing w:after="0" w:line="440" w:lineRule="exact"/>
        <w:ind w:firstLine="480" w:firstLineChars="20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16</w:t>
      </w:r>
      <w:r>
        <w:rPr>
          <w:rFonts w:hint="eastAsia" w:ascii="仿宋" w:hAnsi="仿宋" w:eastAsia="仿宋" w:cs="仿宋"/>
          <w:color w:val="auto"/>
          <w:sz w:val="24"/>
          <w:szCs w:val="24"/>
          <w:highlight w:val="none"/>
          <w:lang w:val="zh-CN"/>
        </w:rPr>
        <w:t>. 在竣工验收合格后10天内向发包人提供竣工图及竣工资料一式4套。档案归档费用由承包人支付（含需向城建档案馆缴纳的竣工资料归档费用），并按规定办理好工程备案手续及档案馆存档手续。</w:t>
      </w:r>
    </w:p>
    <w:p>
      <w:pPr>
        <w:pStyle w:val="50"/>
        <w:spacing w:after="0" w:line="440" w:lineRule="exact"/>
        <w:ind w:firstLine="480" w:firstLineChars="200"/>
        <w:jc w:val="left"/>
        <w:rPr>
          <w:rFonts w:hint="eastAsia" w:ascii="仿宋" w:hAnsi="仿宋" w:eastAsia="仿宋" w:cs="仿宋"/>
          <w:color w:val="auto"/>
          <w:highlight w:val="none"/>
          <w:lang w:val="zh-CN"/>
        </w:rPr>
      </w:pPr>
      <w:r>
        <w:rPr>
          <w:rFonts w:hint="eastAsia" w:ascii="仿宋" w:hAnsi="仿宋" w:eastAsia="仿宋" w:cs="仿宋"/>
          <w:color w:val="auto"/>
          <w:sz w:val="24"/>
          <w:szCs w:val="24"/>
          <w:highlight w:val="none"/>
          <w:lang w:val="en-US" w:eastAsia="zh-CN"/>
        </w:rPr>
        <w:t>17</w:t>
      </w:r>
      <w:r>
        <w:rPr>
          <w:rFonts w:hint="eastAsia" w:ascii="仿宋" w:hAnsi="仿宋" w:eastAsia="仿宋" w:cs="仿宋"/>
          <w:color w:val="auto"/>
          <w:sz w:val="24"/>
          <w:szCs w:val="24"/>
          <w:highlight w:val="none"/>
          <w:lang w:val="zh-CN"/>
        </w:rPr>
        <w:t>. 展馆平面图电子版另附</w:t>
      </w:r>
    </w:p>
    <w:p>
      <w:pPr>
        <w:pStyle w:val="50"/>
        <w:spacing w:after="0" w:line="440" w:lineRule="exact"/>
        <w:ind w:firstLine="400" w:firstLineChars="200"/>
        <w:jc w:val="left"/>
        <w:rPr>
          <w:rFonts w:hint="eastAsia" w:ascii="仿宋" w:hAnsi="仿宋" w:eastAsia="仿宋" w:cs="仿宋"/>
          <w:color w:val="auto"/>
          <w:highlight w:val="none"/>
          <w:lang w:val="zh-CN"/>
        </w:rPr>
      </w:pPr>
    </w:p>
    <w:p>
      <w:pPr>
        <w:pStyle w:val="15"/>
        <w:ind w:firstLine="0" w:firstLineChars="0"/>
        <w:rPr>
          <w:rFonts w:hint="eastAsia" w:ascii="仿宋" w:hAnsi="仿宋" w:eastAsia="仿宋" w:cs="仿宋"/>
          <w:b/>
          <w:bCs/>
          <w:color w:val="auto"/>
          <w:kern w:val="0"/>
          <w:sz w:val="24"/>
          <w:highlight w:val="none"/>
        </w:rPr>
      </w:pPr>
    </w:p>
    <w:p>
      <w:pPr>
        <w:rPr>
          <w:rFonts w:hint="eastAsia" w:ascii="仿宋" w:hAnsi="仿宋" w:eastAsia="仿宋" w:cs="仿宋"/>
          <w:color w:val="auto"/>
          <w:highlight w:val="none"/>
        </w:rPr>
      </w:pPr>
      <w:bookmarkStart w:id="12" w:name="_Toc643610535"/>
      <w:r>
        <w:rPr>
          <w:rFonts w:hint="eastAsia" w:ascii="仿宋" w:hAnsi="仿宋" w:eastAsia="仿宋" w:cs="仿宋"/>
          <w:color w:val="auto"/>
          <w:highlight w:val="none"/>
        </w:rPr>
        <w:br w:type="page"/>
      </w:r>
    </w:p>
    <w:p>
      <w:pPr>
        <w:pStyle w:val="4"/>
        <w:rPr>
          <w:rFonts w:hint="eastAsia" w:ascii="仿宋" w:hAnsi="仿宋" w:eastAsia="仿宋" w:cs="仿宋"/>
          <w:color w:val="auto"/>
          <w:highlight w:val="none"/>
        </w:rPr>
      </w:pPr>
      <w:r>
        <w:rPr>
          <w:rFonts w:hint="eastAsia" w:ascii="仿宋" w:hAnsi="仿宋" w:eastAsia="仿宋" w:cs="仿宋"/>
          <w:color w:val="auto"/>
          <w:highlight w:val="none"/>
        </w:rPr>
        <w:t>第四章  拟签订合同的主要条款</w:t>
      </w:r>
      <w:bookmarkEnd w:id="12"/>
    </w:p>
    <w:p>
      <w:pPr>
        <w:widowControl/>
        <w:snapToGrid w:val="0"/>
        <w:spacing w:line="480" w:lineRule="exact"/>
        <w:rPr>
          <w:rFonts w:hint="eastAsia" w:ascii="仿宋" w:hAnsi="仿宋" w:eastAsia="仿宋" w:cs="仿宋"/>
          <w:b/>
          <w:bCs/>
          <w:color w:val="auto"/>
          <w:kern w:val="0"/>
          <w:sz w:val="24"/>
          <w:highlight w:val="none"/>
          <w:u w:val="single"/>
        </w:rPr>
      </w:pPr>
      <w:r>
        <w:rPr>
          <w:rFonts w:hint="eastAsia" w:ascii="仿宋" w:hAnsi="仿宋" w:eastAsia="仿宋" w:cs="仿宋"/>
          <w:b/>
          <w:bCs/>
          <w:color w:val="auto"/>
          <w:kern w:val="0"/>
          <w:sz w:val="24"/>
          <w:highlight w:val="none"/>
          <w:u w:val="single"/>
        </w:rPr>
        <w:t>（合同按采购文件及中标供应商投标文件的内容制定，以下仅为部分参考条款）</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合同编号：</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确认书号：</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甲方（采购人）： </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乙方（供应商）： </w:t>
      </w:r>
    </w:p>
    <w:p>
      <w:pPr>
        <w:widowControl/>
        <w:snapToGrid w:val="0"/>
        <w:spacing w:line="480" w:lineRule="exact"/>
        <w:ind w:firstLine="480" w:firstLineChars="200"/>
        <w:rPr>
          <w:rFonts w:hint="eastAsia" w:ascii="仿宋" w:hAnsi="仿宋" w:eastAsia="仿宋" w:cs="仿宋"/>
          <w:color w:val="auto"/>
          <w:kern w:val="0"/>
          <w:sz w:val="24"/>
          <w:highlight w:val="none"/>
        </w:rPr>
      </w:pP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甲、乙双方根据</w:t>
      </w:r>
      <w:r>
        <w:rPr>
          <w:rFonts w:hint="eastAsia" w:ascii="仿宋" w:hAnsi="仿宋" w:eastAsia="仿宋" w:cs="仿宋"/>
          <w:color w:val="auto"/>
          <w:kern w:val="0"/>
          <w:sz w:val="24"/>
          <w:highlight w:val="none"/>
          <w:u w:val="single"/>
        </w:rPr>
        <w:t xml:space="preserve">    （填写采购代理机构名称）   </w:t>
      </w:r>
      <w:r>
        <w:rPr>
          <w:rFonts w:hint="eastAsia" w:ascii="仿宋" w:hAnsi="仿宋" w:eastAsia="仿宋" w:cs="仿宋"/>
          <w:color w:val="auto"/>
          <w:kern w:val="0"/>
          <w:sz w:val="24"/>
          <w:highlight w:val="none"/>
        </w:rPr>
        <w:t xml:space="preserve">关于项目编号为 </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的（标项及名称）项目的采购交易结果，签署本合同。</w:t>
      </w:r>
    </w:p>
    <w:p>
      <w:pPr>
        <w:widowControl/>
        <w:snapToGrid w:val="0"/>
        <w:spacing w:line="480" w:lineRule="exact"/>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一、项目内容及合同价格</w:t>
      </w:r>
    </w:p>
    <w:p>
      <w:pPr>
        <w:widowControl/>
        <w:snapToGrid w:val="0"/>
        <w:spacing w:line="480" w:lineRule="exact"/>
        <w:ind w:firstLine="480" w:firstLineChars="200"/>
        <w:jc w:val="righ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金额单位：元 </w:t>
      </w:r>
    </w:p>
    <w:tbl>
      <w:tblPr>
        <w:tblStyle w:val="2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noWrap/>
            <w:vAlign w:val="center"/>
          </w:tcPr>
          <w:p>
            <w:pPr>
              <w:pStyle w:val="18"/>
              <w:snapToGrid w:val="0"/>
              <w:spacing w:before="120" w:after="120" w:line="4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tc>
        <w:tc>
          <w:tcPr>
            <w:tcW w:w="3240" w:type="dxa"/>
            <w:tcBorders>
              <w:top w:val="single" w:color="auto" w:sz="4" w:space="0"/>
              <w:left w:val="single" w:color="auto" w:sz="4" w:space="0"/>
              <w:bottom w:val="single" w:color="auto" w:sz="4" w:space="0"/>
              <w:right w:val="single" w:color="auto" w:sz="4" w:space="0"/>
            </w:tcBorders>
            <w:noWrap/>
            <w:vAlign w:val="center"/>
          </w:tcPr>
          <w:p>
            <w:pPr>
              <w:pStyle w:val="18"/>
              <w:snapToGrid w:val="0"/>
              <w:spacing w:before="120" w:after="120" w:line="4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技术需求</w:t>
            </w:r>
          </w:p>
        </w:tc>
        <w:tc>
          <w:tcPr>
            <w:tcW w:w="1080" w:type="dxa"/>
            <w:tcBorders>
              <w:top w:val="single" w:color="auto" w:sz="4" w:space="0"/>
              <w:left w:val="single" w:color="auto" w:sz="4" w:space="0"/>
              <w:bottom w:val="single" w:color="auto" w:sz="4" w:space="0"/>
              <w:right w:val="single" w:color="auto" w:sz="4" w:space="0"/>
            </w:tcBorders>
            <w:noWrap/>
            <w:vAlign w:val="center"/>
          </w:tcPr>
          <w:p>
            <w:pPr>
              <w:pStyle w:val="18"/>
              <w:snapToGrid w:val="0"/>
              <w:spacing w:before="120" w:after="120" w:line="460" w:lineRule="exact"/>
              <w:ind w:left="-108"/>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1260" w:type="dxa"/>
            <w:tcBorders>
              <w:top w:val="single" w:color="auto" w:sz="4" w:space="0"/>
              <w:left w:val="single" w:color="auto" w:sz="4" w:space="0"/>
              <w:bottom w:val="single" w:color="auto" w:sz="4" w:space="0"/>
              <w:right w:val="single" w:color="auto" w:sz="4" w:space="0"/>
            </w:tcBorders>
            <w:noWrap/>
            <w:vAlign w:val="center"/>
          </w:tcPr>
          <w:p>
            <w:pPr>
              <w:pStyle w:val="18"/>
              <w:snapToGrid w:val="0"/>
              <w:spacing w:before="120" w:after="120" w:line="460" w:lineRule="exact"/>
              <w:ind w:left="-108"/>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单价</w:t>
            </w:r>
          </w:p>
        </w:tc>
        <w:tc>
          <w:tcPr>
            <w:tcW w:w="1212" w:type="dxa"/>
            <w:tcBorders>
              <w:top w:val="single" w:color="auto" w:sz="4" w:space="0"/>
              <w:left w:val="single" w:color="auto" w:sz="4" w:space="0"/>
              <w:bottom w:val="single" w:color="auto" w:sz="4" w:space="0"/>
              <w:right w:val="single" w:color="auto" w:sz="4" w:space="0"/>
            </w:tcBorders>
            <w:noWrap/>
            <w:vAlign w:val="center"/>
          </w:tcPr>
          <w:p>
            <w:pPr>
              <w:pStyle w:val="18"/>
              <w:snapToGrid w:val="0"/>
              <w:spacing w:before="120" w:after="120" w:line="4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noWrap/>
          </w:tcPr>
          <w:p>
            <w:pPr>
              <w:spacing w:line="460" w:lineRule="exact"/>
              <w:ind w:firstLine="511" w:firstLineChars="213"/>
              <w:rPr>
                <w:rFonts w:hint="eastAsia" w:ascii="仿宋" w:hAnsi="仿宋" w:eastAsia="仿宋" w:cs="仿宋"/>
                <w:color w:val="auto"/>
                <w:sz w:val="24"/>
                <w:szCs w:val="24"/>
                <w:highlight w:val="none"/>
              </w:rPr>
            </w:pPr>
          </w:p>
        </w:tc>
        <w:tc>
          <w:tcPr>
            <w:tcW w:w="3240" w:type="dxa"/>
            <w:tcBorders>
              <w:top w:val="single" w:color="auto" w:sz="4" w:space="0"/>
              <w:left w:val="single" w:color="auto" w:sz="4" w:space="0"/>
              <w:bottom w:val="single" w:color="auto" w:sz="4" w:space="0"/>
              <w:right w:val="single" w:color="auto" w:sz="4" w:space="0"/>
            </w:tcBorders>
            <w:noWrap/>
          </w:tcPr>
          <w:p>
            <w:pPr>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详见项目对应招投标文件</w:t>
            </w:r>
          </w:p>
        </w:tc>
        <w:tc>
          <w:tcPr>
            <w:tcW w:w="1080" w:type="dxa"/>
            <w:tcBorders>
              <w:top w:val="single" w:color="auto" w:sz="4" w:space="0"/>
              <w:left w:val="single" w:color="auto" w:sz="4" w:space="0"/>
              <w:bottom w:val="single" w:color="auto" w:sz="4" w:space="0"/>
              <w:right w:val="single" w:color="auto" w:sz="4" w:space="0"/>
            </w:tcBorders>
            <w:noWrap/>
          </w:tcPr>
          <w:p>
            <w:pPr>
              <w:spacing w:line="460" w:lineRule="exact"/>
              <w:ind w:firstLine="511" w:firstLineChars="213"/>
              <w:rPr>
                <w:rFonts w:hint="eastAsia" w:ascii="仿宋" w:hAnsi="仿宋" w:eastAsia="仿宋" w:cs="仿宋"/>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pStyle w:val="44"/>
              <w:spacing w:after="120" w:line="460" w:lineRule="exact"/>
              <w:ind w:firstLine="511" w:firstLineChars="213"/>
              <w:rPr>
                <w:rFonts w:hint="eastAsia" w:ascii="仿宋" w:hAnsi="仿宋" w:eastAsia="仿宋" w:cs="仿宋"/>
                <w:color w:val="auto"/>
                <w:kern w:val="2"/>
                <w:szCs w:val="24"/>
                <w:highlight w:val="none"/>
              </w:rPr>
            </w:pPr>
          </w:p>
        </w:tc>
        <w:tc>
          <w:tcPr>
            <w:tcW w:w="1212" w:type="dxa"/>
            <w:tcBorders>
              <w:top w:val="single" w:color="auto" w:sz="4" w:space="0"/>
              <w:left w:val="single" w:color="auto" w:sz="4" w:space="0"/>
              <w:bottom w:val="single" w:color="auto" w:sz="4" w:space="0"/>
              <w:right w:val="single" w:color="auto" w:sz="4" w:space="0"/>
            </w:tcBorders>
            <w:noWrap/>
          </w:tcPr>
          <w:p>
            <w:pPr>
              <w:pStyle w:val="44"/>
              <w:spacing w:after="120" w:line="460" w:lineRule="exact"/>
              <w:ind w:left="570"/>
              <w:rPr>
                <w:rFonts w:hint="eastAsia" w:ascii="仿宋" w:hAnsi="仿宋" w:eastAsia="仿宋" w:cs="仿宋"/>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noWrap/>
          </w:tcPr>
          <w:p>
            <w:pPr>
              <w:pStyle w:val="18"/>
              <w:snapToGrid w:val="0"/>
              <w:spacing w:before="120" w:after="120" w:line="460" w:lineRule="exact"/>
              <w:ind w:firstLine="511" w:firstLineChars="213"/>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            计</w:t>
            </w:r>
          </w:p>
        </w:tc>
        <w:tc>
          <w:tcPr>
            <w:tcW w:w="1080"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line="460" w:lineRule="exact"/>
              <w:ind w:firstLine="511" w:firstLineChars="213"/>
              <w:jc w:val="center"/>
              <w:rPr>
                <w:rFonts w:hint="eastAsia" w:ascii="仿宋" w:hAnsi="仿宋" w:eastAsia="仿宋" w:cs="仿宋"/>
                <w:color w:val="auto"/>
                <w:sz w:val="24"/>
                <w:szCs w:val="24"/>
                <w:highlight w:val="none"/>
              </w:rPr>
            </w:pPr>
          </w:p>
        </w:tc>
        <w:tc>
          <w:tcPr>
            <w:tcW w:w="2472" w:type="dxa"/>
            <w:gridSpan w:val="2"/>
            <w:tcBorders>
              <w:top w:val="single" w:color="auto" w:sz="4" w:space="0"/>
              <w:left w:val="single" w:color="auto" w:sz="4" w:space="0"/>
              <w:bottom w:val="single" w:color="auto" w:sz="4" w:space="0"/>
              <w:right w:val="single" w:color="auto" w:sz="4" w:space="0"/>
            </w:tcBorders>
            <w:noWrap/>
          </w:tcPr>
          <w:p>
            <w:pPr>
              <w:pStyle w:val="44"/>
              <w:spacing w:after="120" w:line="460" w:lineRule="exact"/>
              <w:ind w:firstLine="511" w:firstLineChars="213"/>
              <w:rPr>
                <w:rFonts w:hint="eastAsia" w:ascii="仿宋" w:hAnsi="仿宋" w:eastAsia="仿宋" w:cs="仿宋"/>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noWrap/>
          </w:tcPr>
          <w:p>
            <w:pPr>
              <w:pStyle w:val="18"/>
              <w:snapToGrid w:val="0"/>
              <w:spacing w:before="120" w:after="120"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合同总价大写：                                      小写：￥</w:t>
            </w:r>
            <w:r>
              <w:rPr>
                <w:rFonts w:hint="eastAsia" w:ascii="仿宋" w:hAnsi="仿宋" w:eastAsia="仿宋" w:cs="仿宋"/>
                <w:color w:val="auto"/>
                <w:sz w:val="24"/>
                <w:szCs w:val="24"/>
                <w:highlight w:val="none"/>
                <w:u w:val="single"/>
              </w:rPr>
              <w:t xml:space="preserve">      </w:t>
            </w:r>
          </w:p>
        </w:tc>
      </w:tr>
    </w:tbl>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注：1.项目具体技术需求详见采购文件、投标文件以及询标记录。</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2.以上合同总价包含项目达到预期使用效果所需的一切费用。</w:t>
      </w:r>
    </w:p>
    <w:p>
      <w:pPr>
        <w:widowControl/>
        <w:snapToGrid w:val="0"/>
        <w:spacing w:line="480" w:lineRule="exact"/>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二、技术资料</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1.乙方应按采购文件规定的时间向甲方提供使用项目的有关技术资料。</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三、</w:t>
      </w:r>
      <w:r>
        <w:rPr>
          <w:rFonts w:hint="eastAsia" w:ascii="仿宋" w:hAnsi="仿宋" w:eastAsia="仿宋" w:cs="仿宋"/>
          <w:b/>
          <w:bCs/>
          <w:color w:val="auto"/>
          <w:kern w:val="0"/>
          <w:sz w:val="24"/>
          <w:highlight w:val="none"/>
          <w:lang w:val="zh-CN"/>
        </w:rPr>
        <w:t>保密责任及知识产权</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（一）乙方应保证所提供的产品或合同中任何一部分均不会侵犯第三方的知识产权。</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二）双方交涉中涉及的资料具有商业价值，本协议双方对该等资料负有保密义务，除依据有关规定向有关部门提供和公告披露外，其余资料均不得向本协议双方之外的任何人披露，本协议双方对其内部接触资料的人员范围也应予以合理限制。</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（三）因任何原因保密不当而致使对方蒙受经济损失或其他损失，违约方应承担相应的法律责任和经济责任。</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（四）乙方保证，交付的产品不存在任何违反相关的法律法规、政府指令或政策等或侵犯了第三者的合法权利（包括但不限于知识产权）的情况。</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（五）本协议终止后本条款继续有效，对双方均具有独立的约束力。</w:t>
      </w:r>
    </w:p>
    <w:p>
      <w:pPr>
        <w:widowControl/>
        <w:snapToGrid w:val="0"/>
        <w:spacing w:line="480" w:lineRule="exact"/>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四、产权担保</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乙方保证所交付的货物的所有权完全属于乙方且无任何抵押、查封等产权瑕疵。</w:t>
      </w:r>
    </w:p>
    <w:p>
      <w:pPr>
        <w:widowControl/>
        <w:snapToGrid w:val="0"/>
        <w:spacing w:line="480" w:lineRule="exact"/>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五、转包或分包</w:t>
      </w:r>
    </w:p>
    <w:p>
      <w:pPr>
        <w:widowControl/>
        <w:snapToGrid w:val="0"/>
        <w:spacing w:line="480" w:lineRule="exact"/>
        <w:ind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highlight w:val="none"/>
        </w:rPr>
        <w:t>本项目</w:t>
      </w:r>
      <w:r>
        <w:rPr>
          <w:rFonts w:hint="eastAsia" w:ascii="仿宋" w:hAnsi="仿宋" w:eastAsia="仿宋" w:cs="仿宋"/>
          <w:color w:val="auto"/>
          <w:sz w:val="24"/>
          <w:highlight w:val="none"/>
          <w:u w:val="single"/>
        </w:rPr>
        <w:t xml:space="preserve"> 允许 </w:t>
      </w:r>
      <w:r>
        <w:rPr>
          <w:rFonts w:hint="eastAsia" w:ascii="仿宋" w:hAnsi="仿宋" w:eastAsia="仿宋" w:cs="仿宋"/>
          <w:color w:val="auto"/>
          <w:sz w:val="24"/>
          <w:highlight w:val="none"/>
        </w:rPr>
        <w:t>分包</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u w:val="single"/>
          <w:lang w:eastAsia="zh-CN"/>
        </w:rPr>
        <w:t>不允许</w:t>
      </w:r>
      <w:r>
        <w:rPr>
          <w:rFonts w:hint="eastAsia" w:ascii="仿宋" w:hAnsi="仿宋" w:eastAsia="仿宋" w:cs="仿宋"/>
          <w:color w:val="auto"/>
          <w:sz w:val="24"/>
          <w:highlight w:val="none"/>
        </w:rPr>
        <w:t>转包</w:t>
      </w:r>
      <w:r>
        <w:rPr>
          <w:rFonts w:hint="eastAsia" w:ascii="仿宋" w:hAnsi="仿宋" w:eastAsia="仿宋" w:cs="仿宋"/>
          <w:color w:val="auto"/>
          <w:sz w:val="24"/>
          <w:highlight w:val="none"/>
          <w:lang w:eastAsia="zh-CN"/>
        </w:rPr>
        <w:t>。</w:t>
      </w:r>
      <w:r>
        <w:rPr>
          <w:rFonts w:hint="eastAsia" w:ascii="仿宋" w:hAnsi="仿宋" w:eastAsia="仿宋" w:cs="仿宋"/>
          <w:color w:val="auto"/>
          <w:sz w:val="24"/>
          <w:szCs w:val="24"/>
          <w:highlight w:val="none"/>
          <w:lang w:val="zh-CN"/>
        </w:rPr>
        <w:t>在设计图纸定稿后，图纸中如涉及到某项专业工程，中标人如具备涉及到的专业工程资质，则一并纳入本工程范围；如不具备所涉及的专业资质，经招标人同意，由中标人依法分包。</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六、质保期和履约保证金</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1.质保期 </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年。（自项目验收合格交付使用之日起计）</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2.履约保证金</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元。[退还方式为：</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widowControl/>
        <w:snapToGrid w:val="0"/>
        <w:spacing w:line="480" w:lineRule="exact"/>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七、项目工期及实施地点</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1.交货期：</w:t>
      </w:r>
      <w:r>
        <w:rPr>
          <w:rFonts w:hint="eastAsia" w:ascii="仿宋" w:hAnsi="仿宋" w:eastAsia="仿宋" w:cs="仿宋"/>
          <w:b w:val="0"/>
          <w:bCs w:val="0"/>
          <w:color w:val="auto"/>
          <w:kern w:val="0"/>
          <w:sz w:val="24"/>
          <w:highlight w:val="none"/>
        </w:rPr>
        <w:t>自甲乙双方签订合同之日起</w:t>
      </w:r>
      <w:r>
        <w:rPr>
          <w:rFonts w:hint="eastAsia" w:ascii="仿宋" w:hAnsi="仿宋" w:eastAsia="仿宋" w:cs="仿宋"/>
          <w:b w:val="0"/>
          <w:bCs w:val="0"/>
          <w:color w:val="auto"/>
          <w:kern w:val="0"/>
          <w:sz w:val="24"/>
          <w:highlight w:val="none"/>
          <w:lang w:val="en-US" w:eastAsia="zh-CN"/>
        </w:rPr>
        <w:t>75</w:t>
      </w:r>
      <w:r>
        <w:rPr>
          <w:rFonts w:hint="eastAsia" w:ascii="仿宋" w:hAnsi="仿宋" w:eastAsia="仿宋" w:cs="仿宋"/>
          <w:b w:val="0"/>
          <w:bCs w:val="0"/>
          <w:color w:val="auto"/>
          <w:kern w:val="0"/>
          <w:sz w:val="24"/>
          <w:highlight w:val="none"/>
        </w:rPr>
        <w:t>天内完成方案深化、施工图设计、展示内容的设计制作及所有展区施工，并具备竣工验收条件。</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2.实施地点：</w:t>
      </w:r>
    </w:p>
    <w:p>
      <w:pPr>
        <w:widowControl/>
        <w:snapToGrid w:val="0"/>
        <w:spacing w:line="480" w:lineRule="exact"/>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八、货款支付</w:t>
      </w:r>
    </w:p>
    <w:p>
      <w:pPr>
        <w:keepNext w:val="0"/>
        <w:keepLines w:val="0"/>
        <w:pageBreakBefore w:val="0"/>
        <w:widowControl/>
        <w:kinsoku/>
        <w:wordWrap/>
        <w:overflowPunct/>
        <w:topLinePunct w:val="0"/>
        <w:autoSpaceDE/>
        <w:autoSpaceDN/>
        <w:bidi w:val="0"/>
        <w:adjustRightInd/>
        <w:snapToGrid w:val="0"/>
        <w:spacing w:line="480" w:lineRule="exact"/>
        <w:ind w:left="0" w:leftChars="0" w:firstLine="482" w:firstLineChars="200"/>
        <w:jc w:val="left"/>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（一）空间软装及道具、多媒体硬件系统、监控系统、消防应急灯系统、空调系统、机房设备及线管、互动设备及软件、内容创作等项目（以下简称内容一）和（二）装修及改造施工两部分分别付款。</w:t>
      </w:r>
    </w:p>
    <w:p>
      <w:pPr>
        <w:pStyle w:val="2"/>
        <w:keepNext w:val="0"/>
        <w:keepLines w:val="0"/>
        <w:pageBreakBefore w:val="0"/>
        <w:kinsoku/>
        <w:wordWrap/>
        <w:overflowPunct/>
        <w:topLinePunct w:val="0"/>
        <w:autoSpaceDE/>
        <w:autoSpaceDN/>
        <w:bidi w:val="0"/>
        <w:adjustRightInd/>
        <w:spacing w:after="0" w:line="480" w:lineRule="exact"/>
        <w:ind w:left="0" w:leftChars="0" w:firstLine="482" w:firstLineChars="200"/>
        <w:jc w:val="left"/>
        <w:textAlignment w:val="auto"/>
        <w:rPr>
          <w:rFonts w:hint="eastAsia"/>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（一）内容一付款方式：</w:t>
      </w:r>
    </w:p>
    <w:p>
      <w:pPr>
        <w:pStyle w:val="14"/>
        <w:keepNext w:val="0"/>
        <w:keepLines w:val="0"/>
        <w:pageBreakBefore w:val="0"/>
        <w:kinsoku/>
        <w:wordWrap/>
        <w:overflowPunct/>
        <w:topLinePunct w:val="0"/>
        <w:autoSpaceDE/>
        <w:autoSpaceDN/>
        <w:bidi w:val="0"/>
        <w:adjustRightInd/>
        <w:spacing w:line="480" w:lineRule="exact"/>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1）合同签订且具备实施条件15日内支付项目</w:t>
      </w:r>
      <w:r>
        <w:rPr>
          <w:rFonts w:hint="eastAsia" w:ascii="仿宋" w:hAnsi="仿宋" w:eastAsia="仿宋" w:cs="仿宋"/>
          <w:color w:val="auto"/>
          <w:sz w:val="24"/>
          <w:szCs w:val="24"/>
          <w:highlight w:val="none"/>
          <w:lang w:eastAsia="zh-CN"/>
        </w:rPr>
        <w:t>内容一</w:t>
      </w:r>
      <w:r>
        <w:rPr>
          <w:rFonts w:hint="eastAsia" w:ascii="仿宋" w:hAnsi="仿宋" w:eastAsia="仿宋" w:cs="仿宋"/>
          <w:color w:val="auto"/>
          <w:sz w:val="24"/>
          <w:szCs w:val="24"/>
          <w:highlight w:val="none"/>
        </w:rPr>
        <w:t>合同金额的30%；</w:t>
      </w:r>
    </w:p>
    <w:p>
      <w:pPr>
        <w:pStyle w:val="14"/>
        <w:keepNext w:val="0"/>
        <w:keepLines w:val="0"/>
        <w:pageBreakBefore w:val="0"/>
        <w:kinsoku/>
        <w:wordWrap/>
        <w:overflowPunct/>
        <w:topLinePunct w:val="0"/>
        <w:autoSpaceDE/>
        <w:autoSpaceDN/>
        <w:bidi w:val="0"/>
        <w:adjustRightInd/>
        <w:spacing w:line="480" w:lineRule="exact"/>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2）设备到货后支付项目合同总金额的40%；</w:t>
      </w:r>
    </w:p>
    <w:p>
      <w:pPr>
        <w:pStyle w:val="14"/>
        <w:keepNext w:val="0"/>
        <w:keepLines w:val="0"/>
        <w:pageBreakBefore w:val="0"/>
        <w:kinsoku/>
        <w:wordWrap/>
        <w:overflowPunct/>
        <w:topLinePunct w:val="0"/>
        <w:autoSpaceDE/>
        <w:autoSpaceDN/>
        <w:bidi w:val="0"/>
        <w:adjustRightInd/>
        <w:spacing w:line="480" w:lineRule="exact"/>
        <w:ind w:left="0" w:lef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3）所有设备安装调试完成后，支付项目合同总金额的15%；</w:t>
      </w:r>
    </w:p>
    <w:p>
      <w:pPr>
        <w:pStyle w:val="14"/>
        <w:keepNext w:val="0"/>
        <w:keepLines w:val="0"/>
        <w:pageBreakBefore w:val="0"/>
        <w:kinsoku/>
        <w:wordWrap/>
        <w:overflowPunct/>
        <w:topLinePunct w:val="0"/>
        <w:autoSpaceDE/>
        <w:autoSpaceDN/>
        <w:bidi w:val="0"/>
        <w:adjustRightInd/>
        <w:spacing w:line="480" w:lineRule="exact"/>
        <w:ind w:left="0" w:leftChars="0" w:firstLine="480" w:firstLineChars="20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4）竣工验收合格后并归档完成后30日内支付项目合同余款</w:t>
      </w:r>
      <w:r>
        <w:rPr>
          <w:rFonts w:hint="eastAsia" w:ascii="仿宋" w:hAnsi="仿宋" w:eastAsia="仿宋" w:cs="仿宋"/>
          <w:color w:val="auto"/>
          <w:sz w:val="24"/>
          <w:szCs w:val="24"/>
          <w:highlight w:val="none"/>
          <w:lang w:eastAsia="zh-CN"/>
        </w:rPr>
        <w:t>；</w:t>
      </w:r>
    </w:p>
    <w:p>
      <w:pPr>
        <w:pStyle w:val="14"/>
        <w:keepNext w:val="0"/>
        <w:keepLines w:val="0"/>
        <w:pageBreakBefore w:val="0"/>
        <w:kinsoku/>
        <w:wordWrap/>
        <w:overflowPunct/>
        <w:topLinePunct w:val="0"/>
        <w:autoSpaceDE/>
        <w:autoSpaceDN/>
        <w:bidi w:val="0"/>
        <w:adjustRightInd/>
        <w:spacing w:line="480" w:lineRule="exact"/>
        <w:ind w:left="0" w:leftChars="0"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（5）甲方每次付款前，乙方应提交相应金额的发票和请款书。</w:t>
      </w:r>
    </w:p>
    <w:p>
      <w:pPr>
        <w:pStyle w:val="15"/>
        <w:keepNext w:val="0"/>
        <w:keepLines w:val="0"/>
        <w:pageBreakBefore w:val="0"/>
        <w:kinsoku/>
        <w:wordWrap/>
        <w:overflowPunct/>
        <w:topLinePunct w:val="0"/>
        <w:autoSpaceDE/>
        <w:autoSpaceDN/>
        <w:bidi w:val="0"/>
        <w:adjustRightInd/>
        <w:spacing w:after="0" w:line="480" w:lineRule="exact"/>
        <w:ind w:left="0" w:leftChars="0" w:firstLine="482" w:firstLineChars="200"/>
        <w:jc w:val="left"/>
        <w:textAlignment w:val="auto"/>
        <w:rPr>
          <w:rFonts w:hint="eastAsia"/>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（二）装修及改造施工付款方式：</w:t>
      </w:r>
    </w:p>
    <w:p>
      <w:pPr>
        <w:keepNext w:val="0"/>
        <w:keepLines w:val="0"/>
        <w:pageBreakBefore w:val="0"/>
        <w:kinsoku/>
        <w:wordWrap/>
        <w:overflowPunct/>
        <w:topLinePunct w:val="0"/>
        <w:autoSpaceDE/>
        <w:autoSpaceDN/>
        <w:bidi w:val="0"/>
        <w:adjustRightInd/>
        <w:spacing w:line="480" w:lineRule="exact"/>
        <w:ind w:left="0" w:leftChars="0" w:firstLine="480" w:firstLineChars="2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竣工验收（含提前竣工验收的单位工程）后支付至</w:t>
      </w:r>
      <w:r>
        <w:rPr>
          <w:rFonts w:hint="eastAsia" w:ascii="仿宋" w:hAnsi="仿宋" w:eastAsia="仿宋" w:cs="仿宋"/>
          <w:b/>
          <w:bCs/>
          <w:color w:val="auto"/>
          <w:sz w:val="24"/>
          <w:szCs w:val="24"/>
          <w:highlight w:val="none"/>
          <w:lang w:val="en-US" w:eastAsia="zh-CN"/>
        </w:rPr>
        <w:t>装修及改造施工部分</w:t>
      </w:r>
      <w:r>
        <w:rPr>
          <w:rFonts w:hint="eastAsia" w:ascii="仿宋" w:hAnsi="仿宋" w:eastAsia="仿宋" w:cs="仿宋"/>
          <w:color w:val="auto"/>
          <w:kern w:val="2"/>
          <w:sz w:val="24"/>
          <w:szCs w:val="24"/>
          <w:highlight w:val="none"/>
          <w:lang w:val="en-US" w:eastAsia="zh-CN" w:bidi="ar-SA"/>
        </w:rPr>
        <w:t>合同价的85%，提交结算和施工档案完成归档后支付至</w:t>
      </w:r>
      <w:r>
        <w:rPr>
          <w:rFonts w:hint="eastAsia" w:ascii="仿宋" w:hAnsi="仿宋" w:eastAsia="仿宋" w:cs="仿宋"/>
          <w:b/>
          <w:bCs/>
          <w:color w:val="auto"/>
          <w:sz w:val="24"/>
          <w:szCs w:val="24"/>
          <w:highlight w:val="none"/>
          <w:lang w:val="en-US" w:eastAsia="zh-CN"/>
        </w:rPr>
        <w:t>装修及改造施工部分</w:t>
      </w:r>
      <w:r>
        <w:rPr>
          <w:rFonts w:hint="eastAsia" w:ascii="仿宋" w:hAnsi="仿宋" w:eastAsia="仿宋" w:cs="仿宋"/>
          <w:color w:val="auto"/>
          <w:kern w:val="2"/>
          <w:sz w:val="24"/>
          <w:szCs w:val="24"/>
          <w:highlight w:val="none"/>
          <w:lang w:val="en-US" w:eastAsia="zh-CN" w:bidi="ar-SA"/>
        </w:rPr>
        <w:t xml:space="preserve">合同价的 90%，经结算审计通过后付至审定价的 98.5%，余款作为质量保证金（不计息）。 </w:t>
      </w:r>
    </w:p>
    <w:p>
      <w:pPr>
        <w:keepNext w:val="0"/>
        <w:keepLines w:val="0"/>
        <w:pageBreakBefore w:val="0"/>
        <w:kinsoku/>
        <w:wordWrap/>
        <w:overflowPunct/>
        <w:topLinePunct w:val="0"/>
        <w:autoSpaceDE/>
        <w:autoSpaceDN/>
        <w:bidi w:val="0"/>
        <w:adjustRightInd/>
        <w:spacing w:line="480" w:lineRule="exact"/>
        <w:ind w:left="0" w:leftChars="0" w:firstLine="480" w:firstLineChars="2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上述各项费用的每笔款项支付前，承包人应提交相应金额的增值税专用发票（税率为 9%），发包人凭票支付工程款，否则发包人有权拒绝付款并不承担逾期付款的违约责任。</w:t>
      </w:r>
    </w:p>
    <w:p>
      <w:pPr>
        <w:pStyle w:val="50"/>
        <w:keepNext w:val="0"/>
        <w:keepLines w:val="0"/>
        <w:pageBreakBefore w:val="0"/>
        <w:kinsoku/>
        <w:wordWrap/>
        <w:overflowPunct/>
        <w:topLinePunct w:val="0"/>
        <w:autoSpaceDE/>
        <w:autoSpaceDN/>
        <w:bidi w:val="0"/>
        <w:adjustRightInd/>
        <w:spacing w:after="0" w:line="480" w:lineRule="exact"/>
        <w:ind w:left="0" w:leftChars="0" w:firstLine="480" w:firstLineChars="2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根据市住建局绍市建设[2020]134号文件精神，实行工程款和工资款两条线拨付制度。在工程承包合同中必须明确工程款和工资款两条线拨付，建设单位不管以何种方式支付工程款，必须按月进度工程款的20％作为工资款打入该项目的农民工工资专用账户，此账户专项用于支付农民工工资，不得挪作他用。</w:t>
      </w:r>
    </w:p>
    <w:p>
      <w:pPr>
        <w:widowControl/>
        <w:snapToGrid w:val="0"/>
        <w:spacing w:line="480" w:lineRule="exact"/>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九、税费</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本合同执行中相关的一切税费均由乙方负担。</w:t>
      </w:r>
    </w:p>
    <w:p>
      <w:pPr>
        <w:widowControl/>
        <w:numPr>
          <w:ilvl w:val="0"/>
          <w:numId w:val="8"/>
        </w:numPr>
        <w:snapToGrid w:val="0"/>
        <w:spacing w:line="480" w:lineRule="exact"/>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质量保证及售后服务</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详见采购文件（签订时可进一步细化）。</w:t>
      </w:r>
    </w:p>
    <w:p>
      <w:pPr>
        <w:widowControl/>
        <w:numPr>
          <w:ilvl w:val="0"/>
          <w:numId w:val="8"/>
        </w:numPr>
        <w:snapToGrid w:val="0"/>
        <w:spacing w:line="480" w:lineRule="exact"/>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调试和验收</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详见采购文件（签订时需细化）。</w:t>
      </w:r>
    </w:p>
    <w:p>
      <w:pPr>
        <w:widowControl/>
        <w:snapToGrid w:val="0"/>
        <w:spacing w:line="480" w:lineRule="exact"/>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十二、货物包装</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详见采购文件（签订时需细化）。</w:t>
      </w:r>
    </w:p>
    <w:p>
      <w:pPr>
        <w:widowControl/>
        <w:snapToGrid w:val="0"/>
        <w:spacing w:line="480" w:lineRule="exact"/>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十三、违约责任</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1.甲方无正当理由拒收验收项目的，甲方向乙方偿付拒收合同总价的百分之五违约金。</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乙方所交的货物品种、型号、规格、技术参数、质量不符合合同规定及采购文件规定标准的，甲方有权拒收该货物，乙方愿意更换货物但逾期交货的，按乙方逾期交货处理。乙方拒绝更换货物的，甲方可单方面解除合同。</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5.解除合同应按向本项目监督部门备案。</w:t>
      </w:r>
    </w:p>
    <w:p>
      <w:pPr>
        <w:widowControl/>
        <w:snapToGrid w:val="0"/>
        <w:spacing w:line="480" w:lineRule="exact"/>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十四、不可抗力事件处理</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2.不可抗力事件发生后，应立即通知对方，并寄送有关权威机构出具的证明。</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3.不可抗力事件延续120天以上，双方应通过友好协商，确定是否继续履行合同。</w:t>
      </w:r>
    </w:p>
    <w:p>
      <w:pPr>
        <w:widowControl/>
        <w:snapToGrid w:val="0"/>
        <w:spacing w:line="480" w:lineRule="exact"/>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十五、诉讼</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十六、合同生效及其他</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1.合同经甲、乙双方签名并加盖单位公章后生效。</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2.合同执行中涉及采购资金和采购内容修改或补充的，须经本项目监督部门审批，并签书面补充协议，经报本项目监督部门备案后，方可作为主合同不可分割的一部分。</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3.采购文件、投标文件与本合同具有同等法律效力。</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4.本合同未尽事宜，遵照《民法典》合同编有关条文执行。</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5.本合同一式五份，具有同等法律效力，甲、乙双方各执二份，采购代理机构一份。</w:t>
      </w:r>
    </w:p>
    <w:p>
      <w:pPr>
        <w:widowControl/>
        <w:snapToGrid w:val="0"/>
        <w:spacing w:line="480" w:lineRule="exact"/>
        <w:ind w:firstLine="480" w:firstLineChars="200"/>
        <w:rPr>
          <w:rFonts w:hint="eastAsia" w:ascii="仿宋" w:hAnsi="仿宋" w:eastAsia="仿宋" w:cs="仿宋"/>
          <w:color w:val="auto"/>
          <w:kern w:val="0"/>
          <w:sz w:val="24"/>
          <w:highlight w:val="none"/>
        </w:rPr>
      </w:pPr>
    </w:p>
    <w:p>
      <w:pPr>
        <w:widowControl/>
        <w:snapToGrid w:val="0"/>
        <w:spacing w:line="480" w:lineRule="exact"/>
        <w:ind w:firstLine="480" w:firstLineChars="200"/>
        <w:rPr>
          <w:rFonts w:hint="eastAsia" w:ascii="仿宋" w:hAnsi="仿宋" w:eastAsia="仿宋" w:cs="仿宋"/>
          <w:color w:val="auto"/>
          <w:kern w:val="0"/>
          <w:sz w:val="24"/>
          <w:highlight w:val="none"/>
        </w:rPr>
      </w:pPr>
    </w:p>
    <w:p>
      <w:pPr>
        <w:widowControl/>
        <w:snapToGrid w:val="0"/>
        <w:spacing w:line="480" w:lineRule="exact"/>
        <w:ind w:firstLine="480" w:firstLineChars="200"/>
        <w:rPr>
          <w:rFonts w:hint="eastAsia" w:ascii="仿宋" w:hAnsi="仿宋" w:eastAsia="仿宋" w:cs="仿宋"/>
          <w:color w:val="auto"/>
          <w:kern w:val="0"/>
          <w:sz w:val="24"/>
          <w:highlight w:val="none"/>
        </w:rPr>
      </w:pP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甲方（盖章）：                                   </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地址：                                   </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法定（授权）代表人：                   </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签名日期：     年   月   日           </w:t>
      </w:r>
    </w:p>
    <w:p>
      <w:pPr>
        <w:widowControl/>
        <w:snapToGrid w:val="0"/>
        <w:spacing w:line="480" w:lineRule="exact"/>
        <w:ind w:firstLine="480" w:firstLineChars="200"/>
        <w:rPr>
          <w:rFonts w:hint="eastAsia" w:ascii="仿宋" w:hAnsi="仿宋" w:eastAsia="仿宋" w:cs="仿宋"/>
          <w:color w:val="auto"/>
          <w:kern w:val="0"/>
          <w:sz w:val="24"/>
          <w:highlight w:val="none"/>
        </w:rPr>
      </w:pP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乙方（盖章）：</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地址： </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开户行：</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开户账号：</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法定（授权）代表人：</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签名日期：      年   月   日</w:t>
      </w:r>
    </w:p>
    <w:p>
      <w:pPr>
        <w:rPr>
          <w:rFonts w:hint="eastAsia" w:ascii="仿宋" w:hAnsi="仿宋" w:eastAsia="仿宋" w:cs="仿宋"/>
          <w:color w:val="auto"/>
          <w:highlight w:val="none"/>
        </w:rPr>
      </w:pPr>
      <w:bookmarkStart w:id="13" w:name="_Toc643610536"/>
      <w:r>
        <w:rPr>
          <w:rFonts w:hint="eastAsia" w:ascii="仿宋" w:hAnsi="仿宋" w:eastAsia="仿宋" w:cs="仿宋"/>
          <w:color w:val="auto"/>
          <w:highlight w:val="none"/>
        </w:rPr>
        <w:br w:type="page"/>
      </w:r>
    </w:p>
    <w:p>
      <w:pPr>
        <w:pStyle w:val="4"/>
        <w:rPr>
          <w:rFonts w:hint="eastAsia" w:ascii="仿宋" w:hAnsi="仿宋" w:eastAsia="仿宋" w:cs="仿宋"/>
          <w:color w:val="auto"/>
          <w:highlight w:val="none"/>
        </w:rPr>
      </w:pPr>
      <w:r>
        <w:rPr>
          <w:rFonts w:hint="eastAsia" w:ascii="仿宋" w:hAnsi="仿宋" w:eastAsia="仿宋" w:cs="仿宋"/>
          <w:color w:val="auto"/>
          <w:highlight w:val="none"/>
        </w:rPr>
        <w:t>第五章  评标办法及标准</w:t>
      </w:r>
      <w:bookmarkEnd w:id="13"/>
    </w:p>
    <w:p>
      <w:pPr>
        <w:spacing w:line="44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特别条款：</w:t>
      </w:r>
    </w:p>
    <w:p>
      <w:pPr>
        <w:spacing w:line="440" w:lineRule="exact"/>
        <w:ind w:firstLine="472" w:firstLineChars="196"/>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A.使用综合评分法的采购项目，提供</w:t>
      </w:r>
      <w:r>
        <w:rPr>
          <w:rFonts w:hint="eastAsia" w:ascii="仿宋" w:hAnsi="仿宋" w:eastAsia="仿宋" w:cs="仿宋"/>
          <w:b/>
          <w:color w:val="auto"/>
          <w:sz w:val="24"/>
          <w:highlight w:val="none"/>
          <w:bdr w:val="single" w:color="000000" w:sz="4" w:space="0"/>
        </w:rPr>
        <w:t>相同品牌</w:t>
      </w:r>
      <w:r>
        <w:rPr>
          <w:rFonts w:hint="eastAsia" w:ascii="仿宋" w:hAnsi="仿宋" w:eastAsia="仿宋" w:cs="仿宋"/>
          <w:b/>
          <w:color w:val="auto"/>
          <w:sz w:val="24"/>
          <w:highlight w:val="none"/>
        </w:rPr>
        <w:t>产品且通过资格审查、符合性审查的不同供应商参加同一合同项下投标的，按一家供应商计算，评审后得分最高的同品牌供应商获得中标人推荐资格；评审得分相同的，由采购人或者采购人委托评审委员会按照采购文件规定的方式确定一个供应商获得中标人推荐资格，采购文件未规定的采取随机抽取方式确定，其他同品牌供应商不作为中标候选人。</w:t>
      </w:r>
    </w:p>
    <w:p>
      <w:pPr>
        <w:spacing w:line="440" w:lineRule="exact"/>
        <w:ind w:firstLine="472" w:firstLineChars="196"/>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B.非单一产品采购项目，多家供应商中作为核心产品（由采购人根据采购项目技术构成、产品价格比重等确定，并在采购文件中载明）品牌均相同的，视为提供的是同品牌的产品；按前款规定处理。</w:t>
      </w:r>
    </w:p>
    <w:p>
      <w:pPr>
        <w:spacing w:line="44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1、评标方法：</w:t>
      </w:r>
    </w:p>
    <w:p>
      <w:pPr>
        <w:spacing w:line="44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次评标采用综合评分法，投标文件满足采购文件全部实质性要求且按照评审因素的量化指标评审得分最高的供应商为中标候选人。得分相同的，投标报价低者为中标候选人。得分且投标报价相同的由采购人代表开标现场随机抽签确定。</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b/>
          <w:color w:val="auto"/>
          <w:sz w:val="24"/>
          <w:highlight w:val="none"/>
        </w:rPr>
        <w:t>2.评分标准：</w:t>
      </w:r>
      <w:r>
        <w:rPr>
          <w:rFonts w:hint="eastAsia" w:ascii="仿宋" w:hAnsi="仿宋" w:eastAsia="仿宋" w:cs="仿宋"/>
          <w:color w:val="auto"/>
          <w:sz w:val="24"/>
          <w:highlight w:val="none"/>
        </w:rPr>
        <w:t>总分100分，其中商务技术分</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70</w:t>
      </w:r>
      <w:r>
        <w:rPr>
          <w:rFonts w:hint="eastAsia" w:ascii="仿宋" w:hAnsi="仿宋" w:eastAsia="仿宋" w:cs="仿宋"/>
          <w:color w:val="auto"/>
          <w:sz w:val="24"/>
          <w:highlight w:val="none"/>
        </w:rPr>
        <w:t>分，价格分</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rPr>
        <w:t>分。下述所列为评分依据，分值如下（计算分值时，按其算术平均值保留小数2位）。</w:t>
      </w:r>
    </w:p>
    <w:p>
      <w:pPr>
        <w:widowControl/>
        <w:snapToGrid w:val="0"/>
        <w:spacing w:line="480" w:lineRule="exact"/>
        <w:rPr>
          <w:rFonts w:hint="eastAsia" w:ascii="仿宋" w:hAnsi="仿宋" w:eastAsia="仿宋" w:cs="仿宋"/>
          <w:b/>
          <w:bCs/>
          <w:color w:val="auto"/>
          <w:kern w:val="0"/>
          <w:sz w:val="24"/>
          <w:highlight w:val="none"/>
        </w:rPr>
      </w:pPr>
      <w:r>
        <w:rPr>
          <w:rFonts w:hint="eastAsia" w:ascii="仿宋" w:hAnsi="仿宋" w:eastAsia="仿宋" w:cs="仿宋"/>
          <w:b/>
          <w:bCs/>
          <w:color w:val="auto"/>
          <w:sz w:val="24"/>
          <w:highlight w:val="none"/>
          <w:bdr w:val="single" w:color="auto" w:sz="4" w:space="0"/>
        </w:rPr>
        <w:t>01标</w:t>
      </w:r>
      <w:r>
        <w:rPr>
          <w:rFonts w:hint="eastAsia" w:ascii="仿宋" w:hAnsi="仿宋" w:eastAsia="仿宋" w:cs="仿宋"/>
          <w:b/>
          <w:bCs/>
          <w:color w:val="auto"/>
          <w:kern w:val="0"/>
          <w:sz w:val="24"/>
          <w:highlight w:val="none"/>
        </w:rPr>
        <w:t>商务技术分：</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1021"/>
        <w:gridCol w:w="5946"/>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48" w:type="dxa"/>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类别</w:t>
            </w:r>
          </w:p>
        </w:tc>
        <w:tc>
          <w:tcPr>
            <w:tcW w:w="1021" w:type="dxa"/>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w:t>
            </w:r>
          </w:p>
        </w:tc>
        <w:tc>
          <w:tcPr>
            <w:tcW w:w="5946" w:type="dxa"/>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评分细则</w:t>
            </w:r>
          </w:p>
        </w:tc>
        <w:tc>
          <w:tcPr>
            <w:tcW w:w="1042" w:type="dxa"/>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848" w:type="dxa"/>
            <w:vMerge w:val="restart"/>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商务资信</w:t>
            </w:r>
          </w:p>
        </w:tc>
        <w:tc>
          <w:tcPr>
            <w:tcW w:w="1021" w:type="dxa"/>
            <w:vAlign w:val="center"/>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同类</w:t>
            </w:r>
          </w:p>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业绩</w:t>
            </w:r>
          </w:p>
        </w:tc>
        <w:tc>
          <w:tcPr>
            <w:tcW w:w="5946"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自2020年1月1日以来（以合同签订时间为准）具备同类项目业绩的【同类项目业绩是指同类沉浸式互动展厅案例。投标文件中提供业绩合同复印件盖投标人公章并且能清晰反映项目的名称、种类及金额，及完成案例的现场清晰图片（每案例1至3张）。业绩项目不得为联合体共同完成的。】每提供1项有效业绩的得2分，最多得6分。</w:t>
            </w:r>
          </w:p>
        </w:tc>
        <w:tc>
          <w:tcPr>
            <w:tcW w:w="1042" w:type="dxa"/>
            <w:vAlign w:val="center"/>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48" w:type="dxa"/>
            <w:vMerge w:val="continue"/>
          </w:tcPr>
          <w:p>
            <w:pPr>
              <w:pStyle w:val="50"/>
              <w:rPr>
                <w:rFonts w:hint="eastAsia" w:ascii="仿宋" w:hAnsi="仿宋" w:eastAsia="仿宋" w:cs="仿宋"/>
                <w:color w:val="auto"/>
                <w:sz w:val="24"/>
                <w:szCs w:val="24"/>
                <w:highlight w:val="none"/>
              </w:rPr>
            </w:pPr>
          </w:p>
        </w:tc>
        <w:tc>
          <w:tcPr>
            <w:tcW w:w="1021" w:type="dxa"/>
            <w:vMerge w:val="restart"/>
            <w:vAlign w:val="center"/>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企业</w:t>
            </w:r>
          </w:p>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资信</w:t>
            </w:r>
          </w:p>
        </w:tc>
        <w:tc>
          <w:tcPr>
            <w:tcW w:w="5946" w:type="dxa"/>
            <w:vAlign w:val="center"/>
          </w:tcPr>
          <w:p>
            <w:pPr>
              <w:pStyle w:val="5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1.国家高新技术企业</w:t>
            </w:r>
          </w:p>
        </w:tc>
        <w:tc>
          <w:tcPr>
            <w:tcW w:w="1042" w:type="dxa"/>
            <w:vMerge w:val="restart"/>
            <w:vAlign w:val="center"/>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48" w:type="dxa"/>
            <w:vMerge w:val="continue"/>
          </w:tcPr>
          <w:p>
            <w:pPr>
              <w:pStyle w:val="50"/>
              <w:rPr>
                <w:rFonts w:hint="eastAsia" w:ascii="仿宋" w:hAnsi="仿宋" w:eastAsia="仿宋" w:cs="仿宋"/>
                <w:color w:val="auto"/>
                <w:sz w:val="24"/>
                <w:szCs w:val="24"/>
                <w:highlight w:val="none"/>
              </w:rPr>
            </w:pPr>
          </w:p>
        </w:tc>
        <w:tc>
          <w:tcPr>
            <w:tcW w:w="1021" w:type="dxa"/>
            <w:vMerge w:val="continue"/>
          </w:tcPr>
          <w:p>
            <w:pPr>
              <w:pStyle w:val="50"/>
              <w:rPr>
                <w:rFonts w:hint="eastAsia" w:ascii="仿宋" w:hAnsi="仿宋" w:eastAsia="仿宋" w:cs="仿宋"/>
                <w:color w:val="auto"/>
                <w:sz w:val="24"/>
                <w:szCs w:val="24"/>
                <w:highlight w:val="none"/>
              </w:rPr>
            </w:pPr>
          </w:p>
        </w:tc>
        <w:tc>
          <w:tcPr>
            <w:tcW w:w="5946" w:type="dxa"/>
            <w:vAlign w:val="center"/>
          </w:tcPr>
          <w:p>
            <w:pPr>
              <w:pStyle w:val="5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2.音视频集成工程壹级资质证书</w:t>
            </w:r>
          </w:p>
        </w:tc>
        <w:tc>
          <w:tcPr>
            <w:tcW w:w="104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48" w:type="dxa"/>
            <w:vMerge w:val="continue"/>
          </w:tcPr>
          <w:p>
            <w:pPr>
              <w:pStyle w:val="50"/>
              <w:rPr>
                <w:rFonts w:hint="eastAsia" w:ascii="仿宋" w:hAnsi="仿宋" w:eastAsia="仿宋" w:cs="仿宋"/>
                <w:color w:val="auto"/>
                <w:sz w:val="24"/>
                <w:szCs w:val="24"/>
                <w:highlight w:val="none"/>
              </w:rPr>
            </w:pPr>
          </w:p>
        </w:tc>
        <w:tc>
          <w:tcPr>
            <w:tcW w:w="1021" w:type="dxa"/>
            <w:vMerge w:val="continue"/>
          </w:tcPr>
          <w:p>
            <w:pPr>
              <w:pStyle w:val="50"/>
              <w:rPr>
                <w:rFonts w:hint="eastAsia" w:ascii="仿宋" w:hAnsi="仿宋" w:eastAsia="仿宋" w:cs="仿宋"/>
                <w:color w:val="auto"/>
                <w:sz w:val="24"/>
                <w:szCs w:val="24"/>
                <w:highlight w:val="none"/>
              </w:rPr>
            </w:pPr>
          </w:p>
        </w:tc>
        <w:tc>
          <w:tcPr>
            <w:tcW w:w="5946" w:type="dxa"/>
            <w:vAlign w:val="center"/>
          </w:tcPr>
          <w:p>
            <w:pPr>
              <w:pStyle w:val="5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3.质量管理体系认证证书</w:t>
            </w:r>
          </w:p>
        </w:tc>
        <w:tc>
          <w:tcPr>
            <w:tcW w:w="104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48" w:type="dxa"/>
            <w:vMerge w:val="continue"/>
          </w:tcPr>
          <w:p>
            <w:pPr>
              <w:pStyle w:val="50"/>
              <w:rPr>
                <w:rFonts w:hint="eastAsia" w:ascii="仿宋" w:hAnsi="仿宋" w:eastAsia="仿宋" w:cs="仿宋"/>
                <w:color w:val="auto"/>
                <w:sz w:val="24"/>
                <w:szCs w:val="24"/>
                <w:highlight w:val="none"/>
              </w:rPr>
            </w:pPr>
          </w:p>
        </w:tc>
        <w:tc>
          <w:tcPr>
            <w:tcW w:w="1021" w:type="dxa"/>
            <w:vMerge w:val="continue"/>
          </w:tcPr>
          <w:p>
            <w:pPr>
              <w:pStyle w:val="50"/>
              <w:rPr>
                <w:rFonts w:hint="eastAsia" w:ascii="仿宋" w:hAnsi="仿宋" w:eastAsia="仿宋" w:cs="仿宋"/>
                <w:color w:val="auto"/>
                <w:sz w:val="24"/>
                <w:szCs w:val="24"/>
                <w:highlight w:val="none"/>
              </w:rPr>
            </w:pPr>
          </w:p>
        </w:tc>
        <w:tc>
          <w:tcPr>
            <w:tcW w:w="5946" w:type="dxa"/>
            <w:vAlign w:val="center"/>
          </w:tcPr>
          <w:p>
            <w:pPr>
              <w:pStyle w:val="5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4.环境管理体系认证证书</w:t>
            </w:r>
          </w:p>
        </w:tc>
        <w:tc>
          <w:tcPr>
            <w:tcW w:w="104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48" w:type="dxa"/>
            <w:vMerge w:val="continue"/>
          </w:tcPr>
          <w:p>
            <w:pPr>
              <w:pStyle w:val="50"/>
              <w:rPr>
                <w:rFonts w:hint="eastAsia" w:ascii="仿宋" w:hAnsi="仿宋" w:eastAsia="仿宋" w:cs="仿宋"/>
                <w:color w:val="auto"/>
                <w:sz w:val="24"/>
                <w:szCs w:val="24"/>
                <w:highlight w:val="none"/>
              </w:rPr>
            </w:pPr>
          </w:p>
        </w:tc>
        <w:tc>
          <w:tcPr>
            <w:tcW w:w="1021" w:type="dxa"/>
            <w:vMerge w:val="continue"/>
          </w:tcPr>
          <w:p>
            <w:pPr>
              <w:pStyle w:val="50"/>
              <w:rPr>
                <w:rFonts w:hint="eastAsia" w:ascii="仿宋" w:hAnsi="仿宋" w:eastAsia="仿宋" w:cs="仿宋"/>
                <w:color w:val="auto"/>
                <w:sz w:val="24"/>
                <w:szCs w:val="24"/>
                <w:highlight w:val="none"/>
              </w:rPr>
            </w:pPr>
          </w:p>
        </w:tc>
        <w:tc>
          <w:tcPr>
            <w:tcW w:w="5946" w:type="dxa"/>
            <w:vAlign w:val="center"/>
          </w:tcPr>
          <w:p>
            <w:pPr>
              <w:pStyle w:val="50"/>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上述四项每具备一项得1分，不满足不得分</w:t>
            </w:r>
          </w:p>
        </w:tc>
        <w:tc>
          <w:tcPr>
            <w:tcW w:w="104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jc w:val="center"/>
        </w:trPr>
        <w:tc>
          <w:tcPr>
            <w:tcW w:w="848" w:type="dxa"/>
            <w:vMerge w:val="restart"/>
            <w:vAlign w:val="center"/>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技术</w:t>
            </w:r>
          </w:p>
        </w:tc>
        <w:tc>
          <w:tcPr>
            <w:tcW w:w="1021" w:type="dxa"/>
            <w:vAlign w:val="center"/>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展示内容方案</w:t>
            </w:r>
          </w:p>
        </w:tc>
        <w:tc>
          <w:tcPr>
            <w:tcW w:w="5946"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对本项目设计任务书认识深刻，思路清晰，难点及关键点的分析内容详细且科学合理，空间动线规划合理，且提炼出至少三个不同展示空间内容设计，符合设计任务书的要求，得</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分；对本项目的有一定的理解，难点及关键点的分析内容较详细，有一定的科学合理性且给出基本内容设计的得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分；对本项目的理解程度一般，难点及关键点的分析不到位或分析内容简单没有目录大纲的0-</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tc>
        <w:tc>
          <w:tcPr>
            <w:tcW w:w="1042" w:type="dxa"/>
            <w:vAlign w:val="center"/>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jc w:val="center"/>
        </w:trPr>
        <w:tc>
          <w:tcPr>
            <w:tcW w:w="848" w:type="dxa"/>
            <w:vMerge w:val="continue"/>
          </w:tcPr>
          <w:p>
            <w:pPr>
              <w:pStyle w:val="50"/>
              <w:rPr>
                <w:rFonts w:hint="eastAsia" w:ascii="仿宋" w:hAnsi="仿宋" w:eastAsia="仿宋" w:cs="仿宋"/>
                <w:color w:val="auto"/>
                <w:sz w:val="24"/>
                <w:szCs w:val="24"/>
                <w:highlight w:val="none"/>
              </w:rPr>
            </w:pPr>
          </w:p>
        </w:tc>
        <w:tc>
          <w:tcPr>
            <w:tcW w:w="1021" w:type="dxa"/>
            <w:vMerge w:val="restart"/>
            <w:vAlign w:val="center"/>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总体功能布局图、各功能区域的效果图</w:t>
            </w:r>
          </w:p>
        </w:tc>
        <w:tc>
          <w:tcPr>
            <w:tcW w:w="5946"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安排布局合理、空间规划科学、完全满足本项目实际需求；设计理念和思路创新；充分展示空间的整体运用，体现展陈和参观的系统性</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顺序性、选择性和安全性；表现形式多样，各功能区域的展厅均呈现或突出展陈内容，且合理适度、简洁简约；体现黄酒文化和黄酒小镇的特色元素；整体协调统一，赋予展厅活态生命力；对空间布局、展厅效果等方面进行创意设计，内容有创新，图文丰富并提供8张以上重点展示效果图，参观动线规划不少于20分钟，得7-10分；</w:t>
            </w:r>
          </w:p>
        </w:tc>
        <w:tc>
          <w:tcPr>
            <w:tcW w:w="1042" w:type="dxa"/>
            <w:vMerge w:val="restart"/>
            <w:vAlign w:val="center"/>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atLeast"/>
          <w:jc w:val="center"/>
        </w:trPr>
        <w:tc>
          <w:tcPr>
            <w:tcW w:w="848" w:type="dxa"/>
            <w:vMerge w:val="continue"/>
          </w:tcPr>
          <w:p>
            <w:pPr>
              <w:pStyle w:val="50"/>
              <w:rPr>
                <w:rFonts w:hint="eastAsia" w:ascii="仿宋" w:hAnsi="仿宋" w:eastAsia="仿宋" w:cs="仿宋"/>
                <w:color w:val="auto"/>
                <w:sz w:val="24"/>
                <w:szCs w:val="24"/>
                <w:highlight w:val="none"/>
              </w:rPr>
            </w:pPr>
          </w:p>
        </w:tc>
        <w:tc>
          <w:tcPr>
            <w:tcW w:w="1021" w:type="dxa"/>
            <w:vMerge w:val="continue"/>
          </w:tcPr>
          <w:p>
            <w:pPr>
              <w:pStyle w:val="50"/>
              <w:rPr>
                <w:rFonts w:hint="eastAsia" w:ascii="仿宋" w:hAnsi="仿宋" w:eastAsia="仿宋" w:cs="仿宋"/>
                <w:color w:val="auto"/>
                <w:sz w:val="24"/>
                <w:szCs w:val="24"/>
                <w:highlight w:val="none"/>
              </w:rPr>
            </w:pPr>
          </w:p>
        </w:tc>
        <w:tc>
          <w:tcPr>
            <w:tcW w:w="5946"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安排布局基本合理、空间规划基本科学、基本满足本项目实际需求；设计理念和思路有一定的创新；空间的整体运用展示效果较好，展陈和参观体现一定的系统性、顺序性、选择性和安全性；表现形式较多，各功能区域的展厅部分呈现或突出展陈内容；部分体现文化的发展历史与特色；整体基本协调统一，造型较新颖、内容较具体、图文较多，提供效果图少于8张，参观动线规划不少于15分钟，得4-6分；</w:t>
            </w:r>
          </w:p>
        </w:tc>
        <w:tc>
          <w:tcPr>
            <w:tcW w:w="104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848" w:type="dxa"/>
            <w:vMerge w:val="continue"/>
          </w:tcPr>
          <w:p>
            <w:pPr>
              <w:pStyle w:val="50"/>
              <w:rPr>
                <w:rFonts w:hint="eastAsia" w:ascii="仿宋" w:hAnsi="仿宋" w:eastAsia="仿宋" w:cs="仿宋"/>
                <w:color w:val="auto"/>
                <w:sz w:val="24"/>
                <w:szCs w:val="24"/>
                <w:highlight w:val="none"/>
              </w:rPr>
            </w:pPr>
          </w:p>
        </w:tc>
        <w:tc>
          <w:tcPr>
            <w:tcW w:w="1021" w:type="dxa"/>
            <w:vMerge w:val="continue"/>
          </w:tcPr>
          <w:p>
            <w:pPr>
              <w:pStyle w:val="50"/>
              <w:rPr>
                <w:rFonts w:hint="eastAsia" w:ascii="仿宋" w:hAnsi="仿宋" w:eastAsia="仿宋" w:cs="仿宋"/>
                <w:color w:val="auto"/>
                <w:sz w:val="24"/>
                <w:szCs w:val="24"/>
                <w:highlight w:val="none"/>
              </w:rPr>
            </w:pPr>
          </w:p>
        </w:tc>
        <w:tc>
          <w:tcPr>
            <w:tcW w:w="5946"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安排布局合理性一般的、空间规划基本满足本项目实际需求、设计理念和思路无创新；空间的整体运用展示效果一般，展陈和参观的系统性、顺序性、选择性和安全性一般或差的；表现形式不多，各功能区域的展厅较少呈现或突出展陈内容；未体现出特色元素及文化的发展历史与特色；整体协调性一般，造型不新颖、内容及图文简单、未提供效果图的得0-3分。</w:t>
            </w:r>
          </w:p>
        </w:tc>
        <w:tc>
          <w:tcPr>
            <w:tcW w:w="104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848" w:type="dxa"/>
            <w:vMerge w:val="continue"/>
          </w:tcPr>
          <w:p>
            <w:pPr>
              <w:pStyle w:val="50"/>
              <w:rPr>
                <w:rFonts w:hint="eastAsia" w:ascii="仿宋" w:hAnsi="仿宋" w:eastAsia="仿宋" w:cs="仿宋"/>
                <w:color w:val="auto"/>
                <w:sz w:val="24"/>
                <w:szCs w:val="24"/>
                <w:highlight w:val="none"/>
              </w:rPr>
            </w:pPr>
          </w:p>
        </w:tc>
        <w:tc>
          <w:tcPr>
            <w:tcW w:w="1021" w:type="dxa"/>
            <w:vMerge w:val="restart"/>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各功能区域的展示说明、各主要展项的技术说明、整体设计主要表现手法及技术措施、配套工程的需求分析</w:t>
            </w:r>
          </w:p>
        </w:tc>
        <w:tc>
          <w:tcPr>
            <w:tcW w:w="5946"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各功能区域的展示说明及各主要展项的技术说明详细、具体，完全切合项目的实际运用实施；整体设计主要表现手法及技术措施先进、创新，风格新颖；配套工程的需求分析准确全面，充分考虑配套工程实施的安全性、有效性、美观性及协调性。得</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分；</w:t>
            </w:r>
          </w:p>
        </w:tc>
        <w:tc>
          <w:tcPr>
            <w:tcW w:w="1042" w:type="dxa"/>
            <w:vMerge w:val="restart"/>
            <w:vAlign w:val="center"/>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48" w:type="dxa"/>
            <w:vMerge w:val="continue"/>
          </w:tcPr>
          <w:p>
            <w:pPr>
              <w:pStyle w:val="50"/>
              <w:rPr>
                <w:rFonts w:hint="eastAsia" w:ascii="仿宋" w:hAnsi="仿宋" w:eastAsia="仿宋" w:cs="仿宋"/>
                <w:color w:val="auto"/>
                <w:sz w:val="24"/>
                <w:szCs w:val="24"/>
                <w:highlight w:val="none"/>
              </w:rPr>
            </w:pPr>
          </w:p>
        </w:tc>
        <w:tc>
          <w:tcPr>
            <w:tcW w:w="1021" w:type="dxa"/>
            <w:vMerge w:val="continue"/>
          </w:tcPr>
          <w:p>
            <w:pPr>
              <w:pStyle w:val="50"/>
              <w:rPr>
                <w:rFonts w:hint="eastAsia" w:ascii="仿宋" w:hAnsi="仿宋" w:eastAsia="仿宋" w:cs="仿宋"/>
                <w:color w:val="auto"/>
                <w:sz w:val="24"/>
                <w:szCs w:val="24"/>
                <w:highlight w:val="none"/>
              </w:rPr>
            </w:pPr>
          </w:p>
        </w:tc>
        <w:tc>
          <w:tcPr>
            <w:tcW w:w="5946"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各功能区域的展示说明及各主要展项的技术说明基本完整，内容有少部分缺失，基本切合项目的实际运用实施；整体设计主要表现手法及技术措施较先进、创新，风格较新颖；配套工程的需求分析基本准确，部分考虑配套工程实施的安全性、有效性、美观性及协调性；得3-</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w:t>
            </w:r>
          </w:p>
        </w:tc>
        <w:tc>
          <w:tcPr>
            <w:tcW w:w="104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jc w:val="center"/>
        </w:trPr>
        <w:tc>
          <w:tcPr>
            <w:tcW w:w="848" w:type="dxa"/>
            <w:vMerge w:val="continue"/>
          </w:tcPr>
          <w:p>
            <w:pPr>
              <w:pStyle w:val="50"/>
              <w:rPr>
                <w:rFonts w:hint="eastAsia" w:ascii="仿宋" w:hAnsi="仿宋" w:eastAsia="仿宋" w:cs="仿宋"/>
                <w:color w:val="auto"/>
                <w:sz w:val="24"/>
                <w:szCs w:val="24"/>
                <w:highlight w:val="none"/>
              </w:rPr>
            </w:pPr>
          </w:p>
        </w:tc>
        <w:tc>
          <w:tcPr>
            <w:tcW w:w="1021" w:type="dxa"/>
            <w:vMerge w:val="continue"/>
          </w:tcPr>
          <w:p>
            <w:pPr>
              <w:pStyle w:val="50"/>
              <w:rPr>
                <w:rFonts w:hint="eastAsia" w:ascii="仿宋" w:hAnsi="仿宋" w:eastAsia="仿宋" w:cs="仿宋"/>
                <w:color w:val="auto"/>
                <w:sz w:val="24"/>
                <w:szCs w:val="24"/>
                <w:highlight w:val="none"/>
              </w:rPr>
            </w:pPr>
          </w:p>
        </w:tc>
        <w:tc>
          <w:tcPr>
            <w:tcW w:w="5946"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各功能区域的展示说明及各主要展项的技术说明不完整，缺失内容较多，少部分内容切合项目的实际运用实施；整体设计主要表现手法及技术措施不先进、创新性差，风格不新颖；配套工程的需求分析少部分准确且分析较片面，极少部分考虑配套工程实施的安全性、有效性、美观性及协调性；得0-2分。</w:t>
            </w:r>
          </w:p>
        </w:tc>
        <w:tc>
          <w:tcPr>
            <w:tcW w:w="104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848" w:type="dxa"/>
            <w:vMerge w:val="continue"/>
          </w:tcPr>
          <w:p>
            <w:pPr>
              <w:pStyle w:val="50"/>
              <w:rPr>
                <w:rFonts w:hint="eastAsia" w:ascii="仿宋" w:hAnsi="仿宋" w:eastAsia="仿宋" w:cs="仿宋"/>
                <w:color w:val="auto"/>
                <w:sz w:val="24"/>
                <w:szCs w:val="24"/>
                <w:highlight w:val="none"/>
              </w:rPr>
            </w:pPr>
          </w:p>
        </w:tc>
        <w:tc>
          <w:tcPr>
            <w:tcW w:w="1021" w:type="dxa"/>
            <w:vAlign w:val="center"/>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互动内容设计</w:t>
            </w:r>
          </w:p>
        </w:tc>
        <w:tc>
          <w:tcPr>
            <w:tcW w:w="5946"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展示内容以黄酒文化、黄酒小镇及绍兴当地文化作为蓝本进行艺术视觉创作，做到视觉震撼吸引人，内容丰富有意思。将传统文化故事以新潮的沉浸式方式进行展现。所有展厅空间内均具有互动内容，且符合设计任务书要求，互动内容数量不少于12套得7-10分；部分展厅空间内具有互动内容，互动内容符合设计任务书要求且数量在8-10套得4-6分；部分展厅空间内具有互动内容，互动内容符合设计任务书要求且数量低于8套得0-3分。</w:t>
            </w:r>
          </w:p>
        </w:tc>
        <w:tc>
          <w:tcPr>
            <w:tcW w:w="1042" w:type="dxa"/>
            <w:vAlign w:val="center"/>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848" w:type="dxa"/>
            <w:vMerge w:val="continue"/>
          </w:tcPr>
          <w:p>
            <w:pPr>
              <w:pStyle w:val="50"/>
              <w:rPr>
                <w:rFonts w:hint="eastAsia" w:ascii="仿宋" w:hAnsi="仿宋" w:eastAsia="仿宋" w:cs="仿宋"/>
                <w:color w:val="auto"/>
                <w:sz w:val="24"/>
                <w:szCs w:val="24"/>
                <w:highlight w:val="none"/>
              </w:rPr>
            </w:pPr>
          </w:p>
        </w:tc>
        <w:tc>
          <w:tcPr>
            <w:tcW w:w="1021" w:type="dxa"/>
            <w:vAlign w:val="center"/>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展厅互动形式</w:t>
            </w:r>
          </w:p>
        </w:tc>
        <w:tc>
          <w:tcPr>
            <w:tcW w:w="5946"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交互形式新颖有趣，能同时满足多人互动，可提供各展项的详细互动脚本，且交互形式（采用传感器种类）不少于3种的得</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分；交互形式不够新颖不能满足多人互动，各展项的互动脚本不够详细且互动形式少于3种得</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分；无互动的得0分。</w:t>
            </w:r>
          </w:p>
        </w:tc>
        <w:tc>
          <w:tcPr>
            <w:tcW w:w="1042" w:type="dxa"/>
            <w:vAlign w:val="center"/>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848" w:type="dxa"/>
            <w:vMerge w:val="continue"/>
          </w:tcPr>
          <w:p>
            <w:pPr>
              <w:pStyle w:val="50"/>
              <w:rPr>
                <w:rFonts w:hint="eastAsia" w:ascii="仿宋" w:hAnsi="仿宋" w:eastAsia="仿宋" w:cs="仿宋"/>
                <w:color w:val="auto"/>
                <w:sz w:val="24"/>
                <w:szCs w:val="24"/>
                <w:highlight w:val="none"/>
              </w:rPr>
            </w:pPr>
          </w:p>
        </w:tc>
        <w:tc>
          <w:tcPr>
            <w:tcW w:w="1021" w:type="dxa"/>
            <w:vAlign w:val="center"/>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扩初图设计</w:t>
            </w:r>
          </w:p>
        </w:tc>
        <w:tc>
          <w:tcPr>
            <w:tcW w:w="5946"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扩初图清晰体现所有设备（投影机、灯光、音箱、传感器等）的点位、安装大样及系统原理图得</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分；扩初图清晰体现部分设备（投影机、灯光、音箱、传感器等）的点位、安装大样及系统原理图得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分；无扩初图或者扩初图与方案及清单不符得0-</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tc>
        <w:tc>
          <w:tcPr>
            <w:tcW w:w="1042" w:type="dxa"/>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jc w:val="center"/>
        </w:trPr>
        <w:tc>
          <w:tcPr>
            <w:tcW w:w="848" w:type="dxa"/>
            <w:vMerge w:val="continue"/>
          </w:tcPr>
          <w:p>
            <w:pPr>
              <w:pStyle w:val="50"/>
              <w:rPr>
                <w:rFonts w:hint="eastAsia" w:ascii="仿宋" w:hAnsi="仿宋" w:eastAsia="仿宋" w:cs="仿宋"/>
                <w:color w:val="auto"/>
                <w:sz w:val="24"/>
                <w:szCs w:val="24"/>
                <w:highlight w:val="none"/>
              </w:rPr>
            </w:pPr>
          </w:p>
        </w:tc>
        <w:tc>
          <w:tcPr>
            <w:tcW w:w="1021" w:type="dxa"/>
            <w:vMerge w:val="restart"/>
            <w:vAlign w:val="center"/>
          </w:tcPr>
          <w:p>
            <w:pPr>
              <w:pStyle w:val="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组织技术方案</w:t>
            </w:r>
          </w:p>
        </w:tc>
        <w:tc>
          <w:tcPr>
            <w:tcW w:w="5946"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技术组织措施完整、可行，具有专门的质量技术管理及安全生产管理班子和相关的制度，且人员配备合理，制度健全，主要工序具有质量技术保证措施和手段，各道工序安全技术措施针对性强，自控体系完整，能有效保证技术质量，达到承诺的质量标准；得</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分。</w:t>
            </w:r>
          </w:p>
        </w:tc>
        <w:tc>
          <w:tcPr>
            <w:tcW w:w="1042" w:type="dxa"/>
            <w:vMerge w:val="restart"/>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jc w:val="center"/>
        </w:trPr>
        <w:tc>
          <w:tcPr>
            <w:tcW w:w="848" w:type="dxa"/>
            <w:vMerge w:val="continue"/>
          </w:tcPr>
          <w:p>
            <w:pPr>
              <w:pStyle w:val="50"/>
              <w:rPr>
                <w:rFonts w:hint="eastAsia" w:ascii="仿宋" w:hAnsi="仿宋" w:eastAsia="仿宋" w:cs="仿宋"/>
                <w:color w:val="auto"/>
                <w:sz w:val="24"/>
                <w:szCs w:val="24"/>
                <w:highlight w:val="none"/>
              </w:rPr>
            </w:pPr>
          </w:p>
        </w:tc>
        <w:tc>
          <w:tcPr>
            <w:tcW w:w="1021" w:type="dxa"/>
            <w:vMerge w:val="continue"/>
          </w:tcPr>
          <w:p>
            <w:pPr>
              <w:pStyle w:val="50"/>
              <w:rPr>
                <w:rFonts w:hint="eastAsia" w:ascii="仿宋" w:hAnsi="仿宋" w:eastAsia="仿宋" w:cs="仿宋"/>
                <w:color w:val="auto"/>
                <w:sz w:val="24"/>
                <w:szCs w:val="24"/>
                <w:highlight w:val="none"/>
              </w:rPr>
            </w:pPr>
          </w:p>
        </w:tc>
        <w:tc>
          <w:tcPr>
            <w:tcW w:w="5946"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技术组织措施相对简单，具有基本的质量技术管理及安全生产管理班子和相关制度，且人员配备基本合理，制度基本健全，主要工序具有质量技术保证措施和手段，各道工序安全技术措施有一定的针对性，自控体系基本完整，能一定程度的保证技术质量，基本达到承诺的质量标准；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tc>
        <w:tc>
          <w:tcPr>
            <w:tcW w:w="1042" w:type="dxa"/>
            <w:vMerge w:val="continue"/>
          </w:tcPr>
          <w:p>
            <w:pPr>
              <w:pStyle w:val="5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jc w:val="center"/>
        </w:trPr>
        <w:tc>
          <w:tcPr>
            <w:tcW w:w="848" w:type="dxa"/>
            <w:vMerge w:val="continue"/>
          </w:tcPr>
          <w:p>
            <w:pPr>
              <w:pStyle w:val="50"/>
              <w:rPr>
                <w:rFonts w:hint="eastAsia" w:ascii="仿宋" w:hAnsi="仿宋" w:eastAsia="仿宋" w:cs="仿宋"/>
                <w:color w:val="auto"/>
                <w:sz w:val="24"/>
                <w:szCs w:val="24"/>
                <w:highlight w:val="none"/>
              </w:rPr>
            </w:pPr>
          </w:p>
        </w:tc>
        <w:tc>
          <w:tcPr>
            <w:tcW w:w="1021" w:type="dxa"/>
            <w:vMerge w:val="continue"/>
          </w:tcPr>
          <w:p>
            <w:pPr>
              <w:pStyle w:val="50"/>
              <w:rPr>
                <w:rFonts w:hint="eastAsia" w:ascii="仿宋" w:hAnsi="仿宋" w:eastAsia="仿宋" w:cs="仿宋"/>
                <w:color w:val="auto"/>
                <w:sz w:val="24"/>
                <w:szCs w:val="24"/>
                <w:highlight w:val="none"/>
              </w:rPr>
            </w:pPr>
          </w:p>
        </w:tc>
        <w:tc>
          <w:tcPr>
            <w:tcW w:w="5946" w:type="dxa"/>
          </w:tcPr>
          <w:p>
            <w:pPr>
              <w:pStyle w:val="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技术组织措施不完整，有较多缺失，具有专门的质量技术管理及安全生产管理班子和相关的制度，且人员配备合理性一般，制度不健全，主要工序具有质量技术保证措施和手段，各道工序安全技术措施针对性一般，自控体系完整性一般， 基本达到承诺的质量标准；得0-</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tc>
        <w:tc>
          <w:tcPr>
            <w:tcW w:w="1042" w:type="dxa"/>
            <w:vMerge w:val="continue"/>
          </w:tcPr>
          <w:p>
            <w:pPr>
              <w:pStyle w:val="50"/>
              <w:rPr>
                <w:rFonts w:hint="eastAsia" w:ascii="仿宋" w:hAnsi="仿宋" w:eastAsia="仿宋" w:cs="仿宋"/>
                <w:color w:val="auto"/>
                <w:sz w:val="24"/>
                <w:szCs w:val="24"/>
                <w:highlight w:val="none"/>
              </w:rPr>
            </w:pPr>
          </w:p>
        </w:tc>
      </w:tr>
    </w:tbl>
    <w:p>
      <w:pPr>
        <w:spacing w:line="500" w:lineRule="exact"/>
        <w:jc w:val="left"/>
        <w:rPr>
          <w:rFonts w:hint="eastAsia" w:ascii="仿宋" w:hAnsi="仿宋" w:eastAsia="仿宋" w:cs="仿宋"/>
          <w:color w:val="auto"/>
          <w:sz w:val="24"/>
          <w:highlight w:val="none"/>
        </w:rPr>
      </w:pPr>
      <w:r>
        <w:rPr>
          <w:rFonts w:hint="eastAsia" w:ascii="仿宋" w:hAnsi="仿宋" w:eastAsia="仿宋" w:cs="仿宋"/>
          <w:b/>
          <w:bCs/>
          <w:iCs/>
          <w:color w:val="auto"/>
          <w:sz w:val="24"/>
          <w:highlight w:val="none"/>
        </w:rPr>
        <w:t>注：1、所有证书都应在有效期内，逾期不得分。</w:t>
      </w:r>
      <w:r>
        <w:rPr>
          <w:rFonts w:hint="eastAsia" w:ascii="仿宋" w:hAnsi="仿宋" w:eastAsia="仿宋" w:cs="仿宋"/>
          <w:color w:val="auto"/>
          <w:sz w:val="24"/>
          <w:highlight w:val="none"/>
        </w:rPr>
        <w:t xml:space="preserve"> </w:t>
      </w:r>
    </w:p>
    <w:p>
      <w:pPr>
        <w:spacing w:line="400" w:lineRule="exact"/>
        <w:rPr>
          <w:rFonts w:hint="eastAsia" w:ascii="仿宋" w:hAnsi="仿宋" w:eastAsia="仿宋" w:cs="仿宋"/>
          <w:b/>
          <w:bCs/>
          <w:iCs/>
          <w:color w:val="auto"/>
          <w:sz w:val="24"/>
          <w:highlight w:val="none"/>
        </w:rPr>
      </w:pPr>
      <w:r>
        <w:rPr>
          <w:rFonts w:hint="eastAsia" w:ascii="仿宋" w:hAnsi="仿宋" w:eastAsia="仿宋" w:cs="仿宋"/>
          <w:b/>
          <w:color w:val="auto"/>
          <w:sz w:val="24"/>
          <w:highlight w:val="none"/>
          <w:bdr w:val="single" w:color="auto" w:sz="4" w:space="0"/>
        </w:rPr>
        <w:t>01标</w:t>
      </w:r>
      <w:r>
        <w:rPr>
          <w:rFonts w:hint="eastAsia" w:ascii="仿宋" w:hAnsi="仿宋" w:eastAsia="仿宋" w:cs="仿宋"/>
          <w:b/>
          <w:bCs/>
          <w:iCs/>
          <w:color w:val="auto"/>
          <w:sz w:val="24"/>
          <w:highlight w:val="none"/>
        </w:rPr>
        <w:t>价格分：</w:t>
      </w:r>
    </w:p>
    <w:p>
      <w:pPr>
        <w:spacing w:line="400" w:lineRule="exact"/>
        <w:rPr>
          <w:rFonts w:hint="eastAsia" w:ascii="仿宋" w:hAnsi="仿宋" w:eastAsia="仿宋" w:cs="仿宋"/>
          <w:bCs/>
          <w:iCs/>
          <w:color w:val="auto"/>
          <w:sz w:val="24"/>
          <w:highlight w:val="none"/>
        </w:rPr>
      </w:pPr>
      <w:r>
        <w:rPr>
          <w:rFonts w:hint="eastAsia" w:ascii="仿宋" w:hAnsi="仿宋" w:eastAsia="仿宋" w:cs="仿宋"/>
          <w:bCs/>
          <w:iCs/>
          <w:color w:val="auto"/>
          <w:sz w:val="24"/>
          <w:highlight w:val="none"/>
        </w:rPr>
        <w:t>2.2.1评标基准价：即满足采购文件要求且投标报价最低的投标报价为评标基准价，其价格分为满分。</w:t>
      </w:r>
    </w:p>
    <w:p>
      <w:pPr>
        <w:spacing w:line="400" w:lineRule="exact"/>
        <w:rPr>
          <w:rFonts w:hint="eastAsia" w:ascii="仿宋" w:hAnsi="仿宋" w:eastAsia="仿宋" w:cs="仿宋"/>
          <w:bCs/>
          <w:iCs/>
          <w:color w:val="auto"/>
          <w:sz w:val="24"/>
          <w:highlight w:val="none"/>
        </w:rPr>
      </w:pPr>
      <w:r>
        <w:rPr>
          <w:rFonts w:hint="eastAsia" w:ascii="仿宋" w:hAnsi="仿宋" w:eastAsia="仿宋" w:cs="仿宋"/>
          <w:bCs/>
          <w:iCs/>
          <w:color w:val="auto"/>
          <w:sz w:val="24"/>
          <w:highlight w:val="none"/>
        </w:rPr>
        <w:t>2.2.2其他供应商的价格分统一按照下列公式计算：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仿宋" w:hAnsi="仿宋" w:eastAsia="仿宋" w:cs="仿宋"/>
          <w:bCs/>
          <w:iCs/>
          <w:color w:val="auto"/>
          <w:sz w:val="24"/>
          <w:highlight w:val="none"/>
        </w:rPr>
      </w:pPr>
      <w:r>
        <w:rPr>
          <w:rFonts w:hint="eastAsia" w:ascii="仿宋" w:hAnsi="仿宋" w:eastAsia="仿宋" w:cs="仿宋"/>
          <w:bCs/>
          <w:iCs/>
          <w:color w:val="auto"/>
          <w:sz w:val="24"/>
          <w:highlight w:val="none"/>
        </w:rPr>
        <w:t>投标报价得分=(评标基准价／投标报价)×价格权值×100</w:t>
      </w:r>
    </w:p>
    <w:p>
      <w:pPr>
        <w:widowControl/>
        <w:snapToGrid w:val="0"/>
        <w:spacing w:line="480" w:lineRule="exact"/>
        <w:rPr>
          <w:rFonts w:hint="eastAsia" w:ascii="仿宋" w:hAnsi="仿宋" w:eastAsia="仿宋" w:cs="仿宋"/>
          <w:bCs/>
          <w:iCs/>
          <w:color w:val="auto"/>
          <w:sz w:val="24"/>
          <w:highlight w:val="none"/>
          <w:u w:val="single"/>
        </w:rPr>
      </w:pPr>
      <w:r>
        <w:rPr>
          <w:rFonts w:hint="eastAsia" w:ascii="仿宋" w:hAnsi="仿宋" w:eastAsia="仿宋" w:cs="仿宋"/>
          <w:bCs/>
          <w:iCs/>
          <w:color w:val="auto"/>
          <w:sz w:val="24"/>
          <w:highlight w:val="none"/>
        </w:rPr>
        <w:t>即：投标报价得分=(评标基准价／投标报价)×</w:t>
      </w:r>
      <w:r>
        <w:rPr>
          <w:rFonts w:hint="eastAsia" w:ascii="仿宋" w:hAnsi="仿宋" w:eastAsia="仿宋" w:cs="仿宋"/>
          <w:bCs/>
          <w:iCs/>
          <w:color w:val="auto"/>
          <w:sz w:val="24"/>
          <w:highlight w:val="none"/>
          <w:u w:val="single"/>
        </w:rPr>
        <w:t xml:space="preserve"> </w:t>
      </w:r>
      <w:r>
        <w:rPr>
          <w:rFonts w:hint="eastAsia" w:ascii="仿宋" w:hAnsi="仿宋" w:eastAsia="仿宋" w:cs="仿宋"/>
          <w:bCs/>
          <w:iCs/>
          <w:color w:val="auto"/>
          <w:sz w:val="24"/>
          <w:highlight w:val="none"/>
          <w:u w:val="single"/>
          <w:lang w:val="en-US" w:eastAsia="zh-CN"/>
        </w:rPr>
        <w:t>3</w:t>
      </w:r>
      <w:r>
        <w:rPr>
          <w:rFonts w:hint="eastAsia" w:ascii="仿宋" w:hAnsi="仿宋" w:eastAsia="仿宋" w:cs="仿宋"/>
          <w:bCs/>
          <w:iCs/>
          <w:color w:val="auto"/>
          <w:sz w:val="24"/>
          <w:highlight w:val="none"/>
          <w:u w:val="single"/>
        </w:rPr>
        <w:t>0</w:t>
      </w:r>
    </w:p>
    <w:p>
      <w:pPr>
        <w:pStyle w:val="14"/>
        <w:rPr>
          <w:rFonts w:hint="eastAsia" w:ascii="仿宋" w:hAnsi="仿宋" w:eastAsia="仿宋" w:cs="仿宋"/>
          <w:color w:val="auto"/>
          <w:highlight w:val="none"/>
        </w:rPr>
      </w:pPr>
    </w:p>
    <w:p>
      <w:pPr>
        <w:rPr>
          <w:rFonts w:hint="eastAsia" w:ascii="仿宋" w:hAnsi="仿宋" w:eastAsia="仿宋" w:cs="仿宋"/>
          <w:color w:val="auto"/>
          <w:highlight w:val="none"/>
        </w:rPr>
      </w:pPr>
      <w:bookmarkStart w:id="14" w:name="_Toc643610537"/>
      <w:r>
        <w:rPr>
          <w:rFonts w:hint="eastAsia" w:ascii="仿宋" w:hAnsi="仿宋" w:eastAsia="仿宋" w:cs="仿宋"/>
          <w:color w:val="auto"/>
          <w:highlight w:val="none"/>
        </w:rPr>
        <w:br w:type="page"/>
      </w:r>
    </w:p>
    <w:p>
      <w:pPr>
        <w:pStyle w:val="4"/>
        <w:rPr>
          <w:rFonts w:hint="eastAsia" w:ascii="仿宋" w:hAnsi="仿宋" w:eastAsia="仿宋" w:cs="仿宋"/>
          <w:color w:val="auto"/>
          <w:highlight w:val="none"/>
        </w:rPr>
      </w:pPr>
      <w:r>
        <w:rPr>
          <w:rFonts w:hint="eastAsia" w:ascii="仿宋" w:hAnsi="仿宋" w:eastAsia="仿宋" w:cs="仿宋"/>
          <w:color w:val="auto"/>
          <w:highlight w:val="none"/>
        </w:rPr>
        <w:t>第六章  投标文件格式附件</w:t>
      </w:r>
      <w:bookmarkEnd w:id="14"/>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投标文件制作请按照本采购文件“第二章 供应商须知”第三部分“投标文件”的规定制作，有关格式附件如下：</w:t>
      </w:r>
    </w:p>
    <w:p>
      <w:pPr>
        <w:widowControl/>
        <w:snapToGrid w:val="0"/>
        <w:spacing w:line="480" w:lineRule="exact"/>
        <w:ind w:firstLine="480" w:firstLineChars="200"/>
        <w:rPr>
          <w:rFonts w:hint="eastAsia" w:ascii="仿宋" w:hAnsi="仿宋" w:eastAsia="仿宋" w:cs="仿宋"/>
          <w:color w:val="auto"/>
          <w:kern w:val="0"/>
          <w:sz w:val="24"/>
          <w:highlight w:val="none"/>
        </w:rPr>
      </w:pPr>
    </w:p>
    <w:p>
      <w:pPr>
        <w:widowControl/>
        <w:snapToGrid w:val="0"/>
        <w:spacing w:line="480" w:lineRule="exact"/>
        <w:ind w:firstLine="480" w:firstLineChars="200"/>
        <w:rPr>
          <w:rFonts w:hint="eastAsia" w:ascii="仿宋" w:hAnsi="仿宋" w:eastAsia="仿宋" w:cs="仿宋"/>
          <w:color w:val="auto"/>
          <w:kern w:val="0"/>
          <w:sz w:val="24"/>
          <w:highlight w:val="none"/>
        </w:rPr>
      </w:pPr>
    </w:p>
    <w:p>
      <w:pPr>
        <w:widowControl/>
        <w:snapToGrid w:val="0"/>
        <w:spacing w:line="480" w:lineRule="exact"/>
        <w:ind w:firstLine="480" w:firstLineChars="200"/>
        <w:rPr>
          <w:rFonts w:hint="eastAsia" w:ascii="仿宋" w:hAnsi="仿宋" w:eastAsia="仿宋" w:cs="仿宋"/>
          <w:color w:val="auto"/>
          <w:kern w:val="0"/>
          <w:sz w:val="24"/>
          <w:highlight w:val="none"/>
        </w:rPr>
      </w:pPr>
    </w:p>
    <w:p>
      <w:pPr>
        <w:widowControl/>
        <w:snapToGrid w:val="0"/>
        <w:spacing w:line="480" w:lineRule="exact"/>
        <w:ind w:firstLine="480" w:firstLineChars="200"/>
        <w:rPr>
          <w:rFonts w:hint="eastAsia" w:ascii="仿宋" w:hAnsi="仿宋" w:eastAsia="仿宋" w:cs="仿宋"/>
          <w:color w:val="auto"/>
          <w:kern w:val="0"/>
          <w:sz w:val="24"/>
          <w:highlight w:val="none"/>
        </w:rPr>
      </w:pPr>
    </w:p>
    <w:p>
      <w:pPr>
        <w:widowControl/>
        <w:snapToGrid w:val="0"/>
        <w:spacing w:line="480" w:lineRule="exact"/>
        <w:ind w:firstLine="480" w:firstLineChars="200"/>
        <w:rPr>
          <w:rFonts w:hint="eastAsia" w:ascii="仿宋" w:hAnsi="仿宋" w:eastAsia="仿宋" w:cs="仿宋"/>
          <w:color w:val="auto"/>
          <w:kern w:val="0"/>
          <w:sz w:val="24"/>
          <w:highlight w:val="none"/>
        </w:rPr>
      </w:pPr>
    </w:p>
    <w:p>
      <w:pPr>
        <w:widowControl/>
        <w:snapToGrid w:val="0"/>
        <w:spacing w:line="480" w:lineRule="exact"/>
        <w:ind w:firstLine="480" w:firstLineChars="200"/>
        <w:rPr>
          <w:rFonts w:hint="eastAsia" w:ascii="仿宋" w:hAnsi="仿宋" w:eastAsia="仿宋" w:cs="仿宋"/>
          <w:color w:val="auto"/>
          <w:kern w:val="0"/>
          <w:sz w:val="24"/>
          <w:highlight w:val="none"/>
        </w:rPr>
      </w:pPr>
    </w:p>
    <w:p>
      <w:pPr>
        <w:widowControl/>
        <w:snapToGrid w:val="0"/>
        <w:spacing w:line="480" w:lineRule="exact"/>
        <w:ind w:firstLine="480" w:firstLineChars="200"/>
        <w:rPr>
          <w:rFonts w:hint="eastAsia" w:ascii="仿宋" w:hAnsi="仿宋" w:eastAsia="仿宋" w:cs="仿宋"/>
          <w:color w:val="auto"/>
          <w:kern w:val="0"/>
          <w:sz w:val="24"/>
          <w:highlight w:val="none"/>
        </w:rPr>
      </w:pPr>
    </w:p>
    <w:p>
      <w:pPr>
        <w:widowControl/>
        <w:snapToGrid w:val="0"/>
        <w:spacing w:line="480" w:lineRule="exact"/>
        <w:ind w:firstLine="480" w:firstLineChars="200"/>
        <w:rPr>
          <w:rFonts w:hint="eastAsia" w:ascii="仿宋" w:hAnsi="仿宋" w:eastAsia="仿宋" w:cs="仿宋"/>
          <w:color w:val="auto"/>
          <w:kern w:val="0"/>
          <w:sz w:val="24"/>
          <w:highlight w:val="none"/>
        </w:rPr>
      </w:pPr>
    </w:p>
    <w:p>
      <w:pPr>
        <w:widowControl/>
        <w:snapToGrid w:val="0"/>
        <w:spacing w:line="480" w:lineRule="exact"/>
        <w:ind w:firstLine="480" w:firstLineChars="200"/>
        <w:rPr>
          <w:rFonts w:hint="eastAsia" w:ascii="仿宋" w:hAnsi="仿宋" w:eastAsia="仿宋" w:cs="仿宋"/>
          <w:color w:val="auto"/>
          <w:kern w:val="0"/>
          <w:sz w:val="24"/>
          <w:highlight w:val="none"/>
        </w:rPr>
      </w:pPr>
    </w:p>
    <w:p>
      <w:pPr>
        <w:widowControl/>
        <w:snapToGrid w:val="0"/>
        <w:spacing w:line="480" w:lineRule="exact"/>
        <w:ind w:firstLine="480" w:firstLineChars="200"/>
        <w:rPr>
          <w:rFonts w:hint="eastAsia" w:ascii="仿宋" w:hAnsi="仿宋" w:eastAsia="仿宋" w:cs="仿宋"/>
          <w:color w:val="auto"/>
          <w:kern w:val="0"/>
          <w:sz w:val="24"/>
          <w:highlight w:val="none"/>
        </w:rPr>
      </w:pPr>
    </w:p>
    <w:p>
      <w:pPr>
        <w:widowControl/>
        <w:snapToGrid w:val="0"/>
        <w:spacing w:line="480" w:lineRule="exact"/>
        <w:ind w:firstLine="480" w:firstLineChars="200"/>
        <w:rPr>
          <w:rFonts w:hint="eastAsia" w:ascii="仿宋" w:hAnsi="仿宋" w:eastAsia="仿宋" w:cs="仿宋"/>
          <w:color w:val="auto"/>
          <w:kern w:val="0"/>
          <w:sz w:val="24"/>
          <w:highlight w:val="none"/>
        </w:rPr>
      </w:pPr>
    </w:p>
    <w:p>
      <w:pPr>
        <w:widowControl/>
        <w:snapToGrid w:val="0"/>
        <w:spacing w:line="480" w:lineRule="exact"/>
        <w:ind w:firstLine="480" w:firstLineChars="200"/>
        <w:rPr>
          <w:rFonts w:hint="eastAsia" w:ascii="仿宋" w:hAnsi="仿宋" w:eastAsia="仿宋" w:cs="仿宋"/>
          <w:color w:val="auto"/>
          <w:kern w:val="0"/>
          <w:sz w:val="24"/>
          <w:highlight w:val="none"/>
        </w:rPr>
      </w:pPr>
    </w:p>
    <w:p>
      <w:pPr>
        <w:widowControl/>
        <w:snapToGrid w:val="0"/>
        <w:spacing w:line="480" w:lineRule="exact"/>
        <w:ind w:firstLine="480" w:firstLineChars="200"/>
        <w:rPr>
          <w:rFonts w:hint="eastAsia" w:ascii="仿宋" w:hAnsi="仿宋" w:eastAsia="仿宋" w:cs="仿宋"/>
          <w:color w:val="auto"/>
          <w:kern w:val="0"/>
          <w:sz w:val="24"/>
          <w:highlight w:val="none"/>
        </w:rPr>
      </w:pPr>
    </w:p>
    <w:p>
      <w:pPr>
        <w:widowControl/>
        <w:snapToGrid w:val="0"/>
        <w:spacing w:line="480" w:lineRule="exact"/>
        <w:ind w:firstLine="480" w:firstLineChars="200"/>
        <w:rPr>
          <w:rFonts w:hint="eastAsia" w:ascii="仿宋" w:hAnsi="仿宋" w:eastAsia="仿宋" w:cs="仿宋"/>
          <w:color w:val="auto"/>
          <w:kern w:val="0"/>
          <w:sz w:val="24"/>
          <w:highlight w:val="none"/>
        </w:rPr>
      </w:pPr>
    </w:p>
    <w:p>
      <w:pPr>
        <w:widowControl/>
        <w:snapToGrid w:val="0"/>
        <w:spacing w:line="480" w:lineRule="exact"/>
        <w:ind w:firstLine="480" w:firstLineChars="200"/>
        <w:rPr>
          <w:rFonts w:hint="eastAsia" w:ascii="仿宋" w:hAnsi="仿宋" w:eastAsia="仿宋" w:cs="仿宋"/>
          <w:color w:val="auto"/>
          <w:kern w:val="0"/>
          <w:sz w:val="24"/>
          <w:highlight w:val="none"/>
        </w:rPr>
      </w:pPr>
    </w:p>
    <w:p>
      <w:pPr>
        <w:widowControl/>
        <w:snapToGrid w:val="0"/>
        <w:spacing w:line="480" w:lineRule="exact"/>
        <w:ind w:firstLine="480" w:firstLineChars="200"/>
        <w:rPr>
          <w:rFonts w:hint="eastAsia" w:ascii="仿宋" w:hAnsi="仿宋" w:eastAsia="仿宋" w:cs="仿宋"/>
          <w:color w:val="auto"/>
          <w:kern w:val="0"/>
          <w:sz w:val="24"/>
          <w:highlight w:val="none"/>
        </w:rPr>
      </w:pPr>
    </w:p>
    <w:p>
      <w:pPr>
        <w:widowControl/>
        <w:snapToGrid w:val="0"/>
        <w:spacing w:line="480" w:lineRule="exact"/>
        <w:ind w:firstLine="480" w:firstLineChars="200"/>
        <w:rPr>
          <w:rFonts w:hint="eastAsia" w:ascii="仿宋" w:hAnsi="仿宋" w:eastAsia="仿宋" w:cs="仿宋"/>
          <w:color w:val="auto"/>
          <w:kern w:val="0"/>
          <w:sz w:val="24"/>
          <w:highlight w:val="none"/>
        </w:rPr>
      </w:pPr>
    </w:p>
    <w:p>
      <w:pPr>
        <w:widowControl/>
        <w:snapToGrid w:val="0"/>
        <w:spacing w:line="480" w:lineRule="exact"/>
        <w:ind w:firstLine="480" w:firstLineChars="200"/>
        <w:rPr>
          <w:rFonts w:hint="eastAsia" w:ascii="仿宋" w:hAnsi="仿宋" w:eastAsia="仿宋" w:cs="仿宋"/>
          <w:color w:val="auto"/>
          <w:kern w:val="0"/>
          <w:sz w:val="24"/>
          <w:highlight w:val="none"/>
        </w:rPr>
      </w:pPr>
    </w:p>
    <w:p>
      <w:pPr>
        <w:widowControl/>
        <w:snapToGrid w:val="0"/>
        <w:spacing w:line="480" w:lineRule="exact"/>
        <w:ind w:firstLine="480" w:firstLineChars="200"/>
        <w:rPr>
          <w:rFonts w:hint="eastAsia" w:ascii="仿宋" w:hAnsi="仿宋" w:eastAsia="仿宋" w:cs="仿宋"/>
          <w:color w:val="auto"/>
          <w:kern w:val="0"/>
          <w:sz w:val="24"/>
          <w:highlight w:val="none"/>
        </w:rPr>
      </w:pPr>
    </w:p>
    <w:p>
      <w:pPr>
        <w:widowControl/>
        <w:snapToGrid w:val="0"/>
        <w:spacing w:line="480" w:lineRule="exact"/>
        <w:ind w:firstLine="480" w:firstLineChars="200"/>
        <w:rPr>
          <w:rFonts w:hint="eastAsia" w:ascii="仿宋" w:hAnsi="仿宋" w:eastAsia="仿宋" w:cs="仿宋"/>
          <w:color w:val="auto"/>
          <w:kern w:val="0"/>
          <w:sz w:val="24"/>
          <w:highlight w:val="none"/>
        </w:rPr>
      </w:pPr>
    </w:p>
    <w:p>
      <w:pPr>
        <w:widowControl/>
        <w:snapToGrid w:val="0"/>
        <w:spacing w:line="480" w:lineRule="exact"/>
        <w:ind w:firstLine="480" w:firstLineChars="200"/>
        <w:rPr>
          <w:rFonts w:hint="eastAsia" w:ascii="仿宋" w:hAnsi="仿宋" w:eastAsia="仿宋" w:cs="仿宋"/>
          <w:color w:val="auto"/>
          <w:kern w:val="0"/>
          <w:sz w:val="24"/>
          <w:highlight w:val="none"/>
        </w:rPr>
      </w:pPr>
    </w:p>
    <w:p>
      <w:pPr>
        <w:widowControl/>
        <w:snapToGrid w:val="0"/>
        <w:spacing w:line="480" w:lineRule="exact"/>
        <w:ind w:firstLine="480" w:firstLineChars="200"/>
        <w:rPr>
          <w:rFonts w:hint="eastAsia" w:ascii="仿宋" w:hAnsi="仿宋" w:eastAsia="仿宋" w:cs="仿宋"/>
          <w:color w:val="auto"/>
          <w:kern w:val="0"/>
          <w:sz w:val="24"/>
          <w:highlight w:val="none"/>
        </w:rPr>
      </w:pPr>
    </w:p>
    <w:p>
      <w:pPr>
        <w:widowControl/>
        <w:snapToGrid w:val="0"/>
        <w:spacing w:line="480" w:lineRule="exact"/>
        <w:ind w:firstLine="480" w:firstLineChars="200"/>
        <w:rPr>
          <w:rFonts w:hint="eastAsia" w:ascii="仿宋" w:hAnsi="仿宋" w:eastAsia="仿宋" w:cs="仿宋"/>
          <w:color w:val="auto"/>
          <w:kern w:val="0"/>
          <w:sz w:val="24"/>
          <w:highlight w:val="none"/>
        </w:rPr>
      </w:pPr>
    </w:p>
    <w:p>
      <w:pPr>
        <w:widowControl/>
        <w:snapToGrid w:val="0"/>
        <w:spacing w:line="480" w:lineRule="exact"/>
        <w:ind w:firstLine="480" w:firstLineChars="200"/>
        <w:rPr>
          <w:rFonts w:hint="eastAsia" w:ascii="仿宋" w:hAnsi="仿宋" w:eastAsia="仿宋" w:cs="仿宋"/>
          <w:color w:val="auto"/>
          <w:kern w:val="0"/>
          <w:sz w:val="24"/>
          <w:highlight w:val="none"/>
        </w:rPr>
      </w:pPr>
    </w:p>
    <w:p>
      <w:pPr>
        <w:snapToGrid w:val="0"/>
        <w:spacing w:before="156" w:beforeLines="50" w:after="50"/>
        <w:jc w:val="left"/>
        <w:rPr>
          <w:rFonts w:hint="eastAsia" w:ascii="仿宋" w:hAnsi="仿宋" w:eastAsia="仿宋" w:cs="仿宋"/>
          <w:b/>
          <w:color w:val="auto"/>
          <w:sz w:val="30"/>
          <w:szCs w:val="30"/>
          <w:highlight w:val="none"/>
        </w:rPr>
      </w:pPr>
      <w:r>
        <w:rPr>
          <w:rFonts w:hint="eastAsia" w:ascii="仿宋" w:hAnsi="仿宋" w:eastAsia="仿宋" w:cs="仿宋"/>
          <w:b/>
          <w:bCs/>
          <w:color w:val="auto"/>
          <w:sz w:val="30"/>
          <w:szCs w:val="30"/>
          <w:highlight w:val="none"/>
        </w:rPr>
        <w:t>附件1：</w:t>
      </w:r>
      <w:r>
        <w:rPr>
          <w:rFonts w:hint="eastAsia" w:ascii="仿宋" w:hAnsi="仿宋" w:eastAsia="仿宋" w:cs="仿宋"/>
          <w:b/>
          <w:color w:val="auto"/>
          <w:sz w:val="30"/>
          <w:szCs w:val="30"/>
          <w:highlight w:val="none"/>
        </w:rPr>
        <w:t>资格文件封面</w:t>
      </w:r>
    </w:p>
    <w:p>
      <w:pPr>
        <w:snapToGrid w:val="0"/>
        <w:spacing w:before="156" w:beforeLines="50" w:after="50"/>
        <w:jc w:val="right"/>
        <w:rPr>
          <w:rFonts w:hint="eastAsia" w:ascii="仿宋" w:hAnsi="仿宋" w:eastAsia="仿宋" w:cs="仿宋"/>
          <w:b/>
          <w:color w:val="auto"/>
          <w:sz w:val="30"/>
          <w:szCs w:val="30"/>
          <w:highlight w:val="none"/>
        </w:rPr>
      </w:pPr>
      <w:r>
        <w:rPr>
          <w:rFonts w:hint="eastAsia" w:ascii="仿宋" w:hAnsi="仿宋" w:eastAsia="仿宋" w:cs="仿宋"/>
          <w:color w:val="auto"/>
          <w:sz w:val="30"/>
          <w:szCs w:val="30"/>
          <w:highlight w:val="none"/>
          <w:u w:val="single"/>
        </w:rPr>
        <w:t>（填写正本或副本）</w:t>
      </w:r>
    </w:p>
    <w:p>
      <w:pPr>
        <w:snapToGrid w:val="0"/>
        <w:spacing w:before="156" w:beforeLines="50" w:after="50"/>
        <w:jc w:val="right"/>
        <w:rPr>
          <w:rFonts w:hint="eastAsia" w:ascii="仿宋" w:hAnsi="仿宋" w:eastAsia="仿宋" w:cs="仿宋"/>
          <w:bCs/>
          <w:color w:val="auto"/>
          <w:sz w:val="30"/>
          <w:szCs w:val="30"/>
          <w:highlight w:val="none"/>
        </w:rPr>
      </w:pPr>
    </w:p>
    <w:p>
      <w:pPr>
        <w:spacing w:line="400" w:lineRule="exact"/>
        <w:ind w:right="-110"/>
        <w:rPr>
          <w:rFonts w:hint="eastAsia" w:ascii="仿宋" w:hAnsi="仿宋" w:eastAsia="仿宋" w:cs="仿宋"/>
          <w:color w:val="auto"/>
          <w:spacing w:val="40"/>
          <w:sz w:val="30"/>
          <w:szCs w:val="30"/>
          <w:highlight w:val="none"/>
        </w:rPr>
      </w:pPr>
      <w:r>
        <w:rPr>
          <w:rFonts w:hint="eastAsia" w:ascii="仿宋" w:hAnsi="仿宋" w:eastAsia="仿宋" w:cs="仿宋"/>
          <w:color w:val="auto"/>
          <w:spacing w:val="40"/>
          <w:sz w:val="30"/>
          <w:szCs w:val="30"/>
          <w:highlight w:val="none"/>
        </w:rPr>
        <w:t>项目名称：</w:t>
      </w:r>
      <w:r>
        <w:rPr>
          <w:rFonts w:hint="eastAsia" w:ascii="仿宋" w:hAnsi="仿宋" w:eastAsia="仿宋" w:cs="仿宋"/>
          <w:color w:val="auto"/>
          <w:spacing w:val="40"/>
          <w:sz w:val="30"/>
          <w:szCs w:val="30"/>
          <w:highlight w:val="none"/>
          <w:u w:val="single"/>
        </w:rPr>
        <w:t xml:space="preserve">           </w:t>
      </w:r>
    </w:p>
    <w:p>
      <w:pPr>
        <w:spacing w:before="312" w:beforeLines="100" w:line="400" w:lineRule="exact"/>
        <w:rPr>
          <w:rFonts w:hint="eastAsia"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项目编号：</w:t>
      </w:r>
      <w:r>
        <w:rPr>
          <w:rFonts w:hint="eastAsia" w:ascii="仿宋" w:hAnsi="仿宋" w:eastAsia="仿宋" w:cs="仿宋"/>
          <w:color w:val="auto"/>
          <w:sz w:val="30"/>
          <w:szCs w:val="30"/>
          <w:highlight w:val="none"/>
          <w:u w:val="single"/>
        </w:rPr>
        <w:t xml:space="preserve">                   </w:t>
      </w:r>
    </w:p>
    <w:p>
      <w:pPr>
        <w:spacing w:before="312" w:beforeLines="100" w:line="400" w:lineRule="exac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标段编号：</w:t>
      </w:r>
      <w:r>
        <w:rPr>
          <w:rFonts w:hint="eastAsia" w:ascii="仿宋" w:hAnsi="仿宋" w:eastAsia="仿宋" w:cs="仿宋"/>
          <w:color w:val="auto"/>
          <w:sz w:val="30"/>
          <w:szCs w:val="30"/>
          <w:highlight w:val="none"/>
          <w:u w:val="single"/>
        </w:rPr>
        <w:t xml:space="preserve">                    </w:t>
      </w:r>
    </w:p>
    <w:p>
      <w:pPr>
        <w:spacing w:line="1200" w:lineRule="exact"/>
        <w:ind w:right="6"/>
        <w:jc w:val="center"/>
        <w:rPr>
          <w:rFonts w:hint="eastAsia" w:ascii="仿宋" w:hAnsi="仿宋" w:eastAsia="仿宋" w:cs="仿宋"/>
          <w:color w:val="auto"/>
          <w:sz w:val="72"/>
          <w:szCs w:val="72"/>
          <w:highlight w:val="none"/>
        </w:rPr>
      </w:pPr>
    </w:p>
    <w:p>
      <w:pPr>
        <w:spacing w:line="1200" w:lineRule="exact"/>
        <w:ind w:right="6"/>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资</w:t>
      </w:r>
    </w:p>
    <w:p>
      <w:pPr>
        <w:spacing w:line="1200" w:lineRule="exact"/>
        <w:ind w:right="6"/>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格</w:t>
      </w:r>
    </w:p>
    <w:p>
      <w:pPr>
        <w:spacing w:line="1200" w:lineRule="exact"/>
        <w:ind w:right="6"/>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文</w:t>
      </w:r>
    </w:p>
    <w:p>
      <w:pPr>
        <w:spacing w:line="1200" w:lineRule="exact"/>
        <w:ind w:right="6"/>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件</w:t>
      </w:r>
    </w:p>
    <w:p>
      <w:pPr>
        <w:spacing w:line="1200" w:lineRule="exact"/>
        <w:ind w:right="6"/>
        <w:jc w:val="center"/>
        <w:rPr>
          <w:rFonts w:hint="eastAsia" w:ascii="仿宋" w:hAnsi="仿宋" w:eastAsia="仿宋" w:cs="仿宋"/>
          <w:color w:val="auto"/>
          <w:sz w:val="72"/>
          <w:szCs w:val="72"/>
          <w:highlight w:val="none"/>
        </w:rPr>
      </w:pPr>
    </w:p>
    <w:p>
      <w:pPr>
        <w:spacing w:line="500" w:lineRule="exact"/>
        <w:ind w:right="7"/>
        <w:jc w:val="center"/>
        <w:rPr>
          <w:rFonts w:hint="eastAsia" w:ascii="仿宋" w:hAnsi="仿宋" w:eastAsia="仿宋" w:cs="仿宋"/>
          <w:color w:val="auto"/>
          <w:sz w:val="36"/>
          <w:szCs w:val="36"/>
          <w:highlight w:val="none"/>
        </w:rPr>
      </w:pPr>
    </w:p>
    <w:p>
      <w:pPr>
        <w:spacing w:line="500" w:lineRule="exact"/>
        <w:ind w:right="7"/>
        <w:jc w:val="center"/>
        <w:rPr>
          <w:rFonts w:hint="eastAsia" w:ascii="仿宋" w:hAnsi="仿宋" w:eastAsia="仿宋" w:cs="仿宋"/>
          <w:color w:val="auto"/>
          <w:sz w:val="36"/>
          <w:szCs w:val="36"/>
          <w:highlight w:val="none"/>
        </w:rPr>
      </w:pPr>
    </w:p>
    <w:p>
      <w:pPr>
        <w:spacing w:line="400" w:lineRule="exact"/>
        <w:ind w:right="-110"/>
        <w:rPr>
          <w:rFonts w:hint="eastAsia" w:ascii="仿宋" w:hAnsi="仿宋" w:eastAsia="仿宋" w:cs="仿宋"/>
          <w:color w:val="auto"/>
          <w:spacing w:val="40"/>
          <w:sz w:val="30"/>
          <w:szCs w:val="30"/>
          <w:highlight w:val="none"/>
        </w:rPr>
      </w:pPr>
      <w:r>
        <w:rPr>
          <w:rFonts w:hint="eastAsia" w:ascii="仿宋" w:hAnsi="仿宋" w:eastAsia="仿宋" w:cs="仿宋"/>
          <w:color w:val="auto"/>
          <w:spacing w:val="40"/>
          <w:sz w:val="30"/>
          <w:szCs w:val="30"/>
          <w:highlight w:val="none"/>
        </w:rPr>
        <w:t>供应商名称（盖公章）：</w:t>
      </w:r>
    </w:p>
    <w:p>
      <w:pPr>
        <w:spacing w:line="400" w:lineRule="exact"/>
        <w:ind w:right="-110"/>
        <w:rPr>
          <w:rFonts w:hint="eastAsia" w:ascii="仿宋" w:hAnsi="仿宋" w:eastAsia="仿宋" w:cs="仿宋"/>
          <w:color w:val="auto"/>
          <w:spacing w:val="40"/>
          <w:sz w:val="30"/>
          <w:szCs w:val="30"/>
          <w:highlight w:val="none"/>
        </w:rPr>
      </w:pPr>
      <w:r>
        <w:rPr>
          <w:rFonts w:hint="eastAsia" w:ascii="仿宋" w:hAnsi="仿宋" w:eastAsia="仿宋" w:cs="仿宋"/>
          <w:color w:val="auto"/>
          <w:spacing w:val="40"/>
          <w:sz w:val="30"/>
          <w:szCs w:val="30"/>
          <w:highlight w:val="none"/>
        </w:rPr>
        <w:t>地    址：</w:t>
      </w:r>
    </w:p>
    <w:p>
      <w:pPr>
        <w:spacing w:line="400" w:lineRule="exact"/>
        <w:ind w:right="-110"/>
        <w:rPr>
          <w:rFonts w:hint="eastAsia" w:ascii="仿宋" w:hAnsi="仿宋" w:eastAsia="仿宋" w:cs="仿宋"/>
          <w:color w:val="auto"/>
          <w:spacing w:val="40"/>
          <w:sz w:val="30"/>
          <w:szCs w:val="30"/>
          <w:highlight w:val="none"/>
        </w:rPr>
      </w:pPr>
      <w:r>
        <w:rPr>
          <w:rFonts w:hint="eastAsia" w:ascii="仿宋" w:hAnsi="仿宋" w:eastAsia="仿宋" w:cs="仿宋"/>
          <w:color w:val="auto"/>
          <w:spacing w:val="40"/>
          <w:sz w:val="30"/>
          <w:szCs w:val="30"/>
          <w:highlight w:val="none"/>
        </w:rPr>
        <w:t>日    期：</w:t>
      </w:r>
    </w:p>
    <w:p>
      <w:pPr>
        <w:pStyle w:val="2"/>
        <w:rPr>
          <w:rFonts w:hint="eastAsia" w:ascii="仿宋" w:hAnsi="仿宋" w:eastAsia="仿宋" w:cs="仿宋"/>
          <w:color w:val="auto"/>
          <w:spacing w:val="40"/>
          <w:sz w:val="30"/>
          <w:szCs w:val="30"/>
          <w:highlight w:val="none"/>
        </w:rPr>
      </w:pPr>
    </w:p>
    <w:p>
      <w:pPr>
        <w:pStyle w:val="2"/>
        <w:rPr>
          <w:rFonts w:hint="eastAsia" w:ascii="仿宋" w:hAnsi="仿宋" w:eastAsia="仿宋" w:cs="仿宋"/>
          <w:color w:val="auto"/>
          <w:spacing w:val="40"/>
          <w:sz w:val="30"/>
          <w:szCs w:val="30"/>
          <w:highlight w:val="none"/>
        </w:rPr>
      </w:pPr>
    </w:p>
    <w:p>
      <w:pPr>
        <w:snapToGrid w:val="0"/>
        <w:spacing w:before="156" w:beforeLines="50" w:after="50"/>
        <w:jc w:val="left"/>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附件2：资格文件目录</w:t>
      </w:r>
    </w:p>
    <w:p>
      <w:pPr>
        <w:snapToGrid w:val="0"/>
        <w:spacing w:before="156" w:beforeLines="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目 录</w:t>
      </w:r>
    </w:p>
    <w:p>
      <w:pPr>
        <w:pStyle w:val="48"/>
        <w:spacing w:line="360" w:lineRule="auto"/>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1.投标声明函 …………………………………………………………………（页码）</w:t>
      </w:r>
    </w:p>
    <w:p>
      <w:pPr>
        <w:pStyle w:val="48"/>
        <w:spacing w:line="360" w:lineRule="auto"/>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2.联合体协议书（如有）……………………………………………………（页码）</w:t>
      </w:r>
    </w:p>
    <w:p>
      <w:pPr>
        <w:pStyle w:val="48"/>
        <w:spacing w:line="360" w:lineRule="auto"/>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3.法定代表人授权委托书……………………………………………………（页码）</w:t>
      </w:r>
    </w:p>
    <w:p>
      <w:pPr>
        <w:pStyle w:val="48"/>
        <w:spacing w:line="360" w:lineRule="auto"/>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4.</w:t>
      </w:r>
      <w:r>
        <w:rPr>
          <w:rFonts w:hint="eastAsia" w:ascii="仿宋" w:hAnsi="仿宋" w:eastAsia="仿宋" w:cs="仿宋"/>
          <w:bCs/>
          <w:color w:val="auto"/>
          <w:highlight w:val="none"/>
        </w:rPr>
        <w:t>授权代表社保证明</w:t>
      </w:r>
      <w:r>
        <w:rPr>
          <w:rFonts w:hint="eastAsia" w:ascii="仿宋" w:hAnsi="仿宋" w:eastAsia="仿宋" w:cs="仿宋"/>
          <w:color w:val="auto"/>
          <w:highlight w:val="none"/>
        </w:rPr>
        <w:t>…………………………………………………………（页码）</w:t>
      </w:r>
    </w:p>
    <w:p>
      <w:pPr>
        <w:pStyle w:val="48"/>
        <w:spacing w:line="360" w:lineRule="auto"/>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5.法定代表人及其授权代表身份证…………………………………………（页码）</w:t>
      </w:r>
    </w:p>
    <w:p>
      <w:pPr>
        <w:pStyle w:val="48"/>
        <w:spacing w:line="360" w:lineRule="auto"/>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6.资格条件证明材料</w:t>
      </w:r>
    </w:p>
    <w:p>
      <w:pPr>
        <w:pStyle w:val="48"/>
        <w:spacing w:line="360" w:lineRule="auto"/>
        <w:ind w:firstLine="240" w:firstLineChars="100"/>
        <w:jc w:val="left"/>
        <w:rPr>
          <w:rFonts w:hint="eastAsia" w:ascii="仿宋" w:hAnsi="仿宋" w:eastAsia="仿宋" w:cs="仿宋"/>
          <w:color w:val="auto"/>
          <w:highlight w:val="none"/>
        </w:rPr>
      </w:pPr>
      <w:r>
        <w:rPr>
          <w:rFonts w:hint="eastAsia" w:ascii="仿宋" w:hAnsi="仿宋" w:eastAsia="仿宋" w:cs="仿宋"/>
          <w:color w:val="auto"/>
          <w:highlight w:val="none"/>
        </w:rPr>
        <w:t>6.1营业执照(或事业法人登记证书)………………………………………（页码）</w:t>
      </w:r>
    </w:p>
    <w:p>
      <w:pPr>
        <w:pStyle w:val="48"/>
        <w:spacing w:line="360" w:lineRule="auto"/>
        <w:ind w:firstLine="240" w:firstLineChars="100"/>
        <w:jc w:val="left"/>
        <w:rPr>
          <w:rFonts w:hint="eastAsia" w:ascii="仿宋" w:hAnsi="仿宋" w:eastAsia="仿宋" w:cs="仿宋"/>
          <w:color w:val="auto"/>
          <w:highlight w:val="none"/>
        </w:rPr>
      </w:pPr>
      <w:r>
        <w:rPr>
          <w:rFonts w:hint="eastAsia" w:ascii="仿宋" w:hAnsi="仿宋" w:eastAsia="仿宋" w:cs="仿宋"/>
          <w:color w:val="auto"/>
          <w:highlight w:val="none"/>
        </w:rPr>
        <w:t>6.2财务状况报告（最近一期） …………………………………………（页码）</w:t>
      </w:r>
    </w:p>
    <w:p>
      <w:pPr>
        <w:pStyle w:val="48"/>
        <w:spacing w:line="360" w:lineRule="auto"/>
        <w:ind w:firstLine="240" w:firstLineChars="100"/>
        <w:jc w:val="left"/>
        <w:rPr>
          <w:rFonts w:hint="eastAsia" w:ascii="仿宋" w:hAnsi="仿宋" w:eastAsia="仿宋" w:cs="仿宋"/>
          <w:color w:val="auto"/>
          <w:highlight w:val="none"/>
        </w:rPr>
      </w:pPr>
      <w:r>
        <w:rPr>
          <w:rFonts w:hint="eastAsia" w:ascii="仿宋" w:hAnsi="仿宋" w:eastAsia="仿宋" w:cs="仿宋"/>
          <w:color w:val="auto"/>
          <w:highlight w:val="none"/>
        </w:rPr>
        <w:t>6.3依法缴纳税收材料 ……………………………………………………（页码）</w:t>
      </w:r>
    </w:p>
    <w:p>
      <w:pPr>
        <w:pStyle w:val="48"/>
        <w:spacing w:line="360" w:lineRule="auto"/>
        <w:ind w:firstLine="240" w:firstLineChars="100"/>
        <w:jc w:val="left"/>
        <w:rPr>
          <w:rFonts w:hint="eastAsia" w:ascii="仿宋" w:hAnsi="仿宋" w:eastAsia="仿宋" w:cs="仿宋"/>
          <w:color w:val="auto"/>
          <w:highlight w:val="none"/>
        </w:rPr>
      </w:pPr>
      <w:r>
        <w:rPr>
          <w:rFonts w:hint="eastAsia" w:ascii="仿宋" w:hAnsi="仿宋" w:eastAsia="仿宋" w:cs="仿宋"/>
          <w:color w:val="auto"/>
          <w:highlight w:val="none"/>
        </w:rPr>
        <w:t>6.4依法缴纳社会保障资金材料………… ………………………………（页码）</w:t>
      </w:r>
    </w:p>
    <w:p>
      <w:pPr>
        <w:pStyle w:val="48"/>
        <w:spacing w:line="360" w:lineRule="auto"/>
        <w:ind w:firstLine="240" w:firstLineChars="100"/>
        <w:jc w:val="left"/>
        <w:rPr>
          <w:rFonts w:hint="eastAsia" w:ascii="仿宋" w:hAnsi="仿宋" w:eastAsia="仿宋" w:cs="仿宋"/>
          <w:color w:val="auto"/>
          <w:highlight w:val="none"/>
        </w:rPr>
      </w:pPr>
      <w:r>
        <w:rPr>
          <w:rFonts w:hint="eastAsia" w:ascii="仿宋" w:hAnsi="仿宋" w:eastAsia="仿宋" w:cs="仿宋"/>
          <w:color w:val="auto"/>
          <w:highlight w:val="none"/>
        </w:rPr>
        <w:t>6.5特定资格条件的有关证明材料（如有）………………………………（页码）</w:t>
      </w:r>
    </w:p>
    <w:p>
      <w:pPr>
        <w:spacing w:line="360" w:lineRule="auto"/>
        <w:jc w:val="left"/>
        <w:rPr>
          <w:rFonts w:hint="eastAsia" w:ascii="仿宋" w:hAnsi="仿宋" w:eastAsia="仿宋" w:cs="仿宋"/>
          <w:b/>
          <w:bCs/>
          <w:color w:val="auto"/>
          <w:sz w:val="24"/>
          <w:highlight w:val="none"/>
        </w:rPr>
      </w:pPr>
    </w:p>
    <w:p>
      <w:pPr>
        <w:shd w:val="clear"/>
        <w:spacing w:line="360" w:lineRule="auto"/>
        <w:jc w:val="left"/>
        <w:rPr>
          <w:rFonts w:hint="eastAsia" w:ascii="仿宋" w:hAnsi="仿宋" w:eastAsia="仿宋" w:cs="仿宋"/>
          <w:b/>
          <w:bCs/>
          <w:color w:val="auto"/>
          <w:sz w:val="24"/>
          <w:highlight w:val="none"/>
          <w:shd w:val="clear" w:color="auto" w:fill="auto"/>
        </w:rPr>
      </w:pPr>
      <w:r>
        <w:rPr>
          <w:rFonts w:hint="eastAsia" w:ascii="仿宋" w:hAnsi="仿宋" w:eastAsia="仿宋" w:cs="仿宋"/>
          <w:b/>
          <w:bCs/>
          <w:color w:val="auto"/>
          <w:sz w:val="24"/>
          <w:szCs w:val="24"/>
          <w:highlight w:val="none"/>
          <w:u w:val="single"/>
          <w:shd w:val="clear" w:color="auto" w:fill="auto"/>
        </w:rPr>
        <w:t>注：“资格文件”需按采购文件要求的内容制作，复印件需加盖供应商公章，未按要求签署、</w:t>
      </w:r>
      <w:bookmarkStart w:id="59" w:name="_GoBack"/>
      <w:bookmarkEnd w:id="59"/>
      <w:r>
        <w:rPr>
          <w:rFonts w:hint="eastAsia" w:ascii="仿宋" w:hAnsi="仿宋" w:eastAsia="仿宋" w:cs="仿宋"/>
          <w:b/>
          <w:bCs/>
          <w:color w:val="auto"/>
          <w:sz w:val="24"/>
          <w:szCs w:val="24"/>
          <w:highlight w:val="none"/>
          <w:u w:val="single"/>
          <w:shd w:val="clear" w:color="auto" w:fill="auto"/>
        </w:rPr>
        <w:t>盖章或内容实质性偏离的，资格审查不通过。</w:t>
      </w:r>
    </w:p>
    <w:p>
      <w:pPr>
        <w:pageBreakBefore/>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附件3：投标声明函</w:t>
      </w:r>
    </w:p>
    <w:p>
      <w:pPr>
        <w:pStyle w:val="43"/>
        <w:spacing w:afterLines="0" w:line="440" w:lineRule="exact"/>
        <w:ind w:firstLine="0" w:firstLineChars="0"/>
        <w:rPr>
          <w:rFonts w:hint="eastAsia" w:ascii="仿宋" w:hAnsi="仿宋" w:eastAsia="仿宋" w:cs="仿宋"/>
          <w:color w:val="auto"/>
          <w:szCs w:val="24"/>
          <w:highlight w:val="none"/>
        </w:rPr>
      </w:pPr>
      <w:r>
        <w:rPr>
          <w:rFonts w:hint="eastAsia" w:ascii="仿宋" w:hAnsi="仿宋" w:eastAsia="仿宋" w:cs="仿宋"/>
          <w:color w:val="auto"/>
          <w:szCs w:val="24"/>
          <w:highlight w:val="none"/>
        </w:rPr>
        <w:t>致</w:t>
      </w:r>
      <w:r>
        <w:rPr>
          <w:rFonts w:hint="eastAsia" w:ascii="仿宋" w:hAnsi="仿宋" w:eastAsia="仿宋" w:cs="仿宋"/>
          <w:color w:val="auto"/>
          <w:szCs w:val="24"/>
          <w:highlight w:val="none"/>
          <w:u w:val="single"/>
        </w:rPr>
        <w:t xml:space="preserve"> （填写采购代理机构或采购人名称） </w:t>
      </w:r>
      <w:r>
        <w:rPr>
          <w:rFonts w:hint="eastAsia" w:ascii="仿宋" w:hAnsi="仿宋" w:eastAsia="仿宋" w:cs="仿宋"/>
          <w:color w:val="auto"/>
          <w:szCs w:val="24"/>
          <w:highlight w:val="none"/>
        </w:rPr>
        <w:t xml:space="preserve">： </w:t>
      </w:r>
    </w:p>
    <w:p>
      <w:pPr>
        <w:pStyle w:val="43"/>
        <w:spacing w:afterLines="0" w:line="440" w:lineRule="exact"/>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我方</w:t>
      </w:r>
      <w:r>
        <w:rPr>
          <w:rFonts w:hint="eastAsia" w:ascii="仿宋" w:hAnsi="仿宋" w:eastAsia="仿宋" w:cs="仿宋"/>
          <w:color w:val="auto"/>
          <w:szCs w:val="24"/>
          <w:highlight w:val="none"/>
          <w:u w:val="single"/>
        </w:rPr>
        <w:t xml:space="preserve">  （填写投标供应商全称；联合体投标的写全部联合体成员）   </w:t>
      </w:r>
      <w:r>
        <w:rPr>
          <w:rFonts w:hint="eastAsia" w:ascii="仿宋" w:hAnsi="仿宋" w:eastAsia="仿宋" w:cs="仿宋"/>
          <w:color w:val="auto"/>
          <w:szCs w:val="24"/>
          <w:highlight w:val="none"/>
        </w:rPr>
        <w:t>愿意参加贵方组织的</w:t>
      </w:r>
      <w:r>
        <w:rPr>
          <w:rFonts w:hint="eastAsia" w:ascii="仿宋" w:hAnsi="仿宋" w:eastAsia="仿宋" w:cs="仿宋"/>
          <w:color w:val="auto"/>
          <w:szCs w:val="24"/>
          <w:highlight w:val="none"/>
          <w:u w:val="single"/>
        </w:rPr>
        <w:t>（填写招标项目名称）（采购编号：    ）</w:t>
      </w:r>
      <w:r>
        <w:rPr>
          <w:rFonts w:hint="eastAsia" w:ascii="仿宋" w:hAnsi="仿宋" w:eastAsia="仿宋" w:cs="仿宋"/>
          <w:color w:val="auto"/>
          <w:szCs w:val="24"/>
          <w:highlight w:val="none"/>
        </w:rPr>
        <w:t>的投标，为此，我方就本次投标有关事项郑重声明如下：</w:t>
      </w:r>
    </w:p>
    <w:p>
      <w:pPr>
        <w:pStyle w:val="43"/>
        <w:spacing w:afterLines="0" w:line="440" w:lineRule="exact"/>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1.我方已详细审查全部采购文件，同意采购文件的各项要求。</w:t>
      </w:r>
    </w:p>
    <w:p>
      <w:pPr>
        <w:pStyle w:val="8"/>
        <w:tabs>
          <w:tab w:val="clear" w:pos="1697"/>
        </w:tabs>
        <w:spacing w:afterLines="0" w:line="440" w:lineRule="exact"/>
        <w:ind w:left="0"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2.若我方中标，承诺按采购文件、投标文件和合同的规定履行责任和义务。</w:t>
      </w:r>
    </w:p>
    <w:p>
      <w:pPr>
        <w:pStyle w:val="43"/>
        <w:spacing w:afterLines="0" w:line="440" w:lineRule="exact"/>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b/>
          <w:bCs/>
          <w:color w:val="auto"/>
          <w:highlight w:val="none"/>
          <w:lang w:val="zh-CN"/>
        </w:rPr>
        <w:t>我方</w:t>
      </w:r>
      <w:r>
        <w:rPr>
          <w:rFonts w:hint="eastAsia" w:ascii="仿宋" w:hAnsi="仿宋" w:eastAsia="仿宋" w:cs="仿宋"/>
          <w:b/>
          <w:bCs/>
          <w:color w:val="auto"/>
          <w:highlight w:val="none"/>
        </w:rPr>
        <w:t>声明参加本次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pStyle w:val="43"/>
        <w:spacing w:afterLines="0" w:line="440" w:lineRule="exact"/>
        <w:ind w:firstLine="480"/>
        <w:rPr>
          <w:rFonts w:hint="eastAsia" w:ascii="仿宋" w:hAnsi="仿宋" w:eastAsia="仿宋" w:cs="仿宋"/>
          <w:color w:val="auto"/>
          <w:szCs w:val="24"/>
          <w:highlight w:val="none"/>
        </w:rPr>
      </w:pPr>
      <w:r>
        <w:rPr>
          <w:rFonts w:hint="eastAsia" w:ascii="仿宋" w:hAnsi="仿宋" w:eastAsia="仿宋" w:cs="仿宋"/>
          <w:color w:val="auto"/>
          <w:highlight w:val="none"/>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43"/>
        <w:spacing w:afterLines="0" w:line="440" w:lineRule="exact"/>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5.我方保证所供货物质量符合国家强制性规范和标准，达到采购文件规定的要求；</w:t>
      </w:r>
    </w:p>
    <w:p>
      <w:pPr>
        <w:pStyle w:val="8"/>
        <w:tabs>
          <w:tab w:val="clear" w:pos="1697"/>
        </w:tabs>
        <w:spacing w:afterLines="0" w:line="440" w:lineRule="exact"/>
        <w:ind w:left="0" w:firstLine="480" w:firstLineChars="200"/>
        <w:rPr>
          <w:rFonts w:hint="eastAsia" w:ascii="仿宋" w:hAnsi="仿宋" w:eastAsia="仿宋" w:cs="仿宋"/>
          <w:color w:val="auto"/>
          <w:szCs w:val="24"/>
          <w:highlight w:val="none"/>
        </w:rPr>
      </w:pPr>
      <w:r>
        <w:rPr>
          <w:rFonts w:hint="eastAsia" w:ascii="仿宋" w:hAnsi="仿宋" w:eastAsia="仿宋" w:cs="仿宋"/>
          <w:color w:val="auto"/>
          <w:highlight w:val="none"/>
        </w:rPr>
        <w:t>6.投标文件自开标日起有效期为60天。若延长投标有效期，需经我方同意</w:t>
      </w:r>
      <w:r>
        <w:rPr>
          <w:rFonts w:hint="eastAsia" w:ascii="仿宋" w:hAnsi="仿宋" w:eastAsia="仿宋" w:cs="仿宋"/>
          <w:color w:val="auto"/>
          <w:szCs w:val="24"/>
          <w:highlight w:val="none"/>
        </w:rPr>
        <w:t>。</w:t>
      </w:r>
    </w:p>
    <w:p>
      <w:pPr>
        <w:pStyle w:val="43"/>
        <w:spacing w:afterLines="0" w:line="440" w:lineRule="exact"/>
        <w:ind w:firstLine="480"/>
        <w:rPr>
          <w:rFonts w:hint="eastAsia" w:ascii="仿宋" w:hAnsi="仿宋" w:eastAsia="仿宋" w:cs="仿宋"/>
          <w:color w:val="auto"/>
          <w:szCs w:val="24"/>
          <w:highlight w:val="none"/>
        </w:rPr>
      </w:pPr>
      <w:r>
        <w:rPr>
          <w:rFonts w:hint="eastAsia" w:ascii="仿宋" w:hAnsi="仿宋" w:eastAsia="仿宋" w:cs="仿宋"/>
          <w:color w:val="auto"/>
          <w:highlight w:val="none"/>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hAnsi="仿宋" w:eastAsia="仿宋" w:cs="仿宋"/>
          <w:color w:val="auto"/>
          <w:sz w:val="30"/>
          <w:szCs w:val="30"/>
          <w:highlight w:val="none"/>
        </w:rPr>
      </w:pPr>
      <w:r>
        <w:rPr>
          <w:rFonts w:hint="eastAsia" w:ascii="仿宋" w:hAnsi="仿宋" w:eastAsia="仿宋" w:cs="仿宋"/>
          <w:color w:val="auto"/>
          <w:sz w:val="24"/>
          <w:highlight w:val="none"/>
        </w:rPr>
        <w:t>8.我方承诺若违反《中华人民共和国政府采购法》第七十七条规定，愿接受依法处理。</w:t>
      </w:r>
    </w:p>
    <w:p>
      <w:pPr>
        <w:pStyle w:val="43"/>
        <w:spacing w:afterLines="0" w:line="440" w:lineRule="exact"/>
        <w:ind w:firstLine="480"/>
        <w:rPr>
          <w:rFonts w:hint="eastAsia" w:ascii="仿宋" w:hAnsi="仿宋" w:eastAsia="仿宋" w:cs="仿宋"/>
          <w:color w:val="auto"/>
          <w:szCs w:val="24"/>
          <w:highlight w:val="none"/>
        </w:rPr>
      </w:pPr>
    </w:p>
    <w:p>
      <w:pPr>
        <w:pStyle w:val="43"/>
        <w:spacing w:afterLines="0" w:line="440" w:lineRule="exact"/>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法定代表人或其授权代表(签字或签章)：</w:t>
      </w:r>
    </w:p>
    <w:p>
      <w:pPr>
        <w:pStyle w:val="43"/>
        <w:spacing w:afterLines="0" w:line="440" w:lineRule="exact"/>
        <w:ind w:firstLine="480"/>
        <w:rPr>
          <w:rFonts w:hint="eastAsia" w:ascii="仿宋" w:hAnsi="仿宋" w:eastAsia="仿宋" w:cs="仿宋"/>
          <w:color w:val="auto"/>
          <w:szCs w:val="24"/>
          <w:highlight w:val="none"/>
        </w:rPr>
      </w:pPr>
    </w:p>
    <w:p>
      <w:pPr>
        <w:pStyle w:val="43"/>
        <w:spacing w:afterLines="0" w:line="440" w:lineRule="exact"/>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供应商(盖公章)：　　　　　　　　　　　　　　　　　　　　日期：</w:t>
      </w:r>
      <w:r>
        <w:rPr>
          <w:rFonts w:hint="eastAsia" w:ascii="仿宋" w:hAnsi="仿宋" w:eastAsia="仿宋" w:cs="仿宋"/>
          <w:color w:val="auto"/>
          <w:szCs w:val="24"/>
          <w:highlight w:val="none"/>
          <w:u w:val="single"/>
        </w:rPr>
        <w:t xml:space="preserve">     </w:t>
      </w:r>
    </w:p>
    <w:p>
      <w:pPr>
        <w:pStyle w:val="43"/>
        <w:spacing w:afterLines="0" w:line="440" w:lineRule="exact"/>
        <w:ind w:firstLine="480"/>
        <w:rPr>
          <w:rFonts w:hint="eastAsia" w:ascii="仿宋" w:hAnsi="仿宋" w:eastAsia="仿宋" w:cs="仿宋"/>
          <w:color w:val="auto"/>
          <w:szCs w:val="24"/>
          <w:highlight w:val="none"/>
        </w:rPr>
      </w:pPr>
    </w:p>
    <w:p>
      <w:pPr>
        <w:pStyle w:val="43"/>
        <w:spacing w:afterLines="0" w:line="440" w:lineRule="exact"/>
        <w:ind w:firstLine="480"/>
        <w:rPr>
          <w:rFonts w:hint="eastAsia" w:ascii="仿宋" w:hAnsi="仿宋" w:eastAsia="仿宋" w:cs="仿宋"/>
          <w:color w:val="auto"/>
          <w:szCs w:val="24"/>
          <w:highlight w:val="none"/>
        </w:rPr>
      </w:pPr>
    </w:p>
    <w:p>
      <w:pPr>
        <w:pStyle w:val="43"/>
        <w:spacing w:afterLines="0" w:line="440" w:lineRule="exact"/>
        <w:ind w:firstLine="0" w:firstLineChars="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附件4：联合体协议书（如有）</w:t>
      </w:r>
    </w:p>
    <w:p>
      <w:pPr>
        <w:pStyle w:val="10"/>
        <w:overflowPunct w:val="0"/>
        <w:spacing w:line="360" w:lineRule="auto"/>
        <w:ind w:firstLine="0"/>
        <w:jc w:val="center"/>
        <w:rPr>
          <w:rFonts w:hint="eastAsia" w:ascii="仿宋" w:hAnsi="仿宋" w:eastAsia="仿宋" w:cs="仿宋"/>
          <w:b/>
          <w:color w:val="auto"/>
          <w:spacing w:val="40"/>
          <w:kern w:val="0"/>
          <w:sz w:val="24"/>
          <w:szCs w:val="24"/>
          <w:highlight w:val="none"/>
        </w:rPr>
      </w:pPr>
      <w:r>
        <w:rPr>
          <w:rFonts w:hint="eastAsia" w:ascii="仿宋" w:hAnsi="仿宋" w:eastAsia="仿宋" w:cs="仿宋"/>
          <w:b/>
          <w:color w:val="auto"/>
          <w:spacing w:val="40"/>
          <w:kern w:val="0"/>
          <w:sz w:val="24"/>
          <w:szCs w:val="24"/>
          <w:highlight w:val="none"/>
        </w:rPr>
        <w:t>联合体协议书</w:t>
      </w:r>
    </w:p>
    <w:p>
      <w:pPr>
        <w:pStyle w:val="10"/>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w:t>
      </w:r>
    </w:p>
    <w:p>
      <w:pPr>
        <w:pStyle w:val="10"/>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乙方：</w:t>
      </w:r>
    </w:p>
    <w:p>
      <w:pPr>
        <w:pStyle w:val="10"/>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（如果有的话，可按甲、乙、丙、丁…序列增加）</w:t>
      </w:r>
    </w:p>
    <w:p>
      <w:pPr>
        <w:pStyle w:val="10"/>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各方经协商，就响应 </w:t>
      </w:r>
      <w:r>
        <w:rPr>
          <w:rFonts w:hint="eastAsia" w:ascii="仿宋" w:hAnsi="仿宋" w:eastAsia="仿宋" w:cs="仿宋"/>
          <w:color w:val="auto"/>
          <w:sz w:val="24"/>
          <w:szCs w:val="24"/>
          <w:highlight w:val="none"/>
          <w:u w:val="single"/>
        </w:rPr>
        <w:t xml:space="preserve">  （填写采购代理机构名称）         </w:t>
      </w:r>
      <w:r>
        <w:rPr>
          <w:rFonts w:hint="eastAsia" w:ascii="仿宋" w:hAnsi="仿宋" w:eastAsia="仿宋" w:cs="仿宋"/>
          <w:color w:val="auto"/>
          <w:sz w:val="24"/>
          <w:szCs w:val="24"/>
          <w:highlight w:val="none"/>
        </w:rPr>
        <w:t>组织实施的</w:t>
      </w:r>
      <w:r>
        <w:rPr>
          <w:rFonts w:hint="eastAsia" w:ascii="仿宋" w:hAnsi="仿宋" w:eastAsia="仿宋" w:cs="仿宋"/>
          <w:color w:val="auto"/>
          <w:sz w:val="24"/>
          <w:szCs w:val="24"/>
          <w:highlight w:val="none"/>
          <w:u w:val="single"/>
        </w:rPr>
        <w:t xml:space="preserve"> （填写项目名称）  </w:t>
      </w:r>
      <w:r>
        <w:rPr>
          <w:rFonts w:hint="eastAsia" w:ascii="仿宋" w:hAnsi="仿宋" w:eastAsia="仿宋" w:cs="仿宋"/>
          <w:color w:val="auto"/>
          <w:sz w:val="24"/>
          <w:szCs w:val="24"/>
          <w:highlight w:val="none"/>
        </w:rPr>
        <w:t>项目编号为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的采购活动联合进行投标之事宜，达成如下协议：</w:t>
      </w:r>
    </w:p>
    <w:p>
      <w:pPr>
        <w:pStyle w:val="10"/>
        <w:numPr>
          <w:ilvl w:val="0"/>
          <w:numId w:val="9"/>
        </w:numPr>
        <w:overflowPunct w:val="0"/>
        <w:spacing w:line="460" w:lineRule="exact"/>
        <w:ind w:left="0" w:firstLine="52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各方一致决定组成一个联合体，以一个供应商的身份共同参加本项目采购。</w:t>
      </w:r>
    </w:p>
    <w:p>
      <w:pPr>
        <w:pStyle w:val="10"/>
        <w:numPr>
          <w:ilvl w:val="0"/>
          <w:numId w:val="9"/>
        </w:numPr>
        <w:overflowPunct w:val="0"/>
        <w:spacing w:line="460" w:lineRule="exact"/>
        <w:ind w:left="0" w:firstLine="52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以 </w:t>
      </w:r>
      <w:r>
        <w:rPr>
          <w:rFonts w:hint="eastAsia" w:ascii="仿宋" w:hAnsi="仿宋" w:eastAsia="仿宋" w:cs="仿宋"/>
          <w:color w:val="auto"/>
          <w:sz w:val="24"/>
          <w:szCs w:val="24"/>
          <w:highlight w:val="none"/>
          <w:u w:val="single"/>
        </w:rPr>
        <w:t xml:space="preserve">  （填写联合体牵头人名称）  </w:t>
      </w:r>
      <w:r>
        <w:rPr>
          <w:rFonts w:hint="eastAsia" w:ascii="仿宋" w:hAnsi="仿宋" w:eastAsia="仿宋" w:cs="仿宋"/>
          <w:color w:val="auto"/>
          <w:sz w:val="24"/>
          <w:szCs w:val="24"/>
          <w:highlight w:val="none"/>
        </w:rPr>
        <w:t xml:space="preserve"> 为联合体牵头人，负责包括但不仅限于投标、配合处理质疑投诉等一切和采购活动相关的事宜。</w:t>
      </w:r>
    </w:p>
    <w:p>
      <w:pPr>
        <w:pStyle w:val="10"/>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三、联合体各方对投标响应文件及开标过程中的各种书面承诺、澄清等均予以认可，对联合投标各方均产生约束力。</w:t>
      </w:r>
    </w:p>
    <w:p>
      <w:pPr>
        <w:pStyle w:val="10"/>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四、如果中标，联合投标各方共同与采购人签订采购合同，共同履行对采购人所负有的全部义务并就采购合同约定的事项对采购人承担连带责任。</w:t>
      </w:r>
    </w:p>
    <w:p>
      <w:pPr>
        <w:pStyle w:val="10"/>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五、联合体各方不再单独参加或与其他供应商另外组成联合体参加同一标段（项目）的采购活动，否则均被视为无效投标。</w:t>
      </w:r>
    </w:p>
    <w:p>
      <w:pPr>
        <w:pStyle w:val="10"/>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六、如果中标，联合体各方在项目实施过程中承担的工作和义务为：</w:t>
      </w:r>
    </w:p>
    <w:p>
      <w:pPr>
        <w:pStyle w:val="10"/>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            乙方：…</w:t>
      </w:r>
    </w:p>
    <w:p>
      <w:pPr>
        <w:pStyle w:val="10"/>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p>
      <w:pPr>
        <w:pStyle w:val="10"/>
        <w:overflowPunct w:val="0"/>
        <w:spacing w:line="460" w:lineRule="exact"/>
        <w:ind w:firstLine="513" w:firstLineChars="214"/>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七、联合体各方在本项目实施过程中承担的</w:t>
      </w:r>
      <w:r>
        <w:rPr>
          <w:rFonts w:hint="eastAsia" w:ascii="仿宋" w:hAnsi="仿宋" w:eastAsia="仿宋" w:cs="仿宋"/>
          <w:color w:val="auto"/>
          <w:sz w:val="24"/>
          <w:highlight w:val="none"/>
        </w:rPr>
        <w:t>合同金额和比例分别为：</w:t>
      </w:r>
    </w:p>
    <w:p>
      <w:pPr>
        <w:pStyle w:val="10"/>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            乙方：…</w:t>
      </w:r>
    </w:p>
    <w:p>
      <w:pPr>
        <w:pStyle w:val="10"/>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p>
      <w:pPr>
        <w:pStyle w:val="10"/>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八、本协议签约各方各持一份，并作为投标文件的一部分。</w:t>
      </w:r>
    </w:p>
    <w:p>
      <w:pPr>
        <w:pStyle w:val="10"/>
        <w:overflowPunct w:val="0"/>
        <w:spacing w:line="460" w:lineRule="exact"/>
        <w:ind w:firstLine="513" w:firstLineChars="214"/>
        <w:rPr>
          <w:rFonts w:hint="eastAsia" w:ascii="仿宋" w:hAnsi="仿宋" w:eastAsia="仿宋" w:cs="仿宋"/>
          <w:color w:val="auto"/>
          <w:sz w:val="24"/>
          <w:szCs w:val="24"/>
          <w:highlight w:val="none"/>
        </w:rPr>
      </w:pPr>
    </w:p>
    <w:p>
      <w:pPr>
        <w:pStyle w:val="10"/>
        <w:overflowPunct w:val="0"/>
        <w:spacing w:line="460" w:lineRule="exact"/>
        <w:ind w:firstLine="513" w:firstLineChars="214"/>
        <w:rPr>
          <w:rFonts w:hint="eastAsia" w:ascii="仿宋" w:hAnsi="仿宋" w:eastAsia="仿宋" w:cs="仿宋"/>
          <w:color w:val="auto"/>
          <w:sz w:val="24"/>
          <w:szCs w:val="24"/>
          <w:highlight w:val="none"/>
        </w:rPr>
      </w:pPr>
    </w:p>
    <w:tbl>
      <w:tblPr>
        <w:tblStyle w:val="26"/>
        <w:tblW w:w="0" w:type="auto"/>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10"/>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甲方单位：       （公章）</w:t>
            </w:r>
          </w:p>
          <w:p>
            <w:pPr>
              <w:pStyle w:val="10"/>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     （签章）</w:t>
            </w:r>
          </w:p>
          <w:p>
            <w:pPr>
              <w:pStyle w:val="10"/>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  期：  年  月   日</w:t>
            </w:r>
          </w:p>
        </w:tc>
        <w:tc>
          <w:tcPr>
            <w:tcW w:w="4264" w:type="dxa"/>
            <w:tcBorders>
              <w:top w:val="nil"/>
              <w:left w:val="nil"/>
              <w:bottom w:val="nil"/>
              <w:right w:val="nil"/>
            </w:tcBorders>
            <w:noWrap/>
          </w:tcPr>
          <w:p>
            <w:pPr>
              <w:pStyle w:val="10"/>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乙方单位：       （公章）</w:t>
            </w:r>
          </w:p>
          <w:p>
            <w:pPr>
              <w:pStyle w:val="10"/>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     （签章）</w:t>
            </w:r>
          </w:p>
          <w:p>
            <w:pPr>
              <w:pStyle w:val="10"/>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  期：  年  月   日</w:t>
            </w:r>
          </w:p>
        </w:tc>
      </w:tr>
    </w:tbl>
    <w:p>
      <w:pPr>
        <w:pStyle w:val="43"/>
        <w:spacing w:afterLines="0" w:line="440" w:lineRule="exact"/>
        <w:ind w:firstLine="0" w:firstLineChars="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附件5：法定代表人授权委托书</w:t>
      </w:r>
    </w:p>
    <w:p>
      <w:pPr>
        <w:snapToGrid w:val="0"/>
        <w:spacing w:before="50" w:after="50"/>
        <w:jc w:val="center"/>
        <w:rPr>
          <w:rFonts w:hint="eastAsia" w:ascii="仿宋" w:hAnsi="仿宋" w:eastAsia="仿宋" w:cs="仿宋"/>
          <w:b/>
          <w:color w:val="auto"/>
          <w:sz w:val="36"/>
          <w:szCs w:val="36"/>
          <w:highlight w:val="none"/>
        </w:rPr>
      </w:pPr>
    </w:p>
    <w:p>
      <w:pPr>
        <w:snapToGrid w:val="0"/>
        <w:spacing w:before="50" w:after="50"/>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法定代表人授权委托书</w:t>
      </w:r>
    </w:p>
    <w:p>
      <w:pPr>
        <w:snapToGrid w:val="0"/>
        <w:spacing w:before="156" w:beforeLines="50" w:after="50" w:line="460" w:lineRule="exact"/>
        <w:rPr>
          <w:rFonts w:hint="eastAsia" w:ascii="仿宋" w:hAnsi="仿宋" w:eastAsia="仿宋" w:cs="仿宋"/>
          <w:b/>
          <w:bCs/>
          <w:color w:val="auto"/>
          <w:sz w:val="24"/>
          <w:szCs w:val="24"/>
          <w:highlight w:val="none"/>
        </w:rPr>
      </w:pPr>
      <w:r>
        <w:rPr>
          <w:rFonts w:hint="eastAsia" w:ascii="仿宋" w:hAnsi="仿宋" w:eastAsia="仿宋" w:cs="仿宋"/>
          <w:bCs/>
          <w:color w:val="auto"/>
          <w:sz w:val="24"/>
          <w:szCs w:val="24"/>
          <w:highlight w:val="none"/>
        </w:rPr>
        <w:t>致</w:t>
      </w:r>
      <w:r>
        <w:rPr>
          <w:rFonts w:hint="eastAsia" w:ascii="仿宋" w:hAnsi="仿宋" w:eastAsia="仿宋" w:cs="仿宋"/>
          <w:bCs/>
          <w:color w:val="auto"/>
          <w:sz w:val="24"/>
          <w:szCs w:val="24"/>
          <w:highlight w:val="none"/>
          <w:u w:val="single"/>
        </w:rPr>
        <w:t>（填写采购代理机构或采购人名称）</w:t>
      </w:r>
      <w:r>
        <w:rPr>
          <w:rFonts w:hint="eastAsia" w:ascii="仿宋" w:hAnsi="仿宋" w:eastAsia="仿宋" w:cs="仿宋"/>
          <w:bCs/>
          <w:color w:val="auto"/>
          <w:sz w:val="24"/>
          <w:szCs w:val="24"/>
          <w:highlight w:val="none"/>
        </w:rPr>
        <w:t>：</w:t>
      </w:r>
    </w:p>
    <w:p>
      <w:pPr>
        <w:snapToGrid w:val="0"/>
        <w:spacing w:before="156" w:beforeLines="50" w:after="50" w:line="460" w:lineRule="exact"/>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w:t>
      </w:r>
      <w:r>
        <w:rPr>
          <w:rFonts w:hint="eastAsia" w:ascii="仿宋" w:hAnsi="仿宋" w:eastAsia="仿宋" w:cs="仿宋"/>
          <w:color w:val="auto"/>
          <w:sz w:val="24"/>
          <w:szCs w:val="24"/>
          <w:highlight w:val="none"/>
          <w:u w:val="single"/>
        </w:rPr>
        <w:t xml:space="preserve">  （姓名） </w:t>
      </w:r>
      <w:r>
        <w:rPr>
          <w:rFonts w:hint="eastAsia" w:ascii="仿宋" w:hAnsi="仿宋" w:eastAsia="仿宋" w:cs="仿宋"/>
          <w:color w:val="auto"/>
          <w:sz w:val="24"/>
          <w:szCs w:val="24"/>
          <w:highlight w:val="none"/>
        </w:rPr>
        <w:t>系</w:t>
      </w:r>
      <w:r>
        <w:rPr>
          <w:rFonts w:hint="eastAsia" w:ascii="仿宋" w:hAnsi="仿宋" w:eastAsia="仿宋" w:cs="仿宋"/>
          <w:color w:val="auto"/>
          <w:sz w:val="24"/>
          <w:szCs w:val="24"/>
          <w:highlight w:val="none"/>
          <w:u w:val="single"/>
        </w:rPr>
        <w:t xml:space="preserve">  （供应商或联合体牵头人全称） </w:t>
      </w:r>
      <w:r>
        <w:rPr>
          <w:rFonts w:hint="eastAsia" w:ascii="仿宋" w:hAnsi="仿宋" w:eastAsia="仿宋" w:cs="仿宋"/>
          <w:color w:val="auto"/>
          <w:sz w:val="24"/>
          <w:szCs w:val="24"/>
          <w:highlight w:val="none"/>
        </w:rPr>
        <w:t xml:space="preserve">的法定代表人，现授权委托本单位在职职工 </w:t>
      </w:r>
      <w:r>
        <w:rPr>
          <w:rFonts w:hint="eastAsia" w:ascii="仿宋" w:hAnsi="仿宋" w:eastAsia="仿宋" w:cs="仿宋"/>
          <w:color w:val="auto"/>
          <w:sz w:val="24"/>
          <w:szCs w:val="24"/>
          <w:highlight w:val="none"/>
          <w:u w:val="single"/>
        </w:rPr>
        <w:t xml:space="preserve"> （姓名） </w:t>
      </w:r>
      <w:r>
        <w:rPr>
          <w:rFonts w:hint="eastAsia" w:ascii="仿宋" w:hAnsi="仿宋" w:eastAsia="仿宋" w:cs="仿宋"/>
          <w:color w:val="auto"/>
          <w:sz w:val="24"/>
          <w:szCs w:val="24"/>
          <w:highlight w:val="none"/>
        </w:rPr>
        <w:t>为授权代表，以我方的名义参加</w:t>
      </w:r>
      <w:r>
        <w:rPr>
          <w:rFonts w:hint="eastAsia" w:ascii="仿宋" w:hAnsi="仿宋" w:eastAsia="仿宋" w:cs="仿宋"/>
          <w:color w:val="auto"/>
          <w:sz w:val="24"/>
          <w:szCs w:val="24"/>
          <w:highlight w:val="none"/>
          <w:u w:val="single"/>
        </w:rPr>
        <w:t xml:space="preserve">   （项目名称及编号）    </w:t>
      </w:r>
      <w:r>
        <w:rPr>
          <w:rFonts w:hint="eastAsia" w:ascii="仿宋" w:hAnsi="仿宋" w:eastAsia="仿宋" w:cs="仿宋"/>
          <w:color w:val="auto"/>
          <w:sz w:val="24"/>
          <w:szCs w:val="24"/>
          <w:highlight w:val="none"/>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授权代表无转委托权，特此委托。</w:t>
      </w:r>
    </w:p>
    <w:p>
      <w:pPr>
        <w:snapToGrid w:val="0"/>
        <w:spacing w:before="156" w:beforeLines="50" w:after="50" w:line="460" w:lineRule="exact"/>
        <w:ind w:firstLine="480"/>
        <w:rPr>
          <w:rFonts w:hint="eastAsia" w:ascii="仿宋" w:hAnsi="仿宋" w:eastAsia="仿宋" w:cs="仿宋"/>
          <w:color w:val="auto"/>
          <w:sz w:val="24"/>
          <w:szCs w:val="24"/>
          <w:highlight w:val="none"/>
        </w:rPr>
      </w:pPr>
    </w:p>
    <w:p>
      <w:pPr>
        <w:snapToGrid w:val="0"/>
        <w:spacing w:before="156" w:beforeLines="50" w:after="50"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授权代表签字（或盖章）：      </w:t>
      </w:r>
    </w:p>
    <w:p>
      <w:pPr>
        <w:snapToGrid w:val="0"/>
        <w:spacing w:before="156" w:beforeLines="50" w:after="50"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授权代表身份证号码：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snapToGrid w:val="0"/>
        <w:spacing w:before="156" w:beforeLines="50" w:after="50" w:line="460" w:lineRule="exact"/>
        <w:rPr>
          <w:rFonts w:hint="eastAsia" w:ascii="仿宋" w:hAnsi="仿宋" w:eastAsia="仿宋" w:cs="仿宋"/>
          <w:color w:val="auto"/>
          <w:sz w:val="24"/>
          <w:szCs w:val="24"/>
          <w:highlight w:val="none"/>
        </w:rPr>
      </w:pPr>
    </w:p>
    <w:p>
      <w:pPr>
        <w:snapToGrid w:val="0"/>
        <w:spacing w:before="156" w:beforeLines="50" w:after="50" w:line="4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法定代表人签字（或盖章）：</w:t>
      </w:r>
    </w:p>
    <w:p>
      <w:pPr>
        <w:snapToGrid w:val="0"/>
        <w:spacing w:before="156" w:beforeLines="50" w:after="50"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法定代表人身份证号码：</w:t>
      </w:r>
      <w:r>
        <w:rPr>
          <w:rFonts w:hint="eastAsia" w:ascii="仿宋" w:hAnsi="仿宋" w:eastAsia="仿宋" w:cs="仿宋"/>
          <w:color w:val="auto"/>
          <w:sz w:val="24"/>
          <w:szCs w:val="24"/>
          <w:highlight w:val="none"/>
          <w:u w:val="single"/>
        </w:rPr>
        <w:t xml:space="preserve">                         </w:t>
      </w:r>
    </w:p>
    <w:p>
      <w:pPr>
        <w:snapToGrid w:val="0"/>
        <w:spacing w:before="156" w:beforeLines="50" w:after="50" w:line="460" w:lineRule="exact"/>
        <w:rPr>
          <w:rFonts w:hint="eastAsia" w:ascii="仿宋" w:hAnsi="仿宋" w:eastAsia="仿宋" w:cs="仿宋"/>
          <w:color w:val="auto"/>
          <w:sz w:val="24"/>
          <w:szCs w:val="24"/>
          <w:highlight w:val="none"/>
        </w:rPr>
      </w:pPr>
    </w:p>
    <w:p>
      <w:pPr>
        <w:snapToGrid w:val="0"/>
        <w:spacing w:before="156" w:beforeLines="50" w:after="50"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snapToGrid w:val="0"/>
        <w:spacing w:before="156" w:beforeLines="50" w:after="50" w:line="4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供应商全称（盖公章）：            日  期：</w:t>
      </w:r>
      <w:r>
        <w:rPr>
          <w:rFonts w:hint="eastAsia" w:ascii="仿宋" w:hAnsi="仿宋" w:eastAsia="仿宋" w:cs="仿宋"/>
          <w:color w:val="auto"/>
          <w:sz w:val="24"/>
          <w:szCs w:val="24"/>
          <w:highlight w:val="none"/>
          <w:u w:val="single"/>
        </w:rPr>
        <w:t xml:space="preserve">     年   月  日</w:t>
      </w:r>
    </w:p>
    <w:p>
      <w:pPr>
        <w:widowControl/>
        <w:jc w:val="left"/>
        <w:rPr>
          <w:rFonts w:hint="eastAsia" w:ascii="仿宋" w:hAnsi="仿宋" w:eastAsia="仿宋" w:cs="仿宋"/>
          <w:color w:val="auto"/>
          <w:sz w:val="24"/>
          <w:szCs w:val="24"/>
          <w:highlight w:val="none"/>
          <w:u w:val="single"/>
        </w:rPr>
      </w:pPr>
    </w:p>
    <w:p>
      <w:pPr>
        <w:snapToGrid w:val="0"/>
        <w:spacing w:before="50" w:after="50"/>
        <w:jc w:val="left"/>
        <w:rPr>
          <w:rFonts w:hint="eastAsia" w:ascii="仿宋" w:hAnsi="仿宋" w:eastAsia="仿宋" w:cs="仿宋"/>
          <w:b/>
          <w:bCs/>
          <w:color w:val="auto"/>
          <w:sz w:val="24"/>
          <w:szCs w:val="24"/>
          <w:highlight w:val="none"/>
          <w:u w:val="single"/>
        </w:rPr>
      </w:pPr>
      <w:r>
        <w:rPr>
          <w:rFonts w:hint="eastAsia" w:ascii="仿宋" w:hAnsi="仿宋" w:eastAsia="仿宋" w:cs="仿宋"/>
          <w:b/>
          <w:bCs/>
          <w:color w:val="auto"/>
          <w:sz w:val="24"/>
          <w:szCs w:val="24"/>
          <w:highlight w:val="none"/>
        </w:rPr>
        <w:t>友情提示：</w:t>
      </w:r>
      <w:r>
        <w:rPr>
          <w:rFonts w:hint="eastAsia" w:ascii="仿宋" w:hAnsi="仿宋" w:eastAsia="仿宋" w:cs="仿宋"/>
          <w:b/>
          <w:bCs/>
          <w:color w:val="auto"/>
          <w:sz w:val="24"/>
          <w:szCs w:val="24"/>
          <w:highlight w:val="none"/>
          <w:u w:val="single"/>
        </w:rPr>
        <w:t>1、请仔细核对身份证号码，若填写错误，作无效投标处理。</w:t>
      </w:r>
    </w:p>
    <w:p>
      <w:pPr>
        <w:snapToGrid w:val="0"/>
        <w:spacing w:before="50" w:after="50"/>
        <w:ind w:left="1558" w:leftChars="570" w:hanging="361" w:hangingChars="150"/>
        <w:jc w:val="left"/>
        <w:rPr>
          <w:rFonts w:hint="eastAsia" w:ascii="仿宋" w:hAnsi="仿宋" w:eastAsia="仿宋" w:cs="仿宋"/>
          <w:b/>
          <w:bCs/>
          <w:color w:val="auto"/>
          <w:sz w:val="24"/>
          <w:szCs w:val="24"/>
          <w:highlight w:val="none"/>
          <w:u w:val="single"/>
        </w:rPr>
      </w:pPr>
      <w:r>
        <w:rPr>
          <w:rFonts w:hint="eastAsia" w:ascii="仿宋" w:hAnsi="仿宋" w:eastAsia="仿宋" w:cs="仿宋"/>
          <w:b/>
          <w:bCs/>
          <w:color w:val="auto"/>
          <w:sz w:val="24"/>
          <w:szCs w:val="24"/>
          <w:highlight w:val="none"/>
          <w:u w:val="single"/>
        </w:rPr>
        <w:t>2、联合体投标的，需提供联合体牵头人的法定代表人授权委托书，否则作无效投标处理。</w:t>
      </w:r>
    </w:p>
    <w:p>
      <w:pPr>
        <w:snapToGrid w:val="0"/>
        <w:spacing w:before="50" w:after="50"/>
        <w:ind w:left="1558" w:leftChars="570" w:hanging="361" w:hangingChars="150"/>
        <w:jc w:val="left"/>
        <w:rPr>
          <w:rFonts w:hint="eastAsia" w:ascii="仿宋" w:hAnsi="仿宋" w:eastAsia="仿宋" w:cs="仿宋"/>
          <w:b/>
          <w:bCs/>
          <w:color w:val="auto"/>
          <w:sz w:val="24"/>
          <w:szCs w:val="24"/>
          <w:highlight w:val="none"/>
          <w:u w:val="single"/>
        </w:rPr>
      </w:pPr>
      <w:r>
        <w:rPr>
          <w:rFonts w:hint="eastAsia" w:ascii="仿宋" w:hAnsi="仿宋" w:eastAsia="仿宋" w:cs="仿宋"/>
          <w:b/>
          <w:bCs/>
          <w:color w:val="auto"/>
          <w:sz w:val="24"/>
          <w:szCs w:val="24"/>
          <w:highlight w:val="none"/>
          <w:u w:val="single"/>
        </w:rPr>
        <w:t>3、法定代表人或个体工商户经营者参加开标会的可不授权。</w:t>
      </w:r>
    </w:p>
    <w:p>
      <w:pPr>
        <w:snapToGrid w:val="0"/>
        <w:spacing w:before="50" w:after="50"/>
        <w:ind w:left="1558" w:leftChars="570" w:hanging="361" w:hangingChars="150"/>
        <w:jc w:val="left"/>
        <w:rPr>
          <w:rFonts w:hint="eastAsia" w:ascii="仿宋" w:hAnsi="仿宋" w:eastAsia="仿宋" w:cs="仿宋"/>
          <w:b/>
          <w:bCs/>
          <w:color w:val="auto"/>
          <w:sz w:val="24"/>
          <w:szCs w:val="24"/>
          <w:highlight w:val="none"/>
          <w:u w:val="single"/>
        </w:rPr>
      </w:pPr>
    </w:p>
    <w:p>
      <w:pPr>
        <w:pStyle w:val="43"/>
        <w:spacing w:afterLines="0" w:line="440" w:lineRule="exact"/>
        <w:ind w:firstLine="0" w:firstLineChars="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附件6：授权代表社保证明</w:t>
      </w:r>
    </w:p>
    <w:p>
      <w:pPr>
        <w:pStyle w:val="43"/>
        <w:spacing w:afterLines="0" w:line="440" w:lineRule="exact"/>
        <w:ind w:firstLine="0" w:firstLineChars="0"/>
        <w:rPr>
          <w:rFonts w:hint="eastAsia" w:ascii="仿宋" w:hAnsi="仿宋" w:eastAsia="仿宋" w:cs="仿宋"/>
          <w:b/>
          <w:bCs/>
          <w:color w:val="auto"/>
          <w:sz w:val="28"/>
          <w:szCs w:val="28"/>
          <w:highlight w:val="none"/>
        </w:rPr>
      </w:pPr>
    </w:p>
    <w:p>
      <w:pPr>
        <w:pStyle w:val="43"/>
        <w:spacing w:afterLines="0" w:line="440" w:lineRule="exact"/>
        <w:ind w:firstLine="0" w:firstLineChars="0"/>
        <w:rPr>
          <w:rFonts w:hint="eastAsia" w:ascii="仿宋" w:hAnsi="仿宋" w:eastAsia="仿宋" w:cs="仿宋"/>
          <w:b/>
          <w:bCs/>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制作说明：</w:t>
      </w:r>
    </w:p>
    <w:p>
      <w:pPr>
        <w:pStyle w:val="43"/>
        <w:spacing w:afterLines="0" w:line="440" w:lineRule="exact"/>
        <w:ind w:firstLine="0" w:firstLineChars="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1.社保证明出具时间不得早于投标截止时间前2个月；</w:t>
      </w:r>
    </w:p>
    <w:p>
      <w:pPr>
        <w:pStyle w:val="43"/>
        <w:spacing w:afterLines="0" w:line="440" w:lineRule="exact"/>
        <w:ind w:firstLine="0"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2.如该授权代表为离退休返聘人员的，需提供退休证明及单位聘用证明复印件; </w:t>
      </w:r>
    </w:p>
    <w:p>
      <w:pPr>
        <w:pStyle w:val="43"/>
        <w:spacing w:afterLines="0" w:line="440" w:lineRule="exact"/>
        <w:ind w:firstLine="0"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3.法定代表人不授权或个体工商户经营者参与投标的，无需提供授权代表社保证明。</w:t>
      </w: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附件7：法定代表人及其授权代表身份证明</w:t>
      </w:r>
    </w:p>
    <w:p>
      <w:pPr>
        <w:pStyle w:val="43"/>
        <w:spacing w:afterLines="0" w:line="440" w:lineRule="exact"/>
        <w:ind w:firstLine="0" w:firstLineChars="0"/>
        <w:rPr>
          <w:rFonts w:hint="eastAsia" w:ascii="仿宋" w:hAnsi="仿宋" w:eastAsia="仿宋" w:cs="仿宋"/>
          <w:b/>
          <w:bCs/>
          <w:color w:val="auto"/>
          <w:sz w:val="28"/>
          <w:szCs w:val="28"/>
          <w:highlight w:val="none"/>
        </w:rPr>
      </w:pPr>
    </w:p>
    <w:p>
      <w:pPr>
        <w:pStyle w:val="43"/>
        <w:spacing w:afterLines="0" w:line="440" w:lineRule="exact"/>
        <w:ind w:firstLine="0" w:firstLineChars="0"/>
        <w:rPr>
          <w:rFonts w:hint="eastAsia" w:ascii="仿宋" w:hAnsi="仿宋" w:eastAsia="仿宋" w:cs="仿宋"/>
          <w:b/>
          <w:bCs/>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制作说明：</w:t>
      </w:r>
    </w:p>
    <w:p>
      <w:pPr>
        <w:pStyle w:val="43"/>
        <w:numPr>
          <w:ilvl w:val="0"/>
          <w:numId w:val="10"/>
        </w:numPr>
        <w:spacing w:afterLines="0" w:line="440" w:lineRule="exact"/>
        <w:ind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提供身份证原件正反两面的复印件或扫描件或图片，加盖单位公章，否则视为无效投标。</w:t>
      </w:r>
    </w:p>
    <w:p>
      <w:pPr>
        <w:pStyle w:val="43"/>
        <w:numPr>
          <w:ilvl w:val="0"/>
          <w:numId w:val="10"/>
        </w:numPr>
        <w:spacing w:afterLines="0" w:line="440" w:lineRule="exact"/>
        <w:ind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联合体投标的，提供联合体牵头人的法定代表人及其授权代表身份证，授权代表需为联合体牵头人单位在职职工。</w:t>
      </w:r>
    </w:p>
    <w:p>
      <w:pPr>
        <w:pStyle w:val="43"/>
        <w:numPr>
          <w:ilvl w:val="0"/>
          <w:numId w:val="10"/>
        </w:numPr>
        <w:spacing w:afterLines="0" w:line="440" w:lineRule="exact"/>
        <w:ind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个体工商户参与投标的提供经营者本人的身份证。</w:t>
      </w:r>
    </w:p>
    <w:p>
      <w:pPr>
        <w:pStyle w:val="43"/>
        <w:spacing w:afterLines="0" w:line="440" w:lineRule="exact"/>
        <w:ind w:firstLine="0"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4、法定代表人不授权的无需提供其授权代表身份证。</w:t>
      </w: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pStyle w:val="43"/>
        <w:spacing w:afterLines="0" w:line="440" w:lineRule="exact"/>
        <w:ind w:firstLine="0" w:firstLineChars="0"/>
        <w:rPr>
          <w:rFonts w:hint="eastAsia" w:ascii="仿宋" w:hAnsi="仿宋" w:eastAsia="仿宋" w:cs="仿宋"/>
          <w:color w:val="auto"/>
          <w:sz w:val="28"/>
          <w:szCs w:val="28"/>
          <w:highlight w:val="none"/>
        </w:rPr>
      </w:pPr>
    </w:p>
    <w:p>
      <w:pPr>
        <w:snapToGrid w:val="0"/>
        <w:spacing w:before="156" w:beforeLines="50" w:after="50"/>
        <w:jc w:val="left"/>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附件8：商务和技术文件封面</w:t>
      </w:r>
    </w:p>
    <w:p>
      <w:pPr>
        <w:snapToGrid w:val="0"/>
        <w:spacing w:before="156" w:beforeLines="50" w:after="50"/>
        <w:jc w:val="right"/>
        <w:rPr>
          <w:rFonts w:hint="eastAsia" w:ascii="仿宋" w:hAnsi="仿宋" w:eastAsia="仿宋" w:cs="仿宋"/>
          <w:b/>
          <w:color w:val="auto"/>
          <w:sz w:val="30"/>
          <w:szCs w:val="30"/>
          <w:highlight w:val="none"/>
        </w:rPr>
      </w:pPr>
      <w:r>
        <w:rPr>
          <w:rFonts w:hint="eastAsia" w:ascii="仿宋" w:hAnsi="仿宋" w:eastAsia="仿宋" w:cs="仿宋"/>
          <w:bCs/>
          <w:color w:val="auto"/>
          <w:sz w:val="30"/>
          <w:szCs w:val="30"/>
          <w:highlight w:val="none"/>
          <w:u w:val="single"/>
        </w:rPr>
        <w:t>（填写正本或副本）</w:t>
      </w:r>
    </w:p>
    <w:p>
      <w:pPr>
        <w:snapToGrid w:val="0"/>
        <w:spacing w:before="156" w:beforeLines="50" w:after="50"/>
        <w:jc w:val="right"/>
        <w:rPr>
          <w:rFonts w:hint="eastAsia" w:ascii="仿宋" w:hAnsi="仿宋" w:eastAsia="仿宋" w:cs="仿宋"/>
          <w:bCs/>
          <w:color w:val="auto"/>
          <w:sz w:val="30"/>
          <w:szCs w:val="30"/>
          <w:highlight w:val="none"/>
        </w:rPr>
      </w:pPr>
    </w:p>
    <w:p>
      <w:pPr>
        <w:spacing w:line="400" w:lineRule="exact"/>
        <w:ind w:right="-110"/>
        <w:rPr>
          <w:rFonts w:hint="eastAsia" w:ascii="仿宋" w:hAnsi="仿宋" w:eastAsia="仿宋" w:cs="仿宋"/>
          <w:color w:val="auto"/>
          <w:spacing w:val="40"/>
          <w:sz w:val="30"/>
          <w:szCs w:val="30"/>
          <w:highlight w:val="none"/>
        </w:rPr>
      </w:pPr>
      <w:r>
        <w:rPr>
          <w:rFonts w:hint="eastAsia" w:ascii="仿宋" w:hAnsi="仿宋" w:eastAsia="仿宋" w:cs="仿宋"/>
          <w:color w:val="auto"/>
          <w:spacing w:val="40"/>
          <w:sz w:val="30"/>
          <w:szCs w:val="30"/>
          <w:highlight w:val="none"/>
        </w:rPr>
        <w:t>项目名称：</w:t>
      </w:r>
      <w:r>
        <w:rPr>
          <w:rFonts w:hint="eastAsia" w:ascii="仿宋" w:hAnsi="仿宋" w:eastAsia="仿宋" w:cs="仿宋"/>
          <w:color w:val="auto"/>
          <w:spacing w:val="40"/>
          <w:sz w:val="30"/>
          <w:szCs w:val="30"/>
          <w:highlight w:val="none"/>
          <w:u w:val="single"/>
        </w:rPr>
        <w:t xml:space="preserve">           </w:t>
      </w:r>
    </w:p>
    <w:p>
      <w:pPr>
        <w:spacing w:before="312" w:beforeLines="100" w:line="400" w:lineRule="exact"/>
        <w:rPr>
          <w:rFonts w:hint="eastAsia"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项目编号：</w:t>
      </w:r>
      <w:r>
        <w:rPr>
          <w:rFonts w:hint="eastAsia" w:ascii="仿宋" w:hAnsi="仿宋" w:eastAsia="仿宋" w:cs="仿宋"/>
          <w:color w:val="auto"/>
          <w:sz w:val="30"/>
          <w:szCs w:val="30"/>
          <w:highlight w:val="none"/>
          <w:u w:val="single"/>
        </w:rPr>
        <w:t xml:space="preserve">                   </w:t>
      </w:r>
    </w:p>
    <w:p>
      <w:pPr>
        <w:spacing w:before="312" w:beforeLines="100" w:line="400" w:lineRule="exac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标段编号：</w:t>
      </w:r>
      <w:r>
        <w:rPr>
          <w:rFonts w:hint="eastAsia" w:ascii="仿宋" w:hAnsi="仿宋" w:eastAsia="仿宋" w:cs="仿宋"/>
          <w:color w:val="auto"/>
          <w:sz w:val="30"/>
          <w:szCs w:val="30"/>
          <w:highlight w:val="none"/>
          <w:u w:val="single"/>
        </w:rPr>
        <w:t xml:space="preserve">                    </w:t>
      </w:r>
    </w:p>
    <w:p>
      <w:pPr>
        <w:spacing w:line="1200" w:lineRule="exact"/>
        <w:ind w:right="6"/>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商</w:t>
      </w:r>
    </w:p>
    <w:p>
      <w:pPr>
        <w:spacing w:line="1200" w:lineRule="exact"/>
        <w:ind w:right="6"/>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务</w:t>
      </w:r>
    </w:p>
    <w:p>
      <w:pPr>
        <w:spacing w:line="1200" w:lineRule="exact"/>
        <w:ind w:right="6"/>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和</w:t>
      </w:r>
    </w:p>
    <w:p>
      <w:pPr>
        <w:spacing w:line="1200" w:lineRule="exact"/>
        <w:ind w:right="6"/>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技</w:t>
      </w:r>
    </w:p>
    <w:p>
      <w:pPr>
        <w:spacing w:line="1200" w:lineRule="exact"/>
        <w:ind w:right="6"/>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术</w:t>
      </w:r>
    </w:p>
    <w:p>
      <w:pPr>
        <w:spacing w:line="1200" w:lineRule="exact"/>
        <w:ind w:right="6"/>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文</w:t>
      </w:r>
    </w:p>
    <w:p>
      <w:pPr>
        <w:spacing w:line="1200" w:lineRule="exact"/>
        <w:ind w:right="6"/>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件</w:t>
      </w:r>
    </w:p>
    <w:p>
      <w:pPr>
        <w:spacing w:line="500" w:lineRule="exact"/>
        <w:ind w:right="7"/>
        <w:jc w:val="center"/>
        <w:rPr>
          <w:rFonts w:hint="eastAsia" w:ascii="仿宋" w:hAnsi="仿宋" w:eastAsia="仿宋" w:cs="仿宋"/>
          <w:color w:val="auto"/>
          <w:sz w:val="36"/>
          <w:szCs w:val="36"/>
          <w:highlight w:val="none"/>
        </w:rPr>
      </w:pPr>
    </w:p>
    <w:p>
      <w:pPr>
        <w:spacing w:line="400" w:lineRule="exact"/>
        <w:ind w:right="-110"/>
        <w:rPr>
          <w:rFonts w:hint="eastAsia" w:ascii="仿宋" w:hAnsi="仿宋" w:eastAsia="仿宋" w:cs="仿宋"/>
          <w:color w:val="auto"/>
          <w:spacing w:val="40"/>
          <w:sz w:val="30"/>
          <w:szCs w:val="30"/>
          <w:highlight w:val="none"/>
        </w:rPr>
      </w:pPr>
      <w:r>
        <w:rPr>
          <w:rFonts w:hint="eastAsia" w:ascii="仿宋" w:hAnsi="仿宋" w:eastAsia="仿宋" w:cs="仿宋"/>
          <w:color w:val="auto"/>
          <w:spacing w:val="40"/>
          <w:sz w:val="30"/>
          <w:szCs w:val="30"/>
          <w:highlight w:val="none"/>
        </w:rPr>
        <w:t>供应商名称（盖公章）：</w:t>
      </w:r>
    </w:p>
    <w:p>
      <w:pPr>
        <w:spacing w:line="400" w:lineRule="exact"/>
        <w:ind w:right="-110"/>
        <w:rPr>
          <w:rFonts w:hint="eastAsia" w:ascii="仿宋" w:hAnsi="仿宋" w:eastAsia="仿宋" w:cs="仿宋"/>
          <w:color w:val="auto"/>
          <w:spacing w:val="40"/>
          <w:sz w:val="30"/>
          <w:szCs w:val="30"/>
          <w:highlight w:val="none"/>
        </w:rPr>
      </w:pPr>
      <w:r>
        <w:rPr>
          <w:rFonts w:hint="eastAsia" w:ascii="仿宋" w:hAnsi="仿宋" w:eastAsia="仿宋" w:cs="仿宋"/>
          <w:color w:val="auto"/>
          <w:spacing w:val="40"/>
          <w:sz w:val="30"/>
          <w:szCs w:val="30"/>
          <w:highlight w:val="none"/>
        </w:rPr>
        <w:t>地    址：</w:t>
      </w:r>
    </w:p>
    <w:p>
      <w:pPr>
        <w:spacing w:line="400" w:lineRule="exact"/>
        <w:ind w:right="-110"/>
        <w:rPr>
          <w:rFonts w:hint="eastAsia" w:ascii="仿宋" w:hAnsi="仿宋" w:eastAsia="仿宋" w:cs="仿宋"/>
          <w:color w:val="auto"/>
          <w:spacing w:val="40"/>
          <w:sz w:val="30"/>
          <w:szCs w:val="30"/>
          <w:highlight w:val="none"/>
        </w:rPr>
      </w:pPr>
      <w:r>
        <w:rPr>
          <w:rFonts w:hint="eastAsia" w:ascii="仿宋" w:hAnsi="仿宋" w:eastAsia="仿宋" w:cs="仿宋"/>
          <w:color w:val="auto"/>
          <w:spacing w:val="40"/>
          <w:sz w:val="30"/>
          <w:szCs w:val="30"/>
          <w:highlight w:val="none"/>
        </w:rPr>
        <w:t>日    期：</w:t>
      </w:r>
    </w:p>
    <w:p>
      <w:pPr>
        <w:spacing w:line="400" w:lineRule="exact"/>
        <w:ind w:right="-110"/>
        <w:rPr>
          <w:rFonts w:hint="eastAsia" w:ascii="仿宋" w:hAnsi="仿宋" w:eastAsia="仿宋" w:cs="仿宋"/>
          <w:color w:val="auto"/>
          <w:spacing w:val="40"/>
          <w:sz w:val="30"/>
          <w:szCs w:val="30"/>
          <w:highlight w:val="none"/>
        </w:rPr>
      </w:pPr>
    </w:p>
    <w:p>
      <w:pPr>
        <w:snapToGrid w:val="0"/>
        <w:spacing w:before="156" w:beforeLines="50" w:after="50"/>
        <w:jc w:val="left"/>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附件9：商务和技术文件目录</w:t>
      </w:r>
    </w:p>
    <w:p>
      <w:pPr>
        <w:snapToGrid w:val="0"/>
        <w:spacing w:before="156" w:beforeLines="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目 录</w:t>
      </w:r>
    </w:p>
    <w:p>
      <w:pPr>
        <w:pStyle w:val="48"/>
        <w:spacing w:line="360" w:lineRule="auto"/>
        <w:ind w:firstLine="0" w:firstLineChars="0"/>
        <w:jc w:val="left"/>
        <w:rPr>
          <w:rFonts w:hint="eastAsia" w:ascii="仿宋" w:hAnsi="仿宋" w:eastAsia="仿宋" w:cs="仿宋"/>
          <w:color w:val="auto"/>
          <w:highlight w:val="none"/>
        </w:rPr>
      </w:pPr>
      <w:bookmarkStart w:id="15" w:name="_Toc64369789"/>
      <w:r>
        <w:rPr>
          <w:rFonts w:hint="eastAsia" w:ascii="仿宋" w:hAnsi="仿宋" w:eastAsia="仿宋" w:cs="仿宋"/>
          <w:color w:val="auto"/>
          <w:highlight w:val="none"/>
        </w:rPr>
        <w:t>1.评分对应表…………………………………………………………………（页码）</w:t>
      </w:r>
    </w:p>
    <w:p>
      <w:pPr>
        <w:pStyle w:val="48"/>
        <w:spacing w:line="360" w:lineRule="auto"/>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2.项目明细清单………………………………………………………</w:t>
      </w:r>
      <w:r>
        <w:rPr>
          <w:rFonts w:hint="eastAsia" w:ascii="仿宋" w:hAnsi="仿宋" w:eastAsia="仿宋" w:cs="仿宋"/>
          <w:color w:val="auto"/>
          <w:highlight w:val="none"/>
          <w:lang w:val="zh-CN"/>
        </w:rPr>
        <w:t>…</w:t>
      </w:r>
      <w:r>
        <w:rPr>
          <w:rFonts w:hint="eastAsia" w:ascii="仿宋" w:hAnsi="仿宋" w:eastAsia="仿宋" w:cs="仿宋"/>
          <w:color w:val="auto"/>
          <w:highlight w:val="none"/>
        </w:rPr>
        <w:t>……（页码）</w:t>
      </w:r>
      <w:bookmarkEnd w:id="15"/>
    </w:p>
    <w:p>
      <w:pPr>
        <w:pStyle w:val="48"/>
        <w:spacing w:line="360" w:lineRule="auto"/>
        <w:ind w:firstLine="0" w:firstLineChars="0"/>
        <w:jc w:val="left"/>
        <w:rPr>
          <w:rFonts w:hint="eastAsia" w:ascii="仿宋" w:hAnsi="仿宋" w:eastAsia="仿宋" w:cs="仿宋"/>
          <w:color w:val="auto"/>
          <w:highlight w:val="none"/>
        </w:rPr>
      </w:pPr>
      <w:bookmarkStart w:id="16" w:name="_Toc64369790"/>
      <w:r>
        <w:rPr>
          <w:rFonts w:hint="eastAsia" w:ascii="仿宋" w:hAnsi="仿宋" w:eastAsia="仿宋" w:cs="仿宋"/>
          <w:color w:val="auto"/>
          <w:highlight w:val="none"/>
        </w:rPr>
        <w:t>3.技术响应表…………………………………………………………………（页码）</w:t>
      </w:r>
      <w:bookmarkEnd w:id="16"/>
    </w:p>
    <w:p>
      <w:pPr>
        <w:pStyle w:val="48"/>
        <w:spacing w:line="360" w:lineRule="auto"/>
        <w:ind w:firstLine="0" w:firstLineChars="0"/>
        <w:jc w:val="left"/>
        <w:rPr>
          <w:rFonts w:hint="eastAsia" w:ascii="仿宋" w:hAnsi="仿宋" w:eastAsia="仿宋" w:cs="仿宋"/>
          <w:color w:val="auto"/>
          <w:highlight w:val="none"/>
        </w:rPr>
      </w:pPr>
      <w:bookmarkStart w:id="17" w:name="_Toc64369791"/>
      <w:r>
        <w:rPr>
          <w:rFonts w:hint="eastAsia" w:ascii="仿宋" w:hAnsi="仿宋" w:eastAsia="仿宋" w:cs="仿宋"/>
          <w:color w:val="auto"/>
          <w:highlight w:val="none"/>
        </w:rPr>
        <w:t>4.商务响应表…………………………………………………………………（页码）</w:t>
      </w:r>
      <w:bookmarkEnd w:id="17"/>
    </w:p>
    <w:p>
      <w:pPr>
        <w:pStyle w:val="48"/>
        <w:spacing w:line="360" w:lineRule="auto"/>
        <w:ind w:firstLine="0" w:firstLineChars="0"/>
        <w:jc w:val="left"/>
        <w:rPr>
          <w:rFonts w:hint="eastAsia" w:ascii="仿宋" w:hAnsi="仿宋" w:eastAsia="仿宋" w:cs="仿宋"/>
          <w:color w:val="auto"/>
          <w:highlight w:val="none"/>
        </w:rPr>
      </w:pPr>
      <w:bookmarkStart w:id="18" w:name="_Toc64369792"/>
      <w:r>
        <w:rPr>
          <w:rFonts w:hint="eastAsia" w:ascii="仿宋" w:hAnsi="仿宋" w:eastAsia="仿宋" w:cs="仿宋"/>
          <w:color w:val="auto"/>
          <w:highlight w:val="none"/>
        </w:rPr>
        <w:t>5.项目实施方案………………………………………………………………（页码）</w:t>
      </w:r>
      <w:bookmarkEnd w:id="18"/>
    </w:p>
    <w:p>
      <w:pPr>
        <w:pStyle w:val="48"/>
        <w:spacing w:line="360" w:lineRule="auto"/>
        <w:ind w:firstLine="0" w:firstLineChars="0"/>
        <w:jc w:val="left"/>
        <w:rPr>
          <w:rFonts w:hint="eastAsia" w:ascii="仿宋" w:hAnsi="仿宋" w:eastAsia="仿宋" w:cs="仿宋"/>
          <w:color w:val="auto"/>
          <w:highlight w:val="none"/>
        </w:rPr>
      </w:pPr>
      <w:bookmarkStart w:id="19" w:name="_Toc64369793"/>
      <w:r>
        <w:rPr>
          <w:rFonts w:hint="eastAsia" w:ascii="仿宋" w:hAnsi="仿宋" w:eastAsia="仿宋" w:cs="仿宋"/>
          <w:color w:val="auto"/>
          <w:highlight w:val="none"/>
        </w:rPr>
        <w:t>6.项目实施人员清单…………………………………………………</w:t>
      </w:r>
      <w:r>
        <w:rPr>
          <w:rFonts w:hint="eastAsia" w:ascii="仿宋" w:hAnsi="仿宋" w:eastAsia="仿宋" w:cs="仿宋"/>
          <w:color w:val="auto"/>
          <w:highlight w:val="none"/>
          <w:lang w:val="zh-CN"/>
        </w:rPr>
        <w:t>…</w:t>
      </w:r>
      <w:r>
        <w:rPr>
          <w:rFonts w:hint="eastAsia" w:ascii="仿宋" w:hAnsi="仿宋" w:eastAsia="仿宋" w:cs="仿宋"/>
          <w:color w:val="auto"/>
          <w:highlight w:val="none"/>
        </w:rPr>
        <w:t>……（页码）</w:t>
      </w:r>
      <w:bookmarkEnd w:id="19"/>
    </w:p>
    <w:p>
      <w:pPr>
        <w:pStyle w:val="48"/>
        <w:spacing w:line="360" w:lineRule="auto"/>
        <w:ind w:firstLine="0" w:firstLineChars="0"/>
        <w:jc w:val="left"/>
        <w:rPr>
          <w:rFonts w:hint="eastAsia" w:ascii="仿宋" w:hAnsi="仿宋" w:eastAsia="仿宋" w:cs="仿宋"/>
          <w:color w:val="auto"/>
          <w:highlight w:val="none"/>
        </w:rPr>
      </w:pPr>
      <w:bookmarkStart w:id="20" w:name="_Toc64369794"/>
      <w:r>
        <w:rPr>
          <w:rFonts w:hint="eastAsia" w:ascii="仿宋" w:hAnsi="仿宋" w:eastAsia="仿宋" w:cs="仿宋"/>
          <w:color w:val="auto"/>
          <w:highlight w:val="none"/>
          <w:lang w:val="zh-CN"/>
        </w:rPr>
        <w:t>7.备品备件及供选择的配套零部件清单………………………</w:t>
      </w:r>
      <w:r>
        <w:rPr>
          <w:rFonts w:hint="eastAsia" w:ascii="仿宋" w:hAnsi="仿宋" w:eastAsia="仿宋" w:cs="仿宋"/>
          <w:color w:val="auto"/>
          <w:highlight w:val="none"/>
        </w:rPr>
        <w:t>…………</w:t>
      </w:r>
      <w:r>
        <w:rPr>
          <w:rFonts w:hint="eastAsia" w:ascii="仿宋" w:hAnsi="仿宋" w:eastAsia="仿宋" w:cs="仿宋"/>
          <w:color w:val="auto"/>
          <w:highlight w:val="none"/>
          <w:lang w:val="zh-CN"/>
        </w:rPr>
        <w:t>…</w:t>
      </w:r>
      <w:r>
        <w:rPr>
          <w:rFonts w:hint="eastAsia" w:ascii="仿宋" w:hAnsi="仿宋" w:eastAsia="仿宋" w:cs="仿宋"/>
          <w:color w:val="auto"/>
          <w:highlight w:val="none"/>
        </w:rPr>
        <w:t>（页码）</w:t>
      </w:r>
      <w:bookmarkEnd w:id="20"/>
    </w:p>
    <w:p>
      <w:pPr>
        <w:pStyle w:val="48"/>
        <w:spacing w:line="360" w:lineRule="auto"/>
        <w:ind w:firstLine="0" w:firstLineChars="0"/>
        <w:jc w:val="left"/>
        <w:rPr>
          <w:rFonts w:hint="eastAsia" w:ascii="仿宋" w:hAnsi="仿宋" w:eastAsia="仿宋" w:cs="仿宋"/>
          <w:color w:val="auto"/>
          <w:highlight w:val="none"/>
        </w:rPr>
      </w:pPr>
      <w:bookmarkStart w:id="21" w:name="_Toc64369795"/>
      <w:r>
        <w:rPr>
          <w:rFonts w:hint="eastAsia" w:ascii="仿宋" w:hAnsi="仿宋" w:eastAsia="仿宋" w:cs="仿宋"/>
          <w:color w:val="auto"/>
          <w:highlight w:val="none"/>
          <w:lang w:val="zh-CN"/>
        </w:rPr>
        <w:t>8.消耗品、维修零配件及其价格清单…………………………</w:t>
      </w:r>
      <w:r>
        <w:rPr>
          <w:rFonts w:hint="eastAsia" w:ascii="仿宋" w:hAnsi="仿宋" w:eastAsia="仿宋" w:cs="仿宋"/>
          <w:color w:val="auto"/>
          <w:highlight w:val="none"/>
        </w:rPr>
        <w:t>……</w:t>
      </w:r>
      <w:r>
        <w:rPr>
          <w:rFonts w:hint="eastAsia" w:ascii="仿宋" w:hAnsi="仿宋" w:eastAsia="仿宋" w:cs="仿宋"/>
          <w:color w:val="auto"/>
          <w:highlight w:val="none"/>
          <w:lang w:val="zh-CN"/>
        </w:rPr>
        <w:t>…</w:t>
      </w:r>
      <w:r>
        <w:rPr>
          <w:rFonts w:hint="eastAsia" w:ascii="仿宋" w:hAnsi="仿宋" w:eastAsia="仿宋" w:cs="仿宋"/>
          <w:color w:val="auto"/>
          <w:highlight w:val="none"/>
        </w:rPr>
        <w:t>…</w:t>
      </w:r>
      <w:r>
        <w:rPr>
          <w:rFonts w:hint="eastAsia" w:ascii="仿宋" w:hAnsi="仿宋" w:eastAsia="仿宋" w:cs="仿宋"/>
          <w:color w:val="auto"/>
          <w:highlight w:val="none"/>
          <w:lang w:val="zh-CN"/>
        </w:rPr>
        <w:t>…</w:t>
      </w:r>
      <w:r>
        <w:rPr>
          <w:rFonts w:hint="eastAsia" w:ascii="仿宋" w:hAnsi="仿宋" w:eastAsia="仿宋" w:cs="仿宋"/>
          <w:color w:val="auto"/>
          <w:highlight w:val="none"/>
        </w:rPr>
        <w:t>（页码）</w:t>
      </w:r>
      <w:bookmarkEnd w:id="21"/>
    </w:p>
    <w:p>
      <w:pPr>
        <w:pStyle w:val="48"/>
        <w:spacing w:line="360" w:lineRule="auto"/>
        <w:ind w:firstLine="0" w:firstLineChars="0"/>
        <w:jc w:val="left"/>
        <w:rPr>
          <w:rFonts w:hint="eastAsia" w:ascii="仿宋" w:hAnsi="仿宋" w:eastAsia="仿宋" w:cs="仿宋"/>
          <w:color w:val="auto"/>
          <w:highlight w:val="none"/>
        </w:rPr>
      </w:pPr>
      <w:bookmarkStart w:id="22" w:name="_Toc64369796"/>
      <w:r>
        <w:rPr>
          <w:rFonts w:hint="eastAsia" w:ascii="仿宋" w:hAnsi="仿宋" w:eastAsia="仿宋" w:cs="仿宋"/>
          <w:color w:val="auto"/>
          <w:highlight w:val="none"/>
        </w:rPr>
        <w:t>9.类似业绩一览表（附业绩证明材料）</w:t>
      </w:r>
      <w:r>
        <w:rPr>
          <w:rFonts w:hint="eastAsia" w:ascii="仿宋" w:hAnsi="仿宋" w:eastAsia="仿宋" w:cs="仿宋"/>
          <w:color w:val="auto"/>
          <w:szCs w:val="20"/>
          <w:highlight w:val="none"/>
        </w:rPr>
        <w:t>（如有）</w:t>
      </w:r>
      <w:r>
        <w:rPr>
          <w:rFonts w:hint="eastAsia" w:ascii="仿宋" w:hAnsi="仿宋" w:eastAsia="仿宋" w:cs="仿宋"/>
          <w:color w:val="auto"/>
          <w:highlight w:val="none"/>
        </w:rPr>
        <w:t>……………………</w:t>
      </w:r>
      <w:r>
        <w:rPr>
          <w:rFonts w:hint="eastAsia" w:ascii="仿宋" w:hAnsi="仿宋" w:eastAsia="仿宋" w:cs="仿宋"/>
          <w:color w:val="auto"/>
          <w:highlight w:val="none"/>
          <w:lang w:val="zh-CN"/>
        </w:rPr>
        <w:t>…</w:t>
      </w:r>
      <w:r>
        <w:rPr>
          <w:rFonts w:hint="eastAsia" w:ascii="仿宋" w:hAnsi="仿宋" w:eastAsia="仿宋" w:cs="仿宋"/>
          <w:color w:val="auto"/>
          <w:highlight w:val="none"/>
        </w:rPr>
        <w:t>……（页码）</w:t>
      </w:r>
      <w:bookmarkEnd w:id="22"/>
    </w:p>
    <w:p>
      <w:pPr>
        <w:pStyle w:val="48"/>
        <w:spacing w:line="360" w:lineRule="auto"/>
        <w:ind w:firstLine="0" w:firstLineChars="0"/>
        <w:jc w:val="left"/>
        <w:rPr>
          <w:rFonts w:hint="eastAsia" w:ascii="仿宋" w:hAnsi="仿宋" w:eastAsia="仿宋" w:cs="仿宋"/>
          <w:color w:val="auto"/>
          <w:highlight w:val="none"/>
        </w:rPr>
      </w:pPr>
      <w:bookmarkStart w:id="23" w:name="_Toc64369797"/>
      <w:r>
        <w:rPr>
          <w:rFonts w:hint="eastAsia" w:ascii="仿宋" w:hAnsi="仿宋" w:eastAsia="仿宋" w:cs="仿宋"/>
          <w:color w:val="auto"/>
          <w:highlight w:val="none"/>
          <w:lang w:val="zh-CN"/>
        </w:rPr>
        <w:t>10.优惠条件及其他额外承诺………………………………</w:t>
      </w:r>
      <w:r>
        <w:rPr>
          <w:rFonts w:hint="eastAsia" w:ascii="仿宋" w:hAnsi="仿宋" w:eastAsia="仿宋" w:cs="仿宋"/>
          <w:color w:val="auto"/>
          <w:highlight w:val="none"/>
        </w:rPr>
        <w:t>…………</w:t>
      </w:r>
      <w:r>
        <w:rPr>
          <w:rFonts w:hint="eastAsia" w:ascii="仿宋" w:hAnsi="仿宋" w:eastAsia="仿宋" w:cs="仿宋"/>
          <w:color w:val="auto"/>
          <w:highlight w:val="none"/>
          <w:lang w:val="zh-CN"/>
        </w:rPr>
        <w:t>………</w:t>
      </w:r>
      <w:r>
        <w:rPr>
          <w:rFonts w:hint="eastAsia" w:ascii="仿宋" w:hAnsi="仿宋" w:eastAsia="仿宋" w:cs="仿宋"/>
          <w:color w:val="auto"/>
          <w:highlight w:val="none"/>
        </w:rPr>
        <w:t>（页码）</w:t>
      </w:r>
      <w:bookmarkEnd w:id="23"/>
    </w:p>
    <w:p>
      <w:pPr>
        <w:pStyle w:val="48"/>
        <w:spacing w:line="360" w:lineRule="auto"/>
        <w:ind w:firstLine="0" w:firstLineChars="0"/>
        <w:jc w:val="left"/>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11.</w:t>
      </w:r>
      <w:r>
        <w:rPr>
          <w:rFonts w:hint="eastAsia" w:ascii="仿宋" w:hAnsi="仿宋" w:eastAsia="仿宋" w:cs="仿宋"/>
          <w:bCs/>
          <w:color w:val="auto"/>
          <w:highlight w:val="none"/>
          <w:lang w:val="zh-CN"/>
        </w:rPr>
        <w:t>评分细则中要求提供的其他资料</w:t>
      </w:r>
      <w:r>
        <w:rPr>
          <w:rFonts w:hint="eastAsia" w:ascii="仿宋" w:hAnsi="仿宋" w:eastAsia="仿宋" w:cs="仿宋"/>
          <w:color w:val="auto"/>
          <w:highlight w:val="none"/>
          <w:lang w:val="zh-CN"/>
        </w:rPr>
        <w:t>…………………………………………</w:t>
      </w:r>
      <w:r>
        <w:rPr>
          <w:rFonts w:hint="eastAsia" w:ascii="仿宋" w:hAnsi="仿宋" w:eastAsia="仿宋" w:cs="仿宋"/>
          <w:color w:val="auto"/>
          <w:highlight w:val="none"/>
        </w:rPr>
        <w:t>（页码）</w:t>
      </w:r>
    </w:p>
    <w:p>
      <w:pPr>
        <w:pStyle w:val="48"/>
        <w:spacing w:line="360" w:lineRule="auto"/>
        <w:ind w:firstLine="0" w:firstLineChars="0"/>
        <w:jc w:val="left"/>
        <w:rPr>
          <w:rFonts w:hint="eastAsia" w:ascii="仿宋" w:hAnsi="仿宋" w:eastAsia="仿宋" w:cs="仿宋"/>
          <w:color w:val="auto"/>
          <w:highlight w:val="none"/>
        </w:rPr>
      </w:pPr>
      <w:bookmarkStart w:id="24" w:name="_Toc64369798"/>
      <w:r>
        <w:rPr>
          <w:rFonts w:hint="eastAsia" w:ascii="仿宋" w:hAnsi="仿宋" w:eastAsia="仿宋" w:cs="仿宋"/>
          <w:color w:val="auto"/>
          <w:highlight w:val="none"/>
          <w:lang w:val="zh-CN"/>
        </w:rPr>
        <w:t>12.其他商务技术（资信）文件或说明……………………</w:t>
      </w:r>
      <w:r>
        <w:rPr>
          <w:rFonts w:hint="eastAsia" w:ascii="仿宋" w:hAnsi="仿宋" w:eastAsia="仿宋" w:cs="仿宋"/>
          <w:color w:val="auto"/>
          <w:highlight w:val="none"/>
        </w:rPr>
        <w:t>…</w:t>
      </w:r>
      <w:r>
        <w:rPr>
          <w:rFonts w:hint="eastAsia" w:ascii="仿宋" w:hAnsi="仿宋" w:eastAsia="仿宋" w:cs="仿宋"/>
          <w:color w:val="auto"/>
          <w:highlight w:val="none"/>
          <w:lang w:val="zh-CN"/>
        </w:rPr>
        <w:t>………………</w:t>
      </w:r>
      <w:r>
        <w:rPr>
          <w:rFonts w:hint="eastAsia" w:ascii="仿宋" w:hAnsi="仿宋" w:eastAsia="仿宋" w:cs="仿宋"/>
          <w:color w:val="auto"/>
          <w:highlight w:val="none"/>
        </w:rPr>
        <w:t>（页码）</w:t>
      </w:r>
      <w:bookmarkEnd w:id="24"/>
    </w:p>
    <w:p>
      <w:pPr>
        <w:pStyle w:val="46"/>
        <w:numPr>
          <w:ilvl w:val="0"/>
          <w:numId w:val="0"/>
        </w:numPr>
        <w:rPr>
          <w:rFonts w:hint="eastAsia" w:ascii="仿宋" w:hAnsi="仿宋" w:eastAsia="仿宋" w:cs="仿宋"/>
          <w:color w:val="auto"/>
          <w:highlight w:val="none"/>
        </w:rPr>
      </w:pPr>
    </w:p>
    <w:p>
      <w:pP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注：以上文件投标供应商可以在本采购文件提供的范本基础上适当微调，使得内容更加完备。</w:t>
      </w: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43"/>
        <w:spacing w:afterLines="0" w:line="440" w:lineRule="exact"/>
        <w:ind w:firstLine="0" w:firstLineChars="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附件10</w:t>
      </w:r>
    </w:p>
    <w:p>
      <w:pPr>
        <w:snapToGrid w:val="0"/>
        <w:spacing w:before="50" w:after="50"/>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评分对应表</w:t>
      </w:r>
    </w:p>
    <w:p>
      <w:pPr>
        <w:snapToGrid w:val="0"/>
        <w:spacing w:before="50"/>
        <w:jc w:val="center"/>
        <w:rPr>
          <w:rFonts w:hint="eastAsia" w:ascii="仿宋" w:hAnsi="仿宋" w:eastAsia="仿宋" w:cs="仿宋"/>
          <w:b/>
          <w:color w:val="auto"/>
          <w:sz w:val="32"/>
          <w:szCs w:val="32"/>
          <w:highlight w:val="none"/>
        </w:rPr>
      </w:pPr>
    </w:p>
    <w:p>
      <w:pPr>
        <w:pStyle w:val="11"/>
        <w:snapToGrid w:val="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供应商全称（或公章）：</w:t>
      </w:r>
      <w:r>
        <w:rPr>
          <w:rFonts w:hint="eastAsia" w:ascii="仿宋" w:hAnsi="仿宋" w:eastAsia="仿宋" w:cs="仿宋"/>
          <w:color w:val="auto"/>
          <w:sz w:val="28"/>
          <w:szCs w:val="28"/>
          <w:highlight w:val="none"/>
          <w:u w:val="single"/>
        </w:rPr>
        <w:t xml:space="preserve">                       </w:t>
      </w:r>
    </w:p>
    <w:p>
      <w:pPr>
        <w:pStyle w:val="11"/>
        <w:snapToGrid w:val="0"/>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标段编号：</w:t>
      </w:r>
      <w:r>
        <w:rPr>
          <w:rFonts w:hint="eastAsia" w:ascii="仿宋" w:hAnsi="仿宋" w:eastAsia="仿宋" w:cs="仿宋"/>
          <w:color w:val="auto"/>
          <w:sz w:val="28"/>
          <w:szCs w:val="28"/>
          <w:highlight w:val="none"/>
          <w:u w:val="single"/>
        </w:rPr>
        <w:t xml:space="preserve">                   </w:t>
      </w:r>
    </w:p>
    <w:tbl>
      <w:tblPr>
        <w:tblStyle w:val="26"/>
        <w:tblW w:w="84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62"/>
        <w:gridCol w:w="28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566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评分项目</w:t>
            </w:r>
          </w:p>
        </w:tc>
        <w:tc>
          <w:tcPr>
            <w:tcW w:w="282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投标文件起止页码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对应第五章评标办法及标准的商务技术分评分细则</w:t>
            </w: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ind w:left="43"/>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color w:val="auto"/>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ind w:left="43"/>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color w:val="auto"/>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ind w:left="43"/>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color w:val="auto"/>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color w:val="auto"/>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color w:val="auto"/>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color w:val="auto"/>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color w:val="auto"/>
                <w:sz w:val="28"/>
                <w:szCs w:val="28"/>
                <w:highlight w:val="none"/>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color w:val="auto"/>
                <w:sz w:val="28"/>
                <w:szCs w:val="28"/>
                <w:highlight w:val="none"/>
              </w:rPr>
            </w:pPr>
          </w:p>
        </w:tc>
      </w:tr>
    </w:tbl>
    <w:p>
      <w:pPr>
        <w:snapToGrid w:val="0"/>
        <w:spacing w:before="156" w:beforeLines="5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注：供应商可对该表格的内容和格式进行细化和调整，以更加利于评审。</w:t>
      </w:r>
    </w:p>
    <w:p>
      <w:pPr>
        <w:snapToGrid w:val="0"/>
        <w:spacing w:before="156" w:beforeLines="50"/>
        <w:rPr>
          <w:rFonts w:hint="eastAsia" w:ascii="仿宋" w:hAnsi="仿宋" w:eastAsia="仿宋" w:cs="仿宋"/>
          <w:color w:val="auto"/>
          <w:sz w:val="30"/>
          <w:szCs w:val="30"/>
          <w:highlight w:val="none"/>
        </w:rPr>
      </w:pPr>
    </w:p>
    <w:p>
      <w:pPr>
        <w:snapToGrid w:val="0"/>
        <w:spacing w:before="156" w:beforeLines="50"/>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授权代表签名：</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 xml:space="preserve">               日期：</w:t>
      </w:r>
      <w:r>
        <w:rPr>
          <w:rFonts w:hint="eastAsia" w:ascii="仿宋" w:hAnsi="仿宋" w:eastAsia="仿宋" w:cs="仿宋"/>
          <w:color w:val="auto"/>
          <w:sz w:val="28"/>
          <w:szCs w:val="28"/>
          <w:highlight w:val="none"/>
          <w:u w:val="single"/>
        </w:rPr>
        <w:t xml:space="preserve">         </w:t>
      </w:r>
    </w:p>
    <w:p>
      <w:pPr>
        <w:snapToGrid w:val="0"/>
        <w:spacing w:before="50" w:after="156" w:afterLines="50"/>
        <w:jc w:val="left"/>
        <w:rPr>
          <w:rFonts w:hint="eastAsia" w:ascii="仿宋" w:hAnsi="仿宋" w:eastAsia="仿宋" w:cs="仿宋"/>
          <w:color w:val="auto"/>
          <w:sz w:val="30"/>
          <w:szCs w:val="30"/>
          <w:highlight w:val="none"/>
        </w:rPr>
      </w:pPr>
    </w:p>
    <w:p>
      <w:pPr>
        <w:snapToGrid w:val="0"/>
        <w:spacing w:before="50" w:after="156" w:afterLines="50"/>
        <w:jc w:val="left"/>
        <w:rPr>
          <w:rFonts w:hint="eastAsia" w:ascii="仿宋" w:hAnsi="仿宋" w:eastAsia="仿宋" w:cs="仿宋"/>
          <w:color w:val="auto"/>
          <w:sz w:val="30"/>
          <w:szCs w:val="30"/>
          <w:highlight w:val="none"/>
        </w:rPr>
      </w:pPr>
    </w:p>
    <w:p>
      <w:pPr>
        <w:pStyle w:val="43"/>
        <w:spacing w:afterLines="0" w:line="440" w:lineRule="exact"/>
        <w:ind w:firstLine="0" w:firstLineChars="0"/>
        <w:rPr>
          <w:rFonts w:hint="eastAsia" w:ascii="仿宋" w:hAnsi="仿宋" w:eastAsia="仿宋" w:cs="仿宋"/>
          <w:b/>
          <w:bCs/>
          <w:color w:val="auto"/>
          <w:sz w:val="28"/>
          <w:szCs w:val="28"/>
          <w:highlight w:val="none"/>
        </w:rPr>
      </w:pPr>
      <w:r>
        <w:rPr>
          <w:rFonts w:hint="eastAsia" w:ascii="仿宋" w:hAnsi="仿宋" w:eastAsia="仿宋" w:cs="仿宋"/>
          <w:color w:val="auto"/>
          <w:sz w:val="30"/>
          <w:szCs w:val="30"/>
          <w:highlight w:val="none"/>
        </w:rPr>
        <w:br w:type="page"/>
      </w:r>
      <w:r>
        <w:rPr>
          <w:rFonts w:hint="eastAsia" w:ascii="仿宋" w:hAnsi="仿宋" w:eastAsia="仿宋" w:cs="仿宋"/>
          <w:b/>
          <w:bCs/>
          <w:color w:val="auto"/>
          <w:sz w:val="28"/>
          <w:szCs w:val="28"/>
          <w:highlight w:val="none"/>
        </w:rPr>
        <w:t>附件11：</w:t>
      </w:r>
    </w:p>
    <w:p>
      <w:pPr>
        <w:snapToGrid w:val="0"/>
        <w:spacing w:before="50" w:after="156" w:afterLines="50"/>
        <w:jc w:val="center"/>
        <w:rPr>
          <w:rFonts w:hint="eastAsia" w:ascii="仿宋" w:hAnsi="仿宋" w:eastAsia="仿宋" w:cs="仿宋"/>
          <w:b/>
          <w:color w:val="auto"/>
          <w:spacing w:val="40"/>
          <w:kern w:val="0"/>
          <w:sz w:val="36"/>
          <w:szCs w:val="36"/>
          <w:highlight w:val="none"/>
        </w:rPr>
      </w:pPr>
      <w:r>
        <w:rPr>
          <w:rFonts w:hint="eastAsia" w:ascii="仿宋" w:hAnsi="仿宋" w:eastAsia="仿宋" w:cs="仿宋"/>
          <w:b/>
          <w:color w:val="auto"/>
          <w:spacing w:val="40"/>
          <w:kern w:val="0"/>
          <w:sz w:val="36"/>
          <w:szCs w:val="36"/>
          <w:highlight w:val="none"/>
        </w:rPr>
        <w:t>项目明细清单</w:t>
      </w:r>
    </w:p>
    <w:p>
      <w:pPr>
        <w:snapToGrid w:val="0"/>
        <w:spacing w:before="50" w:after="156" w:afterLines="50"/>
        <w:jc w:val="center"/>
        <w:rPr>
          <w:rFonts w:hint="eastAsia" w:ascii="仿宋" w:hAnsi="仿宋" w:eastAsia="仿宋" w:cs="仿宋"/>
          <w:b/>
          <w:color w:val="auto"/>
          <w:spacing w:val="40"/>
          <w:kern w:val="0"/>
          <w:sz w:val="36"/>
          <w:szCs w:val="36"/>
          <w:highlight w:val="none"/>
        </w:rPr>
      </w:pPr>
    </w:p>
    <w:p>
      <w:pPr>
        <w:pStyle w:val="11"/>
        <w:snapToGrid w:val="0"/>
        <w:rPr>
          <w:rFonts w:hint="eastAsia" w:ascii="仿宋" w:hAnsi="仿宋" w:eastAsia="仿宋" w:cs="仿宋"/>
          <w:color w:val="auto"/>
          <w:kern w:val="0"/>
          <w:sz w:val="30"/>
          <w:szCs w:val="30"/>
          <w:highlight w:val="none"/>
          <w:u w:val="single"/>
        </w:rPr>
      </w:pPr>
      <w:r>
        <w:rPr>
          <w:rFonts w:hint="eastAsia" w:ascii="仿宋" w:hAnsi="仿宋" w:eastAsia="仿宋" w:cs="仿宋"/>
          <w:color w:val="auto"/>
          <w:sz w:val="30"/>
          <w:szCs w:val="30"/>
          <w:highlight w:val="none"/>
        </w:rPr>
        <w:t>供应商全称（公章）：</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 xml:space="preserve">          标段编号：</w:t>
      </w:r>
      <w:r>
        <w:rPr>
          <w:rFonts w:hint="eastAsia" w:ascii="仿宋" w:hAnsi="仿宋" w:eastAsia="仿宋" w:cs="仿宋"/>
          <w:color w:val="auto"/>
          <w:sz w:val="30"/>
          <w:szCs w:val="30"/>
          <w:highlight w:val="none"/>
          <w:u w:val="single"/>
        </w:rPr>
        <w:t xml:space="preserve">    </w:t>
      </w:r>
    </w:p>
    <w:p>
      <w:pPr>
        <w:pStyle w:val="11"/>
        <w:snapToGrid w:val="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货物部分</w:t>
      </w:r>
    </w:p>
    <w:tbl>
      <w:tblPr>
        <w:tblStyle w:val="2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规格</w:t>
            </w:r>
          </w:p>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单位及</w:t>
            </w:r>
          </w:p>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28"/>
                <w:szCs w:val="28"/>
                <w:highlight w:val="none"/>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r>
    </w:tbl>
    <w:p>
      <w:pPr>
        <w:snapToGrid w:val="0"/>
        <w:spacing w:before="156" w:beforeLines="5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服务部分（如有）</w:t>
      </w:r>
    </w:p>
    <w:tbl>
      <w:tblPr>
        <w:tblStyle w:val="26"/>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3278"/>
        <w:gridCol w:w="1890"/>
        <w:gridCol w:w="33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序号</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服务内容</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服务人员</w:t>
            </w:r>
          </w:p>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数量</w:t>
            </w: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服务时间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color w:val="auto"/>
                <w:sz w:val="30"/>
                <w:szCs w:val="30"/>
                <w:highlight w:val="none"/>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color w:val="auto"/>
                <w:sz w:val="30"/>
                <w:szCs w:val="30"/>
                <w:highlight w:val="none"/>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28"/>
                <w:szCs w:val="28"/>
                <w:highlight w:val="none"/>
              </w:rPr>
              <w:t>…</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color w:val="auto"/>
                <w:sz w:val="30"/>
                <w:szCs w:val="30"/>
                <w:highlight w:val="none"/>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r>
    </w:tbl>
    <w:p>
      <w:pPr>
        <w:snapToGrid w:val="0"/>
        <w:spacing w:before="156" w:beforeLines="5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注：在填写时，如上表不适合本项目的实际情况，可在确保内容完整的情况下，对上表进行细化。</w:t>
      </w:r>
    </w:p>
    <w:p>
      <w:pPr>
        <w:snapToGrid w:val="0"/>
        <w:spacing w:before="156" w:beforeLines="50"/>
        <w:rPr>
          <w:rFonts w:hint="eastAsia" w:ascii="仿宋" w:hAnsi="仿宋" w:eastAsia="仿宋" w:cs="仿宋"/>
          <w:color w:val="auto"/>
          <w:sz w:val="30"/>
          <w:szCs w:val="30"/>
          <w:highlight w:val="none"/>
        </w:rPr>
      </w:pPr>
    </w:p>
    <w:p>
      <w:pPr>
        <w:snapToGrid w:val="0"/>
        <w:spacing w:before="156" w:beforeLines="50"/>
        <w:rPr>
          <w:rFonts w:hint="eastAsia"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法定代表人或其授权代表（签字或盖章）：</w:t>
      </w:r>
      <w:r>
        <w:rPr>
          <w:rFonts w:hint="eastAsia" w:ascii="仿宋" w:hAnsi="仿宋" w:eastAsia="仿宋" w:cs="仿宋"/>
          <w:color w:val="auto"/>
          <w:sz w:val="30"/>
          <w:szCs w:val="30"/>
          <w:highlight w:val="none"/>
          <w:u w:val="single"/>
        </w:rPr>
        <w:t xml:space="preserve">          </w:t>
      </w:r>
    </w:p>
    <w:p>
      <w:pPr>
        <w:snapToGrid w:val="0"/>
        <w:spacing w:before="156" w:beforeLines="5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日期：</w:t>
      </w:r>
      <w:r>
        <w:rPr>
          <w:rFonts w:hint="eastAsia" w:ascii="仿宋" w:hAnsi="仿宋" w:eastAsia="仿宋" w:cs="仿宋"/>
          <w:color w:val="auto"/>
          <w:sz w:val="30"/>
          <w:szCs w:val="30"/>
          <w:highlight w:val="none"/>
          <w:u w:val="single"/>
        </w:rPr>
        <w:t xml:space="preserve">        </w:t>
      </w:r>
    </w:p>
    <w:p>
      <w:pPr>
        <w:snapToGrid w:val="0"/>
        <w:spacing w:before="50" w:after="50"/>
        <w:rPr>
          <w:rFonts w:hint="eastAsia" w:ascii="仿宋" w:hAnsi="仿宋" w:eastAsia="仿宋" w:cs="仿宋"/>
          <w:color w:val="auto"/>
          <w:spacing w:val="20"/>
          <w:sz w:val="30"/>
          <w:szCs w:val="30"/>
          <w:highlight w:val="none"/>
        </w:rPr>
      </w:pPr>
    </w:p>
    <w:p>
      <w:pPr>
        <w:snapToGrid w:val="0"/>
        <w:spacing w:before="50" w:after="50"/>
        <w:rPr>
          <w:rFonts w:hint="eastAsia" w:ascii="仿宋" w:hAnsi="仿宋" w:eastAsia="仿宋" w:cs="仿宋"/>
          <w:b/>
          <w:bCs/>
          <w:color w:val="auto"/>
          <w:sz w:val="30"/>
          <w:szCs w:val="30"/>
          <w:highlight w:val="none"/>
        </w:rPr>
      </w:pPr>
      <w:bookmarkStart w:id="25" w:name="_Toc64369808"/>
      <w:bookmarkEnd w:id="25"/>
      <w:bookmarkStart w:id="26" w:name="_Toc64369812"/>
      <w:bookmarkEnd w:id="26"/>
      <w:bookmarkStart w:id="27" w:name="_Toc64369807"/>
      <w:bookmarkEnd w:id="27"/>
      <w:bookmarkStart w:id="28" w:name="_Toc64369804"/>
      <w:bookmarkEnd w:id="28"/>
      <w:bookmarkStart w:id="29" w:name="_Toc64369809"/>
      <w:bookmarkEnd w:id="29"/>
      <w:bookmarkStart w:id="30" w:name="_Toc64369811"/>
      <w:bookmarkEnd w:id="30"/>
      <w:bookmarkStart w:id="31" w:name="_Toc64369806"/>
      <w:bookmarkEnd w:id="31"/>
      <w:bookmarkStart w:id="32" w:name="_Toc64369814"/>
      <w:bookmarkEnd w:id="32"/>
      <w:bookmarkStart w:id="33" w:name="_Toc64369813"/>
      <w:bookmarkEnd w:id="33"/>
      <w:bookmarkStart w:id="34" w:name="_Toc64369805"/>
      <w:bookmarkEnd w:id="34"/>
      <w:bookmarkStart w:id="35" w:name="_Toc64369810"/>
      <w:bookmarkEnd w:id="35"/>
      <w:r>
        <w:rPr>
          <w:rFonts w:hint="eastAsia" w:ascii="仿宋" w:hAnsi="仿宋" w:eastAsia="仿宋" w:cs="仿宋"/>
          <w:b/>
          <w:bCs/>
          <w:color w:val="auto"/>
          <w:sz w:val="30"/>
          <w:szCs w:val="30"/>
          <w:highlight w:val="none"/>
        </w:rPr>
        <w:t>附件12：</w:t>
      </w:r>
    </w:p>
    <w:p>
      <w:pPr>
        <w:snapToGrid w:val="0"/>
        <w:spacing w:before="50" w:after="156" w:afterLines="50"/>
        <w:jc w:val="center"/>
        <w:rPr>
          <w:rFonts w:hint="eastAsia" w:ascii="仿宋" w:hAnsi="仿宋" w:eastAsia="仿宋" w:cs="仿宋"/>
          <w:b/>
          <w:color w:val="auto"/>
          <w:spacing w:val="40"/>
          <w:kern w:val="0"/>
          <w:sz w:val="36"/>
          <w:szCs w:val="36"/>
          <w:highlight w:val="none"/>
        </w:rPr>
      </w:pPr>
    </w:p>
    <w:p>
      <w:pPr>
        <w:snapToGrid w:val="0"/>
        <w:spacing w:before="50" w:after="156" w:afterLines="50"/>
        <w:jc w:val="center"/>
        <w:rPr>
          <w:rFonts w:hint="eastAsia" w:ascii="仿宋" w:hAnsi="仿宋" w:eastAsia="仿宋" w:cs="仿宋"/>
          <w:b/>
          <w:color w:val="auto"/>
          <w:spacing w:val="40"/>
          <w:kern w:val="0"/>
          <w:sz w:val="36"/>
          <w:szCs w:val="36"/>
          <w:highlight w:val="none"/>
        </w:rPr>
      </w:pPr>
      <w:r>
        <w:rPr>
          <w:rFonts w:hint="eastAsia" w:ascii="仿宋" w:hAnsi="仿宋" w:eastAsia="仿宋" w:cs="仿宋"/>
          <w:b/>
          <w:color w:val="auto"/>
          <w:spacing w:val="40"/>
          <w:kern w:val="0"/>
          <w:sz w:val="36"/>
          <w:szCs w:val="36"/>
          <w:highlight w:val="none"/>
        </w:rPr>
        <w:t>技 术 响 应 表</w:t>
      </w:r>
    </w:p>
    <w:p>
      <w:pPr>
        <w:snapToGrid w:val="0"/>
        <w:spacing w:before="50" w:after="156" w:afterLines="50"/>
        <w:jc w:val="center"/>
        <w:rPr>
          <w:rFonts w:hint="eastAsia" w:ascii="仿宋" w:hAnsi="仿宋" w:eastAsia="仿宋" w:cs="仿宋"/>
          <w:b/>
          <w:color w:val="auto"/>
          <w:sz w:val="32"/>
          <w:szCs w:val="32"/>
          <w:highlight w:val="none"/>
        </w:rPr>
      </w:pPr>
    </w:p>
    <w:p>
      <w:pPr>
        <w:pStyle w:val="11"/>
        <w:snapToGrid w:val="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供应商全称（公章）：</w:t>
      </w:r>
      <w:r>
        <w:rPr>
          <w:rFonts w:hint="eastAsia" w:ascii="仿宋" w:hAnsi="仿宋" w:eastAsia="仿宋" w:cs="仿宋"/>
          <w:color w:val="auto"/>
          <w:sz w:val="30"/>
          <w:szCs w:val="30"/>
          <w:highlight w:val="none"/>
          <w:u w:val="single"/>
        </w:rPr>
        <w:t xml:space="preserve">            </w:t>
      </w:r>
    </w:p>
    <w:p>
      <w:pPr>
        <w:pStyle w:val="11"/>
        <w:snapToGrid w:val="0"/>
        <w:rPr>
          <w:rFonts w:hint="eastAsia"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标段编号：</w:t>
      </w:r>
      <w:r>
        <w:rPr>
          <w:rFonts w:hint="eastAsia" w:ascii="仿宋" w:hAnsi="仿宋" w:eastAsia="仿宋" w:cs="仿宋"/>
          <w:color w:val="auto"/>
          <w:sz w:val="30"/>
          <w:szCs w:val="30"/>
          <w:highlight w:val="none"/>
          <w:u w:val="single"/>
        </w:rPr>
        <w:t xml:space="preserve">       </w:t>
      </w:r>
    </w:p>
    <w:tbl>
      <w:tblPr>
        <w:tblStyle w:val="26"/>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5"/>
        <w:gridCol w:w="1711"/>
        <w:gridCol w:w="2241"/>
        <w:gridCol w:w="2330"/>
        <w:gridCol w:w="13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593"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30"/>
                <w:szCs w:val="30"/>
                <w:highlight w:val="none"/>
              </w:rPr>
            </w:pPr>
            <w:bookmarkStart w:id="36" w:name="_Toc64369799"/>
            <w:r>
              <w:rPr>
                <w:rFonts w:hint="eastAsia" w:ascii="仿宋" w:hAnsi="仿宋" w:eastAsia="仿宋" w:cs="仿宋"/>
                <w:color w:val="auto"/>
                <w:spacing w:val="20"/>
                <w:sz w:val="30"/>
                <w:szCs w:val="30"/>
                <w:highlight w:val="none"/>
              </w:rPr>
              <w:t>货物部分</w:t>
            </w:r>
            <w:bookmarkEnd w:id="3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pacing w:val="20"/>
                <w:sz w:val="30"/>
                <w:szCs w:val="30"/>
                <w:highlight w:val="none"/>
              </w:rPr>
            </w:pPr>
            <w:bookmarkStart w:id="37" w:name="_Toc64369800"/>
            <w:r>
              <w:rPr>
                <w:rFonts w:hint="eastAsia" w:ascii="仿宋" w:hAnsi="仿宋" w:eastAsia="仿宋" w:cs="仿宋"/>
                <w:color w:val="auto"/>
                <w:spacing w:val="20"/>
                <w:sz w:val="30"/>
                <w:szCs w:val="30"/>
                <w:highlight w:val="none"/>
              </w:rPr>
              <w:t>序号</w:t>
            </w:r>
            <w:bookmarkEnd w:id="37"/>
          </w:p>
        </w:tc>
        <w:tc>
          <w:tcPr>
            <w:tcW w:w="17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pacing w:val="20"/>
                <w:sz w:val="30"/>
                <w:szCs w:val="30"/>
                <w:highlight w:val="none"/>
              </w:rPr>
            </w:pPr>
            <w:r>
              <w:rPr>
                <w:rFonts w:hint="eastAsia" w:ascii="仿宋" w:hAnsi="仿宋" w:eastAsia="仿宋" w:cs="仿宋"/>
                <w:color w:val="auto"/>
                <w:spacing w:val="20"/>
                <w:sz w:val="30"/>
                <w:szCs w:val="30"/>
                <w:highlight w:val="none"/>
              </w:rPr>
              <w:t>货物名称</w:t>
            </w:r>
          </w:p>
        </w:tc>
        <w:tc>
          <w:tcPr>
            <w:tcW w:w="224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pacing w:val="20"/>
                <w:sz w:val="30"/>
                <w:szCs w:val="30"/>
                <w:highlight w:val="none"/>
              </w:rPr>
            </w:pPr>
            <w:bookmarkStart w:id="38" w:name="_Toc64369801"/>
            <w:bookmarkStart w:id="39" w:name="_Toc64369802"/>
            <w:r>
              <w:rPr>
                <w:rFonts w:hint="eastAsia" w:ascii="仿宋" w:hAnsi="仿宋" w:eastAsia="仿宋" w:cs="仿宋"/>
                <w:color w:val="auto"/>
                <w:spacing w:val="20"/>
                <w:sz w:val="30"/>
                <w:szCs w:val="30"/>
                <w:highlight w:val="none"/>
              </w:rPr>
              <w:t>采购文件</w:t>
            </w:r>
          </w:p>
          <w:p>
            <w:pPr>
              <w:snapToGrid w:val="0"/>
              <w:spacing w:before="50" w:after="50"/>
              <w:jc w:val="center"/>
              <w:rPr>
                <w:rFonts w:hint="eastAsia" w:ascii="仿宋" w:hAnsi="仿宋" w:eastAsia="仿宋" w:cs="仿宋"/>
                <w:color w:val="auto"/>
                <w:spacing w:val="20"/>
                <w:sz w:val="30"/>
                <w:szCs w:val="30"/>
                <w:highlight w:val="none"/>
              </w:rPr>
            </w:pPr>
            <w:r>
              <w:rPr>
                <w:rFonts w:hint="eastAsia" w:ascii="仿宋" w:hAnsi="仿宋" w:eastAsia="仿宋" w:cs="仿宋"/>
                <w:color w:val="auto"/>
                <w:spacing w:val="20"/>
                <w:sz w:val="30"/>
                <w:szCs w:val="30"/>
                <w:highlight w:val="none"/>
              </w:rPr>
              <w:t>要求</w:t>
            </w:r>
            <w:bookmarkEnd w:id="38"/>
          </w:p>
        </w:tc>
        <w:tc>
          <w:tcPr>
            <w:tcW w:w="233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pacing w:val="20"/>
                <w:sz w:val="30"/>
                <w:szCs w:val="30"/>
                <w:highlight w:val="none"/>
              </w:rPr>
            </w:pPr>
            <w:r>
              <w:rPr>
                <w:rFonts w:hint="eastAsia" w:ascii="仿宋" w:hAnsi="仿宋" w:eastAsia="仿宋" w:cs="仿宋"/>
                <w:color w:val="auto"/>
                <w:spacing w:val="20"/>
                <w:sz w:val="30"/>
                <w:szCs w:val="30"/>
                <w:highlight w:val="none"/>
              </w:rPr>
              <w:t>投标文件</w:t>
            </w:r>
          </w:p>
          <w:p>
            <w:pPr>
              <w:snapToGrid w:val="0"/>
              <w:spacing w:before="50" w:after="50"/>
              <w:jc w:val="center"/>
              <w:rPr>
                <w:rFonts w:hint="eastAsia" w:ascii="仿宋" w:hAnsi="仿宋" w:eastAsia="仿宋" w:cs="仿宋"/>
                <w:color w:val="auto"/>
                <w:spacing w:val="20"/>
                <w:sz w:val="30"/>
                <w:szCs w:val="30"/>
                <w:highlight w:val="none"/>
              </w:rPr>
            </w:pPr>
            <w:r>
              <w:rPr>
                <w:rFonts w:hint="eastAsia" w:ascii="仿宋" w:hAnsi="仿宋" w:eastAsia="仿宋" w:cs="仿宋"/>
                <w:color w:val="auto"/>
                <w:spacing w:val="20"/>
                <w:sz w:val="30"/>
                <w:szCs w:val="30"/>
                <w:highlight w:val="none"/>
              </w:rPr>
              <w:t>响应</w:t>
            </w:r>
            <w:bookmarkEnd w:id="39"/>
          </w:p>
        </w:tc>
        <w:tc>
          <w:tcPr>
            <w:tcW w:w="136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pacing w:val="20"/>
                <w:sz w:val="30"/>
                <w:szCs w:val="30"/>
                <w:highlight w:val="none"/>
              </w:rPr>
            </w:pPr>
            <w:bookmarkStart w:id="40" w:name="_Toc64369803"/>
            <w:r>
              <w:rPr>
                <w:rFonts w:hint="eastAsia" w:ascii="仿宋" w:hAnsi="仿宋" w:eastAsia="仿宋" w:cs="仿宋"/>
                <w:color w:val="auto"/>
                <w:spacing w:val="20"/>
                <w:sz w:val="30"/>
                <w:szCs w:val="30"/>
                <w:highlight w:val="none"/>
              </w:rPr>
              <w:t>偏离</w:t>
            </w:r>
          </w:p>
          <w:p>
            <w:pPr>
              <w:snapToGrid w:val="0"/>
              <w:spacing w:before="50" w:after="50"/>
              <w:jc w:val="center"/>
              <w:rPr>
                <w:rFonts w:hint="eastAsia" w:ascii="仿宋" w:hAnsi="仿宋" w:eastAsia="仿宋" w:cs="仿宋"/>
                <w:color w:val="auto"/>
                <w:spacing w:val="20"/>
                <w:sz w:val="30"/>
                <w:szCs w:val="30"/>
                <w:highlight w:val="none"/>
              </w:rPr>
            </w:pPr>
            <w:r>
              <w:rPr>
                <w:rFonts w:hint="eastAsia" w:ascii="仿宋" w:hAnsi="仿宋" w:eastAsia="仿宋" w:cs="仿宋"/>
                <w:color w:val="auto"/>
                <w:spacing w:val="20"/>
                <w:sz w:val="30"/>
                <w:szCs w:val="30"/>
                <w:highlight w:val="none"/>
              </w:rPr>
              <w:t>情况</w:t>
            </w:r>
            <w:bookmarkEnd w:id="4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30"/>
                <w:szCs w:val="30"/>
                <w:highlight w:val="none"/>
              </w:rPr>
            </w:pPr>
            <w:r>
              <w:rPr>
                <w:rFonts w:hint="eastAsia" w:ascii="仿宋" w:hAnsi="仿宋" w:eastAsia="仿宋" w:cs="仿宋"/>
                <w:color w:val="auto"/>
                <w:spacing w:val="20"/>
                <w:sz w:val="30"/>
                <w:szCs w:val="30"/>
                <w:highlight w:val="none"/>
              </w:rPr>
              <w:t>1</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30"/>
                <w:szCs w:val="30"/>
                <w:highlight w:val="none"/>
              </w:rPr>
            </w:pPr>
          </w:p>
        </w:tc>
        <w:tc>
          <w:tcPr>
            <w:tcW w:w="136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30"/>
                <w:szCs w:val="30"/>
                <w:highlight w:val="none"/>
              </w:rPr>
            </w:pPr>
            <w:r>
              <w:rPr>
                <w:rFonts w:hint="eastAsia" w:ascii="仿宋" w:hAnsi="仿宋" w:eastAsia="仿宋" w:cs="仿宋"/>
                <w:color w:val="auto"/>
                <w:spacing w:val="20"/>
                <w:sz w:val="30"/>
                <w:szCs w:val="30"/>
                <w:highlight w:val="none"/>
              </w:rPr>
              <w:t>2</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30"/>
                <w:szCs w:val="30"/>
                <w:highlight w:val="none"/>
              </w:rPr>
            </w:pPr>
          </w:p>
        </w:tc>
        <w:tc>
          <w:tcPr>
            <w:tcW w:w="136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hAnsi="仿宋" w:eastAsia="仿宋" w:cs="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30"/>
                <w:szCs w:val="30"/>
                <w:highlight w:val="none"/>
              </w:rPr>
            </w:pPr>
            <w:r>
              <w:rPr>
                <w:rFonts w:hint="eastAsia" w:ascii="仿宋" w:hAnsi="仿宋" w:eastAsia="仿宋" w:cs="仿宋"/>
                <w:color w:val="auto"/>
                <w:spacing w:val="20"/>
                <w:sz w:val="30"/>
                <w:szCs w:val="30"/>
                <w:highlight w:val="none"/>
              </w:rPr>
              <w:t>…</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30"/>
                <w:szCs w:val="30"/>
                <w:highlight w:val="none"/>
              </w:rPr>
            </w:pPr>
          </w:p>
        </w:tc>
        <w:tc>
          <w:tcPr>
            <w:tcW w:w="136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593"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30"/>
                <w:szCs w:val="30"/>
                <w:highlight w:val="none"/>
              </w:rPr>
            </w:pPr>
            <w:r>
              <w:rPr>
                <w:rFonts w:hint="eastAsia" w:ascii="仿宋" w:hAnsi="仿宋" w:eastAsia="仿宋" w:cs="仿宋"/>
                <w:color w:val="auto"/>
                <w:spacing w:val="20"/>
                <w:sz w:val="30"/>
                <w:szCs w:val="30"/>
                <w:highlight w:val="none"/>
              </w:rPr>
              <w:t>服务部分（如有）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pacing w:val="20"/>
                <w:sz w:val="30"/>
                <w:szCs w:val="30"/>
                <w:highlight w:val="none"/>
              </w:rPr>
            </w:pPr>
            <w:r>
              <w:rPr>
                <w:rFonts w:hint="eastAsia" w:ascii="仿宋" w:hAnsi="仿宋" w:eastAsia="仿宋" w:cs="仿宋"/>
                <w:color w:val="auto"/>
                <w:spacing w:val="20"/>
                <w:sz w:val="30"/>
                <w:szCs w:val="30"/>
                <w:highlight w:val="none"/>
              </w:rPr>
              <w:t>序号</w:t>
            </w:r>
          </w:p>
        </w:tc>
        <w:tc>
          <w:tcPr>
            <w:tcW w:w="17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pacing w:val="20"/>
                <w:sz w:val="30"/>
                <w:szCs w:val="30"/>
                <w:highlight w:val="none"/>
              </w:rPr>
            </w:pPr>
            <w:r>
              <w:rPr>
                <w:rFonts w:hint="eastAsia" w:ascii="仿宋" w:hAnsi="仿宋" w:eastAsia="仿宋" w:cs="仿宋"/>
                <w:color w:val="auto"/>
                <w:spacing w:val="20"/>
                <w:sz w:val="30"/>
                <w:szCs w:val="30"/>
                <w:highlight w:val="none"/>
              </w:rPr>
              <w:t>服务名称</w:t>
            </w:r>
          </w:p>
        </w:tc>
        <w:tc>
          <w:tcPr>
            <w:tcW w:w="224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pacing w:val="20"/>
                <w:sz w:val="30"/>
                <w:szCs w:val="30"/>
                <w:highlight w:val="none"/>
              </w:rPr>
            </w:pPr>
            <w:r>
              <w:rPr>
                <w:rFonts w:hint="eastAsia" w:ascii="仿宋" w:hAnsi="仿宋" w:eastAsia="仿宋" w:cs="仿宋"/>
                <w:color w:val="auto"/>
                <w:spacing w:val="20"/>
                <w:sz w:val="30"/>
                <w:szCs w:val="30"/>
                <w:highlight w:val="none"/>
              </w:rPr>
              <w:t>采购文件</w:t>
            </w:r>
          </w:p>
          <w:p>
            <w:pPr>
              <w:snapToGrid w:val="0"/>
              <w:spacing w:before="50" w:after="50"/>
              <w:jc w:val="center"/>
              <w:rPr>
                <w:rFonts w:hint="eastAsia" w:ascii="仿宋" w:hAnsi="仿宋" w:eastAsia="仿宋" w:cs="仿宋"/>
                <w:color w:val="auto"/>
                <w:spacing w:val="20"/>
                <w:sz w:val="30"/>
                <w:szCs w:val="30"/>
                <w:highlight w:val="none"/>
              </w:rPr>
            </w:pPr>
            <w:r>
              <w:rPr>
                <w:rFonts w:hint="eastAsia" w:ascii="仿宋" w:hAnsi="仿宋" w:eastAsia="仿宋" w:cs="仿宋"/>
                <w:color w:val="auto"/>
                <w:spacing w:val="20"/>
                <w:sz w:val="30"/>
                <w:szCs w:val="30"/>
                <w:highlight w:val="none"/>
              </w:rPr>
              <w:t>要求</w:t>
            </w: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hAnsi="仿宋" w:eastAsia="仿宋" w:cs="仿宋"/>
                <w:color w:val="auto"/>
                <w:spacing w:val="20"/>
                <w:sz w:val="30"/>
                <w:szCs w:val="30"/>
                <w:highlight w:val="none"/>
              </w:rPr>
            </w:pPr>
            <w:r>
              <w:rPr>
                <w:rFonts w:hint="eastAsia" w:ascii="仿宋" w:hAnsi="仿宋" w:eastAsia="仿宋" w:cs="仿宋"/>
                <w:color w:val="auto"/>
                <w:spacing w:val="20"/>
                <w:sz w:val="30"/>
                <w:szCs w:val="30"/>
                <w:highlight w:val="none"/>
              </w:rPr>
              <w:t>投标文件</w:t>
            </w:r>
          </w:p>
          <w:p>
            <w:pPr>
              <w:snapToGrid w:val="0"/>
              <w:spacing w:before="50" w:after="50"/>
              <w:jc w:val="center"/>
              <w:rPr>
                <w:rFonts w:hint="eastAsia" w:ascii="仿宋" w:hAnsi="仿宋" w:eastAsia="仿宋" w:cs="仿宋"/>
                <w:color w:val="auto"/>
                <w:spacing w:val="20"/>
                <w:sz w:val="30"/>
                <w:szCs w:val="30"/>
                <w:highlight w:val="none"/>
              </w:rPr>
            </w:pPr>
            <w:r>
              <w:rPr>
                <w:rFonts w:hint="eastAsia" w:ascii="仿宋" w:hAnsi="仿宋" w:eastAsia="仿宋" w:cs="仿宋"/>
                <w:color w:val="auto"/>
                <w:spacing w:val="20"/>
                <w:sz w:val="30"/>
                <w:szCs w:val="30"/>
                <w:highlight w:val="none"/>
              </w:rPr>
              <w:t>响应</w:t>
            </w:r>
          </w:p>
        </w:tc>
        <w:tc>
          <w:tcPr>
            <w:tcW w:w="136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hAnsi="仿宋" w:eastAsia="仿宋" w:cs="仿宋"/>
                <w:color w:val="auto"/>
                <w:spacing w:val="20"/>
                <w:sz w:val="30"/>
                <w:szCs w:val="30"/>
                <w:highlight w:val="none"/>
              </w:rPr>
            </w:pPr>
            <w:r>
              <w:rPr>
                <w:rFonts w:hint="eastAsia" w:ascii="仿宋" w:hAnsi="仿宋" w:eastAsia="仿宋" w:cs="仿宋"/>
                <w:color w:val="auto"/>
                <w:spacing w:val="20"/>
                <w:sz w:val="30"/>
                <w:szCs w:val="30"/>
                <w:highlight w:val="none"/>
              </w:rPr>
              <w:t>偏离</w:t>
            </w:r>
          </w:p>
          <w:p>
            <w:pPr>
              <w:snapToGrid w:val="0"/>
              <w:spacing w:before="50" w:after="50"/>
              <w:jc w:val="center"/>
              <w:rPr>
                <w:rFonts w:hint="eastAsia" w:ascii="仿宋" w:hAnsi="仿宋" w:eastAsia="仿宋" w:cs="仿宋"/>
                <w:color w:val="auto"/>
                <w:spacing w:val="20"/>
                <w:sz w:val="30"/>
                <w:szCs w:val="30"/>
                <w:highlight w:val="none"/>
              </w:rPr>
            </w:pPr>
            <w:r>
              <w:rPr>
                <w:rFonts w:hint="eastAsia" w:ascii="仿宋" w:hAnsi="仿宋" w:eastAsia="仿宋" w:cs="仿宋"/>
                <w:color w:val="auto"/>
                <w:spacing w:val="20"/>
                <w:sz w:val="30"/>
                <w:szCs w:val="30"/>
                <w:highlight w:val="none"/>
              </w:rPr>
              <w:t>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30"/>
                <w:szCs w:val="30"/>
                <w:highlight w:val="none"/>
              </w:rPr>
            </w:pPr>
            <w:r>
              <w:rPr>
                <w:rFonts w:hint="eastAsia" w:ascii="仿宋" w:hAnsi="仿宋" w:eastAsia="仿宋" w:cs="仿宋"/>
                <w:color w:val="auto"/>
                <w:spacing w:val="20"/>
                <w:sz w:val="30"/>
                <w:szCs w:val="30"/>
                <w:highlight w:val="none"/>
              </w:rPr>
              <w:t>1</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30"/>
                <w:szCs w:val="30"/>
                <w:highlight w:val="none"/>
              </w:rPr>
            </w:pPr>
          </w:p>
        </w:tc>
        <w:tc>
          <w:tcPr>
            <w:tcW w:w="136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30"/>
                <w:szCs w:val="30"/>
                <w:highlight w:val="none"/>
              </w:rPr>
            </w:pPr>
            <w:r>
              <w:rPr>
                <w:rFonts w:hint="eastAsia" w:ascii="仿宋" w:hAnsi="仿宋" w:eastAsia="仿宋" w:cs="仿宋"/>
                <w:color w:val="auto"/>
                <w:spacing w:val="20"/>
                <w:sz w:val="30"/>
                <w:szCs w:val="30"/>
                <w:highlight w:val="none"/>
              </w:rPr>
              <w:t>2</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30"/>
                <w:szCs w:val="30"/>
                <w:highlight w:val="none"/>
              </w:rPr>
            </w:pPr>
          </w:p>
        </w:tc>
        <w:tc>
          <w:tcPr>
            <w:tcW w:w="136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30"/>
                <w:szCs w:val="30"/>
                <w:highlight w:val="none"/>
              </w:rPr>
            </w:pPr>
            <w:r>
              <w:rPr>
                <w:rFonts w:hint="eastAsia" w:ascii="仿宋" w:hAnsi="仿宋" w:eastAsia="仿宋" w:cs="仿宋"/>
                <w:color w:val="auto"/>
                <w:spacing w:val="20"/>
                <w:sz w:val="30"/>
                <w:szCs w:val="30"/>
                <w:highlight w:val="none"/>
              </w:rPr>
              <w:t>…</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30"/>
                <w:szCs w:val="30"/>
                <w:highlight w:val="none"/>
              </w:rPr>
            </w:pPr>
          </w:p>
        </w:tc>
        <w:tc>
          <w:tcPr>
            <w:tcW w:w="136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30"/>
                <w:szCs w:val="30"/>
                <w:highlight w:val="none"/>
              </w:rPr>
            </w:pPr>
          </w:p>
        </w:tc>
      </w:tr>
    </w:tbl>
    <w:p>
      <w:pPr>
        <w:pStyle w:val="13"/>
        <w:rPr>
          <w:rFonts w:hint="eastAsia" w:ascii="仿宋" w:hAnsi="仿宋" w:eastAsia="仿宋" w:cs="仿宋"/>
          <w:b w:val="0"/>
          <w:bCs w:val="0"/>
          <w:color w:val="auto"/>
          <w:spacing w:val="20"/>
          <w:kern w:val="0"/>
          <w:sz w:val="28"/>
          <w:szCs w:val="28"/>
          <w:highlight w:val="none"/>
        </w:rPr>
      </w:pPr>
      <w:r>
        <w:rPr>
          <w:rFonts w:hint="eastAsia" w:ascii="仿宋" w:hAnsi="仿宋" w:eastAsia="仿宋" w:cs="仿宋"/>
          <w:b w:val="0"/>
          <w:bCs w:val="0"/>
          <w:color w:val="auto"/>
          <w:sz w:val="28"/>
          <w:szCs w:val="28"/>
          <w:highlight w:val="none"/>
        </w:rPr>
        <w:t>注：供应商应对照采购文件要求和投标文件响应情况在“偏离情况”栏注明“正偏离”、“负偏离”或“无偏离”。若正偏离的，需详细说明或提供证明材料。</w:t>
      </w:r>
    </w:p>
    <w:p>
      <w:pPr>
        <w:pStyle w:val="13"/>
        <w:rPr>
          <w:rFonts w:hint="eastAsia" w:ascii="仿宋" w:hAnsi="仿宋" w:eastAsia="仿宋" w:cs="仿宋"/>
          <w:b w:val="0"/>
          <w:bCs w:val="0"/>
          <w:color w:val="auto"/>
          <w:spacing w:val="20"/>
          <w:kern w:val="0"/>
          <w:sz w:val="28"/>
          <w:szCs w:val="28"/>
          <w:highlight w:val="none"/>
        </w:rPr>
      </w:pPr>
    </w:p>
    <w:p>
      <w:pPr>
        <w:snapToGrid w:val="0"/>
        <w:spacing w:before="50" w:after="50"/>
        <w:rPr>
          <w:rFonts w:hint="eastAsia" w:ascii="仿宋" w:hAnsi="仿宋" w:eastAsia="仿宋" w:cs="仿宋"/>
          <w:color w:val="auto"/>
          <w:spacing w:val="20"/>
          <w:sz w:val="30"/>
          <w:szCs w:val="30"/>
          <w:highlight w:val="none"/>
        </w:rPr>
      </w:pPr>
    </w:p>
    <w:p>
      <w:pPr>
        <w:snapToGrid w:val="0"/>
        <w:spacing w:before="50" w:after="50"/>
        <w:rPr>
          <w:rFonts w:hint="eastAsia" w:ascii="仿宋" w:hAnsi="仿宋" w:eastAsia="仿宋" w:cs="仿宋"/>
          <w:color w:val="auto"/>
          <w:spacing w:val="20"/>
          <w:sz w:val="30"/>
          <w:szCs w:val="30"/>
          <w:highlight w:val="none"/>
        </w:rPr>
      </w:pPr>
    </w:p>
    <w:p>
      <w:pPr>
        <w:snapToGrid w:val="0"/>
        <w:spacing w:before="50" w:after="50"/>
        <w:rPr>
          <w:rFonts w:hint="eastAsia" w:ascii="仿宋" w:hAnsi="仿宋" w:eastAsia="仿宋" w:cs="仿宋"/>
          <w:color w:val="auto"/>
          <w:spacing w:val="20"/>
          <w:sz w:val="30"/>
          <w:szCs w:val="30"/>
          <w:highlight w:val="none"/>
        </w:rPr>
      </w:pPr>
    </w:p>
    <w:p>
      <w:pPr>
        <w:snapToGrid w:val="0"/>
        <w:spacing w:before="156" w:beforeLines="50"/>
        <w:rPr>
          <w:rFonts w:hint="eastAsia"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法定代表人或其授权代表（签字或盖章）：</w:t>
      </w:r>
      <w:r>
        <w:rPr>
          <w:rFonts w:hint="eastAsia" w:ascii="仿宋" w:hAnsi="仿宋" w:eastAsia="仿宋" w:cs="仿宋"/>
          <w:color w:val="auto"/>
          <w:sz w:val="30"/>
          <w:szCs w:val="30"/>
          <w:highlight w:val="none"/>
          <w:u w:val="single"/>
        </w:rPr>
        <w:t xml:space="preserve">          </w:t>
      </w:r>
    </w:p>
    <w:p>
      <w:pPr>
        <w:snapToGrid w:val="0"/>
        <w:spacing w:before="156" w:beforeLines="5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日期：</w:t>
      </w:r>
      <w:r>
        <w:rPr>
          <w:rFonts w:hint="eastAsia" w:ascii="仿宋" w:hAnsi="仿宋" w:eastAsia="仿宋" w:cs="仿宋"/>
          <w:color w:val="auto"/>
          <w:sz w:val="30"/>
          <w:szCs w:val="30"/>
          <w:highlight w:val="none"/>
          <w:u w:val="single"/>
        </w:rPr>
        <w:t xml:space="preserve">        </w:t>
      </w:r>
    </w:p>
    <w:p>
      <w:pPr>
        <w:snapToGrid w:val="0"/>
        <w:spacing w:before="50" w:after="50"/>
        <w:rPr>
          <w:rFonts w:hint="eastAsia" w:ascii="仿宋" w:hAnsi="仿宋" w:eastAsia="仿宋" w:cs="仿宋"/>
          <w:color w:val="auto"/>
          <w:spacing w:val="20"/>
          <w:sz w:val="30"/>
          <w:szCs w:val="30"/>
          <w:highlight w:val="none"/>
        </w:rPr>
      </w:pPr>
    </w:p>
    <w:p>
      <w:pPr>
        <w:snapToGrid w:val="0"/>
        <w:spacing w:before="50" w:after="50"/>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附件13：</w:t>
      </w:r>
    </w:p>
    <w:p>
      <w:pPr>
        <w:snapToGrid w:val="0"/>
        <w:spacing w:before="50" w:after="156" w:afterLines="50"/>
        <w:jc w:val="center"/>
        <w:rPr>
          <w:rFonts w:hint="eastAsia" w:ascii="仿宋" w:hAnsi="仿宋" w:eastAsia="仿宋" w:cs="仿宋"/>
          <w:b/>
          <w:color w:val="auto"/>
          <w:spacing w:val="40"/>
          <w:kern w:val="0"/>
          <w:sz w:val="36"/>
          <w:szCs w:val="36"/>
          <w:highlight w:val="none"/>
        </w:rPr>
      </w:pPr>
      <w:r>
        <w:rPr>
          <w:rFonts w:hint="eastAsia" w:ascii="仿宋" w:hAnsi="仿宋" w:eastAsia="仿宋" w:cs="仿宋"/>
          <w:b/>
          <w:color w:val="auto"/>
          <w:spacing w:val="40"/>
          <w:kern w:val="0"/>
          <w:sz w:val="36"/>
          <w:szCs w:val="36"/>
          <w:highlight w:val="none"/>
        </w:rPr>
        <w:t>商 务 响 应 表</w:t>
      </w:r>
    </w:p>
    <w:p>
      <w:pPr>
        <w:snapToGrid w:val="0"/>
        <w:spacing w:before="50" w:after="156" w:afterLines="50"/>
        <w:jc w:val="center"/>
        <w:rPr>
          <w:rFonts w:hint="eastAsia" w:ascii="仿宋" w:hAnsi="仿宋" w:eastAsia="仿宋" w:cs="仿宋"/>
          <w:b/>
          <w:color w:val="auto"/>
          <w:sz w:val="32"/>
          <w:szCs w:val="32"/>
          <w:highlight w:val="none"/>
        </w:rPr>
      </w:pPr>
    </w:p>
    <w:p>
      <w:pPr>
        <w:pStyle w:val="11"/>
        <w:snapToGrid w:val="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供应商全称（公章）：</w:t>
      </w:r>
      <w:r>
        <w:rPr>
          <w:rFonts w:hint="eastAsia" w:ascii="仿宋" w:hAnsi="仿宋" w:eastAsia="仿宋" w:cs="仿宋"/>
          <w:color w:val="auto"/>
          <w:sz w:val="28"/>
          <w:szCs w:val="28"/>
          <w:highlight w:val="none"/>
          <w:u w:val="single"/>
        </w:rPr>
        <w:t xml:space="preserve">            </w:t>
      </w:r>
    </w:p>
    <w:p>
      <w:pPr>
        <w:pStyle w:val="11"/>
        <w:snapToGrid w:val="0"/>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标段编号：</w:t>
      </w:r>
      <w:r>
        <w:rPr>
          <w:rFonts w:hint="eastAsia" w:ascii="仿宋" w:hAnsi="仿宋" w:eastAsia="仿宋" w:cs="仿宋"/>
          <w:color w:val="auto"/>
          <w:sz w:val="28"/>
          <w:szCs w:val="28"/>
          <w:highlight w:val="none"/>
          <w:u w:val="single"/>
        </w:rPr>
        <w:t xml:space="preserve">       </w:t>
      </w:r>
    </w:p>
    <w:tbl>
      <w:tblPr>
        <w:tblStyle w:val="26"/>
        <w:tblW w:w="859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5"/>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28"/>
                <w:szCs w:val="28"/>
                <w:highlight w:val="none"/>
              </w:rPr>
            </w:pPr>
            <w:bookmarkStart w:id="41" w:name="_Toc64369815"/>
            <w:r>
              <w:rPr>
                <w:rFonts w:hint="eastAsia" w:ascii="仿宋" w:hAnsi="仿宋" w:eastAsia="仿宋" w:cs="仿宋"/>
                <w:color w:val="auto"/>
                <w:spacing w:val="20"/>
                <w:sz w:val="28"/>
                <w:szCs w:val="28"/>
                <w:highlight w:val="none"/>
              </w:rPr>
              <w:t>类别</w:t>
            </w:r>
            <w:bookmarkEnd w:id="41"/>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hAnsi="仿宋" w:eastAsia="仿宋" w:cs="仿宋"/>
                <w:color w:val="auto"/>
                <w:sz w:val="30"/>
                <w:szCs w:val="30"/>
                <w:highlight w:val="none"/>
              </w:rPr>
            </w:pPr>
            <w:bookmarkStart w:id="42" w:name="_Toc64369816"/>
            <w:r>
              <w:rPr>
                <w:rFonts w:hint="eastAsia" w:ascii="仿宋" w:hAnsi="仿宋" w:eastAsia="仿宋" w:cs="仿宋"/>
                <w:color w:val="auto"/>
                <w:sz w:val="30"/>
                <w:szCs w:val="30"/>
                <w:highlight w:val="none"/>
              </w:rPr>
              <w:t>采购文件要求</w:t>
            </w:r>
            <w:bookmarkEnd w:id="42"/>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hAnsi="仿宋" w:eastAsia="仿宋" w:cs="仿宋"/>
                <w:color w:val="auto"/>
                <w:sz w:val="30"/>
                <w:szCs w:val="30"/>
                <w:highlight w:val="none"/>
              </w:rPr>
            </w:pPr>
            <w:bookmarkStart w:id="43" w:name="_Toc64369817"/>
            <w:r>
              <w:rPr>
                <w:rFonts w:hint="eastAsia" w:ascii="仿宋" w:hAnsi="仿宋" w:eastAsia="仿宋" w:cs="仿宋"/>
                <w:color w:val="auto"/>
                <w:sz w:val="30"/>
                <w:szCs w:val="30"/>
                <w:highlight w:val="none"/>
              </w:rPr>
              <w:t>投标文件响应</w:t>
            </w:r>
            <w:bookmarkEnd w:id="43"/>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hAnsi="仿宋" w:eastAsia="仿宋" w:cs="仿宋"/>
                <w:color w:val="auto"/>
                <w:sz w:val="30"/>
                <w:szCs w:val="30"/>
                <w:highlight w:val="none"/>
              </w:rPr>
            </w:pPr>
            <w:bookmarkStart w:id="44" w:name="_Toc64369818"/>
            <w:r>
              <w:rPr>
                <w:rFonts w:hint="eastAsia" w:ascii="仿宋" w:hAnsi="仿宋" w:eastAsia="仿宋" w:cs="仿宋"/>
                <w:color w:val="auto"/>
                <w:sz w:val="30"/>
                <w:szCs w:val="30"/>
                <w:highlight w:val="none"/>
              </w:rPr>
              <w:t>偏离情况</w:t>
            </w:r>
            <w:bookmarkEnd w:id="4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28"/>
                <w:szCs w:val="28"/>
                <w:highlight w:val="none"/>
              </w:rPr>
            </w:pPr>
            <w:bookmarkStart w:id="45" w:name="_Toc64369819"/>
            <w:r>
              <w:rPr>
                <w:rFonts w:hint="eastAsia" w:ascii="仿宋" w:hAnsi="仿宋" w:eastAsia="仿宋" w:cs="仿宋"/>
                <w:color w:val="auto"/>
                <w:spacing w:val="20"/>
                <w:sz w:val="28"/>
                <w:szCs w:val="28"/>
                <w:highlight w:val="none"/>
              </w:rPr>
              <w:t>供货期及供货地点</w:t>
            </w:r>
            <w:bookmarkEnd w:id="45"/>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8"/>
              <w:snapToGrid w:val="0"/>
              <w:spacing w:before="120" w:after="120"/>
              <w:outlineLvl w:val="0"/>
              <w:rPr>
                <w:rFonts w:hint="eastAsia" w:ascii="仿宋" w:hAnsi="仿宋" w:eastAsia="仿宋" w:cs="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outlineLvl w:val="0"/>
              <w:rPr>
                <w:rFonts w:hint="eastAsia" w:ascii="仿宋" w:hAnsi="仿宋" w:eastAsia="仿宋" w:cs="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outlineLvl w:val="0"/>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28"/>
                <w:szCs w:val="28"/>
                <w:highlight w:val="none"/>
              </w:rPr>
            </w:pPr>
            <w:bookmarkStart w:id="46" w:name="_Toc64369820"/>
            <w:r>
              <w:rPr>
                <w:rFonts w:hint="eastAsia" w:ascii="仿宋" w:hAnsi="仿宋" w:eastAsia="仿宋" w:cs="仿宋"/>
                <w:color w:val="auto"/>
                <w:spacing w:val="20"/>
                <w:sz w:val="28"/>
                <w:szCs w:val="28"/>
                <w:highlight w:val="none"/>
              </w:rPr>
              <w:t>质保期</w:t>
            </w:r>
            <w:bookmarkEnd w:id="46"/>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8"/>
              <w:snapToGrid w:val="0"/>
              <w:spacing w:before="120" w:after="120"/>
              <w:outlineLvl w:val="0"/>
              <w:rPr>
                <w:rFonts w:hint="eastAsia" w:ascii="仿宋" w:hAnsi="仿宋" w:eastAsia="仿宋" w:cs="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outlineLvl w:val="0"/>
              <w:rPr>
                <w:rFonts w:hint="eastAsia" w:ascii="仿宋" w:hAnsi="仿宋" w:eastAsia="仿宋" w:cs="仿宋"/>
                <w:color w:val="auto"/>
                <w:sz w:val="28"/>
                <w:szCs w:val="28"/>
                <w:highlight w:val="none"/>
              </w:rPr>
            </w:pPr>
          </w:p>
        </w:tc>
        <w:tc>
          <w:tcPr>
            <w:tcW w:w="1886" w:type="dxa"/>
            <w:tcBorders>
              <w:top w:val="single" w:color="auto" w:sz="4" w:space="0"/>
              <w:left w:val="single" w:color="auto" w:sz="4" w:space="0"/>
              <w:bottom w:val="nil"/>
              <w:right w:val="single" w:color="auto" w:sz="4" w:space="0"/>
            </w:tcBorders>
            <w:noWrap/>
          </w:tcPr>
          <w:p>
            <w:pPr>
              <w:pStyle w:val="18"/>
              <w:snapToGrid w:val="0"/>
              <w:spacing w:before="120" w:after="120"/>
              <w:outlineLvl w:val="0"/>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28"/>
                <w:szCs w:val="28"/>
                <w:highlight w:val="none"/>
              </w:rPr>
            </w:pPr>
            <w:bookmarkStart w:id="47" w:name="_Toc64369821"/>
            <w:r>
              <w:rPr>
                <w:rFonts w:hint="eastAsia" w:ascii="仿宋" w:hAnsi="仿宋" w:eastAsia="仿宋" w:cs="仿宋"/>
                <w:color w:val="auto"/>
                <w:spacing w:val="20"/>
                <w:sz w:val="28"/>
                <w:szCs w:val="28"/>
                <w:highlight w:val="none"/>
              </w:rPr>
              <w:t>技术培训</w:t>
            </w:r>
            <w:bookmarkEnd w:id="47"/>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8"/>
              <w:snapToGrid w:val="0"/>
              <w:spacing w:before="120" w:after="120"/>
              <w:outlineLvl w:val="0"/>
              <w:rPr>
                <w:rFonts w:hint="eastAsia" w:ascii="仿宋" w:hAnsi="仿宋" w:eastAsia="仿宋" w:cs="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outlineLvl w:val="0"/>
              <w:rPr>
                <w:rFonts w:hint="eastAsia" w:ascii="仿宋" w:hAnsi="仿宋" w:eastAsia="仿宋" w:cs="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outlineLvl w:val="0"/>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28"/>
                <w:szCs w:val="28"/>
                <w:highlight w:val="none"/>
              </w:rPr>
            </w:pPr>
            <w:bookmarkStart w:id="48" w:name="_Toc64369822"/>
            <w:r>
              <w:rPr>
                <w:rFonts w:hint="eastAsia" w:ascii="仿宋" w:hAnsi="仿宋" w:eastAsia="仿宋" w:cs="仿宋"/>
                <w:color w:val="auto"/>
                <w:spacing w:val="20"/>
                <w:sz w:val="28"/>
                <w:szCs w:val="28"/>
                <w:highlight w:val="none"/>
              </w:rPr>
              <w:t>售后服务</w:t>
            </w:r>
            <w:bookmarkEnd w:id="48"/>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8"/>
              <w:snapToGrid w:val="0"/>
              <w:spacing w:before="120" w:after="120"/>
              <w:outlineLvl w:val="0"/>
              <w:rPr>
                <w:rFonts w:hint="eastAsia" w:ascii="仿宋" w:hAnsi="仿宋" w:eastAsia="仿宋" w:cs="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outlineLvl w:val="0"/>
              <w:rPr>
                <w:rFonts w:hint="eastAsia" w:ascii="仿宋" w:hAnsi="仿宋" w:eastAsia="仿宋" w:cs="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outlineLvl w:val="0"/>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28"/>
                <w:szCs w:val="28"/>
                <w:highlight w:val="none"/>
              </w:rPr>
            </w:pPr>
            <w:bookmarkStart w:id="49" w:name="_Toc64369823"/>
            <w:r>
              <w:rPr>
                <w:rFonts w:hint="eastAsia" w:ascii="仿宋" w:hAnsi="仿宋" w:eastAsia="仿宋" w:cs="仿宋"/>
                <w:color w:val="auto"/>
                <w:spacing w:val="20"/>
                <w:sz w:val="28"/>
                <w:szCs w:val="28"/>
                <w:highlight w:val="none"/>
              </w:rPr>
              <w:t>付款方式</w:t>
            </w:r>
            <w:bookmarkEnd w:id="49"/>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8"/>
              <w:snapToGrid w:val="0"/>
              <w:spacing w:before="120" w:after="120"/>
              <w:outlineLvl w:val="0"/>
              <w:rPr>
                <w:rFonts w:hint="eastAsia" w:ascii="仿宋" w:hAnsi="仿宋" w:eastAsia="仿宋" w:cs="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outlineLvl w:val="0"/>
              <w:rPr>
                <w:rFonts w:hint="eastAsia" w:ascii="仿宋" w:hAnsi="仿宋" w:eastAsia="仿宋" w:cs="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outlineLvl w:val="0"/>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28"/>
                <w:szCs w:val="28"/>
                <w:highlight w:val="none"/>
              </w:rPr>
            </w:pPr>
            <w:bookmarkStart w:id="50" w:name="_Toc64369824"/>
            <w:r>
              <w:rPr>
                <w:rFonts w:hint="eastAsia" w:ascii="仿宋" w:hAnsi="仿宋" w:eastAsia="仿宋" w:cs="仿宋"/>
                <w:color w:val="auto"/>
                <w:spacing w:val="20"/>
                <w:sz w:val="28"/>
                <w:szCs w:val="28"/>
                <w:highlight w:val="none"/>
              </w:rPr>
              <w:t>…</w:t>
            </w:r>
            <w:bookmarkEnd w:id="50"/>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8"/>
              <w:snapToGrid w:val="0"/>
              <w:spacing w:before="120" w:after="120"/>
              <w:outlineLvl w:val="0"/>
              <w:rPr>
                <w:rFonts w:hint="eastAsia" w:ascii="仿宋" w:hAnsi="仿宋" w:eastAsia="仿宋" w:cs="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outlineLvl w:val="0"/>
              <w:rPr>
                <w:rFonts w:hint="eastAsia" w:ascii="仿宋" w:hAnsi="仿宋" w:eastAsia="仿宋" w:cs="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8"/>
              <w:snapToGrid w:val="0"/>
              <w:spacing w:before="120" w:after="120"/>
              <w:outlineLvl w:val="0"/>
              <w:rPr>
                <w:rFonts w:hint="eastAsia" w:ascii="仿宋" w:hAnsi="仿宋" w:eastAsia="仿宋" w:cs="仿宋"/>
                <w:color w:val="auto"/>
                <w:sz w:val="28"/>
                <w:szCs w:val="28"/>
                <w:highlight w:val="none"/>
              </w:rPr>
            </w:pPr>
          </w:p>
        </w:tc>
      </w:tr>
    </w:tbl>
    <w:p>
      <w:pPr>
        <w:pStyle w:val="13"/>
        <w:rPr>
          <w:rFonts w:hint="eastAsia" w:ascii="仿宋" w:hAnsi="仿宋" w:eastAsia="仿宋" w:cs="仿宋"/>
          <w:b w:val="0"/>
          <w:bCs w:val="0"/>
          <w:color w:val="auto"/>
          <w:spacing w:val="20"/>
          <w:kern w:val="0"/>
          <w:sz w:val="28"/>
          <w:szCs w:val="28"/>
          <w:highlight w:val="none"/>
        </w:rPr>
      </w:pPr>
      <w:r>
        <w:rPr>
          <w:rFonts w:hint="eastAsia" w:ascii="仿宋" w:hAnsi="仿宋" w:eastAsia="仿宋" w:cs="仿宋"/>
          <w:b w:val="0"/>
          <w:bCs w:val="0"/>
          <w:color w:val="auto"/>
          <w:sz w:val="28"/>
          <w:szCs w:val="28"/>
          <w:highlight w:val="none"/>
        </w:rPr>
        <w:t>注：1、供应商应对照采购文件要求和投标文件响应情况在“偏离情况”栏注明“正偏离”、“负偏离”或“无偏离”。若正偏离的，需详细说明或提供证明材料。</w:t>
      </w:r>
    </w:p>
    <w:p>
      <w:pPr>
        <w:snapToGrid w:val="0"/>
        <w:spacing w:before="50" w:after="50"/>
        <w:rPr>
          <w:rFonts w:hint="eastAsia" w:ascii="仿宋" w:hAnsi="仿宋" w:eastAsia="仿宋" w:cs="仿宋"/>
          <w:color w:val="auto"/>
          <w:spacing w:val="20"/>
          <w:sz w:val="28"/>
          <w:szCs w:val="28"/>
          <w:highlight w:val="none"/>
        </w:rPr>
      </w:pPr>
      <w:r>
        <w:rPr>
          <w:rFonts w:hint="eastAsia" w:ascii="仿宋" w:hAnsi="仿宋" w:eastAsia="仿宋" w:cs="仿宋"/>
          <w:color w:val="auto"/>
          <w:spacing w:val="20"/>
          <w:sz w:val="28"/>
          <w:szCs w:val="28"/>
          <w:highlight w:val="none"/>
        </w:rPr>
        <w:t>2、“类别”一栏按采购文件第三章中商务要求的分类填写。</w:t>
      </w:r>
    </w:p>
    <w:p>
      <w:pPr>
        <w:snapToGrid w:val="0"/>
        <w:spacing w:before="50" w:after="50"/>
        <w:rPr>
          <w:rFonts w:hint="eastAsia" w:ascii="仿宋" w:hAnsi="仿宋" w:eastAsia="仿宋" w:cs="仿宋"/>
          <w:color w:val="auto"/>
          <w:spacing w:val="20"/>
          <w:sz w:val="28"/>
          <w:szCs w:val="28"/>
          <w:highlight w:val="none"/>
        </w:rPr>
      </w:pPr>
    </w:p>
    <w:p>
      <w:pPr>
        <w:snapToGrid w:val="0"/>
        <w:spacing w:before="50" w:after="50"/>
        <w:rPr>
          <w:rFonts w:hint="eastAsia" w:ascii="仿宋" w:hAnsi="仿宋" w:eastAsia="仿宋" w:cs="仿宋"/>
          <w:color w:val="auto"/>
          <w:spacing w:val="20"/>
          <w:sz w:val="28"/>
          <w:szCs w:val="28"/>
          <w:highlight w:val="none"/>
        </w:rPr>
      </w:pPr>
    </w:p>
    <w:p>
      <w:pPr>
        <w:snapToGrid w:val="0"/>
        <w:spacing w:before="156" w:beforeLines="50"/>
        <w:rPr>
          <w:rFonts w:hint="eastAsia"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法定代表人或其授权代表（签字或盖章）：</w:t>
      </w:r>
      <w:r>
        <w:rPr>
          <w:rFonts w:hint="eastAsia" w:ascii="仿宋" w:hAnsi="仿宋" w:eastAsia="仿宋" w:cs="仿宋"/>
          <w:color w:val="auto"/>
          <w:sz w:val="30"/>
          <w:szCs w:val="30"/>
          <w:highlight w:val="none"/>
          <w:u w:val="single"/>
        </w:rPr>
        <w:t xml:space="preserve">          </w:t>
      </w:r>
    </w:p>
    <w:p>
      <w:pPr>
        <w:snapToGrid w:val="0"/>
        <w:spacing w:before="156" w:beforeLines="5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日期：</w:t>
      </w:r>
      <w:r>
        <w:rPr>
          <w:rFonts w:hint="eastAsia" w:ascii="仿宋" w:hAnsi="仿宋" w:eastAsia="仿宋" w:cs="仿宋"/>
          <w:color w:val="auto"/>
          <w:sz w:val="30"/>
          <w:szCs w:val="30"/>
          <w:highlight w:val="none"/>
          <w:u w:val="single"/>
        </w:rPr>
        <w:t xml:space="preserve">        </w:t>
      </w:r>
    </w:p>
    <w:p>
      <w:pPr>
        <w:snapToGrid w:val="0"/>
        <w:spacing w:before="50" w:after="50"/>
        <w:jc w:val="left"/>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附件14：</w:t>
      </w:r>
    </w:p>
    <w:p>
      <w:pPr>
        <w:snapToGrid w:val="0"/>
        <w:spacing w:before="50" w:after="156" w:afterLines="50"/>
        <w:jc w:val="center"/>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项目实施人员清单</w:t>
      </w:r>
    </w:p>
    <w:p>
      <w:pPr>
        <w:pStyle w:val="11"/>
        <w:snapToGrid w:val="0"/>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供应商全称（公章）：</w:t>
      </w:r>
      <w:r>
        <w:rPr>
          <w:rFonts w:hint="eastAsia" w:ascii="仿宋" w:hAnsi="仿宋" w:eastAsia="仿宋" w:cs="仿宋"/>
          <w:color w:val="auto"/>
          <w:sz w:val="28"/>
          <w:szCs w:val="28"/>
          <w:highlight w:val="none"/>
          <w:u w:val="single"/>
        </w:rPr>
        <w:t xml:space="preserve">                           </w:t>
      </w:r>
    </w:p>
    <w:p>
      <w:pPr>
        <w:pStyle w:val="11"/>
        <w:snapToGrid w:val="0"/>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标段编号：</w:t>
      </w:r>
      <w:r>
        <w:rPr>
          <w:rFonts w:hint="eastAsia" w:ascii="仿宋" w:hAnsi="仿宋" w:eastAsia="仿宋" w:cs="仿宋"/>
          <w:color w:val="auto"/>
          <w:sz w:val="28"/>
          <w:szCs w:val="28"/>
          <w:highlight w:val="none"/>
          <w:u w:val="single"/>
        </w:rPr>
        <w:t xml:space="preserve">                           </w:t>
      </w:r>
    </w:p>
    <w:tbl>
      <w:tblPr>
        <w:tblStyle w:val="26"/>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pStyle w:val="11"/>
              <w:snapToGrid w:val="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pStyle w:val="11"/>
              <w:snapToGrid w:val="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pStyle w:val="11"/>
              <w:snapToGrid w:val="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专业技术</w:t>
            </w:r>
          </w:p>
          <w:p>
            <w:pPr>
              <w:pStyle w:val="11"/>
              <w:snapToGrid w:val="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pStyle w:val="11"/>
              <w:snapToGrid w:val="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pStyle w:val="19"/>
              <w:snapToGrid w:val="0"/>
              <w:spacing w:before="156" w:beforeLines="50" w:after="50" w:line="460" w:lineRule="exact"/>
              <w:ind w:left="5250"/>
              <w:rPr>
                <w:rFonts w:hint="eastAsia" w:ascii="仿宋" w:hAnsi="仿宋" w:eastAsia="仿宋" w:cs="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4"/>
                <w:szCs w:val="24"/>
                <w:highlight w:val="none"/>
              </w:rPr>
            </w:pPr>
          </w:p>
        </w:tc>
      </w:tr>
    </w:tbl>
    <w:p>
      <w:pPr>
        <w:snapToGrid w:val="0"/>
        <w:spacing w:before="50" w:after="156" w:afterLines="50" w:line="460" w:lineRule="exact"/>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注：在填写时，如本表格不适合投标单位的实际情况，可根据本表格式自行划表填写。 </w:t>
      </w:r>
    </w:p>
    <w:p>
      <w:pPr>
        <w:pStyle w:val="11"/>
        <w:snapToGrid w:val="0"/>
        <w:rPr>
          <w:rFonts w:hint="eastAsia" w:ascii="仿宋" w:hAnsi="仿宋" w:eastAsia="仿宋" w:cs="仿宋"/>
          <w:color w:val="auto"/>
          <w:sz w:val="28"/>
          <w:szCs w:val="28"/>
          <w:highlight w:val="none"/>
        </w:rPr>
      </w:pPr>
    </w:p>
    <w:p>
      <w:pPr>
        <w:snapToGrid w:val="0"/>
        <w:spacing w:before="156" w:beforeLines="50"/>
        <w:rPr>
          <w:rFonts w:hint="eastAsia"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法定代表人或其授权代表（签字或盖章）：</w:t>
      </w:r>
      <w:r>
        <w:rPr>
          <w:rFonts w:hint="eastAsia" w:ascii="仿宋" w:hAnsi="仿宋" w:eastAsia="仿宋" w:cs="仿宋"/>
          <w:color w:val="auto"/>
          <w:sz w:val="30"/>
          <w:szCs w:val="30"/>
          <w:highlight w:val="none"/>
          <w:u w:val="single"/>
        </w:rPr>
        <w:t xml:space="preserve">          </w:t>
      </w:r>
    </w:p>
    <w:p>
      <w:pPr>
        <w:snapToGrid w:val="0"/>
        <w:spacing w:before="156" w:beforeLines="5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日期：</w:t>
      </w:r>
      <w:r>
        <w:rPr>
          <w:rFonts w:hint="eastAsia" w:ascii="仿宋" w:hAnsi="仿宋" w:eastAsia="仿宋" w:cs="仿宋"/>
          <w:color w:val="auto"/>
          <w:sz w:val="30"/>
          <w:szCs w:val="30"/>
          <w:highlight w:val="none"/>
          <w:u w:val="single"/>
        </w:rPr>
        <w:t xml:space="preserve">        </w:t>
      </w:r>
    </w:p>
    <w:p>
      <w:pPr>
        <w:pStyle w:val="11"/>
        <w:snapToGrid w:val="0"/>
        <w:rPr>
          <w:rFonts w:hint="eastAsia" w:ascii="仿宋" w:hAnsi="仿宋" w:eastAsia="仿宋" w:cs="仿宋"/>
          <w:color w:val="auto"/>
          <w:sz w:val="28"/>
          <w:szCs w:val="28"/>
          <w:highlight w:val="none"/>
        </w:rPr>
      </w:pPr>
    </w:p>
    <w:p>
      <w:pPr>
        <w:pStyle w:val="11"/>
        <w:snapToGrid w:val="0"/>
        <w:rPr>
          <w:rFonts w:hint="eastAsia" w:ascii="仿宋" w:hAnsi="仿宋" w:eastAsia="仿宋" w:cs="仿宋"/>
          <w:color w:val="auto"/>
          <w:sz w:val="28"/>
          <w:szCs w:val="28"/>
          <w:highlight w:val="none"/>
        </w:rPr>
      </w:pPr>
    </w:p>
    <w:p>
      <w:pPr>
        <w:pStyle w:val="11"/>
        <w:snapToGrid w:val="0"/>
        <w:rPr>
          <w:rFonts w:hint="eastAsia" w:ascii="仿宋" w:hAnsi="仿宋" w:eastAsia="仿宋" w:cs="仿宋"/>
          <w:color w:val="auto"/>
          <w:sz w:val="28"/>
          <w:szCs w:val="28"/>
          <w:highlight w:val="none"/>
        </w:rPr>
      </w:pPr>
    </w:p>
    <w:p>
      <w:pPr>
        <w:snapToGrid w:val="0"/>
        <w:spacing w:before="50" w:after="50"/>
        <w:jc w:val="left"/>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附件15：</w:t>
      </w:r>
    </w:p>
    <w:p>
      <w:pPr>
        <w:snapToGrid w:val="0"/>
        <w:spacing w:before="50" w:after="156" w:afterLines="50"/>
        <w:jc w:val="center"/>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消耗品、维修零配件及其价格清单</w:t>
      </w:r>
    </w:p>
    <w:p>
      <w:pPr>
        <w:pStyle w:val="11"/>
        <w:snapToGrid w:val="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供应商全称（公章）：</w:t>
      </w:r>
      <w:r>
        <w:rPr>
          <w:rFonts w:hint="eastAsia" w:ascii="仿宋" w:hAnsi="仿宋" w:eastAsia="仿宋" w:cs="仿宋"/>
          <w:color w:val="auto"/>
          <w:sz w:val="28"/>
          <w:szCs w:val="28"/>
          <w:highlight w:val="none"/>
          <w:u w:val="single"/>
        </w:rPr>
        <w:t xml:space="preserve">                           </w:t>
      </w:r>
    </w:p>
    <w:p>
      <w:pPr>
        <w:pStyle w:val="11"/>
        <w:snapToGrid w:val="0"/>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标段编号：</w:t>
      </w:r>
      <w:r>
        <w:rPr>
          <w:rFonts w:hint="eastAsia" w:ascii="仿宋" w:hAnsi="仿宋" w:eastAsia="仿宋" w:cs="仿宋"/>
          <w:color w:val="auto"/>
          <w:sz w:val="28"/>
          <w:szCs w:val="28"/>
          <w:highlight w:val="none"/>
          <w:u w:val="single"/>
        </w:rPr>
        <w:t xml:space="preserve">                           </w:t>
      </w:r>
    </w:p>
    <w:p>
      <w:pPr>
        <w:rPr>
          <w:rFonts w:hint="eastAsia" w:ascii="仿宋" w:hAnsi="仿宋" w:eastAsia="仿宋" w:cs="仿宋"/>
          <w:color w:val="auto"/>
          <w:sz w:val="28"/>
          <w:szCs w:val="28"/>
          <w:highlight w:val="none"/>
        </w:rPr>
      </w:pPr>
    </w:p>
    <w:tbl>
      <w:tblPr>
        <w:tblStyle w:val="26"/>
        <w:tblW w:w="859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9"/>
        <w:gridCol w:w="1260"/>
        <w:gridCol w:w="1875"/>
        <w:gridCol w:w="1440"/>
        <w:gridCol w:w="1440"/>
        <w:gridCol w:w="1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序号</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名称</w:t>
            </w:r>
          </w:p>
        </w:tc>
        <w:tc>
          <w:tcPr>
            <w:tcW w:w="18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制造商</w:t>
            </w:r>
          </w:p>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名称</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单价</w:t>
            </w:r>
          </w:p>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市场价</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单价</w:t>
            </w:r>
          </w:p>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报价</w:t>
            </w:r>
          </w:p>
        </w:tc>
        <w:tc>
          <w:tcPr>
            <w:tcW w:w="1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对应的投标设备名称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r>
              <w:rPr>
                <w:rFonts w:hint="eastAsia" w:ascii="仿宋" w:hAnsi="仿宋" w:eastAsia="仿宋" w:cs="仿宋"/>
                <w:color w:val="auto"/>
                <w:spacing w:val="20"/>
                <w:sz w:val="30"/>
                <w:szCs w:val="30"/>
                <w:highlight w:val="none"/>
              </w:rPr>
              <w:t>…</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auto"/>
                <w:sz w:val="28"/>
                <w:szCs w:val="28"/>
                <w:highlight w:val="none"/>
              </w:rPr>
            </w:pPr>
          </w:p>
        </w:tc>
      </w:tr>
    </w:tbl>
    <w:p>
      <w:pPr>
        <w:adjustRightInd w:val="0"/>
        <w:snapToGrid w:val="0"/>
        <w:ind w:right="172" w:rightChars="82"/>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注：以上为主要消耗品及易损配件的报价，采购人据此在采购合同中约定相关价格。</w:t>
      </w:r>
    </w:p>
    <w:p>
      <w:pPr>
        <w:adjustRightInd w:val="0"/>
        <w:snapToGrid w:val="0"/>
        <w:ind w:right="172" w:rightChars="82" w:firstLine="484" w:firstLineChars="202"/>
        <w:rPr>
          <w:rFonts w:hint="eastAsia" w:ascii="仿宋" w:hAnsi="仿宋" w:eastAsia="仿宋" w:cs="仿宋"/>
          <w:color w:val="auto"/>
          <w:sz w:val="24"/>
          <w:szCs w:val="24"/>
          <w:highlight w:val="none"/>
        </w:rPr>
      </w:pPr>
    </w:p>
    <w:p>
      <w:pPr>
        <w:adjustRightInd w:val="0"/>
        <w:snapToGrid w:val="0"/>
        <w:ind w:right="172" w:rightChars="82" w:firstLine="484" w:firstLineChars="202"/>
        <w:rPr>
          <w:rFonts w:hint="eastAsia" w:ascii="仿宋" w:hAnsi="仿宋" w:eastAsia="仿宋" w:cs="仿宋"/>
          <w:color w:val="auto"/>
          <w:sz w:val="24"/>
          <w:szCs w:val="24"/>
          <w:highlight w:val="none"/>
        </w:rPr>
      </w:pPr>
    </w:p>
    <w:p>
      <w:pPr>
        <w:spacing w:line="440" w:lineRule="exact"/>
        <w:jc w:val="left"/>
        <w:rPr>
          <w:rFonts w:hint="eastAsia" w:ascii="仿宋" w:hAnsi="仿宋" w:eastAsia="仿宋" w:cs="仿宋"/>
          <w:color w:val="auto"/>
          <w:sz w:val="24"/>
          <w:highlight w:val="none"/>
        </w:rPr>
      </w:pPr>
    </w:p>
    <w:p>
      <w:pPr>
        <w:snapToGrid w:val="0"/>
        <w:spacing w:before="156" w:beforeLines="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法定代表人或其授权代表（签字或盖章）：          </w:t>
      </w:r>
    </w:p>
    <w:p>
      <w:pPr>
        <w:snapToGrid w:val="0"/>
        <w:spacing w:before="156" w:beforeLines="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日期： </w:t>
      </w:r>
    </w:p>
    <w:p>
      <w:pPr>
        <w:spacing w:line="440" w:lineRule="exact"/>
        <w:ind w:left="-210" w:leftChars="-100"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 xml:space="preserve"> </w:t>
      </w:r>
    </w:p>
    <w:p>
      <w:pPr>
        <w:spacing w:line="440" w:lineRule="exact"/>
        <w:rPr>
          <w:rFonts w:hint="eastAsia" w:ascii="仿宋" w:hAnsi="仿宋" w:eastAsia="仿宋" w:cs="仿宋"/>
          <w:b/>
          <w:color w:val="auto"/>
          <w:sz w:val="24"/>
          <w:highlight w:val="none"/>
        </w:rPr>
      </w:pPr>
      <w:r>
        <w:rPr>
          <w:rFonts w:hint="eastAsia" w:ascii="仿宋" w:hAnsi="仿宋" w:eastAsia="仿宋" w:cs="仿宋"/>
          <w:color w:val="auto"/>
          <w:sz w:val="24"/>
          <w:highlight w:val="none"/>
        </w:rPr>
        <w:t xml:space="preserve">                                             </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snapToGrid w:val="0"/>
        <w:spacing w:before="50" w:after="50"/>
        <w:jc w:val="left"/>
        <w:rPr>
          <w:rFonts w:hint="eastAsia" w:ascii="仿宋" w:hAnsi="仿宋" w:eastAsia="仿宋" w:cs="仿宋"/>
          <w:color w:val="auto"/>
          <w:sz w:val="30"/>
          <w:szCs w:val="30"/>
          <w:highlight w:val="none"/>
        </w:rPr>
      </w:pPr>
    </w:p>
    <w:p>
      <w:pPr>
        <w:rPr>
          <w:rFonts w:hint="eastAsia" w:ascii="仿宋" w:hAnsi="仿宋" w:eastAsia="仿宋" w:cs="仿宋"/>
          <w:color w:val="auto"/>
          <w:sz w:val="24"/>
          <w:highlight w:val="none"/>
        </w:rPr>
      </w:pPr>
    </w:p>
    <w:p>
      <w:pPr>
        <w:snapToGrid w:val="0"/>
        <w:spacing w:before="50" w:after="50"/>
        <w:jc w:val="left"/>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附件16（如有）：</w:t>
      </w:r>
    </w:p>
    <w:p>
      <w:pPr>
        <w:snapToGrid w:val="0"/>
        <w:spacing w:before="50" w:after="156" w:afterLines="50"/>
        <w:jc w:val="center"/>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类似业绩一览表</w:t>
      </w:r>
    </w:p>
    <w:p>
      <w:pPr>
        <w:pStyle w:val="11"/>
        <w:snapToGrid w:val="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供应商全称（公章）：</w:t>
      </w:r>
      <w:r>
        <w:rPr>
          <w:rFonts w:hint="eastAsia" w:ascii="仿宋" w:hAnsi="仿宋" w:eastAsia="仿宋" w:cs="仿宋"/>
          <w:color w:val="auto"/>
          <w:sz w:val="28"/>
          <w:szCs w:val="28"/>
          <w:highlight w:val="none"/>
          <w:u w:val="single"/>
        </w:rPr>
        <w:t xml:space="preserve">                           </w:t>
      </w:r>
    </w:p>
    <w:p>
      <w:pPr>
        <w:pStyle w:val="11"/>
        <w:snapToGrid w:val="0"/>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标段编号：</w:t>
      </w:r>
      <w:r>
        <w:rPr>
          <w:rFonts w:hint="eastAsia" w:ascii="仿宋" w:hAnsi="仿宋" w:eastAsia="仿宋" w:cs="仿宋"/>
          <w:color w:val="auto"/>
          <w:sz w:val="28"/>
          <w:szCs w:val="28"/>
          <w:highlight w:val="none"/>
          <w:u w:val="single"/>
        </w:rPr>
        <w:t xml:space="preserve">                           </w:t>
      </w:r>
    </w:p>
    <w:p>
      <w:pPr>
        <w:rPr>
          <w:rFonts w:hint="eastAsia" w:ascii="仿宋" w:hAnsi="仿宋" w:eastAsia="仿宋" w:cs="仿宋"/>
          <w:color w:val="auto"/>
          <w:sz w:val="28"/>
          <w:szCs w:val="28"/>
          <w:highlight w:val="none"/>
        </w:rPr>
      </w:pPr>
    </w:p>
    <w:tbl>
      <w:tblPr>
        <w:tblStyle w:val="26"/>
        <w:tblW w:w="8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1455"/>
        <w:gridCol w:w="1751"/>
        <w:gridCol w:w="1185"/>
        <w:gridCol w:w="1733"/>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采购人</w:t>
            </w:r>
          </w:p>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名称</w:t>
            </w:r>
          </w:p>
        </w:tc>
        <w:tc>
          <w:tcPr>
            <w:tcW w:w="175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合同</w:t>
            </w:r>
          </w:p>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金额</w:t>
            </w:r>
          </w:p>
        </w:tc>
        <w:tc>
          <w:tcPr>
            <w:tcW w:w="173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采购单位联系人及电话</w:t>
            </w:r>
          </w:p>
        </w:tc>
        <w:tc>
          <w:tcPr>
            <w:tcW w:w="145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验收报告</w:t>
            </w:r>
          </w:p>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p>
        </w:tc>
        <w:tc>
          <w:tcPr>
            <w:tcW w:w="1455" w:type="dxa"/>
            <w:tcBorders>
              <w:top w:val="single" w:color="auto" w:sz="4" w:space="0"/>
              <w:left w:val="single" w:color="auto" w:sz="4" w:space="0"/>
              <w:bottom w:val="single" w:color="auto" w:sz="4" w:space="0"/>
              <w:right w:val="single" w:color="auto" w:sz="4" w:space="0"/>
            </w:tcBorders>
            <w:noWrap/>
          </w:tcPr>
          <w:p>
            <w:pPr>
              <w:rPr>
                <w:rFonts w:hint="eastAsia" w:ascii="仿宋" w:hAnsi="仿宋" w:eastAsia="仿宋" w:cs="仿宋"/>
                <w:color w:val="auto"/>
                <w:sz w:val="28"/>
                <w:szCs w:val="28"/>
                <w:highlight w:val="none"/>
              </w:rPr>
            </w:pPr>
          </w:p>
        </w:tc>
        <w:tc>
          <w:tcPr>
            <w:tcW w:w="1751" w:type="dxa"/>
            <w:tcBorders>
              <w:top w:val="single" w:color="auto" w:sz="4" w:space="0"/>
              <w:left w:val="single" w:color="auto" w:sz="4" w:space="0"/>
              <w:bottom w:val="single" w:color="auto" w:sz="4" w:space="0"/>
              <w:right w:val="single" w:color="auto" w:sz="4" w:space="0"/>
            </w:tcBorders>
            <w:noWrap/>
          </w:tcPr>
          <w:p>
            <w:pPr>
              <w:rPr>
                <w:rFonts w:hint="eastAsia" w:ascii="仿宋" w:hAnsi="仿宋" w:eastAsia="仿宋" w:cs="仿宋"/>
                <w:color w:val="auto"/>
                <w:sz w:val="28"/>
                <w:szCs w:val="28"/>
                <w:highlight w:val="none"/>
              </w:rPr>
            </w:pPr>
          </w:p>
        </w:tc>
        <w:tc>
          <w:tcPr>
            <w:tcW w:w="1185" w:type="dxa"/>
            <w:tcBorders>
              <w:top w:val="single" w:color="auto" w:sz="4" w:space="0"/>
              <w:left w:val="single" w:color="auto" w:sz="4" w:space="0"/>
              <w:bottom w:val="single" w:color="auto" w:sz="4" w:space="0"/>
              <w:right w:val="single" w:color="auto" w:sz="4" w:space="0"/>
            </w:tcBorders>
            <w:noWrap/>
          </w:tcPr>
          <w:p>
            <w:pPr>
              <w:rPr>
                <w:rFonts w:hint="eastAsia" w:ascii="仿宋" w:hAnsi="仿宋" w:eastAsia="仿宋" w:cs="仿宋"/>
                <w:color w:val="auto"/>
                <w:sz w:val="28"/>
                <w:szCs w:val="28"/>
                <w:highlight w:val="none"/>
              </w:rPr>
            </w:pPr>
          </w:p>
        </w:tc>
        <w:tc>
          <w:tcPr>
            <w:tcW w:w="1733" w:type="dxa"/>
            <w:tcBorders>
              <w:top w:val="single" w:color="auto" w:sz="4" w:space="0"/>
              <w:left w:val="single" w:color="auto" w:sz="4" w:space="0"/>
              <w:bottom w:val="single" w:color="auto" w:sz="4" w:space="0"/>
              <w:right w:val="single" w:color="auto" w:sz="4" w:space="0"/>
            </w:tcBorders>
            <w:noWrap/>
          </w:tcPr>
          <w:p>
            <w:pPr>
              <w:rPr>
                <w:rFonts w:hint="eastAsia" w:ascii="仿宋" w:hAnsi="仿宋" w:eastAsia="仿宋" w:cs="仿宋"/>
                <w:color w:val="auto"/>
                <w:sz w:val="28"/>
                <w:szCs w:val="28"/>
                <w:highlight w:val="none"/>
              </w:rPr>
            </w:pPr>
          </w:p>
        </w:tc>
        <w:tc>
          <w:tcPr>
            <w:tcW w:w="1453" w:type="dxa"/>
            <w:tcBorders>
              <w:top w:val="single" w:color="auto" w:sz="4" w:space="0"/>
              <w:left w:val="single" w:color="auto" w:sz="4" w:space="0"/>
              <w:bottom w:val="single" w:color="auto" w:sz="4" w:space="0"/>
              <w:right w:val="single" w:color="auto" w:sz="4" w:space="0"/>
            </w:tcBorders>
            <w:noWrap/>
          </w:tcPr>
          <w:p>
            <w:pP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p>
        </w:tc>
        <w:tc>
          <w:tcPr>
            <w:tcW w:w="1455" w:type="dxa"/>
            <w:tcBorders>
              <w:top w:val="single" w:color="auto" w:sz="4" w:space="0"/>
              <w:left w:val="single" w:color="auto" w:sz="4" w:space="0"/>
              <w:bottom w:val="single" w:color="auto" w:sz="4" w:space="0"/>
              <w:right w:val="single" w:color="auto" w:sz="4" w:space="0"/>
            </w:tcBorders>
            <w:noWrap/>
          </w:tcPr>
          <w:p>
            <w:pPr>
              <w:rPr>
                <w:rFonts w:hint="eastAsia" w:ascii="仿宋" w:hAnsi="仿宋" w:eastAsia="仿宋" w:cs="仿宋"/>
                <w:color w:val="auto"/>
                <w:sz w:val="28"/>
                <w:szCs w:val="28"/>
                <w:highlight w:val="none"/>
              </w:rPr>
            </w:pPr>
          </w:p>
        </w:tc>
        <w:tc>
          <w:tcPr>
            <w:tcW w:w="1751" w:type="dxa"/>
            <w:tcBorders>
              <w:top w:val="single" w:color="auto" w:sz="4" w:space="0"/>
              <w:left w:val="single" w:color="auto" w:sz="4" w:space="0"/>
              <w:bottom w:val="single" w:color="auto" w:sz="4" w:space="0"/>
              <w:right w:val="single" w:color="auto" w:sz="4" w:space="0"/>
            </w:tcBorders>
            <w:noWrap/>
          </w:tcPr>
          <w:p>
            <w:pPr>
              <w:rPr>
                <w:rFonts w:hint="eastAsia" w:ascii="仿宋" w:hAnsi="仿宋" w:eastAsia="仿宋" w:cs="仿宋"/>
                <w:color w:val="auto"/>
                <w:sz w:val="28"/>
                <w:szCs w:val="28"/>
                <w:highlight w:val="none"/>
              </w:rPr>
            </w:pPr>
          </w:p>
        </w:tc>
        <w:tc>
          <w:tcPr>
            <w:tcW w:w="1185" w:type="dxa"/>
            <w:tcBorders>
              <w:top w:val="single" w:color="auto" w:sz="4" w:space="0"/>
              <w:left w:val="single" w:color="auto" w:sz="4" w:space="0"/>
              <w:bottom w:val="single" w:color="auto" w:sz="4" w:space="0"/>
              <w:right w:val="single" w:color="auto" w:sz="4" w:space="0"/>
            </w:tcBorders>
            <w:noWrap/>
          </w:tcPr>
          <w:p>
            <w:pPr>
              <w:rPr>
                <w:rFonts w:hint="eastAsia" w:ascii="仿宋" w:hAnsi="仿宋" w:eastAsia="仿宋" w:cs="仿宋"/>
                <w:color w:val="auto"/>
                <w:sz w:val="28"/>
                <w:szCs w:val="28"/>
                <w:highlight w:val="none"/>
              </w:rPr>
            </w:pPr>
          </w:p>
        </w:tc>
        <w:tc>
          <w:tcPr>
            <w:tcW w:w="1733" w:type="dxa"/>
            <w:tcBorders>
              <w:top w:val="single" w:color="auto" w:sz="4" w:space="0"/>
              <w:left w:val="single" w:color="auto" w:sz="4" w:space="0"/>
              <w:bottom w:val="single" w:color="auto" w:sz="4" w:space="0"/>
              <w:right w:val="single" w:color="auto" w:sz="4" w:space="0"/>
            </w:tcBorders>
            <w:noWrap/>
          </w:tcPr>
          <w:p>
            <w:pPr>
              <w:rPr>
                <w:rFonts w:hint="eastAsia" w:ascii="仿宋" w:hAnsi="仿宋" w:eastAsia="仿宋" w:cs="仿宋"/>
                <w:color w:val="auto"/>
                <w:sz w:val="28"/>
                <w:szCs w:val="28"/>
                <w:highlight w:val="none"/>
              </w:rPr>
            </w:pPr>
          </w:p>
        </w:tc>
        <w:tc>
          <w:tcPr>
            <w:tcW w:w="1453" w:type="dxa"/>
            <w:tcBorders>
              <w:top w:val="single" w:color="auto" w:sz="4" w:space="0"/>
              <w:left w:val="single" w:color="auto" w:sz="4" w:space="0"/>
              <w:bottom w:val="single" w:color="auto" w:sz="4" w:space="0"/>
              <w:right w:val="single" w:color="auto" w:sz="4" w:space="0"/>
            </w:tcBorders>
            <w:noWrap/>
          </w:tcPr>
          <w:p>
            <w:pPr>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9"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p>
        </w:tc>
        <w:tc>
          <w:tcPr>
            <w:tcW w:w="1455" w:type="dxa"/>
            <w:tcBorders>
              <w:top w:val="single" w:color="auto" w:sz="4" w:space="0"/>
              <w:left w:val="single" w:color="auto" w:sz="4" w:space="0"/>
              <w:bottom w:val="single" w:color="auto" w:sz="4" w:space="0"/>
              <w:right w:val="single" w:color="auto" w:sz="4" w:space="0"/>
            </w:tcBorders>
            <w:noWrap/>
          </w:tcPr>
          <w:p>
            <w:pPr>
              <w:rPr>
                <w:rFonts w:hint="eastAsia" w:ascii="仿宋" w:hAnsi="仿宋" w:eastAsia="仿宋" w:cs="仿宋"/>
                <w:color w:val="auto"/>
                <w:sz w:val="28"/>
                <w:szCs w:val="28"/>
                <w:highlight w:val="none"/>
              </w:rPr>
            </w:pPr>
          </w:p>
        </w:tc>
        <w:tc>
          <w:tcPr>
            <w:tcW w:w="1751" w:type="dxa"/>
            <w:tcBorders>
              <w:top w:val="single" w:color="auto" w:sz="4" w:space="0"/>
              <w:left w:val="single" w:color="auto" w:sz="4" w:space="0"/>
              <w:bottom w:val="single" w:color="auto" w:sz="4" w:space="0"/>
              <w:right w:val="single" w:color="auto" w:sz="4" w:space="0"/>
            </w:tcBorders>
            <w:noWrap/>
          </w:tcPr>
          <w:p>
            <w:pPr>
              <w:rPr>
                <w:rFonts w:hint="eastAsia" w:ascii="仿宋" w:hAnsi="仿宋" w:eastAsia="仿宋" w:cs="仿宋"/>
                <w:color w:val="auto"/>
                <w:sz w:val="28"/>
                <w:szCs w:val="28"/>
                <w:highlight w:val="none"/>
              </w:rPr>
            </w:pPr>
          </w:p>
        </w:tc>
        <w:tc>
          <w:tcPr>
            <w:tcW w:w="1185" w:type="dxa"/>
            <w:tcBorders>
              <w:top w:val="single" w:color="auto" w:sz="4" w:space="0"/>
              <w:left w:val="single" w:color="auto" w:sz="4" w:space="0"/>
              <w:bottom w:val="single" w:color="auto" w:sz="4" w:space="0"/>
              <w:right w:val="single" w:color="auto" w:sz="4" w:space="0"/>
            </w:tcBorders>
            <w:noWrap/>
          </w:tcPr>
          <w:p>
            <w:pPr>
              <w:rPr>
                <w:rFonts w:hint="eastAsia" w:ascii="仿宋" w:hAnsi="仿宋" w:eastAsia="仿宋" w:cs="仿宋"/>
                <w:color w:val="auto"/>
                <w:sz w:val="28"/>
                <w:szCs w:val="28"/>
                <w:highlight w:val="none"/>
              </w:rPr>
            </w:pPr>
          </w:p>
        </w:tc>
        <w:tc>
          <w:tcPr>
            <w:tcW w:w="1733" w:type="dxa"/>
            <w:tcBorders>
              <w:top w:val="single" w:color="auto" w:sz="4" w:space="0"/>
              <w:left w:val="single" w:color="auto" w:sz="4" w:space="0"/>
              <w:bottom w:val="single" w:color="auto" w:sz="4" w:space="0"/>
              <w:right w:val="single" w:color="auto" w:sz="4" w:space="0"/>
            </w:tcBorders>
            <w:noWrap/>
          </w:tcPr>
          <w:p>
            <w:pPr>
              <w:rPr>
                <w:rFonts w:hint="eastAsia" w:ascii="仿宋" w:hAnsi="仿宋" w:eastAsia="仿宋" w:cs="仿宋"/>
                <w:color w:val="auto"/>
                <w:sz w:val="28"/>
                <w:szCs w:val="28"/>
                <w:highlight w:val="none"/>
              </w:rPr>
            </w:pPr>
          </w:p>
        </w:tc>
        <w:tc>
          <w:tcPr>
            <w:tcW w:w="1453" w:type="dxa"/>
            <w:tcBorders>
              <w:top w:val="single" w:color="auto" w:sz="4" w:space="0"/>
              <w:left w:val="single" w:color="auto" w:sz="4" w:space="0"/>
              <w:bottom w:val="single" w:color="auto" w:sz="4" w:space="0"/>
              <w:right w:val="single" w:color="auto" w:sz="4" w:space="0"/>
            </w:tcBorders>
            <w:noWrap/>
          </w:tcPr>
          <w:p>
            <w:pPr>
              <w:rPr>
                <w:rFonts w:hint="eastAsia" w:ascii="仿宋" w:hAnsi="仿宋" w:eastAsia="仿宋" w:cs="仿宋"/>
                <w:color w:val="auto"/>
                <w:sz w:val="28"/>
                <w:szCs w:val="28"/>
                <w:highlight w:val="none"/>
              </w:rPr>
            </w:pPr>
          </w:p>
        </w:tc>
      </w:tr>
    </w:tbl>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备注：</w:t>
      </w:r>
    </w:p>
    <w:p>
      <w:pPr>
        <w:numPr>
          <w:ilvl w:val="0"/>
          <w:numId w:val="11"/>
        </w:numPr>
        <w:rPr>
          <w:rFonts w:hint="eastAsia" w:ascii="仿宋" w:hAnsi="仿宋" w:eastAsia="仿宋" w:cs="仿宋"/>
          <w:color w:val="auto"/>
          <w:sz w:val="24"/>
          <w:highlight w:val="none"/>
        </w:rPr>
      </w:pPr>
      <w:r>
        <w:rPr>
          <w:rFonts w:hint="eastAsia" w:ascii="仿宋" w:hAnsi="仿宋" w:eastAsia="仿宋" w:cs="仿宋"/>
          <w:color w:val="auto"/>
          <w:sz w:val="24"/>
          <w:highlight w:val="none"/>
        </w:rPr>
        <w:t>请在此表后附类似业绩的合同复印件、验收报告复印件（如有）。</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snapToGrid w:val="0"/>
        <w:spacing w:before="156" w:beforeLines="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法定代表人或其授权代表（签字或盖章）：          </w:t>
      </w:r>
    </w:p>
    <w:p>
      <w:pPr>
        <w:snapToGrid w:val="0"/>
        <w:spacing w:before="156" w:beforeLines="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日期： </w:t>
      </w:r>
    </w:p>
    <w:p>
      <w:pPr>
        <w:rPr>
          <w:rFonts w:hint="eastAsia" w:ascii="仿宋" w:hAnsi="仿宋" w:eastAsia="仿宋" w:cs="仿宋"/>
          <w:color w:val="auto"/>
          <w:sz w:val="24"/>
          <w:highlight w:val="none"/>
        </w:rPr>
      </w:pPr>
    </w:p>
    <w:p>
      <w:pPr>
        <w:snapToGrid w:val="0"/>
        <w:spacing w:before="156" w:beforeLines="50" w:after="50"/>
        <w:jc w:val="left"/>
        <w:rPr>
          <w:rFonts w:hint="eastAsia" w:ascii="仿宋" w:hAnsi="仿宋" w:eastAsia="仿宋" w:cs="仿宋"/>
          <w:b/>
          <w:bCs/>
          <w:color w:val="auto"/>
          <w:sz w:val="30"/>
          <w:szCs w:val="30"/>
          <w:highlight w:val="none"/>
        </w:rPr>
      </w:pPr>
    </w:p>
    <w:p>
      <w:pPr>
        <w:snapToGrid w:val="0"/>
        <w:spacing w:before="156" w:beforeLines="50" w:after="50"/>
        <w:jc w:val="left"/>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附件17：报价文件封面</w:t>
      </w:r>
    </w:p>
    <w:p>
      <w:pPr>
        <w:snapToGrid w:val="0"/>
        <w:spacing w:before="156" w:beforeLines="50" w:after="50"/>
        <w:jc w:val="right"/>
        <w:rPr>
          <w:rFonts w:hint="eastAsia" w:ascii="仿宋" w:hAnsi="仿宋" w:eastAsia="仿宋" w:cs="仿宋"/>
          <w:b/>
          <w:color w:val="auto"/>
          <w:sz w:val="30"/>
          <w:szCs w:val="30"/>
          <w:highlight w:val="none"/>
        </w:rPr>
      </w:pPr>
      <w:r>
        <w:rPr>
          <w:rFonts w:hint="eastAsia" w:ascii="仿宋" w:hAnsi="仿宋" w:eastAsia="仿宋" w:cs="仿宋"/>
          <w:bCs/>
          <w:color w:val="auto"/>
          <w:sz w:val="30"/>
          <w:szCs w:val="30"/>
          <w:highlight w:val="none"/>
          <w:u w:val="single"/>
        </w:rPr>
        <w:t>（填写正本或副本）</w:t>
      </w:r>
    </w:p>
    <w:p>
      <w:pPr>
        <w:snapToGrid w:val="0"/>
        <w:spacing w:before="156" w:beforeLines="50" w:after="50"/>
        <w:jc w:val="right"/>
        <w:rPr>
          <w:rFonts w:hint="eastAsia" w:ascii="仿宋" w:hAnsi="仿宋" w:eastAsia="仿宋" w:cs="仿宋"/>
          <w:bCs/>
          <w:color w:val="auto"/>
          <w:sz w:val="30"/>
          <w:szCs w:val="30"/>
          <w:highlight w:val="none"/>
        </w:rPr>
      </w:pPr>
    </w:p>
    <w:p>
      <w:pPr>
        <w:spacing w:line="400" w:lineRule="exact"/>
        <w:ind w:right="-110"/>
        <w:rPr>
          <w:rFonts w:hint="eastAsia" w:ascii="仿宋" w:hAnsi="仿宋" w:eastAsia="仿宋" w:cs="仿宋"/>
          <w:color w:val="auto"/>
          <w:spacing w:val="40"/>
          <w:sz w:val="30"/>
          <w:szCs w:val="30"/>
          <w:highlight w:val="none"/>
        </w:rPr>
      </w:pPr>
      <w:r>
        <w:rPr>
          <w:rFonts w:hint="eastAsia" w:ascii="仿宋" w:hAnsi="仿宋" w:eastAsia="仿宋" w:cs="仿宋"/>
          <w:color w:val="auto"/>
          <w:spacing w:val="40"/>
          <w:sz w:val="30"/>
          <w:szCs w:val="30"/>
          <w:highlight w:val="none"/>
        </w:rPr>
        <w:t>项目名称：</w:t>
      </w:r>
      <w:r>
        <w:rPr>
          <w:rFonts w:hint="eastAsia" w:ascii="仿宋" w:hAnsi="仿宋" w:eastAsia="仿宋" w:cs="仿宋"/>
          <w:color w:val="auto"/>
          <w:spacing w:val="40"/>
          <w:sz w:val="30"/>
          <w:szCs w:val="30"/>
          <w:highlight w:val="none"/>
          <w:u w:val="single"/>
        </w:rPr>
        <w:t xml:space="preserve">           </w:t>
      </w:r>
    </w:p>
    <w:p>
      <w:pPr>
        <w:spacing w:before="312" w:beforeLines="100" w:line="400" w:lineRule="exact"/>
        <w:rPr>
          <w:rFonts w:hint="eastAsia"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项目编号：</w:t>
      </w:r>
      <w:r>
        <w:rPr>
          <w:rFonts w:hint="eastAsia" w:ascii="仿宋" w:hAnsi="仿宋" w:eastAsia="仿宋" w:cs="仿宋"/>
          <w:color w:val="auto"/>
          <w:sz w:val="30"/>
          <w:szCs w:val="30"/>
          <w:highlight w:val="none"/>
          <w:u w:val="single"/>
        </w:rPr>
        <w:t xml:space="preserve">                   </w:t>
      </w:r>
    </w:p>
    <w:p>
      <w:pPr>
        <w:spacing w:before="312" w:beforeLines="100" w:line="400" w:lineRule="exac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标段编号：</w:t>
      </w:r>
      <w:r>
        <w:rPr>
          <w:rFonts w:hint="eastAsia" w:ascii="仿宋" w:hAnsi="仿宋" w:eastAsia="仿宋" w:cs="仿宋"/>
          <w:color w:val="auto"/>
          <w:sz w:val="30"/>
          <w:szCs w:val="30"/>
          <w:highlight w:val="none"/>
          <w:u w:val="single"/>
        </w:rPr>
        <w:t xml:space="preserve">                    </w:t>
      </w:r>
    </w:p>
    <w:p>
      <w:pPr>
        <w:spacing w:line="1200" w:lineRule="exact"/>
        <w:ind w:right="6"/>
        <w:jc w:val="center"/>
        <w:rPr>
          <w:rFonts w:hint="eastAsia" w:ascii="仿宋" w:hAnsi="仿宋" w:eastAsia="仿宋" w:cs="仿宋"/>
          <w:color w:val="auto"/>
          <w:sz w:val="72"/>
          <w:szCs w:val="72"/>
          <w:highlight w:val="none"/>
        </w:rPr>
      </w:pPr>
    </w:p>
    <w:p>
      <w:pPr>
        <w:spacing w:line="1200" w:lineRule="exact"/>
        <w:ind w:right="6"/>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报</w:t>
      </w:r>
    </w:p>
    <w:p>
      <w:pPr>
        <w:spacing w:line="1200" w:lineRule="exact"/>
        <w:ind w:right="6"/>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价</w:t>
      </w:r>
    </w:p>
    <w:p>
      <w:pPr>
        <w:spacing w:line="1200" w:lineRule="exact"/>
        <w:ind w:right="6"/>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文</w:t>
      </w:r>
    </w:p>
    <w:p>
      <w:pPr>
        <w:spacing w:line="1200" w:lineRule="exact"/>
        <w:ind w:right="6"/>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件</w:t>
      </w:r>
    </w:p>
    <w:p>
      <w:pPr>
        <w:spacing w:line="1200" w:lineRule="exact"/>
        <w:ind w:right="6"/>
        <w:jc w:val="center"/>
        <w:rPr>
          <w:rFonts w:hint="eastAsia" w:ascii="仿宋" w:hAnsi="仿宋" w:eastAsia="仿宋" w:cs="仿宋"/>
          <w:color w:val="auto"/>
          <w:sz w:val="72"/>
          <w:szCs w:val="72"/>
          <w:highlight w:val="none"/>
        </w:rPr>
      </w:pPr>
    </w:p>
    <w:p>
      <w:pPr>
        <w:spacing w:line="360" w:lineRule="auto"/>
        <w:ind w:right="-110"/>
        <w:rPr>
          <w:rFonts w:hint="eastAsia" w:ascii="仿宋" w:hAnsi="仿宋" w:eastAsia="仿宋" w:cs="仿宋"/>
          <w:color w:val="auto"/>
          <w:spacing w:val="40"/>
          <w:sz w:val="30"/>
          <w:szCs w:val="30"/>
          <w:highlight w:val="none"/>
        </w:rPr>
      </w:pPr>
      <w:r>
        <w:rPr>
          <w:rFonts w:hint="eastAsia" w:ascii="仿宋" w:hAnsi="仿宋" w:eastAsia="仿宋" w:cs="仿宋"/>
          <w:color w:val="auto"/>
          <w:spacing w:val="40"/>
          <w:sz w:val="30"/>
          <w:szCs w:val="30"/>
          <w:highlight w:val="none"/>
        </w:rPr>
        <w:t>供应商名称（盖公章）：</w:t>
      </w:r>
    </w:p>
    <w:p>
      <w:pPr>
        <w:spacing w:line="360" w:lineRule="auto"/>
        <w:ind w:right="-110"/>
        <w:rPr>
          <w:rFonts w:hint="eastAsia" w:ascii="仿宋" w:hAnsi="仿宋" w:eastAsia="仿宋" w:cs="仿宋"/>
          <w:color w:val="auto"/>
          <w:spacing w:val="40"/>
          <w:sz w:val="30"/>
          <w:szCs w:val="30"/>
          <w:highlight w:val="none"/>
        </w:rPr>
      </w:pPr>
      <w:r>
        <w:rPr>
          <w:rFonts w:hint="eastAsia" w:ascii="仿宋" w:hAnsi="仿宋" w:eastAsia="仿宋" w:cs="仿宋"/>
          <w:color w:val="auto"/>
          <w:spacing w:val="40"/>
          <w:sz w:val="30"/>
          <w:szCs w:val="30"/>
          <w:highlight w:val="none"/>
        </w:rPr>
        <w:t>地    址：</w:t>
      </w:r>
    </w:p>
    <w:p>
      <w:pPr>
        <w:spacing w:line="360" w:lineRule="auto"/>
        <w:ind w:right="-110"/>
        <w:rPr>
          <w:rFonts w:hint="eastAsia" w:ascii="仿宋" w:hAnsi="仿宋" w:eastAsia="仿宋" w:cs="仿宋"/>
          <w:color w:val="auto"/>
          <w:spacing w:val="40"/>
          <w:sz w:val="30"/>
          <w:szCs w:val="30"/>
          <w:highlight w:val="none"/>
        </w:rPr>
      </w:pPr>
      <w:r>
        <w:rPr>
          <w:rFonts w:hint="eastAsia" w:ascii="仿宋" w:hAnsi="仿宋" w:eastAsia="仿宋" w:cs="仿宋"/>
          <w:color w:val="auto"/>
          <w:spacing w:val="40"/>
          <w:sz w:val="30"/>
          <w:szCs w:val="30"/>
          <w:highlight w:val="none"/>
        </w:rPr>
        <w:t>日    期：</w:t>
      </w:r>
    </w:p>
    <w:p>
      <w:pPr>
        <w:spacing w:line="400" w:lineRule="exact"/>
        <w:ind w:right="-110"/>
        <w:rPr>
          <w:rFonts w:hint="eastAsia" w:ascii="仿宋" w:hAnsi="仿宋" w:eastAsia="仿宋" w:cs="仿宋"/>
          <w:color w:val="auto"/>
          <w:spacing w:val="40"/>
          <w:sz w:val="30"/>
          <w:szCs w:val="30"/>
          <w:highlight w:val="none"/>
        </w:rPr>
      </w:pPr>
    </w:p>
    <w:p>
      <w:pPr>
        <w:spacing w:line="400" w:lineRule="exact"/>
        <w:ind w:right="-110"/>
        <w:rPr>
          <w:rFonts w:hint="eastAsia" w:ascii="仿宋" w:hAnsi="仿宋" w:eastAsia="仿宋" w:cs="仿宋"/>
          <w:color w:val="auto"/>
          <w:spacing w:val="40"/>
          <w:sz w:val="30"/>
          <w:szCs w:val="30"/>
          <w:highlight w:val="none"/>
        </w:rPr>
      </w:pPr>
    </w:p>
    <w:p>
      <w:pPr>
        <w:spacing w:line="400" w:lineRule="exact"/>
        <w:ind w:right="-110"/>
        <w:rPr>
          <w:rFonts w:hint="eastAsia" w:ascii="仿宋" w:hAnsi="仿宋" w:eastAsia="仿宋" w:cs="仿宋"/>
          <w:color w:val="auto"/>
          <w:spacing w:val="40"/>
          <w:sz w:val="30"/>
          <w:szCs w:val="30"/>
          <w:highlight w:val="none"/>
        </w:rPr>
      </w:pPr>
    </w:p>
    <w:p>
      <w:pPr>
        <w:rPr>
          <w:rFonts w:hint="eastAsia" w:ascii="仿宋" w:hAnsi="仿宋" w:eastAsia="仿宋" w:cs="仿宋"/>
          <w:color w:val="auto"/>
          <w:sz w:val="24"/>
          <w:highlight w:val="none"/>
        </w:rPr>
      </w:pPr>
    </w:p>
    <w:p>
      <w:pPr>
        <w:snapToGrid w:val="0"/>
        <w:spacing w:before="156" w:beforeLines="50" w:after="50"/>
        <w:jc w:val="left"/>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附件18：报价文件目录</w:t>
      </w:r>
    </w:p>
    <w:p>
      <w:pPr>
        <w:snapToGrid w:val="0"/>
        <w:spacing w:before="156" w:beforeLines="50" w:after="50"/>
        <w:jc w:val="left"/>
        <w:rPr>
          <w:rFonts w:hint="eastAsia" w:ascii="仿宋" w:hAnsi="仿宋" w:eastAsia="仿宋" w:cs="仿宋"/>
          <w:color w:val="auto"/>
          <w:sz w:val="30"/>
          <w:szCs w:val="30"/>
          <w:highlight w:val="none"/>
        </w:rPr>
      </w:pPr>
    </w:p>
    <w:p>
      <w:pPr>
        <w:pStyle w:val="48"/>
        <w:spacing w:line="360" w:lineRule="auto"/>
        <w:ind w:firstLine="0" w:firstLineChars="0"/>
        <w:jc w:val="center"/>
        <w:rPr>
          <w:rFonts w:hint="eastAsia" w:ascii="仿宋" w:hAnsi="仿宋" w:eastAsia="仿宋" w:cs="仿宋"/>
          <w:color w:val="auto"/>
          <w:highlight w:val="none"/>
        </w:rPr>
      </w:pPr>
      <w:bookmarkStart w:id="51" w:name="_Toc64369825"/>
      <w:r>
        <w:rPr>
          <w:rFonts w:hint="eastAsia" w:ascii="仿宋" w:hAnsi="仿宋" w:eastAsia="仿宋" w:cs="仿宋"/>
          <w:color w:val="auto"/>
          <w:highlight w:val="none"/>
        </w:rPr>
        <w:t>目 录</w:t>
      </w:r>
      <w:bookmarkEnd w:id="51"/>
    </w:p>
    <w:p>
      <w:pPr>
        <w:pStyle w:val="48"/>
        <w:spacing w:line="360" w:lineRule="auto"/>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1.开标一览表 …………………………………………………………………（页码）</w:t>
      </w:r>
    </w:p>
    <w:p>
      <w:pPr>
        <w:pStyle w:val="48"/>
        <w:spacing w:line="360" w:lineRule="auto"/>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2.明细报价表…………………………………………………………………（页码）</w:t>
      </w:r>
    </w:p>
    <w:p>
      <w:pPr>
        <w:pStyle w:val="48"/>
        <w:spacing w:line="360" w:lineRule="auto"/>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中小企业声明函（如有）…………………………………………………（页码）</w:t>
      </w:r>
    </w:p>
    <w:p>
      <w:pPr>
        <w:pStyle w:val="48"/>
        <w:spacing w:line="360" w:lineRule="auto"/>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rPr>
        <w:t>.残疾人福利性单位声明函（如有）………………………………………（页码）</w:t>
      </w:r>
    </w:p>
    <w:p>
      <w:pPr>
        <w:pStyle w:val="48"/>
        <w:spacing w:line="360" w:lineRule="auto"/>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5</w:t>
      </w:r>
      <w:r>
        <w:rPr>
          <w:rFonts w:hint="eastAsia" w:ascii="仿宋" w:hAnsi="仿宋" w:eastAsia="仿宋" w:cs="仿宋"/>
          <w:color w:val="auto"/>
          <w:highlight w:val="none"/>
        </w:rPr>
        <w:t>.关于报价的其他说明（如有，自拟）……………………………………（页码）</w:t>
      </w:r>
    </w:p>
    <w:p>
      <w:pPr>
        <w:pStyle w:val="48"/>
        <w:spacing w:line="360" w:lineRule="auto"/>
        <w:ind w:firstLine="0" w:firstLineChars="0"/>
        <w:jc w:val="left"/>
        <w:rPr>
          <w:rFonts w:hint="eastAsia" w:ascii="仿宋" w:hAnsi="仿宋" w:eastAsia="仿宋" w:cs="仿宋"/>
          <w:color w:val="auto"/>
          <w:highlight w:val="none"/>
        </w:rPr>
      </w:pPr>
    </w:p>
    <w:p>
      <w:pPr>
        <w:snapToGrid w:val="0"/>
        <w:spacing w:before="50" w:after="50"/>
        <w:jc w:val="left"/>
        <w:rPr>
          <w:rFonts w:hint="eastAsia" w:ascii="仿宋" w:hAnsi="仿宋" w:eastAsia="仿宋" w:cs="仿宋"/>
          <w:b/>
          <w:color w:val="auto"/>
          <w:sz w:val="36"/>
          <w:szCs w:val="36"/>
          <w:highlight w:val="none"/>
        </w:rPr>
      </w:pPr>
    </w:p>
    <w:p>
      <w:pPr>
        <w:snapToGrid w:val="0"/>
        <w:spacing w:before="50" w:after="50"/>
        <w:jc w:val="left"/>
        <w:rPr>
          <w:rFonts w:hint="eastAsia" w:ascii="仿宋" w:hAnsi="仿宋" w:eastAsia="仿宋" w:cs="仿宋"/>
          <w:b/>
          <w:color w:val="auto"/>
          <w:sz w:val="36"/>
          <w:szCs w:val="36"/>
          <w:highlight w:val="none"/>
        </w:rPr>
      </w:pPr>
      <w:r>
        <w:rPr>
          <w:rFonts w:hint="eastAsia" w:ascii="仿宋" w:hAnsi="仿宋" w:eastAsia="仿宋" w:cs="仿宋"/>
          <w:b/>
          <w:bCs/>
          <w:color w:val="auto"/>
          <w:sz w:val="32"/>
          <w:szCs w:val="32"/>
          <w:highlight w:val="none"/>
          <w:u w:val="single"/>
        </w:rPr>
        <w:t>注：“报价文件”按采购文件规定的内容填写，内容有实质性偏离的作无效投标处理。</w:t>
      </w:r>
    </w:p>
    <w:p>
      <w:pPr>
        <w:snapToGrid w:val="0"/>
        <w:spacing w:before="50" w:after="50"/>
        <w:jc w:val="left"/>
        <w:rPr>
          <w:rFonts w:hint="eastAsia" w:ascii="仿宋" w:hAnsi="仿宋" w:eastAsia="仿宋" w:cs="仿宋"/>
          <w:b/>
          <w:color w:val="auto"/>
          <w:sz w:val="36"/>
          <w:szCs w:val="36"/>
          <w:highlight w:val="none"/>
        </w:rPr>
      </w:pPr>
    </w:p>
    <w:p>
      <w:pPr>
        <w:snapToGrid w:val="0"/>
        <w:spacing w:before="50" w:after="50"/>
        <w:jc w:val="left"/>
        <w:rPr>
          <w:rFonts w:hint="eastAsia" w:ascii="仿宋" w:hAnsi="仿宋" w:eastAsia="仿宋" w:cs="仿宋"/>
          <w:b/>
          <w:color w:val="auto"/>
          <w:sz w:val="36"/>
          <w:szCs w:val="36"/>
          <w:highlight w:val="none"/>
        </w:rPr>
      </w:pPr>
    </w:p>
    <w:p>
      <w:pPr>
        <w:snapToGrid w:val="0"/>
        <w:spacing w:before="50" w:after="50"/>
        <w:jc w:val="left"/>
        <w:rPr>
          <w:rFonts w:hint="eastAsia" w:ascii="仿宋" w:hAnsi="仿宋" w:eastAsia="仿宋" w:cs="仿宋"/>
          <w:b/>
          <w:color w:val="auto"/>
          <w:sz w:val="36"/>
          <w:szCs w:val="36"/>
          <w:highlight w:val="none"/>
        </w:rPr>
      </w:pPr>
    </w:p>
    <w:p>
      <w:pPr>
        <w:snapToGrid w:val="0"/>
        <w:spacing w:before="50" w:after="50"/>
        <w:jc w:val="left"/>
        <w:rPr>
          <w:rFonts w:hint="eastAsia" w:ascii="仿宋" w:hAnsi="仿宋" w:eastAsia="仿宋" w:cs="仿宋"/>
          <w:b/>
          <w:color w:val="auto"/>
          <w:sz w:val="36"/>
          <w:szCs w:val="36"/>
          <w:highlight w:val="none"/>
        </w:rPr>
      </w:pPr>
    </w:p>
    <w:p>
      <w:pPr>
        <w:snapToGrid w:val="0"/>
        <w:spacing w:before="50" w:after="50"/>
        <w:jc w:val="left"/>
        <w:rPr>
          <w:rFonts w:hint="eastAsia" w:ascii="仿宋" w:hAnsi="仿宋" w:eastAsia="仿宋" w:cs="仿宋"/>
          <w:b/>
          <w:color w:val="auto"/>
          <w:sz w:val="36"/>
          <w:szCs w:val="36"/>
          <w:highlight w:val="none"/>
        </w:rPr>
      </w:pPr>
    </w:p>
    <w:p>
      <w:pPr>
        <w:snapToGrid w:val="0"/>
        <w:spacing w:before="50" w:after="50"/>
        <w:jc w:val="left"/>
        <w:rPr>
          <w:rFonts w:hint="eastAsia" w:ascii="仿宋" w:hAnsi="仿宋" w:eastAsia="仿宋" w:cs="仿宋"/>
          <w:b/>
          <w:color w:val="auto"/>
          <w:sz w:val="36"/>
          <w:szCs w:val="36"/>
          <w:highlight w:val="none"/>
        </w:rPr>
      </w:pPr>
    </w:p>
    <w:p>
      <w:pPr>
        <w:snapToGrid w:val="0"/>
        <w:spacing w:before="50" w:after="50"/>
        <w:jc w:val="left"/>
        <w:rPr>
          <w:rFonts w:hint="eastAsia" w:ascii="仿宋" w:hAnsi="仿宋" w:eastAsia="仿宋" w:cs="仿宋"/>
          <w:b/>
          <w:color w:val="auto"/>
          <w:sz w:val="36"/>
          <w:szCs w:val="36"/>
          <w:highlight w:val="none"/>
        </w:rPr>
      </w:pPr>
    </w:p>
    <w:p>
      <w:pPr>
        <w:snapToGrid w:val="0"/>
        <w:spacing w:before="50" w:after="50"/>
        <w:jc w:val="left"/>
        <w:rPr>
          <w:rFonts w:hint="eastAsia" w:ascii="仿宋" w:hAnsi="仿宋" w:eastAsia="仿宋" w:cs="仿宋"/>
          <w:b/>
          <w:color w:val="auto"/>
          <w:sz w:val="36"/>
          <w:szCs w:val="36"/>
          <w:highlight w:val="none"/>
        </w:rPr>
      </w:pPr>
    </w:p>
    <w:p>
      <w:pPr>
        <w:snapToGrid w:val="0"/>
        <w:spacing w:before="50" w:after="50"/>
        <w:jc w:val="left"/>
        <w:rPr>
          <w:rFonts w:hint="eastAsia" w:ascii="仿宋" w:hAnsi="仿宋" w:eastAsia="仿宋" w:cs="仿宋"/>
          <w:b/>
          <w:color w:val="auto"/>
          <w:sz w:val="36"/>
          <w:szCs w:val="36"/>
          <w:highlight w:val="none"/>
        </w:rPr>
      </w:pPr>
    </w:p>
    <w:p>
      <w:pPr>
        <w:snapToGrid w:val="0"/>
        <w:spacing w:before="50" w:after="50"/>
        <w:jc w:val="left"/>
        <w:rPr>
          <w:rFonts w:hint="eastAsia" w:ascii="仿宋" w:hAnsi="仿宋" w:eastAsia="仿宋" w:cs="仿宋"/>
          <w:b/>
          <w:color w:val="auto"/>
          <w:sz w:val="36"/>
          <w:szCs w:val="36"/>
          <w:highlight w:val="none"/>
        </w:rPr>
      </w:pPr>
    </w:p>
    <w:p>
      <w:pPr>
        <w:snapToGrid w:val="0"/>
        <w:spacing w:before="50" w:after="50"/>
        <w:jc w:val="left"/>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snapToGrid w:val="0"/>
        <w:spacing w:before="50" w:after="50"/>
        <w:jc w:val="left"/>
        <w:rPr>
          <w:rFonts w:hint="eastAsia" w:ascii="仿宋" w:hAnsi="仿宋" w:eastAsia="仿宋" w:cs="仿宋"/>
          <w:b/>
          <w:color w:val="auto"/>
          <w:sz w:val="36"/>
          <w:szCs w:val="36"/>
          <w:highlight w:val="none"/>
        </w:rPr>
        <w:sectPr>
          <w:footerReference r:id="rId3" w:type="default"/>
          <w:pgSz w:w="11907" w:h="16840"/>
          <w:pgMar w:top="1440" w:right="1463" w:bottom="1440" w:left="1803"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snapToGrid w:val="0"/>
        <w:spacing w:before="50" w:after="50"/>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附件19：</w:t>
      </w:r>
    </w:p>
    <w:p>
      <w:pPr>
        <w:snapToGrid w:val="0"/>
        <w:spacing w:before="50" w:after="50"/>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开标一览表</w:t>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供应商地址：</w:t>
      </w:r>
      <w:r>
        <w:rPr>
          <w:rFonts w:hint="eastAsia" w:ascii="仿宋" w:hAnsi="仿宋" w:eastAsia="仿宋" w:cs="仿宋"/>
          <w:color w:val="auto"/>
          <w:sz w:val="24"/>
          <w:highlight w:val="none"/>
          <w:u w:val="single"/>
        </w:rPr>
        <w:t xml:space="preserve">                                    </w:t>
      </w:r>
    </w:p>
    <w:p>
      <w:pPr>
        <w:snapToGrid w:val="0"/>
        <w:spacing w:line="400" w:lineRule="exac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标段编号：</w:t>
      </w:r>
      <w:r>
        <w:rPr>
          <w:rFonts w:hint="eastAsia" w:ascii="仿宋" w:hAnsi="仿宋" w:eastAsia="仿宋" w:cs="仿宋"/>
          <w:color w:val="auto"/>
          <w:sz w:val="24"/>
          <w:highlight w:val="none"/>
          <w:u w:val="single"/>
        </w:rPr>
        <w:t xml:space="preserve">                                      </w:t>
      </w:r>
    </w:p>
    <w:tbl>
      <w:tblPr>
        <w:tblStyle w:val="26"/>
        <w:tblW w:w="4997" w:type="pc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937"/>
        <w:gridCol w:w="3089"/>
        <w:gridCol w:w="1460"/>
        <w:gridCol w:w="359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516" w:type="pct"/>
            <w:tcBorders>
              <w:top w:val="double" w:color="auto" w:sz="4" w:space="0"/>
              <w:left w:val="double" w:color="auto" w:sz="4" w:space="0"/>
              <w:bottom w:val="single" w:color="auto" w:sz="6" w:space="0"/>
              <w:right w:val="single" w:color="auto" w:sz="6" w:space="0"/>
            </w:tcBorders>
            <w:vAlign w:val="center"/>
          </w:tcPr>
          <w:p>
            <w:pPr>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序号</w:t>
            </w:r>
          </w:p>
        </w:tc>
        <w:tc>
          <w:tcPr>
            <w:tcW w:w="1701" w:type="pct"/>
            <w:tcBorders>
              <w:top w:val="double" w:color="auto" w:sz="4" w:space="0"/>
              <w:left w:val="single" w:color="auto" w:sz="6" w:space="0"/>
              <w:bottom w:val="single" w:color="auto" w:sz="6" w:space="0"/>
              <w:right w:val="single" w:color="auto" w:sz="6" w:space="0"/>
            </w:tcBorders>
            <w:vAlign w:val="center"/>
          </w:tcPr>
          <w:p>
            <w:pPr>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名称</w:t>
            </w:r>
          </w:p>
        </w:tc>
        <w:tc>
          <w:tcPr>
            <w:tcW w:w="804" w:type="pct"/>
            <w:tcBorders>
              <w:top w:val="double" w:color="auto" w:sz="4" w:space="0"/>
              <w:left w:val="single" w:color="auto" w:sz="6" w:space="0"/>
              <w:bottom w:val="single" w:color="auto" w:sz="6" w:space="0"/>
              <w:right w:val="single" w:color="auto" w:sz="6" w:space="0"/>
            </w:tcBorders>
            <w:vAlign w:val="center"/>
          </w:tcPr>
          <w:p>
            <w:pPr>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报价</w:t>
            </w:r>
          </w:p>
          <w:p>
            <w:pPr>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（人民币元）</w:t>
            </w:r>
          </w:p>
        </w:tc>
        <w:tc>
          <w:tcPr>
            <w:tcW w:w="1978" w:type="pct"/>
            <w:tcBorders>
              <w:top w:val="double" w:color="auto" w:sz="4" w:space="0"/>
              <w:left w:val="single" w:color="auto" w:sz="6" w:space="0"/>
              <w:bottom w:val="single" w:color="auto" w:sz="6" w:space="0"/>
              <w:right w:val="double" w:color="auto" w:sz="4" w:space="0"/>
            </w:tcBorders>
            <w:vAlign w:val="center"/>
          </w:tcPr>
          <w:p>
            <w:pPr>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0" w:hRule="atLeast"/>
        </w:trPr>
        <w:tc>
          <w:tcPr>
            <w:tcW w:w="516" w:type="pct"/>
            <w:tcBorders>
              <w:top w:val="single" w:color="auto" w:sz="6" w:space="0"/>
              <w:left w:val="double" w:color="auto" w:sz="4" w:space="0"/>
              <w:right w:val="single" w:color="auto" w:sz="6" w:space="0"/>
            </w:tcBorders>
            <w:vAlign w:val="center"/>
          </w:tcPr>
          <w:p>
            <w:pPr>
              <w:jc w:val="center"/>
              <w:rPr>
                <w:rFonts w:hint="eastAsia" w:ascii="仿宋" w:hAnsi="仿宋" w:eastAsia="仿宋" w:cs="仿宋"/>
                <w:color w:val="auto"/>
                <w:kern w:val="0"/>
                <w:sz w:val="24"/>
                <w:highlight w:val="none"/>
                <w:lang w:val="en-US" w:eastAsia="zh-CN" w:bidi="ar-SA"/>
              </w:rPr>
            </w:pPr>
            <w:r>
              <w:rPr>
                <w:rFonts w:hint="eastAsia" w:ascii="仿宋" w:hAnsi="仿宋" w:eastAsia="仿宋" w:cs="仿宋"/>
                <w:color w:val="auto"/>
                <w:kern w:val="0"/>
                <w:sz w:val="24"/>
                <w:highlight w:val="none"/>
                <w:lang w:val="en-US" w:eastAsia="zh-CN"/>
              </w:rPr>
              <w:t>1</w:t>
            </w:r>
          </w:p>
        </w:tc>
        <w:tc>
          <w:tcPr>
            <w:tcW w:w="1701"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装修及改造设计</w:t>
            </w:r>
          </w:p>
        </w:tc>
        <w:tc>
          <w:tcPr>
            <w:tcW w:w="804" w:type="pct"/>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color w:val="auto"/>
                <w:kern w:val="0"/>
                <w:sz w:val="24"/>
                <w:highlight w:val="none"/>
                <w:lang w:val="zh-CN"/>
              </w:rPr>
            </w:pPr>
          </w:p>
        </w:tc>
        <w:tc>
          <w:tcPr>
            <w:tcW w:w="1978" w:type="pct"/>
            <w:tcBorders>
              <w:top w:val="single" w:color="auto" w:sz="6" w:space="0"/>
              <w:left w:val="single" w:color="auto" w:sz="6" w:space="0"/>
              <w:right w:val="double" w:color="auto" w:sz="4" w:space="0"/>
            </w:tcBorders>
            <w:vAlign w:val="center"/>
          </w:tcPr>
          <w:p>
            <w:pPr>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en-US" w:eastAsia="zh-CN"/>
              </w:rPr>
              <w:t xml:space="preserve"> </w:t>
            </w:r>
            <w:r>
              <w:rPr>
                <w:rFonts w:hint="eastAsia" w:ascii="仿宋" w:hAnsi="仿宋" w:eastAsia="仿宋" w:cs="仿宋"/>
                <w:color w:val="auto"/>
                <w:kern w:val="0"/>
                <w:sz w:val="24"/>
                <w:szCs w:val="24"/>
                <w:highlight w:val="none"/>
                <w:lang w:val="zh-CN"/>
              </w:rPr>
              <w:t>装修及改造</w:t>
            </w:r>
            <w:r>
              <w:rPr>
                <w:rFonts w:hint="eastAsia" w:ascii="仿宋" w:hAnsi="仿宋" w:eastAsia="仿宋" w:cs="仿宋"/>
                <w:color w:val="auto"/>
                <w:kern w:val="0"/>
                <w:sz w:val="24"/>
                <w:highlight w:val="none"/>
                <w:lang w:val="en-US" w:eastAsia="zh-CN"/>
              </w:rPr>
              <w:t>设计</w:t>
            </w:r>
            <w:r>
              <w:rPr>
                <w:rFonts w:hint="eastAsia" w:ascii="仿宋" w:hAnsi="仿宋" w:eastAsia="仿宋" w:cs="仿宋"/>
                <w:color w:val="auto"/>
                <w:kern w:val="0"/>
                <w:sz w:val="24"/>
                <w:highlight w:val="none"/>
                <w:lang w:val="zh-CN"/>
              </w:rPr>
              <w:t>上限价</w:t>
            </w:r>
            <w:r>
              <w:rPr>
                <w:rFonts w:hint="eastAsia" w:ascii="仿宋" w:hAnsi="仿宋" w:eastAsia="仿宋" w:cs="仿宋"/>
                <w:color w:val="auto"/>
                <w:kern w:val="0"/>
                <w:sz w:val="24"/>
                <w:highlight w:val="none"/>
                <w:u w:val="single"/>
                <w:lang w:val="en-US" w:eastAsia="zh-CN"/>
              </w:rPr>
              <w:t>2万</w:t>
            </w:r>
            <w:r>
              <w:rPr>
                <w:rFonts w:hint="eastAsia" w:ascii="仿宋" w:hAnsi="仿宋" w:eastAsia="仿宋" w:cs="仿宋"/>
                <w:color w:val="auto"/>
                <w:kern w:val="0"/>
                <w:sz w:val="24"/>
                <w:highlight w:val="none"/>
                <w:lang w:val="en-US" w:eastAsia="zh-CN"/>
              </w:rPr>
              <w:t xml:space="preserve">元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67" w:hRule="atLeast"/>
        </w:trPr>
        <w:tc>
          <w:tcPr>
            <w:tcW w:w="516" w:type="pct"/>
            <w:vMerge w:val="restart"/>
            <w:tcBorders>
              <w:left w:val="double" w:color="auto" w:sz="4" w:space="0"/>
              <w:right w:val="single" w:color="auto" w:sz="6" w:space="0"/>
            </w:tcBorders>
            <w:vAlign w:val="center"/>
          </w:tcPr>
          <w:p>
            <w:pPr>
              <w:jc w:val="center"/>
              <w:rPr>
                <w:rFonts w:hint="default"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2</w:t>
            </w:r>
          </w:p>
        </w:tc>
        <w:tc>
          <w:tcPr>
            <w:tcW w:w="1701" w:type="pct"/>
            <w:vMerge w:val="restart"/>
            <w:tcBorders>
              <w:top w:val="single" w:color="auto" w:sz="6" w:space="0"/>
              <w:left w:val="single" w:color="auto" w:sz="6" w:space="0"/>
              <w:right w:val="single" w:color="auto" w:sz="6" w:space="0"/>
            </w:tcBorders>
            <w:vAlign w:val="center"/>
          </w:tcPr>
          <w:p>
            <w:pPr>
              <w:widowControl/>
              <w:jc w:val="center"/>
              <w:textAlignment w:val="center"/>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bidi="ar"/>
              </w:rPr>
              <w:t>装修及改造施工</w:t>
            </w:r>
            <w:r>
              <w:rPr>
                <w:rFonts w:hint="eastAsia" w:ascii="仿宋" w:hAnsi="仿宋" w:eastAsia="仿宋" w:cs="仿宋"/>
                <w:color w:val="auto"/>
                <w:kern w:val="0"/>
                <w:sz w:val="24"/>
                <w:szCs w:val="24"/>
                <w:highlight w:val="none"/>
                <w:lang w:bidi="ar"/>
              </w:rPr>
              <w:t>下浮率报价：</w:t>
            </w:r>
          </w:p>
        </w:tc>
        <w:tc>
          <w:tcPr>
            <w:tcW w:w="804" w:type="pct"/>
            <w:tcBorders>
              <w:top w:val="single" w:color="auto" w:sz="6" w:space="0"/>
              <w:left w:val="single" w:color="auto" w:sz="6" w:space="0"/>
              <w:bottom w:val="single" w:color="auto" w:sz="6" w:space="0"/>
              <w:right w:val="single" w:color="auto" w:sz="6" w:space="0"/>
            </w:tcBorders>
            <w:vAlign w:val="center"/>
          </w:tcPr>
          <w:p>
            <w:pPr>
              <w:jc w:val="center"/>
              <w:rPr>
                <w:rFonts w:hint="default"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368000</w:t>
            </w:r>
          </w:p>
        </w:tc>
        <w:tc>
          <w:tcPr>
            <w:tcW w:w="1978" w:type="pct"/>
            <w:tcBorders>
              <w:top w:val="single" w:color="auto" w:sz="6" w:space="0"/>
              <w:left w:val="single" w:color="auto" w:sz="6" w:space="0"/>
              <w:right w:val="double" w:color="auto" w:sz="4" w:space="0"/>
            </w:tcBorders>
            <w:vAlign w:val="center"/>
          </w:tcPr>
          <w:p>
            <w:pPr>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szCs w:val="24"/>
                <w:highlight w:val="none"/>
                <w:lang w:val="zh-CN"/>
              </w:rPr>
              <w:t>装修及改造</w:t>
            </w:r>
            <w:r>
              <w:rPr>
                <w:rFonts w:hint="eastAsia" w:ascii="仿宋" w:hAnsi="仿宋" w:eastAsia="仿宋" w:cs="仿宋"/>
                <w:color w:val="auto"/>
                <w:kern w:val="0"/>
                <w:sz w:val="24"/>
                <w:highlight w:val="none"/>
                <w:lang w:val="en-US" w:eastAsia="zh-CN"/>
              </w:rPr>
              <w:t>施工</w:t>
            </w:r>
            <w:r>
              <w:rPr>
                <w:rFonts w:hint="eastAsia" w:ascii="仿宋" w:hAnsi="仿宋" w:eastAsia="仿宋" w:cs="仿宋"/>
                <w:color w:val="auto"/>
                <w:kern w:val="0"/>
                <w:sz w:val="24"/>
                <w:highlight w:val="none"/>
                <w:lang w:val="zh-CN"/>
              </w:rPr>
              <w:t>单项报价=上限价（</w:t>
            </w:r>
            <w:r>
              <w:rPr>
                <w:rFonts w:hint="eastAsia" w:ascii="仿宋" w:hAnsi="仿宋" w:eastAsia="仿宋" w:cs="仿宋"/>
                <w:color w:val="auto"/>
                <w:kern w:val="0"/>
                <w:sz w:val="24"/>
                <w:highlight w:val="none"/>
                <w:lang w:val="en-US" w:eastAsia="zh-CN"/>
              </w:rPr>
              <w:t>400000元</w:t>
            </w:r>
            <w:r>
              <w:rPr>
                <w:rFonts w:hint="eastAsia" w:ascii="仿宋" w:hAnsi="仿宋" w:eastAsia="仿宋" w:cs="仿宋"/>
                <w:color w:val="auto"/>
                <w:kern w:val="0"/>
                <w:sz w:val="24"/>
                <w:highlight w:val="none"/>
                <w:lang w:val="zh-CN"/>
              </w:rPr>
              <w:t>）*（1-下浮率报价）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0" w:hRule="atLeast"/>
        </w:trPr>
        <w:tc>
          <w:tcPr>
            <w:tcW w:w="516" w:type="pct"/>
            <w:vMerge w:val="continue"/>
            <w:tcBorders>
              <w:left w:val="double" w:color="auto" w:sz="4" w:space="0"/>
              <w:bottom w:val="single" w:color="auto" w:sz="6" w:space="0"/>
              <w:right w:val="single" w:color="auto" w:sz="6" w:space="0"/>
            </w:tcBorders>
            <w:vAlign w:val="center"/>
          </w:tcPr>
          <w:p>
            <w:pPr>
              <w:jc w:val="center"/>
              <w:rPr>
                <w:rFonts w:hint="eastAsia" w:ascii="仿宋" w:hAnsi="仿宋" w:eastAsia="仿宋" w:cs="仿宋"/>
                <w:color w:val="auto"/>
                <w:kern w:val="0"/>
                <w:sz w:val="24"/>
                <w:highlight w:val="none"/>
                <w:lang w:val="en-US" w:eastAsia="zh-CN"/>
              </w:rPr>
            </w:pPr>
          </w:p>
        </w:tc>
        <w:tc>
          <w:tcPr>
            <w:tcW w:w="1701" w:type="pct"/>
            <w:vMerge w:val="continue"/>
            <w:tcBorders>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auto"/>
                <w:kern w:val="0"/>
                <w:sz w:val="24"/>
                <w:szCs w:val="24"/>
                <w:highlight w:val="none"/>
                <w:lang w:val="zh-CN"/>
              </w:rPr>
            </w:pPr>
          </w:p>
        </w:tc>
        <w:tc>
          <w:tcPr>
            <w:tcW w:w="2782" w:type="pct"/>
            <w:gridSpan w:val="2"/>
            <w:tcBorders>
              <w:top w:val="single" w:color="auto" w:sz="6" w:space="0"/>
              <w:left w:val="single" w:color="auto" w:sz="6" w:space="0"/>
              <w:bottom w:val="single" w:color="auto" w:sz="6" w:space="0"/>
              <w:right w:val="double" w:color="auto" w:sz="4" w:space="0"/>
            </w:tcBorders>
            <w:vAlign w:val="center"/>
          </w:tcPr>
          <w:p>
            <w:pPr>
              <w:jc w:val="left"/>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zh-CN"/>
              </w:rPr>
              <w:t>下浮率报价：</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u w:val="single"/>
                <w:lang w:val="en-US" w:eastAsia="zh-CN"/>
              </w:rPr>
              <w:t>8.00</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 xml:space="preserve"> %，下浮率不作调整，结算时以审定后的招标人参考标底为基数。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516" w:type="pct"/>
            <w:tcBorders>
              <w:top w:val="single" w:color="auto" w:sz="6" w:space="0"/>
              <w:left w:val="double" w:color="auto" w:sz="4" w:space="0"/>
              <w:bottom w:val="single" w:color="auto" w:sz="6" w:space="0"/>
              <w:right w:val="single" w:color="auto" w:sz="6" w:space="0"/>
            </w:tcBorders>
            <w:vAlign w:val="center"/>
          </w:tcPr>
          <w:p>
            <w:pPr>
              <w:jc w:val="center"/>
              <w:rPr>
                <w:rFonts w:hint="default"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3</w:t>
            </w:r>
          </w:p>
        </w:tc>
        <w:tc>
          <w:tcPr>
            <w:tcW w:w="1701"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空间软装及道具</w:t>
            </w:r>
          </w:p>
        </w:tc>
        <w:tc>
          <w:tcPr>
            <w:tcW w:w="804" w:type="pct"/>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color w:val="auto"/>
                <w:kern w:val="0"/>
                <w:sz w:val="24"/>
                <w:highlight w:val="none"/>
                <w:lang w:val="zh-CN"/>
              </w:rPr>
            </w:pPr>
          </w:p>
        </w:tc>
        <w:tc>
          <w:tcPr>
            <w:tcW w:w="1978" w:type="pct"/>
            <w:tcBorders>
              <w:top w:val="single" w:color="auto" w:sz="6" w:space="0"/>
              <w:left w:val="single" w:color="auto" w:sz="6" w:space="0"/>
              <w:bottom w:val="single" w:color="auto" w:sz="6" w:space="0"/>
              <w:right w:val="double" w:color="auto" w:sz="4" w:space="0"/>
            </w:tcBorders>
            <w:vAlign w:val="center"/>
          </w:tcPr>
          <w:p>
            <w:pPr>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需附明细报价表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516" w:type="pct"/>
            <w:tcBorders>
              <w:top w:val="single" w:color="auto" w:sz="6" w:space="0"/>
              <w:left w:val="double" w:color="auto" w:sz="4" w:space="0"/>
              <w:bottom w:val="single" w:color="auto" w:sz="6" w:space="0"/>
              <w:right w:val="single" w:color="auto" w:sz="6" w:space="0"/>
            </w:tcBorders>
            <w:vAlign w:val="center"/>
          </w:tcPr>
          <w:p>
            <w:pPr>
              <w:jc w:val="center"/>
              <w:rPr>
                <w:rFonts w:hint="eastAsia" w:ascii="仿宋" w:hAnsi="仿宋" w:eastAsia="仿宋" w:cs="仿宋"/>
                <w:color w:val="auto"/>
                <w:kern w:val="0"/>
                <w:sz w:val="24"/>
                <w:highlight w:val="none"/>
                <w:lang w:val="en-US" w:eastAsia="zh-CN" w:bidi="ar-SA"/>
              </w:rPr>
            </w:pPr>
            <w:r>
              <w:rPr>
                <w:rFonts w:hint="eastAsia" w:ascii="仿宋" w:hAnsi="仿宋" w:eastAsia="仿宋" w:cs="仿宋"/>
                <w:color w:val="auto"/>
                <w:kern w:val="0"/>
                <w:sz w:val="24"/>
                <w:highlight w:val="none"/>
                <w:lang w:val="en-US" w:eastAsia="zh-CN"/>
              </w:rPr>
              <w:t>4</w:t>
            </w:r>
          </w:p>
        </w:tc>
        <w:tc>
          <w:tcPr>
            <w:tcW w:w="1701"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多媒体硬件系统</w:t>
            </w:r>
          </w:p>
        </w:tc>
        <w:tc>
          <w:tcPr>
            <w:tcW w:w="804" w:type="pct"/>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color w:val="auto"/>
                <w:kern w:val="0"/>
                <w:sz w:val="24"/>
                <w:highlight w:val="none"/>
                <w:lang w:val="zh-CN"/>
              </w:rPr>
            </w:pPr>
          </w:p>
        </w:tc>
        <w:tc>
          <w:tcPr>
            <w:tcW w:w="1978" w:type="pct"/>
            <w:tcBorders>
              <w:top w:val="single" w:color="auto" w:sz="6" w:space="0"/>
              <w:left w:val="single" w:color="auto" w:sz="6" w:space="0"/>
              <w:bottom w:val="single" w:color="auto" w:sz="6" w:space="0"/>
              <w:right w:val="double" w:color="auto" w:sz="4" w:space="0"/>
            </w:tcBorders>
            <w:vAlign w:val="center"/>
          </w:tcPr>
          <w:p>
            <w:pPr>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需附明细报价表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516" w:type="pct"/>
            <w:tcBorders>
              <w:top w:val="single" w:color="auto" w:sz="6" w:space="0"/>
              <w:left w:val="double" w:color="auto" w:sz="4" w:space="0"/>
              <w:bottom w:val="single" w:color="auto" w:sz="6" w:space="0"/>
              <w:right w:val="single" w:color="auto" w:sz="6" w:space="0"/>
            </w:tcBorders>
            <w:vAlign w:val="center"/>
          </w:tcPr>
          <w:p>
            <w:pPr>
              <w:jc w:val="center"/>
              <w:rPr>
                <w:rFonts w:hint="eastAsia" w:ascii="仿宋" w:hAnsi="仿宋" w:eastAsia="仿宋" w:cs="仿宋"/>
                <w:color w:val="auto"/>
                <w:kern w:val="0"/>
                <w:sz w:val="24"/>
                <w:highlight w:val="none"/>
                <w:lang w:val="en-US" w:eastAsia="zh-CN" w:bidi="ar-SA"/>
              </w:rPr>
            </w:pPr>
            <w:r>
              <w:rPr>
                <w:rFonts w:hint="eastAsia" w:ascii="仿宋" w:hAnsi="仿宋" w:eastAsia="仿宋" w:cs="仿宋"/>
                <w:color w:val="auto"/>
                <w:kern w:val="0"/>
                <w:sz w:val="24"/>
                <w:highlight w:val="none"/>
                <w:lang w:val="en-US" w:eastAsia="zh-CN"/>
              </w:rPr>
              <w:t>5</w:t>
            </w:r>
          </w:p>
        </w:tc>
        <w:tc>
          <w:tcPr>
            <w:tcW w:w="1701"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auto"/>
                <w:kern w:val="0"/>
                <w:sz w:val="24"/>
                <w:szCs w:val="24"/>
                <w:highlight w:val="none"/>
                <w:lang w:val="zh-CN" w:eastAsia="zh-CN" w:bidi="ar-SA"/>
              </w:rPr>
            </w:pPr>
            <w:r>
              <w:rPr>
                <w:rFonts w:hint="eastAsia" w:ascii="仿宋" w:hAnsi="仿宋" w:eastAsia="仿宋" w:cs="仿宋"/>
                <w:color w:val="auto"/>
                <w:kern w:val="0"/>
                <w:sz w:val="24"/>
                <w:szCs w:val="24"/>
                <w:highlight w:val="none"/>
              </w:rPr>
              <w:t>监控系统</w:t>
            </w:r>
          </w:p>
        </w:tc>
        <w:tc>
          <w:tcPr>
            <w:tcW w:w="804" w:type="pct"/>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color w:val="auto"/>
                <w:kern w:val="0"/>
                <w:sz w:val="24"/>
                <w:highlight w:val="none"/>
                <w:lang w:val="zh-CN"/>
              </w:rPr>
            </w:pPr>
          </w:p>
        </w:tc>
        <w:tc>
          <w:tcPr>
            <w:tcW w:w="1978" w:type="pct"/>
            <w:tcBorders>
              <w:top w:val="single" w:color="auto" w:sz="6" w:space="0"/>
              <w:left w:val="single" w:color="auto" w:sz="6" w:space="0"/>
              <w:bottom w:val="single" w:color="auto" w:sz="6" w:space="0"/>
              <w:right w:val="double" w:color="auto" w:sz="4" w:space="0"/>
            </w:tcBorders>
            <w:vAlign w:val="center"/>
          </w:tcPr>
          <w:p>
            <w:pPr>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需附明细报价表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516" w:type="pct"/>
            <w:tcBorders>
              <w:top w:val="single" w:color="auto" w:sz="6" w:space="0"/>
              <w:left w:val="double" w:color="auto" w:sz="4" w:space="0"/>
              <w:bottom w:val="single" w:color="auto" w:sz="6" w:space="0"/>
              <w:right w:val="single" w:color="auto" w:sz="6" w:space="0"/>
            </w:tcBorders>
            <w:vAlign w:val="center"/>
          </w:tcPr>
          <w:p>
            <w:pPr>
              <w:jc w:val="center"/>
              <w:rPr>
                <w:rFonts w:hint="eastAsia" w:ascii="仿宋" w:hAnsi="仿宋" w:eastAsia="仿宋" w:cs="仿宋"/>
                <w:color w:val="auto"/>
                <w:kern w:val="0"/>
                <w:sz w:val="24"/>
                <w:highlight w:val="none"/>
                <w:lang w:val="en-US" w:eastAsia="zh-CN" w:bidi="ar-SA"/>
              </w:rPr>
            </w:pPr>
            <w:r>
              <w:rPr>
                <w:rFonts w:hint="eastAsia" w:ascii="仿宋" w:hAnsi="仿宋" w:eastAsia="仿宋" w:cs="仿宋"/>
                <w:color w:val="auto"/>
                <w:kern w:val="0"/>
                <w:sz w:val="24"/>
                <w:highlight w:val="none"/>
                <w:lang w:val="en-US" w:eastAsia="zh-CN"/>
              </w:rPr>
              <w:t>6</w:t>
            </w:r>
          </w:p>
        </w:tc>
        <w:tc>
          <w:tcPr>
            <w:tcW w:w="1701"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rPr>
              <w:t>消防应急灯系统</w:t>
            </w:r>
          </w:p>
        </w:tc>
        <w:tc>
          <w:tcPr>
            <w:tcW w:w="804" w:type="pct"/>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color w:val="auto"/>
                <w:kern w:val="0"/>
                <w:sz w:val="24"/>
                <w:highlight w:val="none"/>
                <w:lang w:val="zh-CN"/>
              </w:rPr>
            </w:pPr>
          </w:p>
        </w:tc>
        <w:tc>
          <w:tcPr>
            <w:tcW w:w="1978" w:type="pct"/>
            <w:tcBorders>
              <w:top w:val="single" w:color="auto" w:sz="6" w:space="0"/>
              <w:left w:val="single" w:color="auto" w:sz="6" w:space="0"/>
              <w:bottom w:val="single" w:color="auto" w:sz="6" w:space="0"/>
              <w:right w:val="double" w:color="auto" w:sz="4" w:space="0"/>
            </w:tcBorders>
            <w:vAlign w:val="center"/>
          </w:tcPr>
          <w:p>
            <w:pPr>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需附明细报价表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8" w:hRule="atLeast"/>
        </w:trPr>
        <w:tc>
          <w:tcPr>
            <w:tcW w:w="516" w:type="pct"/>
            <w:tcBorders>
              <w:top w:val="single" w:color="auto" w:sz="6" w:space="0"/>
              <w:left w:val="double" w:color="auto" w:sz="4" w:space="0"/>
              <w:bottom w:val="single" w:color="auto" w:sz="6" w:space="0"/>
              <w:right w:val="single" w:color="auto" w:sz="6" w:space="0"/>
            </w:tcBorders>
            <w:vAlign w:val="center"/>
          </w:tcPr>
          <w:p>
            <w:pPr>
              <w:jc w:val="center"/>
              <w:rPr>
                <w:rFonts w:hint="default" w:ascii="仿宋" w:hAnsi="仿宋" w:eastAsia="仿宋" w:cs="仿宋"/>
                <w:color w:val="auto"/>
                <w:kern w:val="0"/>
                <w:sz w:val="24"/>
                <w:highlight w:val="none"/>
                <w:lang w:val="en-US" w:eastAsia="zh-CN" w:bidi="ar-SA"/>
              </w:rPr>
            </w:pPr>
            <w:r>
              <w:rPr>
                <w:rFonts w:hint="eastAsia" w:ascii="仿宋" w:hAnsi="仿宋" w:eastAsia="仿宋" w:cs="仿宋"/>
                <w:color w:val="auto"/>
                <w:kern w:val="0"/>
                <w:sz w:val="24"/>
                <w:highlight w:val="none"/>
                <w:lang w:val="en-US" w:eastAsia="zh-CN"/>
              </w:rPr>
              <w:t>7</w:t>
            </w:r>
          </w:p>
        </w:tc>
        <w:tc>
          <w:tcPr>
            <w:tcW w:w="1701"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空调系统</w:t>
            </w:r>
          </w:p>
        </w:tc>
        <w:tc>
          <w:tcPr>
            <w:tcW w:w="804" w:type="pct"/>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color w:val="auto"/>
                <w:kern w:val="0"/>
                <w:sz w:val="24"/>
                <w:highlight w:val="none"/>
                <w:lang w:val="zh-CN"/>
              </w:rPr>
            </w:pPr>
          </w:p>
        </w:tc>
        <w:tc>
          <w:tcPr>
            <w:tcW w:w="1978" w:type="pct"/>
            <w:tcBorders>
              <w:top w:val="single" w:color="auto" w:sz="6" w:space="0"/>
              <w:left w:val="single" w:color="auto" w:sz="6" w:space="0"/>
              <w:bottom w:val="single" w:color="auto" w:sz="6" w:space="0"/>
              <w:right w:val="double" w:color="auto" w:sz="4" w:space="0"/>
            </w:tcBorders>
            <w:vAlign w:val="center"/>
          </w:tcPr>
          <w:p>
            <w:pPr>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需附明细报价表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8" w:hRule="atLeast"/>
        </w:trPr>
        <w:tc>
          <w:tcPr>
            <w:tcW w:w="516" w:type="pct"/>
            <w:tcBorders>
              <w:top w:val="single" w:color="auto" w:sz="6" w:space="0"/>
              <w:left w:val="double" w:color="auto" w:sz="4" w:space="0"/>
              <w:bottom w:val="single" w:color="auto" w:sz="6" w:space="0"/>
              <w:right w:val="single" w:color="auto" w:sz="6" w:space="0"/>
            </w:tcBorders>
            <w:vAlign w:val="center"/>
          </w:tcPr>
          <w:p>
            <w:pPr>
              <w:jc w:val="center"/>
              <w:rPr>
                <w:rFonts w:hint="default" w:ascii="仿宋" w:hAnsi="仿宋" w:eastAsia="仿宋" w:cs="仿宋"/>
                <w:color w:val="auto"/>
                <w:kern w:val="0"/>
                <w:sz w:val="24"/>
                <w:highlight w:val="none"/>
                <w:lang w:val="en-US" w:eastAsia="zh-CN" w:bidi="ar-SA"/>
              </w:rPr>
            </w:pPr>
            <w:r>
              <w:rPr>
                <w:rFonts w:hint="eastAsia" w:ascii="仿宋" w:hAnsi="仿宋" w:eastAsia="仿宋" w:cs="仿宋"/>
                <w:color w:val="auto"/>
                <w:kern w:val="0"/>
                <w:sz w:val="24"/>
                <w:highlight w:val="none"/>
                <w:lang w:val="en-US" w:eastAsia="zh-CN"/>
              </w:rPr>
              <w:t>8</w:t>
            </w:r>
          </w:p>
        </w:tc>
        <w:tc>
          <w:tcPr>
            <w:tcW w:w="1701"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机房设备及线管</w:t>
            </w:r>
          </w:p>
        </w:tc>
        <w:tc>
          <w:tcPr>
            <w:tcW w:w="804" w:type="pct"/>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color w:val="auto"/>
                <w:kern w:val="0"/>
                <w:sz w:val="24"/>
                <w:highlight w:val="none"/>
                <w:lang w:val="zh-CN"/>
              </w:rPr>
            </w:pPr>
          </w:p>
        </w:tc>
        <w:tc>
          <w:tcPr>
            <w:tcW w:w="1978" w:type="pct"/>
            <w:tcBorders>
              <w:top w:val="single" w:color="auto" w:sz="6" w:space="0"/>
              <w:left w:val="single" w:color="auto" w:sz="6" w:space="0"/>
              <w:bottom w:val="single" w:color="auto" w:sz="6" w:space="0"/>
              <w:right w:val="double" w:color="auto" w:sz="4" w:space="0"/>
            </w:tcBorders>
            <w:vAlign w:val="center"/>
          </w:tcPr>
          <w:p>
            <w:pPr>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需附明细报价表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8" w:hRule="atLeast"/>
        </w:trPr>
        <w:tc>
          <w:tcPr>
            <w:tcW w:w="516" w:type="pct"/>
            <w:tcBorders>
              <w:top w:val="single" w:color="auto" w:sz="6" w:space="0"/>
              <w:left w:val="double" w:color="auto" w:sz="4" w:space="0"/>
              <w:bottom w:val="single" w:color="auto" w:sz="6" w:space="0"/>
              <w:right w:val="single" w:color="auto" w:sz="6" w:space="0"/>
            </w:tcBorders>
            <w:vAlign w:val="center"/>
          </w:tcPr>
          <w:p>
            <w:pPr>
              <w:jc w:val="center"/>
              <w:rPr>
                <w:rFonts w:hint="eastAsia" w:ascii="仿宋" w:hAnsi="仿宋" w:eastAsia="仿宋" w:cs="仿宋"/>
                <w:color w:val="auto"/>
                <w:kern w:val="0"/>
                <w:sz w:val="24"/>
                <w:highlight w:val="none"/>
                <w:lang w:val="en-US" w:eastAsia="zh-CN" w:bidi="ar-SA"/>
              </w:rPr>
            </w:pPr>
            <w:r>
              <w:rPr>
                <w:rFonts w:hint="eastAsia" w:ascii="仿宋" w:hAnsi="仿宋" w:eastAsia="仿宋" w:cs="仿宋"/>
                <w:color w:val="auto"/>
                <w:kern w:val="0"/>
                <w:sz w:val="24"/>
                <w:highlight w:val="none"/>
                <w:lang w:val="en-US" w:eastAsia="zh-CN"/>
              </w:rPr>
              <w:t>9</w:t>
            </w:r>
          </w:p>
        </w:tc>
        <w:tc>
          <w:tcPr>
            <w:tcW w:w="1701"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互动设备及软件</w:t>
            </w:r>
          </w:p>
        </w:tc>
        <w:tc>
          <w:tcPr>
            <w:tcW w:w="804" w:type="pct"/>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color w:val="auto"/>
                <w:kern w:val="0"/>
                <w:sz w:val="24"/>
                <w:highlight w:val="none"/>
                <w:lang w:val="zh-CN" w:eastAsia="zh-CN" w:bidi="ar-SA"/>
              </w:rPr>
            </w:pPr>
          </w:p>
        </w:tc>
        <w:tc>
          <w:tcPr>
            <w:tcW w:w="1978" w:type="pct"/>
            <w:tcBorders>
              <w:top w:val="single" w:color="auto" w:sz="6" w:space="0"/>
              <w:left w:val="single" w:color="auto" w:sz="6" w:space="0"/>
              <w:bottom w:val="single" w:color="auto" w:sz="6" w:space="0"/>
              <w:right w:val="double" w:color="auto" w:sz="4" w:space="0"/>
            </w:tcBorders>
            <w:vAlign w:val="center"/>
          </w:tcPr>
          <w:p>
            <w:pPr>
              <w:jc w:val="center"/>
              <w:rPr>
                <w:rFonts w:hint="eastAsia" w:ascii="仿宋" w:hAnsi="仿宋" w:eastAsia="仿宋" w:cs="仿宋"/>
                <w:color w:val="auto"/>
                <w:kern w:val="0"/>
                <w:sz w:val="24"/>
                <w:highlight w:val="none"/>
                <w:lang w:val="zh-CN" w:eastAsia="zh-CN" w:bidi="ar-SA"/>
              </w:rPr>
            </w:pPr>
            <w:r>
              <w:rPr>
                <w:rFonts w:hint="eastAsia" w:ascii="仿宋" w:hAnsi="仿宋" w:eastAsia="仿宋" w:cs="仿宋"/>
                <w:color w:val="auto"/>
                <w:kern w:val="0"/>
                <w:sz w:val="24"/>
                <w:highlight w:val="none"/>
                <w:lang w:val="zh-CN"/>
              </w:rPr>
              <w:t>需附明细报价表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8" w:hRule="atLeast"/>
        </w:trPr>
        <w:tc>
          <w:tcPr>
            <w:tcW w:w="516" w:type="pct"/>
            <w:tcBorders>
              <w:top w:val="single" w:color="auto" w:sz="6" w:space="0"/>
              <w:left w:val="double" w:color="auto" w:sz="4" w:space="0"/>
              <w:bottom w:val="single" w:color="auto" w:sz="6" w:space="0"/>
              <w:right w:val="single" w:color="auto" w:sz="6" w:space="0"/>
            </w:tcBorders>
            <w:vAlign w:val="center"/>
          </w:tcPr>
          <w:p>
            <w:pPr>
              <w:jc w:val="center"/>
              <w:rPr>
                <w:rFonts w:hint="default" w:ascii="仿宋" w:hAnsi="仿宋" w:eastAsia="仿宋" w:cs="仿宋"/>
                <w:color w:val="auto"/>
                <w:kern w:val="0"/>
                <w:sz w:val="24"/>
                <w:highlight w:val="none"/>
                <w:lang w:val="en-US" w:eastAsia="zh-CN" w:bidi="ar-SA"/>
              </w:rPr>
            </w:pPr>
            <w:r>
              <w:rPr>
                <w:rFonts w:hint="eastAsia" w:ascii="仿宋" w:hAnsi="仿宋" w:eastAsia="仿宋" w:cs="仿宋"/>
                <w:color w:val="auto"/>
                <w:kern w:val="0"/>
                <w:sz w:val="24"/>
                <w:highlight w:val="none"/>
                <w:lang w:val="en-US" w:eastAsia="zh-CN"/>
              </w:rPr>
              <w:t>10</w:t>
            </w:r>
          </w:p>
        </w:tc>
        <w:tc>
          <w:tcPr>
            <w:tcW w:w="1701"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eastAsia="zh-CN"/>
              </w:rPr>
              <w:t>内容创作</w:t>
            </w:r>
          </w:p>
        </w:tc>
        <w:tc>
          <w:tcPr>
            <w:tcW w:w="804" w:type="pct"/>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color w:val="auto"/>
                <w:kern w:val="0"/>
                <w:sz w:val="24"/>
                <w:highlight w:val="none"/>
                <w:lang w:val="zh-CN" w:eastAsia="zh-CN" w:bidi="ar-SA"/>
              </w:rPr>
            </w:pPr>
          </w:p>
        </w:tc>
        <w:tc>
          <w:tcPr>
            <w:tcW w:w="1978" w:type="pct"/>
            <w:tcBorders>
              <w:top w:val="single" w:color="auto" w:sz="6" w:space="0"/>
              <w:left w:val="single" w:color="auto" w:sz="6" w:space="0"/>
              <w:bottom w:val="single" w:color="auto" w:sz="6" w:space="0"/>
              <w:right w:val="double" w:color="auto" w:sz="4" w:space="0"/>
            </w:tcBorders>
            <w:vAlign w:val="center"/>
          </w:tcPr>
          <w:p>
            <w:pPr>
              <w:jc w:val="center"/>
              <w:rPr>
                <w:rFonts w:hint="eastAsia" w:ascii="仿宋" w:hAnsi="仿宋" w:eastAsia="仿宋" w:cs="仿宋"/>
                <w:color w:val="auto"/>
                <w:kern w:val="0"/>
                <w:sz w:val="24"/>
                <w:highlight w:val="none"/>
                <w:lang w:val="zh-CN" w:eastAsia="zh-CN" w:bidi="ar-SA"/>
              </w:rPr>
            </w:pPr>
            <w:r>
              <w:rPr>
                <w:rFonts w:hint="eastAsia" w:ascii="仿宋" w:hAnsi="仿宋" w:eastAsia="仿宋" w:cs="仿宋"/>
                <w:color w:val="auto"/>
                <w:kern w:val="0"/>
                <w:sz w:val="24"/>
                <w:highlight w:val="none"/>
                <w:lang w:val="zh-CN"/>
              </w:rPr>
              <w:t>需附明细报价表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8" w:hRule="atLeast"/>
        </w:trPr>
        <w:tc>
          <w:tcPr>
            <w:tcW w:w="516" w:type="pct"/>
            <w:tcBorders>
              <w:top w:val="single" w:color="auto" w:sz="6" w:space="0"/>
              <w:left w:val="double" w:color="auto" w:sz="4" w:space="0"/>
              <w:bottom w:val="single" w:color="auto" w:sz="6" w:space="0"/>
              <w:right w:val="single" w:color="auto" w:sz="6" w:space="0"/>
            </w:tcBorders>
            <w:vAlign w:val="center"/>
          </w:tcPr>
          <w:p>
            <w:pPr>
              <w:jc w:val="center"/>
              <w:rPr>
                <w:rFonts w:hint="eastAsia" w:ascii="仿宋" w:hAnsi="仿宋" w:eastAsia="仿宋" w:cs="仿宋"/>
                <w:color w:val="auto"/>
                <w:kern w:val="0"/>
                <w:sz w:val="24"/>
                <w:highlight w:val="none"/>
                <w:lang w:val="en-US" w:eastAsia="zh-CN"/>
              </w:rPr>
            </w:pPr>
          </w:p>
        </w:tc>
        <w:tc>
          <w:tcPr>
            <w:tcW w:w="1701" w:type="pct"/>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其他与项目相关的可自行扩展行数添加。</w:t>
            </w:r>
          </w:p>
        </w:tc>
        <w:tc>
          <w:tcPr>
            <w:tcW w:w="804" w:type="pct"/>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color w:val="auto"/>
                <w:kern w:val="0"/>
                <w:sz w:val="24"/>
                <w:highlight w:val="none"/>
                <w:lang w:val="zh-CN"/>
              </w:rPr>
            </w:pPr>
          </w:p>
        </w:tc>
        <w:tc>
          <w:tcPr>
            <w:tcW w:w="1978" w:type="pct"/>
            <w:tcBorders>
              <w:top w:val="single" w:color="auto" w:sz="6" w:space="0"/>
              <w:left w:val="single" w:color="auto" w:sz="6" w:space="0"/>
              <w:bottom w:val="single" w:color="auto" w:sz="6" w:space="0"/>
              <w:right w:val="double" w:color="auto" w:sz="4" w:space="0"/>
            </w:tcBorders>
            <w:vAlign w:val="center"/>
          </w:tcPr>
          <w:p>
            <w:pPr>
              <w:jc w:val="center"/>
              <w:rPr>
                <w:rFonts w:hint="eastAsia" w:ascii="仿宋" w:hAnsi="仿宋" w:eastAsia="仿宋" w:cs="仿宋"/>
                <w:color w:val="auto"/>
                <w:kern w:val="0"/>
                <w:sz w:val="24"/>
                <w:highlight w:val="none"/>
                <w:lang w:val="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2217" w:type="pct"/>
            <w:gridSpan w:val="2"/>
            <w:tcBorders>
              <w:top w:val="single" w:color="auto" w:sz="6" w:space="0"/>
              <w:left w:val="double" w:color="auto" w:sz="4" w:space="0"/>
              <w:bottom w:val="single" w:color="auto" w:sz="6" w:space="0"/>
              <w:right w:val="single" w:color="auto" w:sz="6" w:space="0"/>
            </w:tcBorders>
            <w:vAlign w:val="center"/>
          </w:tcPr>
          <w:p>
            <w:pPr>
              <w:jc w:val="center"/>
              <w:rPr>
                <w:rFonts w:hint="eastAsia"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zh-CN"/>
              </w:rPr>
              <w:t>合计（元）：</w:t>
            </w:r>
          </w:p>
        </w:tc>
        <w:tc>
          <w:tcPr>
            <w:tcW w:w="804" w:type="pct"/>
            <w:tcBorders>
              <w:top w:val="single" w:color="auto" w:sz="6" w:space="0"/>
              <w:left w:val="single" w:color="auto" w:sz="6" w:space="0"/>
              <w:bottom w:val="single" w:color="auto" w:sz="6" w:space="0"/>
              <w:right w:val="single" w:color="auto" w:sz="6" w:space="0"/>
            </w:tcBorders>
            <w:vAlign w:val="center"/>
          </w:tcPr>
          <w:p>
            <w:pPr>
              <w:jc w:val="center"/>
              <w:rPr>
                <w:rFonts w:hint="eastAsia" w:ascii="仿宋" w:hAnsi="仿宋" w:eastAsia="仿宋" w:cs="仿宋"/>
                <w:color w:val="auto"/>
                <w:kern w:val="0"/>
                <w:sz w:val="24"/>
                <w:highlight w:val="none"/>
                <w:lang w:val="zh-CN"/>
              </w:rPr>
            </w:pPr>
          </w:p>
        </w:tc>
        <w:tc>
          <w:tcPr>
            <w:tcW w:w="1978" w:type="pct"/>
            <w:tcBorders>
              <w:top w:val="single" w:color="auto" w:sz="6" w:space="0"/>
              <w:left w:val="single" w:color="auto" w:sz="6" w:space="0"/>
              <w:bottom w:val="single" w:color="auto" w:sz="6" w:space="0"/>
              <w:right w:val="double" w:color="auto" w:sz="4" w:space="0"/>
            </w:tcBorders>
            <w:vAlign w:val="center"/>
          </w:tcPr>
          <w:p>
            <w:pPr>
              <w:jc w:val="center"/>
              <w:rPr>
                <w:rFonts w:hint="eastAsia" w:ascii="仿宋" w:hAnsi="仿宋" w:eastAsia="仿宋" w:cs="仿宋"/>
                <w:color w:val="auto"/>
                <w:kern w:val="0"/>
                <w:sz w:val="24"/>
                <w:highlight w:val="none"/>
                <w:lang w:val="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5000" w:type="pct"/>
            <w:gridSpan w:val="4"/>
            <w:tcBorders>
              <w:top w:val="single" w:color="auto" w:sz="6" w:space="0"/>
              <w:left w:val="double" w:color="auto" w:sz="4" w:space="0"/>
              <w:bottom w:val="single" w:color="auto" w:sz="6" w:space="0"/>
            </w:tcBorders>
            <w:vAlign w:val="center"/>
          </w:tcPr>
          <w:p>
            <w:pP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投标总价（大写）：                     元整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5000" w:type="pct"/>
            <w:gridSpan w:val="4"/>
            <w:tcBorders>
              <w:top w:val="single" w:color="auto" w:sz="6" w:space="0"/>
              <w:left w:val="double" w:color="auto" w:sz="4" w:space="0"/>
              <w:bottom w:val="double" w:color="auto" w:sz="4" w:space="0"/>
            </w:tcBorders>
            <w:vAlign w:val="center"/>
          </w:tcPr>
          <w:p>
            <w:pPr>
              <w:rPr>
                <w:rFonts w:hint="eastAsia" w:ascii="仿宋" w:hAnsi="仿宋" w:eastAsia="仿宋" w:cs="仿宋"/>
                <w:color w:val="auto"/>
                <w:kern w:val="0"/>
                <w:sz w:val="24"/>
                <w:highlight w:val="none"/>
                <w:lang w:val="zh-CN"/>
              </w:rPr>
            </w:pPr>
            <w:r>
              <w:rPr>
                <w:rFonts w:hint="eastAsia" w:ascii="仿宋" w:hAnsi="仿宋" w:eastAsia="仿宋" w:cs="仿宋"/>
                <w:b/>
                <w:bCs/>
                <w:color w:val="auto"/>
                <w:kern w:val="0"/>
                <w:sz w:val="24"/>
                <w:highlight w:val="none"/>
                <w:lang w:val="zh-CN"/>
              </w:rPr>
              <w:t>本项目费用结算时，装修及改造施工部分按结算审定价结算（结算审定价不得超过装修及改造施工部分中标价,超过部分由供应商自行承担）；按中标设计费计算（不下浮）；空间软装及道具、多媒体硬件系统、监控系统、消防应急灯系统、空调系统、机房设备及线管、互动设备及软件、内容创作等项目由投标人自行报价，按此报价结算（不再下浮），同时，结算时供应商须提供多媒体硬件系统、监控系统、消防应急灯系统、空调系统、机房设备及线管、互动设备及软件、内容创作等项目的采购发票作为依据，若采购发票金额上浮15%后的金额小于供应商此部分中标金额的，则按采购发票金额上浮15%结算。</w:t>
            </w:r>
          </w:p>
        </w:tc>
      </w:tr>
    </w:tbl>
    <w:p>
      <w:pPr>
        <w:snapToGrid w:val="0"/>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 1.报价一经涂改，应在涂改处加盖单位公章或者由法定代表人或其授权代表签字或盖章，否则其投标作无效投标处理。</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2.招标人不接受2个(含)以上的报价或方案，若供应商在此表中有2个（含）以上的报价或方案，其投标作无效投标处理。</w:t>
      </w:r>
    </w:p>
    <w:p>
      <w:pPr>
        <w:keepNext w:val="0"/>
        <w:keepLines w:val="0"/>
        <w:pageBreakBefore w:val="0"/>
        <w:widowControl w:val="0"/>
        <w:kinsoku/>
        <w:wordWrap/>
        <w:overflowPunct/>
        <w:topLinePunct w:val="0"/>
        <w:autoSpaceDE/>
        <w:autoSpaceDN/>
        <w:bidi w:val="0"/>
        <w:adjustRightInd/>
        <w:snapToGrid w:val="0"/>
        <w:spacing w:line="440" w:lineRule="exact"/>
        <w:ind w:left="480"/>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3.有关本项目的招投标及项目实施所涉及的一切费用均计入投标报价。</w:t>
      </w:r>
    </w:p>
    <w:p>
      <w:pPr>
        <w:pStyle w:val="2"/>
        <w:keepNext w:val="0"/>
        <w:keepLines w:val="0"/>
        <w:pageBreakBefore w:val="0"/>
        <w:widowControl w:val="0"/>
        <w:kinsoku/>
        <w:wordWrap/>
        <w:overflowPunct/>
        <w:topLinePunct w:val="0"/>
        <w:autoSpaceDE/>
        <w:autoSpaceDN/>
        <w:bidi w:val="0"/>
        <w:adjustRightInd/>
        <w:spacing w:after="0" w:line="440" w:lineRule="exact"/>
        <w:ind w:left="0" w:leftChars="0" w:firstLine="480" w:firstLineChars="200"/>
        <w:textAlignment w:val="auto"/>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w:t>
      </w:r>
      <w:r>
        <w:rPr>
          <w:rFonts w:hint="eastAsia" w:ascii="仿宋" w:hAnsi="仿宋" w:eastAsia="仿宋" w:cs="仿宋"/>
          <w:color w:val="auto"/>
          <w:kern w:val="2"/>
          <w:sz w:val="24"/>
          <w:szCs w:val="24"/>
          <w:highlight w:val="none"/>
          <w:lang w:val="en-US" w:eastAsia="zh-CN" w:bidi="ar-SA"/>
        </w:rPr>
        <w:t>4</w:t>
      </w:r>
      <w:r>
        <w:rPr>
          <w:rFonts w:hint="eastAsia" w:ascii="仿宋" w:hAnsi="仿宋" w:eastAsia="仿宋" w:cs="仿宋"/>
          <w:color w:val="auto"/>
          <w:sz w:val="24"/>
          <w:highlight w:val="none"/>
          <w:lang w:val="en-US" w:eastAsia="zh-CN"/>
        </w:rPr>
        <w:t>、按</w:t>
      </w:r>
      <w:r>
        <w:rPr>
          <w:rFonts w:hint="eastAsia" w:ascii="仿宋" w:hAnsi="仿宋" w:eastAsia="仿宋" w:cs="仿宋"/>
          <w:color w:val="auto"/>
          <w:sz w:val="24"/>
          <w:highlight w:val="none"/>
          <w:lang w:val="zh-CN"/>
        </w:rPr>
        <w:t>要求附明细报价表，否则作无效标处理。</w:t>
      </w:r>
    </w:p>
    <w:p>
      <w:pPr>
        <w:ind w:firstLine="482" w:firstLineChars="200"/>
        <w:rPr>
          <w:rFonts w:hint="eastAsia" w:ascii="仿宋" w:hAnsi="仿宋" w:eastAsia="仿宋" w:cs="仿宋"/>
          <w:b/>
          <w:color w:val="auto"/>
          <w:kern w:val="0"/>
          <w:sz w:val="24"/>
          <w:highlight w:val="none"/>
          <w:u w:val="single"/>
          <w:lang w:val="zh-CN"/>
        </w:rPr>
      </w:pPr>
    </w:p>
    <w:p>
      <w:pPr>
        <w:snapToGrid w:val="0"/>
        <w:ind w:firstLine="480" w:firstLineChars="200"/>
        <w:jc w:val="left"/>
        <w:rPr>
          <w:rFonts w:hint="eastAsia" w:ascii="仿宋" w:hAnsi="仿宋" w:eastAsia="仿宋" w:cs="仿宋"/>
          <w:color w:val="auto"/>
          <w:sz w:val="24"/>
          <w:highlight w:val="none"/>
        </w:rPr>
      </w:pPr>
      <w:bookmarkStart w:id="52" w:name="_Toc64369826"/>
      <w:r>
        <w:rPr>
          <w:rFonts w:hint="eastAsia" w:ascii="仿宋" w:hAnsi="仿宋" w:eastAsia="仿宋" w:cs="仿宋"/>
          <w:color w:val="auto"/>
          <w:sz w:val="24"/>
          <w:highlight w:val="none"/>
        </w:rPr>
        <w:t xml:space="preserve">法定代表人或其授权代表签字（或盖章）：            </w:t>
      </w:r>
      <w:bookmarkEnd w:id="52"/>
    </w:p>
    <w:p>
      <w:pPr>
        <w:spacing w:line="360" w:lineRule="auto"/>
        <w:jc w:val="left"/>
        <w:outlineLvl w:val="0"/>
        <w:rPr>
          <w:rFonts w:hint="eastAsia" w:ascii="仿宋" w:hAnsi="仿宋" w:eastAsia="仿宋" w:cs="仿宋"/>
          <w:color w:val="auto"/>
          <w:sz w:val="24"/>
          <w:highlight w:val="none"/>
        </w:rPr>
      </w:pPr>
    </w:p>
    <w:p>
      <w:pPr>
        <w:snapToGrid w:val="0"/>
        <w:ind w:firstLine="480" w:firstLineChars="200"/>
        <w:jc w:val="left"/>
        <w:rPr>
          <w:rFonts w:hint="eastAsia" w:ascii="仿宋" w:hAnsi="仿宋" w:eastAsia="仿宋" w:cs="仿宋"/>
          <w:color w:val="auto"/>
          <w:sz w:val="24"/>
          <w:highlight w:val="none"/>
        </w:rPr>
      </w:pPr>
      <w:bookmarkStart w:id="53" w:name="_Toc64369827"/>
      <w:r>
        <w:rPr>
          <w:rFonts w:hint="eastAsia" w:ascii="仿宋" w:hAnsi="仿宋" w:eastAsia="仿宋" w:cs="仿宋"/>
          <w:color w:val="auto"/>
          <w:sz w:val="24"/>
          <w:highlight w:val="none"/>
        </w:rPr>
        <w:t>日期：    年   月   日</w:t>
      </w:r>
      <w:bookmarkEnd w:id="53"/>
    </w:p>
    <w:p>
      <w:pPr>
        <w:snapToGrid w:val="0"/>
        <w:ind w:firstLine="480" w:firstLineChars="200"/>
        <w:jc w:val="left"/>
        <w:rPr>
          <w:rFonts w:hint="eastAsia" w:ascii="仿宋" w:hAnsi="仿宋" w:eastAsia="仿宋" w:cs="仿宋"/>
          <w:color w:val="auto"/>
          <w:sz w:val="24"/>
          <w:highlight w:val="none"/>
        </w:rPr>
        <w:sectPr>
          <w:pgSz w:w="11907" w:h="16840"/>
          <w:pgMar w:top="1440" w:right="1236" w:bottom="1440" w:left="1803" w:header="851" w:footer="992" w:gutter="0"/>
          <w:pgBorders>
            <w:top w:val="none" w:sz="0" w:space="0"/>
            <w:left w:val="none" w:sz="0" w:space="0"/>
            <w:bottom w:val="none" w:sz="0" w:space="0"/>
            <w:right w:val="none" w:sz="0" w:space="0"/>
          </w:pgBorders>
          <w:cols w:space="720" w:num="1"/>
          <w:docGrid w:type="lines" w:linePitch="312" w:charSpace="0"/>
        </w:sectPr>
      </w:pPr>
    </w:p>
    <w:p>
      <w:pPr>
        <w:snapToGrid w:val="0"/>
        <w:spacing w:before="50" w:after="50"/>
        <w:jc w:val="lef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附件</w:t>
      </w:r>
      <w:r>
        <w:rPr>
          <w:rFonts w:hint="eastAsia" w:ascii="仿宋" w:hAnsi="仿宋" w:eastAsia="仿宋" w:cs="仿宋"/>
          <w:color w:val="auto"/>
          <w:sz w:val="30"/>
          <w:szCs w:val="30"/>
          <w:highlight w:val="none"/>
          <w:lang w:val="en-US" w:eastAsia="zh-CN"/>
        </w:rPr>
        <w:t>20</w:t>
      </w:r>
      <w:r>
        <w:rPr>
          <w:rFonts w:hint="eastAsia" w:ascii="仿宋" w:hAnsi="仿宋" w:eastAsia="仿宋" w:cs="仿宋"/>
          <w:color w:val="auto"/>
          <w:sz w:val="30"/>
          <w:szCs w:val="30"/>
          <w:highlight w:val="none"/>
        </w:rPr>
        <w:t>：</w:t>
      </w:r>
    </w:p>
    <w:p>
      <w:pPr>
        <w:widowControl w:val="0"/>
        <w:adjustRightInd/>
        <w:spacing w:before="50" w:after="50"/>
        <w:jc w:val="center"/>
        <w:rPr>
          <w:rFonts w:hint="eastAsia" w:ascii="仿宋" w:hAnsi="仿宋" w:eastAsia="仿宋" w:cs="仿宋"/>
          <w:b/>
          <w:color w:val="auto"/>
          <w:kern w:val="2"/>
          <w:sz w:val="36"/>
          <w:szCs w:val="36"/>
          <w:highlight w:val="none"/>
        </w:rPr>
      </w:pPr>
      <w:r>
        <w:rPr>
          <w:rFonts w:hint="eastAsia" w:ascii="仿宋" w:hAnsi="仿宋" w:eastAsia="仿宋" w:cs="仿宋"/>
          <w:b/>
          <w:color w:val="auto"/>
          <w:kern w:val="2"/>
          <w:sz w:val="36"/>
          <w:szCs w:val="36"/>
          <w:highlight w:val="none"/>
        </w:rPr>
        <w:t>明细报价表</w:t>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供应商地址：</w:t>
      </w:r>
      <w:r>
        <w:rPr>
          <w:rFonts w:hint="eastAsia" w:ascii="仿宋" w:hAnsi="仿宋" w:eastAsia="仿宋" w:cs="仿宋"/>
          <w:color w:val="auto"/>
          <w:sz w:val="24"/>
          <w:highlight w:val="none"/>
          <w:u w:val="single"/>
        </w:rPr>
        <w:t xml:space="preserve">                                    </w:t>
      </w:r>
    </w:p>
    <w:p>
      <w:pPr>
        <w:pStyle w:val="2"/>
        <w:ind w:left="0" w:leftChars="0" w:firstLine="0" w:firstLineChars="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标段编号：</w:t>
      </w:r>
      <w:r>
        <w:rPr>
          <w:rFonts w:hint="eastAsia" w:ascii="仿宋" w:hAnsi="仿宋" w:eastAsia="仿宋" w:cs="仿宋"/>
          <w:color w:val="auto"/>
          <w:sz w:val="24"/>
          <w:highlight w:val="none"/>
          <w:u w:val="single"/>
        </w:rPr>
        <w:t xml:space="preserve">                 </w:t>
      </w:r>
    </w:p>
    <w:p>
      <w:pPr>
        <w:pStyle w:val="2"/>
        <w:ind w:left="0" w:leftChars="0" w:firstLine="0" w:firstLineChars="0"/>
        <w:jc w:val="right"/>
        <w:rPr>
          <w:rFonts w:hint="eastAsia" w:ascii="仿宋" w:hAnsi="仿宋" w:eastAsia="仿宋" w:cs="仿宋"/>
          <w:color w:val="auto"/>
          <w:highlight w:val="none"/>
          <w:u w:val="none"/>
        </w:rPr>
      </w:pPr>
      <w:r>
        <w:rPr>
          <w:rFonts w:hint="eastAsia" w:ascii="仿宋" w:hAnsi="仿宋" w:eastAsia="仿宋" w:cs="仿宋"/>
          <w:color w:val="auto"/>
          <w:sz w:val="24"/>
          <w:highlight w:val="none"/>
          <w:u w:val="none"/>
          <w:lang w:eastAsia="zh-CN"/>
        </w:rPr>
        <w:t>单位：元</w:t>
      </w:r>
      <w:r>
        <w:rPr>
          <w:rFonts w:hint="eastAsia" w:ascii="仿宋" w:hAnsi="仿宋" w:eastAsia="仿宋" w:cs="仿宋"/>
          <w:color w:val="auto"/>
          <w:sz w:val="24"/>
          <w:highlight w:val="none"/>
          <w:u w:val="none"/>
        </w:rPr>
        <w:t xml:space="preserve"> </w:t>
      </w:r>
    </w:p>
    <w:tbl>
      <w:tblPr>
        <w:tblStyle w:val="26"/>
        <w:tblW w:w="9036"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1"/>
        <w:gridCol w:w="1975"/>
        <w:gridCol w:w="2130"/>
        <w:gridCol w:w="735"/>
        <w:gridCol w:w="780"/>
        <w:gridCol w:w="805"/>
        <w:gridCol w:w="933"/>
        <w:gridCol w:w="9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lang w:eastAsia="zh-CN"/>
              </w:rPr>
            </w:pPr>
            <w:r>
              <w:rPr>
                <w:rFonts w:hint="eastAsia" w:ascii="仿宋" w:hAnsi="仿宋" w:eastAsia="仿宋" w:cs="仿宋"/>
                <w:i w:val="0"/>
                <w:iCs w:val="0"/>
                <w:color w:val="auto"/>
                <w:sz w:val="24"/>
                <w:szCs w:val="24"/>
                <w:highlight w:val="none"/>
                <w:u w:val="none"/>
                <w:lang w:eastAsia="zh-CN"/>
              </w:rPr>
              <w:t>名称</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描述/规格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品牌</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单价</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sz w:val="24"/>
                <w:szCs w:val="24"/>
                <w:highlight w:val="none"/>
                <w:u w:val="none"/>
                <w:lang w:val="en-US" w:eastAsia="zh-CN"/>
              </w:rPr>
              <w:t>合</w:t>
            </w:r>
            <w:r>
              <w:rPr>
                <w:rFonts w:hint="eastAsia" w:ascii="仿宋" w:hAnsi="仿宋" w:eastAsia="仿宋" w:cs="仿宋"/>
                <w:i w:val="0"/>
                <w:iCs w:val="0"/>
                <w:color w:val="auto"/>
                <w:kern w:val="0"/>
                <w:sz w:val="24"/>
                <w:szCs w:val="24"/>
                <w:highlight w:val="none"/>
                <w:u w:val="none"/>
                <w:lang w:val="en-US" w:eastAsia="zh-CN" w:bidi="ar"/>
              </w:rPr>
              <w:t>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73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c>
          <w:tcPr>
            <w:tcW w:w="94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3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c>
          <w:tcPr>
            <w:tcW w:w="94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3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c>
          <w:tcPr>
            <w:tcW w:w="94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3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c>
          <w:tcPr>
            <w:tcW w:w="94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3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c>
          <w:tcPr>
            <w:tcW w:w="94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3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c>
          <w:tcPr>
            <w:tcW w:w="94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3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c>
          <w:tcPr>
            <w:tcW w:w="94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3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c>
          <w:tcPr>
            <w:tcW w:w="94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3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c>
          <w:tcPr>
            <w:tcW w:w="94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3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olor w:val="auto"/>
                <w:kern w:val="0"/>
                <w:sz w:val="24"/>
                <w:szCs w:val="24"/>
                <w:highlight w:val="none"/>
                <w:u w:val="none"/>
                <w:lang w:val="en-US" w:eastAsia="zh-CN" w:bidi="ar"/>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c>
          <w:tcPr>
            <w:tcW w:w="94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3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olor w:val="auto"/>
                <w:kern w:val="0"/>
                <w:sz w:val="24"/>
                <w:szCs w:val="24"/>
                <w:highlight w:val="none"/>
                <w:u w:val="none"/>
                <w:lang w:val="en-US" w:eastAsia="zh-CN" w:bidi="ar"/>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c>
          <w:tcPr>
            <w:tcW w:w="94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3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olor w:val="auto"/>
                <w:kern w:val="0"/>
                <w:sz w:val="24"/>
                <w:szCs w:val="24"/>
                <w:highlight w:val="none"/>
                <w:u w:val="none"/>
                <w:lang w:val="en-US" w:eastAsia="zh-CN" w:bidi="ar"/>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c>
          <w:tcPr>
            <w:tcW w:w="94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3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olor w:val="auto"/>
                <w:kern w:val="0"/>
                <w:sz w:val="24"/>
                <w:szCs w:val="24"/>
                <w:highlight w:val="none"/>
                <w:u w:val="none"/>
                <w:lang w:val="en-US" w:eastAsia="zh-CN" w:bidi="ar"/>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c>
          <w:tcPr>
            <w:tcW w:w="94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3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olor w:val="auto"/>
                <w:kern w:val="0"/>
                <w:sz w:val="24"/>
                <w:szCs w:val="24"/>
                <w:highlight w:val="none"/>
                <w:u w:val="none"/>
                <w:lang w:val="en-US" w:eastAsia="zh-CN" w:bidi="ar"/>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c>
          <w:tcPr>
            <w:tcW w:w="94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15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right"/>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合计（小写）：元</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7156"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right"/>
              <w:rPr>
                <w:rFonts w:hint="eastAsia" w:ascii="仿宋" w:hAnsi="仿宋" w:eastAsia="仿宋" w:cs="仿宋"/>
                <w:i w:val="0"/>
                <w:iCs w:val="0"/>
                <w:color w:val="auto"/>
                <w:kern w:val="2"/>
                <w:sz w:val="24"/>
                <w:szCs w:val="24"/>
                <w:highlight w:val="none"/>
                <w:u w:val="none"/>
                <w:lang w:val="en-US" w:eastAsia="zh-CN" w:bidi="ar-SA"/>
              </w:rPr>
            </w:pPr>
            <w:r>
              <w:rPr>
                <w:rFonts w:hint="eastAsia" w:ascii="仿宋" w:hAnsi="仿宋" w:eastAsia="仿宋" w:cs="仿宋"/>
                <w:i w:val="0"/>
                <w:iCs w:val="0"/>
                <w:color w:val="auto"/>
                <w:sz w:val="24"/>
                <w:szCs w:val="24"/>
                <w:highlight w:val="none"/>
                <w:u w:val="none"/>
                <w:lang w:val="en-US" w:eastAsia="zh-CN"/>
              </w:rPr>
              <w:t>合计（大写）：元</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kern w:val="2"/>
                <w:sz w:val="24"/>
                <w:szCs w:val="24"/>
                <w:highlight w:val="none"/>
                <w:u w:val="none"/>
                <w:lang w:val="en-US" w:eastAsia="zh-CN" w:bidi="ar-SA"/>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eastAsia" w:ascii="仿宋" w:hAnsi="仿宋" w:eastAsia="仿宋" w:cs="仿宋"/>
                <w:i w:val="0"/>
                <w:iCs w:val="0"/>
                <w:color w:val="auto"/>
                <w:sz w:val="24"/>
                <w:szCs w:val="24"/>
                <w:highlight w:val="none"/>
                <w:u w:val="none"/>
              </w:rPr>
            </w:pPr>
          </w:p>
        </w:tc>
      </w:tr>
    </w:tbl>
    <w:p>
      <w:pPr>
        <w:ind w:firstLine="482" w:firstLineChars="200"/>
        <w:rPr>
          <w:rFonts w:hint="eastAsia" w:ascii="仿宋" w:hAnsi="仿宋" w:eastAsia="仿宋" w:cs="仿宋"/>
          <w:b/>
          <w:color w:val="auto"/>
          <w:kern w:val="0"/>
          <w:sz w:val="24"/>
          <w:highlight w:val="none"/>
          <w:u w:val="single"/>
          <w:lang w:val="zh-CN"/>
        </w:rPr>
      </w:pPr>
    </w:p>
    <w:p>
      <w:pPr>
        <w:snapToGrid w:val="0"/>
        <w:ind w:firstLine="480" w:firstLineChars="200"/>
        <w:jc w:val="right"/>
        <w:rPr>
          <w:rFonts w:hint="eastAsia" w:ascii="仿宋" w:hAnsi="仿宋" w:eastAsia="仿宋" w:cs="仿宋"/>
          <w:color w:val="auto"/>
          <w:sz w:val="24"/>
          <w:highlight w:val="none"/>
        </w:rPr>
      </w:pPr>
    </w:p>
    <w:p>
      <w:pPr>
        <w:snapToGrid w:val="0"/>
        <w:ind w:firstLine="480" w:firstLineChars="20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法定代表人或其授权代表签字（或盖章）：            </w:t>
      </w:r>
    </w:p>
    <w:p>
      <w:pPr>
        <w:spacing w:line="360" w:lineRule="auto"/>
        <w:jc w:val="right"/>
        <w:outlineLvl w:val="0"/>
        <w:rPr>
          <w:rFonts w:hint="eastAsia" w:ascii="仿宋" w:hAnsi="仿宋" w:eastAsia="仿宋" w:cs="仿宋"/>
          <w:color w:val="auto"/>
          <w:sz w:val="24"/>
          <w:highlight w:val="none"/>
        </w:rPr>
      </w:pPr>
    </w:p>
    <w:p>
      <w:pPr>
        <w:snapToGrid w:val="0"/>
        <w:ind w:firstLine="480" w:firstLineChars="20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日期：    年   月   日</w:t>
      </w:r>
    </w:p>
    <w:p>
      <w:pPr>
        <w:snapToGrid w:val="0"/>
        <w:spacing w:before="50" w:after="50"/>
        <w:jc w:val="right"/>
        <w:rPr>
          <w:rFonts w:hint="eastAsia" w:ascii="仿宋" w:hAnsi="仿宋" w:eastAsia="仿宋" w:cs="仿宋"/>
          <w:b/>
          <w:bCs/>
          <w:color w:val="auto"/>
          <w:sz w:val="30"/>
          <w:szCs w:val="30"/>
          <w:highlight w:val="none"/>
        </w:rPr>
        <w:sectPr>
          <w:pgSz w:w="11907" w:h="16840"/>
          <w:pgMar w:top="1440" w:right="1587" w:bottom="1440" w:left="1587" w:header="851" w:footer="992" w:gutter="0"/>
          <w:pgBorders>
            <w:top w:val="none" w:sz="0" w:space="0"/>
            <w:left w:val="none" w:sz="0" w:space="0"/>
            <w:bottom w:val="none" w:sz="0" w:space="0"/>
            <w:right w:val="none" w:sz="0" w:space="0"/>
          </w:pgBorders>
          <w:cols w:space="720" w:num="1"/>
          <w:docGrid w:type="lines" w:linePitch="312" w:charSpace="0"/>
        </w:sectPr>
      </w:pPr>
    </w:p>
    <w:p>
      <w:pPr>
        <w:snapToGrid w:val="0"/>
        <w:spacing w:before="50" w:after="50"/>
        <w:jc w:val="left"/>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附件2</w:t>
      </w:r>
      <w:r>
        <w:rPr>
          <w:rFonts w:hint="eastAsia" w:ascii="仿宋" w:hAnsi="仿宋" w:eastAsia="仿宋" w:cs="仿宋"/>
          <w:b/>
          <w:bCs/>
          <w:color w:val="auto"/>
          <w:sz w:val="30"/>
          <w:szCs w:val="30"/>
          <w:highlight w:val="none"/>
          <w:lang w:val="en-US" w:eastAsia="zh-CN"/>
        </w:rPr>
        <w:t>1</w:t>
      </w:r>
      <w:r>
        <w:rPr>
          <w:rFonts w:hint="eastAsia" w:ascii="仿宋" w:hAnsi="仿宋" w:eastAsia="仿宋" w:cs="仿宋"/>
          <w:b/>
          <w:bCs/>
          <w:color w:val="auto"/>
          <w:sz w:val="30"/>
          <w:szCs w:val="30"/>
          <w:highlight w:val="none"/>
        </w:rPr>
        <w:t>（如有）：</w:t>
      </w:r>
    </w:p>
    <w:p>
      <w:pPr>
        <w:snapToGrid w:val="0"/>
        <w:spacing w:before="50" w:after="50" w:line="48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w:t>
      </w:r>
    </w:p>
    <w:p>
      <w:pPr>
        <w:snapToGrid w:val="0"/>
        <w:spacing w:before="50" w:after="5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本公司（联合体）郑重声明，根据《政府采购促进中小企业发展管理办法》 （财库﹝2020﹞46 号）的规定，本公司（联合体）参加</w:t>
      </w:r>
      <w:r>
        <w:rPr>
          <w:rFonts w:hint="eastAsia" w:ascii="仿宋" w:hAnsi="仿宋" w:eastAsia="仿宋" w:cs="仿宋"/>
          <w:color w:val="auto"/>
          <w:sz w:val="24"/>
          <w:szCs w:val="24"/>
          <w:highlight w:val="none"/>
          <w:u w:val="single"/>
        </w:rPr>
        <w:t xml:space="preserve"> （采购人名称） </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u w:val="single"/>
        </w:rPr>
        <w:t xml:space="preserve"> （项目名称） </w:t>
      </w:r>
      <w:r>
        <w:rPr>
          <w:rFonts w:hint="eastAsia" w:ascii="仿宋" w:hAnsi="仿宋" w:eastAsia="仿宋" w:cs="仿宋"/>
          <w:color w:val="auto"/>
          <w:sz w:val="24"/>
          <w:szCs w:val="24"/>
          <w:highlight w:val="none"/>
        </w:rPr>
        <w:t>采购活动，提供的货物全部由符合政策要求的中小企业制造。相关企业（含联合体中的中小企业、签订分包意向协议的中小企业）的具体情况如下：</w:t>
      </w:r>
    </w:p>
    <w:p>
      <w:pPr>
        <w:snapToGrid w:val="0"/>
        <w:spacing w:before="50" w:after="5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u w:val="single"/>
        </w:rPr>
        <w:t xml:space="preserve">    （标的名称）    </w:t>
      </w:r>
      <w:r>
        <w:rPr>
          <w:rFonts w:hint="eastAsia" w:ascii="仿宋" w:hAnsi="仿宋" w:eastAsia="仿宋" w:cs="仿宋"/>
          <w:color w:val="auto"/>
          <w:sz w:val="24"/>
          <w:szCs w:val="24"/>
          <w:highlight w:val="none"/>
        </w:rPr>
        <w:t>，属于</w:t>
      </w:r>
      <w:r>
        <w:rPr>
          <w:rFonts w:hint="eastAsia" w:ascii="仿宋" w:hAnsi="仿宋" w:eastAsia="仿宋" w:cs="仿宋"/>
          <w:color w:val="auto"/>
          <w:sz w:val="24"/>
          <w:szCs w:val="24"/>
          <w:highlight w:val="none"/>
          <w:u w:val="single"/>
        </w:rPr>
        <w:t xml:space="preserve">     （采购文件中明确的行业名称）    </w:t>
      </w:r>
      <w:r>
        <w:rPr>
          <w:rFonts w:hint="eastAsia" w:ascii="仿宋" w:hAnsi="仿宋" w:eastAsia="仿宋" w:cs="仿宋"/>
          <w:color w:val="auto"/>
          <w:sz w:val="24"/>
          <w:szCs w:val="24"/>
          <w:highlight w:val="none"/>
        </w:rPr>
        <w:t>行业 ；制造商为</w:t>
      </w:r>
      <w:r>
        <w:rPr>
          <w:rFonts w:hint="eastAsia" w:ascii="仿宋" w:hAnsi="仿宋" w:eastAsia="仿宋" w:cs="仿宋"/>
          <w:color w:val="auto"/>
          <w:sz w:val="24"/>
          <w:szCs w:val="24"/>
          <w:highlight w:val="none"/>
          <w:u w:val="single"/>
        </w:rPr>
        <w:t xml:space="preserve">   （企业名称）  </w:t>
      </w:r>
      <w:r>
        <w:rPr>
          <w:rFonts w:hint="eastAsia" w:ascii="仿宋" w:hAnsi="仿宋" w:eastAsia="仿宋" w:cs="仿宋"/>
          <w:color w:val="auto"/>
          <w:sz w:val="24"/>
          <w:szCs w:val="24"/>
          <w:highlight w:val="none"/>
        </w:rPr>
        <w:t>，从业人员</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人，营业收入为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万元，资产总额为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 ，属于</w:t>
      </w:r>
      <w:r>
        <w:rPr>
          <w:rFonts w:hint="eastAsia" w:ascii="仿宋" w:hAnsi="仿宋" w:eastAsia="仿宋" w:cs="仿宋"/>
          <w:color w:val="auto"/>
          <w:sz w:val="24"/>
          <w:szCs w:val="24"/>
          <w:highlight w:val="none"/>
          <w:u w:val="single"/>
        </w:rPr>
        <w:t xml:space="preserve">     （中型企业、小型企业、微型企业）</w:t>
      </w:r>
      <w:r>
        <w:rPr>
          <w:rFonts w:hint="eastAsia" w:ascii="仿宋" w:hAnsi="仿宋" w:eastAsia="仿宋" w:cs="仿宋"/>
          <w:color w:val="auto"/>
          <w:sz w:val="24"/>
          <w:szCs w:val="24"/>
          <w:highlight w:val="none"/>
        </w:rPr>
        <w:t xml:space="preserve"> ；</w:t>
      </w:r>
    </w:p>
    <w:p>
      <w:pPr>
        <w:snapToGrid w:val="0"/>
        <w:spacing w:before="50" w:after="5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u w:val="single"/>
        </w:rPr>
        <w:t xml:space="preserve">    （标的名称）    </w:t>
      </w:r>
      <w:r>
        <w:rPr>
          <w:rFonts w:hint="eastAsia" w:ascii="仿宋" w:hAnsi="仿宋" w:eastAsia="仿宋" w:cs="仿宋"/>
          <w:color w:val="auto"/>
          <w:sz w:val="24"/>
          <w:szCs w:val="24"/>
          <w:highlight w:val="none"/>
        </w:rPr>
        <w:t>，属于</w:t>
      </w:r>
      <w:r>
        <w:rPr>
          <w:rFonts w:hint="eastAsia" w:ascii="仿宋" w:hAnsi="仿宋" w:eastAsia="仿宋" w:cs="仿宋"/>
          <w:color w:val="auto"/>
          <w:sz w:val="24"/>
          <w:szCs w:val="24"/>
          <w:highlight w:val="none"/>
          <w:u w:val="single"/>
        </w:rPr>
        <w:t xml:space="preserve">     （采购文件中明确的行业名称）    </w:t>
      </w:r>
      <w:r>
        <w:rPr>
          <w:rFonts w:hint="eastAsia" w:ascii="仿宋" w:hAnsi="仿宋" w:eastAsia="仿宋" w:cs="仿宋"/>
          <w:color w:val="auto"/>
          <w:sz w:val="24"/>
          <w:szCs w:val="24"/>
          <w:highlight w:val="none"/>
        </w:rPr>
        <w:t>行业 ；制造商为</w:t>
      </w:r>
      <w:r>
        <w:rPr>
          <w:rFonts w:hint="eastAsia" w:ascii="仿宋" w:hAnsi="仿宋" w:eastAsia="仿宋" w:cs="仿宋"/>
          <w:color w:val="auto"/>
          <w:sz w:val="24"/>
          <w:szCs w:val="24"/>
          <w:highlight w:val="none"/>
          <w:u w:val="single"/>
        </w:rPr>
        <w:t xml:space="preserve">   （企业名称）  </w:t>
      </w:r>
      <w:r>
        <w:rPr>
          <w:rFonts w:hint="eastAsia" w:ascii="仿宋" w:hAnsi="仿宋" w:eastAsia="仿宋" w:cs="仿宋"/>
          <w:color w:val="auto"/>
          <w:sz w:val="24"/>
          <w:szCs w:val="24"/>
          <w:highlight w:val="none"/>
        </w:rPr>
        <w:t>，从业人员</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人，营业收入为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万元，资产总额为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 ，属于</w:t>
      </w:r>
      <w:r>
        <w:rPr>
          <w:rFonts w:hint="eastAsia" w:ascii="仿宋" w:hAnsi="仿宋" w:eastAsia="仿宋" w:cs="仿宋"/>
          <w:color w:val="auto"/>
          <w:sz w:val="24"/>
          <w:szCs w:val="24"/>
          <w:highlight w:val="none"/>
          <w:u w:val="single"/>
        </w:rPr>
        <w:t xml:space="preserve">     （中型企业、小型企业、微型企业）</w:t>
      </w:r>
      <w:r>
        <w:rPr>
          <w:rFonts w:hint="eastAsia" w:ascii="仿宋" w:hAnsi="仿宋" w:eastAsia="仿宋" w:cs="仿宋"/>
          <w:color w:val="auto"/>
          <w:sz w:val="24"/>
          <w:szCs w:val="24"/>
          <w:highlight w:val="none"/>
        </w:rPr>
        <w:t xml:space="preserve"> ；</w:t>
      </w:r>
    </w:p>
    <w:p>
      <w:pPr>
        <w:snapToGrid w:val="0"/>
        <w:spacing w:before="50" w:after="5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p>
      <w:pPr>
        <w:snapToGrid w:val="0"/>
        <w:spacing w:before="50" w:after="5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以上企业，不属于大企业的分支机构，不存在控股股东为大企业的情形，也不存在与大企业的负责人为同一人的情形。</w:t>
      </w:r>
    </w:p>
    <w:p>
      <w:pPr>
        <w:snapToGrid w:val="0"/>
        <w:spacing w:before="50" w:after="50"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本企业对上述声明内容的真实性负责。如有虚假，将依法承担相应责任。</w:t>
      </w:r>
    </w:p>
    <w:p>
      <w:pPr>
        <w:snapToGrid w:val="0"/>
        <w:spacing w:before="50" w:after="50" w:line="360" w:lineRule="auto"/>
        <w:ind w:firstLine="480" w:firstLineChars="200"/>
        <w:jc w:val="left"/>
        <w:rPr>
          <w:rFonts w:hint="eastAsia" w:ascii="仿宋" w:hAnsi="仿宋" w:eastAsia="仿宋" w:cs="仿宋"/>
          <w:color w:val="auto"/>
          <w:sz w:val="24"/>
          <w:szCs w:val="24"/>
          <w:highlight w:val="none"/>
        </w:rPr>
      </w:pPr>
    </w:p>
    <w:p>
      <w:pPr>
        <w:snapToGrid w:val="0"/>
        <w:spacing w:before="50" w:after="50" w:line="360" w:lineRule="auto"/>
        <w:ind w:firstLine="480" w:firstLineChars="200"/>
        <w:jc w:val="left"/>
        <w:rPr>
          <w:rFonts w:hint="eastAsia" w:ascii="仿宋" w:hAnsi="仿宋" w:eastAsia="仿宋" w:cs="仿宋"/>
          <w:color w:val="auto"/>
          <w:sz w:val="24"/>
          <w:szCs w:val="24"/>
          <w:highlight w:val="none"/>
        </w:rPr>
      </w:pPr>
    </w:p>
    <w:p>
      <w:pPr>
        <w:snapToGrid w:val="0"/>
        <w:spacing w:before="50" w:after="50" w:line="360" w:lineRule="auto"/>
        <w:ind w:firstLine="4680" w:firstLineChars="19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企业名称（盖公章）： </w:t>
      </w:r>
    </w:p>
    <w:p>
      <w:pPr>
        <w:snapToGrid w:val="0"/>
        <w:spacing w:before="50" w:after="50" w:line="360" w:lineRule="auto"/>
        <w:ind w:firstLine="4680" w:firstLineChars="195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日期：   年     月     日</w:t>
      </w:r>
    </w:p>
    <w:p>
      <w:pPr>
        <w:snapToGrid w:val="0"/>
        <w:spacing w:before="50" w:after="50" w:line="360" w:lineRule="auto"/>
        <w:ind w:firstLine="4680" w:firstLineChars="1950"/>
        <w:jc w:val="left"/>
        <w:rPr>
          <w:rFonts w:hint="eastAsia" w:ascii="仿宋" w:hAnsi="仿宋" w:eastAsia="仿宋" w:cs="仿宋"/>
          <w:color w:val="auto"/>
          <w:sz w:val="24"/>
          <w:szCs w:val="24"/>
          <w:highlight w:val="none"/>
        </w:rPr>
      </w:pPr>
    </w:p>
    <w:p>
      <w:pPr>
        <w:spacing w:line="588" w:lineRule="exact"/>
        <w:rPr>
          <w:rFonts w:hint="eastAsia" w:ascii="仿宋" w:hAnsi="仿宋" w:eastAsia="仿宋" w:cs="仿宋"/>
          <w:color w:val="auto"/>
          <w:sz w:val="24"/>
          <w:highlight w:val="none"/>
        </w:rPr>
      </w:pPr>
    </w:p>
    <w:p>
      <w:pPr>
        <w:spacing w:line="588" w:lineRule="exac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注：</w:t>
      </w:r>
    </w:p>
    <w:p>
      <w:pPr>
        <w:spacing w:line="320" w:lineRule="exac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w:t>
      </w:r>
      <w:r>
        <w:rPr>
          <w:rFonts w:hint="eastAsia" w:ascii="仿宋" w:hAnsi="仿宋" w:eastAsia="仿宋" w:cs="仿宋"/>
          <w:b/>
          <w:bCs/>
          <w:color w:val="auto"/>
          <w:sz w:val="24"/>
          <w:szCs w:val="24"/>
          <w:highlight w:val="none"/>
        </w:rPr>
        <w:t>规模划分按《工信部关于印发中小企业划型标准规定的通知（工信部联企业〔2011〕300号）》执行。从业人员、营业收入、资产总额填报上一年度数据，无上一年度数据的新成立企业可不填报。</w:t>
      </w:r>
    </w:p>
    <w:p>
      <w:pPr>
        <w:spacing w:line="320" w:lineRule="exac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2、采购机构将在中标公告发布的同时公布中标人的《中小企业声明函》，接受社会监督。《中小企业声明函》与实际情况不符的，视为投标供应商提供虚假材料投标，投标无效。</w:t>
      </w:r>
    </w:p>
    <w:p>
      <w:pPr>
        <w:spacing w:line="588" w:lineRule="exact"/>
        <w:rPr>
          <w:rFonts w:hint="eastAsia" w:ascii="仿宋" w:hAnsi="仿宋" w:eastAsia="仿宋" w:cs="仿宋"/>
          <w:b/>
          <w:color w:val="auto"/>
          <w:spacing w:val="6"/>
          <w:sz w:val="30"/>
          <w:szCs w:val="30"/>
          <w:highlight w:val="none"/>
        </w:rPr>
      </w:pPr>
      <w:bookmarkStart w:id="54" w:name="_Hlk523382353"/>
      <w:r>
        <w:rPr>
          <w:rFonts w:hint="eastAsia" w:ascii="仿宋" w:hAnsi="仿宋" w:eastAsia="仿宋" w:cs="仿宋"/>
          <w:b/>
          <w:color w:val="auto"/>
          <w:spacing w:val="6"/>
          <w:sz w:val="30"/>
          <w:szCs w:val="30"/>
          <w:highlight w:val="none"/>
        </w:rPr>
        <w:t>附件2</w:t>
      </w:r>
      <w:r>
        <w:rPr>
          <w:rFonts w:hint="eastAsia" w:ascii="仿宋" w:hAnsi="仿宋" w:eastAsia="仿宋" w:cs="仿宋"/>
          <w:b/>
          <w:color w:val="auto"/>
          <w:spacing w:val="6"/>
          <w:sz w:val="30"/>
          <w:szCs w:val="30"/>
          <w:highlight w:val="none"/>
          <w:lang w:val="en-US" w:eastAsia="zh-CN"/>
        </w:rPr>
        <w:t>2</w:t>
      </w:r>
      <w:r>
        <w:rPr>
          <w:rFonts w:hint="eastAsia" w:ascii="仿宋" w:hAnsi="仿宋" w:eastAsia="仿宋" w:cs="仿宋"/>
          <w:b/>
          <w:color w:val="auto"/>
          <w:spacing w:val="6"/>
          <w:sz w:val="30"/>
          <w:szCs w:val="30"/>
          <w:highlight w:val="none"/>
        </w:rPr>
        <w:t>（如有）：</w:t>
      </w:r>
    </w:p>
    <w:bookmarkEnd w:id="54"/>
    <w:p>
      <w:pPr>
        <w:spacing w:line="588" w:lineRule="exact"/>
        <w:ind w:firstLine="667"/>
        <w:jc w:val="center"/>
        <w:rPr>
          <w:rFonts w:hint="eastAsia" w:ascii="仿宋" w:hAnsi="仿宋" w:eastAsia="仿宋" w:cs="仿宋"/>
          <w:b/>
          <w:color w:val="auto"/>
          <w:spacing w:val="6"/>
          <w:sz w:val="32"/>
          <w:szCs w:val="32"/>
          <w:highlight w:val="none"/>
        </w:rPr>
      </w:pPr>
    </w:p>
    <w:p>
      <w:pPr>
        <w:spacing w:line="588" w:lineRule="exact"/>
        <w:ind w:firstLine="667"/>
        <w:jc w:val="center"/>
        <w:rPr>
          <w:rFonts w:hint="eastAsia" w:ascii="仿宋" w:hAnsi="仿宋" w:eastAsia="仿宋" w:cs="仿宋"/>
          <w:b/>
          <w:color w:val="auto"/>
          <w:spacing w:val="6"/>
          <w:sz w:val="36"/>
          <w:szCs w:val="36"/>
          <w:highlight w:val="none"/>
        </w:rPr>
      </w:pPr>
      <w:r>
        <w:rPr>
          <w:rFonts w:hint="eastAsia" w:ascii="仿宋" w:hAnsi="仿宋" w:eastAsia="仿宋" w:cs="仿宋"/>
          <w:b/>
          <w:color w:val="auto"/>
          <w:spacing w:val="6"/>
          <w:sz w:val="36"/>
          <w:szCs w:val="36"/>
          <w:highlight w:val="none"/>
        </w:rPr>
        <w:t>残疾人福利性单位声明函</w:t>
      </w:r>
    </w:p>
    <w:p>
      <w:pPr>
        <w:spacing w:line="588" w:lineRule="exact"/>
        <w:ind w:firstLine="626"/>
        <w:rPr>
          <w:rFonts w:hint="eastAsia" w:ascii="仿宋" w:hAnsi="仿宋" w:eastAsia="仿宋" w:cs="仿宋"/>
          <w:b/>
          <w:color w:val="auto"/>
          <w:spacing w:val="6"/>
          <w:sz w:val="30"/>
          <w:szCs w:val="30"/>
          <w:highlight w:val="none"/>
        </w:rPr>
      </w:pPr>
    </w:p>
    <w:p>
      <w:pPr>
        <w:spacing w:line="588"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仿宋"/>
          <w:color w:val="auto"/>
          <w:sz w:val="24"/>
          <w:highlight w:val="none"/>
          <w:u w:val="single"/>
        </w:rPr>
        <w:t xml:space="preserve">  （请填写采购人名称）  </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u w:val="single"/>
        </w:rPr>
        <w:t xml:space="preserve">  （请填写项目名称）  </w:t>
      </w:r>
      <w:r>
        <w:rPr>
          <w:rFonts w:hint="eastAsia" w:ascii="仿宋" w:hAnsi="仿宋" w:eastAsia="仿宋" w:cs="仿宋"/>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588" w:lineRule="exact"/>
        <w:ind w:firstLine="480"/>
        <w:rPr>
          <w:rFonts w:hint="eastAsia" w:ascii="仿宋" w:hAnsi="仿宋" w:eastAsia="仿宋" w:cs="仿宋"/>
          <w:color w:val="auto"/>
          <w:sz w:val="24"/>
          <w:highlight w:val="none"/>
        </w:rPr>
      </w:pPr>
    </w:p>
    <w:p>
      <w:pPr>
        <w:spacing w:line="588" w:lineRule="exact"/>
        <w:ind w:firstLine="480"/>
        <w:rPr>
          <w:rFonts w:hint="eastAsia" w:ascii="仿宋" w:hAnsi="仿宋" w:eastAsia="仿宋" w:cs="仿宋"/>
          <w:color w:val="auto"/>
          <w:sz w:val="24"/>
          <w:highlight w:val="none"/>
        </w:rPr>
      </w:pPr>
    </w:p>
    <w:p>
      <w:pPr>
        <w:spacing w:line="588" w:lineRule="exact"/>
        <w:ind w:firstLine="480"/>
        <w:rPr>
          <w:rFonts w:hint="eastAsia" w:ascii="仿宋" w:hAnsi="仿宋" w:eastAsia="仿宋" w:cs="仿宋"/>
          <w:color w:val="auto"/>
          <w:sz w:val="24"/>
          <w:highlight w:val="none"/>
        </w:rPr>
      </w:pPr>
    </w:p>
    <w:p>
      <w:pPr>
        <w:spacing w:line="588" w:lineRule="exact"/>
        <w:ind w:firstLine="480"/>
        <w:rPr>
          <w:rFonts w:hint="eastAsia" w:ascii="仿宋" w:hAnsi="仿宋" w:eastAsia="仿宋" w:cs="仿宋"/>
          <w:color w:val="auto"/>
          <w:sz w:val="24"/>
          <w:highlight w:val="none"/>
        </w:rPr>
      </w:pPr>
    </w:p>
    <w:p>
      <w:pPr>
        <w:spacing w:line="588" w:lineRule="exact"/>
        <w:ind w:firstLine="480"/>
        <w:rPr>
          <w:rFonts w:hint="eastAsia" w:ascii="仿宋" w:hAnsi="仿宋" w:eastAsia="仿宋" w:cs="仿宋"/>
          <w:color w:val="auto"/>
          <w:sz w:val="24"/>
          <w:highlight w:val="none"/>
        </w:rPr>
      </w:pPr>
    </w:p>
    <w:p>
      <w:pPr>
        <w:tabs>
          <w:tab w:val="left" w:pos="4860"/>
        </w:tabs>
        <w:spacing w:line="588" w:lineRule="exact"/>
        <w:ind w:right="1560" w:firstLine="48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单位名称（盖公章）：</w:t>
      </w:r>
    </w:p>
    <w:p>
      <w:pPr>
        <w:spacing w:line="480" w:lineRule="exact"/>
        <w:ind w:firstLine="480" w:firstLineChars="20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日期：    年    月    日</w:t>
      </w:r>
    </w:p>
    <w:p>
      <w:pPr>
        <w:ind w:firstLine="480"/>
        <w:rPr>
          <w:rFonts w:hint="eastAsia" w:ascii="仿宋" w:hAnsi="仿宋" w:eastAsia="仿宋" w:cs="仿宋"/>
          <w:color w:val="auto"/>
          <w:sz w:val="24"/>
          <w:highlight w:val="none"/>
        </w:rPr>
      </w:pPr>
    </w:p>
    <w:p>
      <w:pPr>
        <w:ind w:firstLine="420"/>
        <w:rPr>
          <w:rFonts w:hint="eastAsia" w:ascii="仿宋" w:hAnsi="仿宋" w:eastAsia="仿宋" w:cs="仿宋"/>
          <w:color w:val="auto"/>
          <w:highlight w:val="none"/>
        </w:rPr>
      </w:pPr>
    </w:p>
    <w:p>
      <w:pPr>
        <w:ind w:firstLine="420"/>
        <w:rPr>
          <w:rFonts w:hint="eastAsia" w:ascii="仿宋" w:hAnsi="仿宋" w:eastAsia="仿宋" w:cs="仿宋"/>
          <w:color w:val="auto"/>
          <w:highlight w:val="none"/>
        </w:rPr>
      </w:pPr>
    </w:p>
    <w:p>
      <w:pPr>
        <w:ind w:firstLine="420"/>
        <w:rPr>
          <w:rFonts w:hint="eastAsia" w:ascii="仿宋" w:hAnsi="仿宋" w:eastAsia="仿宋" w:cs="仿宋"/>
          <w:color w:val="auto"/>
          <w:highlight w:val="none"/>
        </w:rPr>
      </w:pPr>
    </w:p>
    <w:p>
      <w:pPr>
        <w:ind w:firstLine="420"/>
        <w:rPr>
          <w:rFonts w:hint="eastAsia" w:ascii="仿宋" w:hAnsi="仿宋" w:eastAsia="仿宋" w:cs="仿宋"/>
          <w:color w:val="auto"/>
          <w:highlight w:val="none"/>
        </w:rPr>
      </w:pPr>
    </w:p>
    <w:p>
      <w:pPr>
        <w:ind w:firstLine="420"/>
        <w:rPr>
          <w:rFonts w:hint="eastAsia" w:ascii="仿宋" w:hAnsi="仿宋" w:eastAsia="仿宋" w:cs="仿宋"/>
          <w:color w:val="auto"/>
          <w:highlight w:val="none"/>
        </w:rPr>
      </w:pPr>
    </w:p>
    <w:p>
      <w:pPr>
        <w:ind w:firstLine="420"/>
        <w:rPr>
          <w:rFonts w:hint="eastAsia" w:ascii="仿宋" w:hAnsi="仿宋" w:eastAsia="仿宋" w:cs="仿宋"/>
          <w:color w:val="auto"/>
          <w:highlight w:val="none"/>
        </w:rPr>
      </w:pPr>
    </w:p>
    <w:p>
      <w:pPr>
        <w:ind w:firstLine="420"/>
        <w:rPr>
          <w:rFonts w:hint="eastAsia" w:ascii="仿宋" w:hAnsi="仿宋" w:eastAsia="仿宋" w:cs="仿宋"/>
          <w:color w:val="auto"/>
          <w:highlight w:val="none"/>
        </w:rPr>
      </w:pPr>
    </w:p>
    <w:p>
      <w:pPr>
        <w:ind w:firstLine="420"/>
        <w:rPr>
          <w:rFonts w:hint="eastAsia" w:ascii="仿宋" w:hAnsi="仿宋" w:eastAsia="仿宋" w:cs="仿宋"/>
          <w:color w:val="auto"/>
          <w:highlight w:val="none"/>
        </w:rPr>
      </w:pPr>
    </w:p>
    <w:p>
      <w:pPr>
        <w:ind w:firstLine="482" w:firstLineChars="200"/>
        <w:rPr>
          <w:rFonts w:hint="eastAsia" w:ascii="仿宋" w:hAnsi="仿宋" w:eastAsia="仿宋" w:cs="仿宋"/>
          <w:b/>
          <w:color w:val="auto"/>
          <w:kern w:val="0"/>
          <w:sz w:val="24"/>
          <w:highlight w:val="none"/>
          <w:u w:val="single"/>
          <w:lang w:val="zh-CN"/>
        </w:rPr>
      </w:pPr>
      <w:r>
        <w:rPr>
          <w:rFonts w:hint="eastAsia" w:ascii="仿宋" w:hAnsi="仿宋" w:eastAsia="仿宋" w:cs="仿宋"/>
          <w:b/>
          <w:color w:val="auto"/>
          <w:kern w:val="0"/>
          <w:sz w:val="24"/>
          <w:highlight w:val="none"/>
          <w:u w:val="single"/>
          <w:lang w:val="zh-CN"/>
        </w:rPr>
        <w:t>特别提示：采购机构将在成交公告中公布成交供应商的《残疾人福利性单位声明函》，接受社会监督。</w:t>
      </w:r>
    </w:p>
    <w:p>
      <w:pPr>
        <w:ind w:firstLine="420"/>
        <w:rPr>
          <w:rFonts w:hint="eastAsia" w:ascii="仿宋" w:hAnsi="仿宋" w:eastAsia="仿宋" w:cs="仿宋"/>
          <w:color w:val="auto"/>
          <w:highlight w:val="none"/>
        </w:rPr>
      </w:pPr>
    </w:p>
    <w:p>
      <w:pPr>
        <w:pStyle w:val="4"/>
        <w:rPr>
          <w:rFonts w:hint="eastAsia" w:ascii="仿宋" w:hAnsi="仿宋" w:eastAsia="仿宋" w:cs="仿宋"/>
          <w:color w:val="auto"/>
          <w:highlight w:val="none"/>
        </w:rPr>
      </w:pPr>
      <w:bookmarkStart w:id="55" w:name="_Toc643610538"/>
      <w:r>
        <w:rPr>
          <w:rFonts w:hint="eastAsia" w:ascii="仿宋" w:hAnsi="仿宋" w:eastAsia="仿宋" w:cs="仿宋"/>
          <w:color w:val="auto"/>
          <w:highlight w:val="none"/>
        </w:rPr>
        <w:t>第七章  询问、质疑及投诉</w:t>
      </w:r>
      <w:bookmarkEnd w:id="55"/>
    </w:p>
    <w:p>
      <w:pPr>
        <w:pStyle w:val="18"/>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参照《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供应商可以依法提出询问、质疑和投诉。</w:t>
      </w:r>
    </w:p>
    <w:p>
      <w:pPr>
        <w:pStyle w:val="5"/>
        <w:rPr>
          <w:rFonts w:hint="eastAsia" w:ascii="仿宋" w:hAnsi="仿宋" w:eastAsia="仿宋" w:cs="仿宋"/>
          <w:color w:val="auto"/>
          <w:highlight w:val="none"/>
        </w:rPr>
      </w:pPr>
      <w:bookmarkStart w:id="56" w:name="_Toc643610539"/>
      <w:r>
        <w:rPr>
          <w:rFonts w:hint="eastAsia" w:ascii="仿宋" w:hAnsi="仿宋" w:eastAsia="仿宋" w:cs="仿宋"/>
          <w:color w:val="auto"/>
          <w:highlight w:val="none"/>
        </w:rPr>
        <w:t>一、供应商询问</w:t>
      </w:r>
      <w:bookmarkEnd w:id="56"/>
    </w:p>
    <w:p>
      <w:pPr>
        <w:pStyle w:val="18"/>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1.1供应商对本项目有疑问的，可以向采购机构提出询问，采购机构将对供应商依法提出的询问作出答复，但答复的内容不得涉及商业秘密。</w:t>
      </w:r>
    </w:p>
    <w:p>
      <w:pPr>
        <w:pStyle w:val="18"/>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1.2采购机构将在3个工作日内对供应商依法提出的询问作出答复。</w:t>
      </w:r>
    </w:p>
    <w:p>
      <w:pPr>
        <w:pStyle w:val="18"/>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1.3采购机构的一般通过电话形式答复。</w:t>
      </w:r>
    </w:p>
    <w:p>
      <w:pPr>
        <w:pStyle w:val="5"/>
        <w:rPr>
          <w:rFonts w:hint="eastAsia" w:ascii="仿宋" w:hAnsi="仿宋" w:eastAsia="仿宋" w:cs="仿宋"/>
          <w:color w:val="auto"/>
          <w:highlight w:val="none"/>
        </w:rPr>
      </w:pPr>
      <w:bookmarkStart w:id="57" w:name="_Toc643610540"/>
      <w:r>
        <w:rPr>
          <w:rFonts w:hint="eastAsia" w:ascii="仿宋" w:hAnsi="仿宋" w:eastAsia="仿宋" w:cs="仿宋"/>
          <w:color w:val="auto"/>
          <w:highlight w:val="none"/>
        </w:rPr>
        <w:t>二、供应商质疑</w:t>
      </w:r>
      <w:bookmarkEnd w:id="57"/>
    </w:p>
    <w:p>
      <w:pPr>
        <w:pStyle w:val="18"/>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2.1质疑有效期：</w:t>
      </w:r>
    </w:p>
    <w:p>
      <w:pPr>
        <w:pStyle w:val="18"/>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供应商认为采购文件、采购过程和成交结果使自己的权益受到损害的，可以在知道或者应知其权益受到损害之日起</w:t>
      </w:r>
      <w:r>
        <w:rPr>
          <w:rFonts w:hint="eastAsia" w:ascii="仿宋" w:hAnsi="仿宋" w:eastAsia="仿宋" w:cs="仿宋"/>
          <w:b/>
          <w:bCs/>
          <w:color w:val="auto"/>
          <w:sz w:val="24"/>
          <w:highlight w:val="none"/>
        </w:rPr>
        <w:t>七个工作日内</w:t>
      </w:r>
      <w:r>
        <w:rPr>
          <w:rFonts w:hint="eastAsia" w:ascii="仿宋" w:hAnsi="仿宋" w:eastAsia="仿宋" w:cs="仿宋"/>
          <w:color w:val="auto"/>
          <w:sz w:val="24"/>
          <w:highlight w:val="none"/>
        </w:rPr>
        <w:t>，以书面形式</w:t>
      </w:r>
      <w:r>
        <w:rPr>
          <w:rFonts w:hint="eastAsia" w:ascii="仿宋" w:hAnsi="仿宋" w:eastAsia="仿宋" w:cs="仿宋"/>
          <w:b/>
          <w:bCs/>
          <w:color w:val="auto"/>
          <w:sz w:val="24"/>
          <w:highlight w:val="none"/>
        </w:rPr>
        <w:t>（或授权代表签字（盖章）并加盖投标供应商电子公章的数据电文）</w:t>
      </w:r>
      <w:r>
        <w:rPr>
          <w:rFonts w:hint="eastAsia" w:ascii="仿宋" w:hAnsi="仿宋" w:eastAsia="仿宋" w:cs="仿宋"/>
          <w:color w:val="auto"/>
          <w:sz w:val="24"/>
          <w:highlight w:val="none"/>
        </w:rPr>
        <w:t>向</w:t>
      </w:r>
      <w:r>
        <w:rPr>
          <w:rFonts w:hint="eastAsia" w:ascii="仿宋" w:hAnsi="仿宋" w:eastAsia="仿宋" w:cs="仿宋"/>
          <w:b/>
          <w:bCs/>
          <w:color w:val="auto"/>
          <w:sz w:val="24"/>
          <w:highlight w:val="none"/>
        </w:rPr>
        <w:t>采购机构</w:t>
      </w:r>
      <w:r>
        <w:rPr>
          <w:rFonts w:hint="eastAsia" w:ascii="仿宋" w:hAnsi="仿宋" w:eastAsia="仿宋" w:cs="仿宋"/>
          <w:color w:val="auto"/>
          <w:sz w:val="24"/>
          <w:highlight w:val="none"/>
        </w:rPr>
        <w:t>提出质疑，否则，采购机构不予受理：</w:t>
      </w:r>
    </w:p>
    <w:p>
      <w:pPr>
        <w:pStyle w:val="18"/>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8"/>
        <w:spacing w:line="360" w:lineRule="auto"/>
        <w:ind w:firstLine="480" w:firstLineChars="200"/>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（2）对采购过程提出质疑的，质疑期限为各采购程序环节结束之日起计算。</w:t>
      </w:r>
      <w:r>
        <w:rPr>
          <w:rFonts w:hint="eastAsia" w:ascii="仿宋" w:hAnsi="仿宋" w:eastAsia="仿宋" w:cs="仿宋"/>
          <w:b/>
          <w:bCs/>
          <w:color w:val="auto"/>
          <w:sz w:val="24"/>
          <w:highlight w:val="none"/>
        </w:rPr>
        <w:t>供应商的法定代表人（或其授权代表）或个体工商户经营者未参加开标会议的，事后不得对采购相关人员、开标过程和开标结果提出质疑。</w:t>
      </w:r>
    </w:p>
    <w:p>
      <w:pPr>
        <w:pStyle w:val="18"/>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（3）对采购结果提出质疑的，质疑期限自采购结果公告（包括公示、预公告、结果更正公告等）期限届满之日起计算。</w:t>
      </w:r>
    </w:p>
    <w:p>
      <w:pPr>
        <w:pStyle w:val="18"/>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（4）供应商应在法定质疑期内一次性提出针对同一采购程序环节的质疑。提供新的事实或证据的除外。</w:t>
      </w:r>
    </w:p>
    <w:p>
      <w:pPr>
        <w:pStyle w:val="18"/>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2.2质疑主体的有效性：</w:t>
      </w:r>
    </w:p>
    <w:p>
      <w:pPr>
        <w:pStyle w:val="18"/>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2.2.1提出质疑的供应商应当是参与所质疑项目采购活动的供应商。</w:t>
      </w:r>
    </w:p>
    <w:p>
      <w:pPr>
        <w:pStyle w:val="18"/>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2.2.2质疑人与质疑事项须存在利害关系,不得提出“自杀式质疑”。</w:t>
      </w:r>
    </w:p>
    <w:p>
      <w:pPr>
        <w:pStyle w:val="18"/>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2.3质疑的答复</w:t>
      </w:r>
    </w:p>
    <w:p>
      <w:pPr>
        <w:pStyle w:val="18"/>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采购机构将在收到供应商的质疑后七个工作日内作出答复，并以书面形式或数据电文形式通知质疑供应商和其他与质疑处理结果有利害关系的采购当事人，但答复的内容不得涉及商业秘密。</w:t>
      </w:r>
    </w:p>
    <w:p>
      <w:pPr>
        <w:pStyle w:val="18"/>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询问或者质疑事项可能影响采购结果的，采购人应当暂停签订合同，已经签订合同的，应当中止履行合同。</w:t>
      </w:r>
    </w:p>
    <w:p>
      <w:pPr>
        <w:pStyle w:val="18"/>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2.4质疑的撤回</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供应商可以通过书面形式（或加盖电子公章的数据电文）撤回已经被受理的质疑书。</w:t>
      </w:r>
    </w:p>
    <w:p>
      <w:pPr>
        <w:pStyle w:val="5"/>
        <w:rPr>
          <w:rFonts w:hint="eastAsia" w:ascii="仿宋" w:hAnsi="仿宋" w:eastAsia="仿宋" w:cs="仿宋"/>
          <w:color w:val="auto"/>
          <w:highlight w:val="none"/>
        </w:rPr>
      </w:pPr>
      <w:bookmarkStart w:id="58" w:name="_Toc643610541"/>
      <w:r>
        <w:rPr>
          <w:rFonts w:hint="eastAsia" w:ascii="仿宋" w:hAnsi="仿宋" w:eastAsia="仿宋" w:cs="仿宋"/>
          <w:color w:val="auto"/>
          <w:highlight w:val="none"/>
        </w:rPr>
        <w:t>三、供应商投诉</w:t>
      </w:r>
      <w:bookmarkEnd w:id="58"/>
    </w:p>
    <w:p>
      <w:pPr>
        <w:widowControl/>
        <w:snapToGrid w:val="0"/>
        <w:spacing w:line="480" w:lineRule="exact"/>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3.1投诉有效期</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hAnsi="仿宋" w:eastAsia="仿宋" w:cs="仿宋"/>
          <w:b/>
          <w:bCs/>
          <w:color w:val="auto"/>
          <w:kern w:val="0"/>
          <w:sz w:val="24"/>
          <w:highlight w:val="none"/>
          <w:u w:val="single"/>
        </w:rPr>
      </w:pPr>
      <w:r>
        <w:rPr>
          <w:rFonts w:hint="eastAsia" w:ascii="仿宋" w:hAnsi="仿宋" w:eastAsia="仿宋" w:cs="仿宋"/>
          <w:b/>
          <w:bCs/>
          <w:color w:val="auto"/>
          <w:kern w:val="0"/>
          <w:sz w:val="24"/>
          <w:highlight w:val="none"/>
          <w:u w:val="single"/>
        </w:rPr>
        <w:t>特别提醒：质疑是投诉的前置程序，供应商必须先质疑后投诉。</w:t>
      </w:r>
    </w:p>
    <w:p>
      <w:pPr>
        <w:widowControl/>
        <w:snapToGrid w:val="0"/>
        <w:spacing w:line="480" w:lineRule="exact"/>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3.2投诉内容</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供应商投诉的事项不得超出已质疑事项的范围，但基于质疑答复内容提出的投诉事项除外。</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投诉书需包括以下内容：</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（一）投诉人和被投诉人的姓名或者名称、通讯地址、邮编、联系人及联系电话；</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（二）质疑和质疑答复情况说明及相关证明材料；</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（三）具体、明确的投诉事项和与投诉事项相关的投诉请求；</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（四）事实依据；</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（五）法律依据；</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（六）提起投诉的日期。</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szCs w:val="24"/>
          <w:highlight w:val="none"/>
        </w:rPr>
      </w:pPr>
    </w:p>
    <w:p>
      <w:pPr>
        <w:widowControl/>
        <w:snapToGrid w:val="0"/>
        <w:spacing w:line="480" w:lineRule="exact"/>
        <w:rPr>
          <w:rFonts w:hint="eastAsia" w:ascii="仿宋" w:hAnsi="仿宋" w:eastAsia="仿宋" w:cs="仿宋"/>
          <w:color w:val="auto"/>
          <w:kern w:val="0"/>
          <w:sz w:val="24"/>
          <w:szCs w:val="24"/>
          <w:highlight w:val="none"/>
        </w:rPr>
      </w:pPr>
    </w:p>
    <w:p>
      <w:pPr>
        <w:widowControl/>
        <w:snapToGrid w:val="0"/>
        <w:spacing w:line="480" w:lineRule="exact"/>
        <w:rPr>
          <w:rFonts w:hint="eastAsia" w:ascii="仿宋" w:hAnsi="仿宋" w:eastAsia="仿宋" w:cs="仿宋"/>
          <w:color w:val="auto"/>
          <w:kern w:val="0"/>
          <w:sz w:val="24"/>
          <w:szCs w:val="24"/>
          <w:highlight w:val="none"/>
        </w:rPr>
      </w:pPr>
    </w:p>
    <w:p>
      <w:pPr>
        <w:widowControl/>
        <w:snapToGrid w:val="0"/>
        <w:spacing w:line="480" w:lineRule="exact"/>
        <w:rPr>
          <w:rFonts w:hint="eastAsia" w:ascii="仿宋" w:hAnsi="仿宋" w:eastAsia="仿宋" w:cs="仿宋"/>
          <w:color w:val="auto"/>
          <w:kern w:val="0"/>
          <w:sz w:val="24"/>
          <w:szCs w:val="24"/>
          <w:highlight w:val="none"/>
        </w:rPr>
      </w:pPr>
    </w:p>
    <w:p>
      <w:pPr>
        <w:widowControl/>
        <w:snapToGrid w:val="0"/>
        <w:spacing w:line="480" w:lineRule="exact"/>
        <w:rPr>
          <w:rFonts w:hint="eastAsia" w:ascii="仿宋" w:hAnsi="仿宋" w:eastAsia="仿宋" w:cs="仿宋"/>
          <w:color w:val="auto"/>
          <w:kern w:val="0"/>
          <w:sz w:val="24"/>
          <w:szCs w:val="24"/>
          <w:highlight w:val="none"/>
        </w:rPr>
      </w:pPr>
    </w:p>
    <w:p>
      <w:pPr>
        <w:widowControl/>
        <w:snapToGrid w:val="0"/>
        <w:spacing w:line="480" w:lineRule="exact"/>
        <w:rPr>
          <w:rFonts w:hint="eastAsia" w:ascii="仿宋" w:hAnsi="仿宋" w:eastAsia="仿宋" w:cs="仿宋"/>
          <w:color w:val="auto"/>
          <w:kern w:val="0"/>
          <w:sz w:val="24"/>
          <w:szCs w:val="24"/>
          <w:highlight w:val="none"/>
        </w:rPr>
      </w:pPr>
    </w:p>
    <w:p>
      <w:pPr>
        <w:widowControl/>
        <w:snapToGrid w:val="0"/>
        <w:spacing w:line="480" w:lineRule="exact"/>
        <w:rPr>
          <w:rFonts w:hint="eastAsia" w:ascii="仿宋" w:hAnsi="仿宋" w:eastAsia="仿宋" w:cs="仿宋"/>
          <w:color w:val="auto"/>
          <w:kern w:val="0"/>
          <w:sz w:val="24"/>
          <w:szCs w:val="24"/>
          <w:highlight w:val="none"/>
        </w:rPr>
      </w:pPr>
    </w:p>
    <w:p>
      <w:pPr>
        <w:widowControl/>
        <w:snapToGrid w:val="0"/>
        <w:spacing w:line="480" w:lineRule="exact"/>
        <w:rPr>
          <w:rFonts w:hint="eastAsia" w:ascii="仿宋" w:hAnsi="仿宋" w:eastAsia="仿宋" w:cs="仿宋"/>
          <w:color w:val="auto"/>
          <w:kern w:val="0"/>
          <w:sz w:val="24"/>
          <w:szCs w:val="24"/>
          <w:highlight w:val="none"/>
        </w:rPr>
      </w:pPr>
    </w:p>
    <w:p>
      <w:pPr>
        <w:widowControl/>
        <w:snapToGrid w:val="0"/>
        <w:spacing w:line="480" w:lineRule="exact"/>
        <w:rPr>
          <w:rFonts w:hint="eastAsia" w:ascii="仿宋" w:hAnsi="仿宋" w:eastAsia="仿宋" w:cs="仿宋"/>
          <w:color w:val="auto"/>
          <w:kern w:val="0"/>
          <w:sz w:val="24"/>
          <w:szCs w:val="24"/>
          <w:highlight w:val="none"/>
        </w:rPr>
      </w:pPr>
    </w:p>
    <w:p>
      <w:pPr>
        <w:widowControl/>
        <w:snapToGrid w:val="0"/>
        <w:spacing w:line="480" w:lineRule="exact"/>
        <w:rPr>
          <w:rFonts w:hint="eastAsia" w:ascii="仿宋" w:hAnsi="仿宋" w:eastAsia="仿宋" w:cs="仿宋"/>
          <w:color w:val="auto"/>
          <w:kern w:val="0"/>
          <w:sz w:val="24"/>
          <w:szCs w:val="24"/>
          <w:highlight w:val="none"/>
        </w:rPr>
      </w:pPr>
    </w:p>
    <w:p>
      <w:pPr>
        <w:widowControl/>
        <w:snapToGrid w:val="0"/>
        <w:spacing w:line="480" w:lineRule="exact"/>
        <w:rPr>
          <w:rFonts w:hint="eastAsia" w:ascii="仿宋" w:hAnsi="仿宋" w:eastAsia="仿宋" w:cs="仿宋"/>
          <w:color w:val="auto"/>
          <w:kern w:val="0"/>
          <w:sz w:val="24"/>
          <w:szCs w:val="24"/>
          <w:highlight w:val="none"/>
        </w:rPr>
      </w:pPr>
    </w:p>
    <w:p>
      <w:pPr>
        <w:widowControl/>
        <w:snapToGrid w:val="0"/>
        <w:spacing w:line="480" w:lineRule="exact"/>
        <w:rPr>
          <w:rFonts w:hint="eastAsia" w:ascii="仿宋" w:hAnsi="仿宋" w:eastAsia="仿宋" w:cs="仿宋"/>
          <w:color w:val="auto"/>
          <w:kern w:val="0"/>
          <w:sz w:val="24"/>
          <w:szCs w:val="24"/>
          <w:highlight w:val="none"/>
        </w:rPr>
      </w:pPr>
    </w:p>
    <w:p>
      <w:pPr>
        <w:widowControl/>
        <w:snapToGrid w:val="0"/>
        <w:spacing w:line="480" w:lineRule="exact"/>
        <w:rPr>
          <w:rFonts w:hint="eastAsia" w:ascii="仿宋" w:hAnsi="仿宋" w:eastAsia="仿宋" w:cs="仿宋"/>
          <w:color w:val="auto"/>
          <w:kern w:val="0"/>
          <w:sz w:val="24"/>
          <w:szCs w:val="24"/>
          <w:highlight w:val="none"/>
        </w:rPr>
      </w:pPr>
    </w:p>
    <w:p>
      <w:pPr>
        <w:widowControl/>
        <w:snapToGrid w:val="0"/>
        <w:spacing w:line="480" w:lineRule="exact"/>
        <w:rPr>
          <w:rFonts w:hint="eastAsia" w:ascii="仿宋" w:hAnsi="仿宋" w:eastAsia="仿宋" w:cs="仿宋"/>
          <w:color w:val="auto"/>
          <w:kern w:val="0"/>
          <w:sz w:val="24"/>
          <w:szCs w:val="24"/>
          <w:highlight w:val="none"/>
        </w:rPr>
      </w:pPr>
    </w:p>
    <w:p>
      <w:pPr>
        <w:widowControl/>
        <w:snapToGrid w:val="0"/>
        <w:spacing w:line="480" w:lineRule="exact"/>
        <w:rPr>
          <w:rFonts w:hint="eastAsia" w:ascii="仿宋" w:hAnsi="仿宋" w:eastAsia="仿宋" w:cs="仿宋"/>
          <w:color w:val="auto"/>
          <w:kern w:val="0"/>
          <w:sz w:val="24"/>
          <w:szCs w:val="24"/>
          <w:highlight w:val="none"/>
        </w:rPr>
      </w:pPr>
    </w:p>
    <w:p>
      <w:pPr>
        <w:widowControl/>
        <w:snapToGrid w:val="0"/>
        <w:spacing w:line="480" w:lineRule="exact"/>
        <w:rPr>
          <w:rFonts w:hint="eastAsia" w:ascii="仿宋" w:hAnsi="仿宋" w:eastAsia="仿宋" w:cs="仿宋"/>
          <w:color w:val="auto"/>
          <w:kern w:val="0"/>
          <w:sz w:val="24"/>
          <w:szCs w:val="24"/>
          <w:highlight w:val="none"/>
        </w:rPr>
      </w:pPr>
    </w:p>
    <w:p>
      <w:pPr>
        <w:widowControl/>
        <w:snapToGrid w:val="0"/>
        <w:spacing w:line="480" w:lineRule="exact"/>
        <w:rPr>
          <w:rFonts w:hint="eastAsia" w:ascii="仿宋" w:hAnsi="仿宋" w:eastAsia="仿宋" w:cs="仿宋"/>
          <w:color w:val="auto"/>
          <w:kern w:val="0"/>
          <w:sz w:val="24"/>
          <w:szCs w:val="24"/>
          <w:highlight w:val="none"/>
        </w:rPr>
      </w:pPr>
    </w:p>
    <w:p>
      <w:pPr>
        <w:widowControl/>
        <w:snapToGrid w:val="0"/>
        <w:spacing w:line="480" w:lineRule="exact"/>
        <w:rPr>
          <w:rFonts w:hint="eastAsia" w:ascii="仿宋" w:hAnsi="仿宋" w:eastAsia="仿宋" w:cs="仿宋"/>
          <w:color w:val="auto"/>
          <w:kern w:val="0"/>
          <w:sz w:val="24"/>
          <w:szCs w:val="24"/>
          <w:highlight w:val="none"/>
        </w:rPr>
      </w:pPr>
    </w:p>
    <w:p>
      <w:pPr>
        <w:widowControl/>
        <w:snapToGrid w:val="0"/>
        <w:spacing w:line="480" w:lineRule="exact"/>
        <w:rPr>
          <w:rFonts w:hint="eastAsia" w:ascii="仿宋" w:hAnsi="仿宋" w:eastAsia="仿宋" w:cs="仿宋"/>
          <w:color w:val="auto"/>
          <w:kern w:val="0"/>
          <w:sz w:val="24"/>
          <w:szCs w:val="24"/>
          <w:highlight w:val="none"/>
        </w:rPr>
      </w:pPr>
    </w:p>
    <w:p>
      <w:pPr>
        <w:widowControl/>
        <w:snapToGrid w:val="0"/>
        <w:spacing w:line="480" w:lineRule="exact"/>
        <w:rPr>
          <w:rFonts w:hint="eastAsia" w:ascii="仿宋" w:hAnsi="仿宋" w:eastAsia="仿宋" w:cs="仿宋"/>
          <w:color w:val="auto"/>
          <w:kern w:val="0"/>
          <w:sz w:val="24"/>
          <w:szCs w:val="24"/>
          <w:highlight w:val="none"/>
        </w:rPr>
      </w:pPr>
    </w:p>
    <w:p>
      <w:pPr>
        <w:widowControl/>
        <w:snapToGrid w:val="0"/>
        <w:spacing w:line="480" w:lineRule="exact"/>
        <w:rPr>
          <w:rFonts w:hint="eastAsia" w:ascii="仿宋" w:hAnsi="仿宋" w:eastAsia="仿宋" w:cs="仿宋"/>
          <w:color w:val="auto"/>
          <w:kern w:val="0"/>
          <w:sz w:val="24"/>
          <w:szCs w:val="24"/>
          <w:highlight w:val="none"/>
        </w:rPr>
      </w:pPr>
    </w:p>
    <w:p>
      <w:pPr>
        <w:widowControl/>
        <w:snapToGrid w:val="0"/>
        <w:spacing w:line="480" w:lineRule="exact"/>
        <w:rPr>
          <w:rFonts w:hint="eastAsia" w:ascii="仿宋" w:hAnsi="仿宋" w:eastAsia="仿宋" w:cs="仿宋"/>
          <w:color w:val="auto"/>
          <w:kern w:val="0"/>
          <w:sz w:val="24"/>
          <w:szCs w:val="24"/>
          <w:highlight w:val="none"/>
        </w:rPr>
      </w:pPr>
    </w:p>
    <w:p>
      <w:pPr>
        <w:widowControl/>
        <w:snapToGrid w:val="0"/>
        <w:spacing w:line="480" w:lineRule="exact"/>
        <w:rPr>
          <w:rFonts w:hint="eastAsia" w:ascii="仿宋" w:hAnsi="仿宋" w:eastAsia="仿宋" w:cs="仿宋"/>
          <w:color w:val="auto"/>
          <w:kern w:val="0"/>
          <w:sz w:val="24"/>
          <w:szCs w:val="24"/>
          <w:highlight w:val="none"/>
        </w:rPr>
      </w:pPr>
    </w:p>
    <w:p>
      <w:pPr>
        <w:widowControl/>
        <w:snapToGrid w:val="0"/>
        <w:spacing w:line="480" w:lineRule="exact"/>
        <w:rPr>
          <w:rFonts w:hint="eastAsia" w:ascii="仿宋" w:hAnsi="仿宋" w:eastAsia="仿宋" w:cs="仿宋"/>
          <w:color w:val="auto"/>
          <w:kern w:val="0"/>
          <w:sz w:val="24"/>
          <w:szCs w:val="24"/>
          <w:highlight w:val="none"/>
        </w:rPr>
      </w:pPr>
    </w:p>
    <w:p>
      <w:pPr>
        <w:widowControl/>
        <w:snapToGrid w:val="0"/>
        <w:spacing w:line="480" w:lineRule="exact"/>
        <w:rPr>
          <w:rFonts w:hint="eastAsia" w:ascii="仿宋" w:hAnsi="仿宋" w:eastAsia="仿宋" w:cs="仿宋"/>
          <w:b/>
          <w:bCs/>
          <w:color w:val="auto"/>
          <w:kern w:val="0"/>
          <w:sz w:val="24"/>
          <w:szCs w:val="24"/>
          <w:highlight w:val="none"/>
        </w:rPr>
      </w:pPr>
    </w:p>
    <w:p>
      <w:pPr>
        <w:widowControl/>
        <w:snapToGrid w:val="0"/>
        <w:spacing w:line="480" w:lineRule="exact"/>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附件：质疑函范本</w:t>
      </w:r>
    </w:p>
    <w:p>
      <w:pPr>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质疑函</w:t>
      </w:r>
    </w:p>
    <w:p>
      <w:pPr>
        <w:adjustRightInd w:val="0"/>
        <w:snapToGrid w:val="0"/>
        <w:spacing w:before="312" w:beforeLines="100"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一、质疑供应商基本信息</w:t>
      </w:r>
    </w:p>
    <w:p>
      <w:pPr>
        <w:adjustRightInd w:val="0"/>
        <w:snapToGrid w:val="0"/>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质疑供应商：</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邮编：</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授权代表（联系人）：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邮箱：</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二、质疑项目基本情况</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质疑项目的名称：</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质疑项目的编号：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标项：</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采购人名称：</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采购文件获取日期：</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三、质疑事项具体内容</w:t>
      </w:r>
    </w:p>
    <w:p>
      <w:pPr>
        <w:adjustRightInd w:val="0"/>
        <w:snapToGrid w:val="0"/>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质疑事项1：</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事实依据：</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法律依据：</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质疑事项2</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p>
      <w:pPr>
        <w:adjustRightInd w:val="0"/>
        <w:snapToGrid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四、与质疑事项相关的请求</w:t>
      </w:r>
    </w:p>
    <w:p>
      <w:pPr>
        <w:adjustRightInd w:val="0"/>
        <w:snapToGrid w:val="0"/>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请求1：</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请求2：</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p>
      <w:pPr>
        <w:adjustRightInd w:val="0"/>
        <w:snapToGrid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本公司承诺接受数据电文形式（加盖电子签章）的质疑答复，视为书面答复。</w:t>
      </w:r>
    </w:p>
    <w:p>
      <w:pPr>
        <w:adjustRightInd w:val="0"/>
        <w:snapToGrid w:val="0"/>
        <w:spacing w:line="360" w:lineRule="auto"/>
        <w:rPr>
          <w:rFonts w:hint="eastAsia" w:ascii="仿宋" w:hAnsi="仿宋" w:eastAsia="仿宋" w:cs="仿宋"/>
          <w:color w:val="auto"/>
          <w:sz w:val="24"/>
          <w:szCs w:val="24"/>
          <w:highlight w:val="none"/>
          <w:u w:val="dotted"/>
        </w:rPr>
      </w:pP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授权代表签字(签章)：                 供应商签章：                      </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日期：    </w:t>
      </w:r>
    </w:p>
    <w:p>
      <w:pPr>
        <w:adjustRightInd w:val="0"/>
        <w:snapToGrid w:val="0"/>
        <w:spacing w:line="360" w:lineRule="auto"/>
        <w:rPr>
          <w:rFonts w:hint="eastAsia" w:ascii="仿宋" w:hAnsi="仿宋" w:eastAsia="仿宋" w:cs="仿宋"/>
          <w:color w:val="auto"/>
          <w:sz w:val="24"/>
          <w:szCs w:val="24"/>
          <w:highlight w:val="none"/>
        </w:rPr>
      </w:pPr>
    </w:p>
    <w:p>
      <w:pPr>
        <w:adjustRightInd w:val="0"/>
        <w:snapToGrid w:val="0"/>
        <w:spacing w:line="360" w:lineRule="auto"/>
        <w:rPr>
          <w:rFonts w:hint="eastAsia" w:ascii="仿宋" w:hAnsi="仿宋" w:eastAsia="仿宋" w:cs="仿宋"/>
          <w:color w:val="auto"/>
          <w:kern w:val="0"/>
          <w:sz w:val="24"/>
          <w:szCs w:val="24"/>
          <w:highlight w:val="none"/>
        </w:rPr>
      </w:pPr>
    </w:p>
    <w:p>
      <w:pPr>
        <w:widowControl/>
        <w:snapToGrid w:val="0"/>
        <w:spacing w:line="480" w:lineRule="exact"/>
        <w:rPr>
          <w:rFonts w:hint="eastAsia" w:ascii="仿宋" w:hAnsi="仿宋" w:eastAsia="仿宋" w:cs="仿宋"/>
          <w:color w:val="auto"/>
          <w:kern w:val="0"/>
          <w:sz w:val="24"/>
          <w:szCs w:val="24"/>
          <w:highlight w:val="none"/>
        </w:rPr>
      </w:pPr>
    </w:p>
    <w:sectPr>
      <w:pgSz w:w="11907" w:h="16840"/>
      <w:pgMar w:top="1440" w:right="1236" w:bottom="1440" w:left="1803"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 w:name="pingfang sc">
    <w:altName w:val="微软雅黑"/>
    <w:panose1 w:val="00000000000000000000"/>
    <w:charset w:val="86"/>
    <w:family w:val="auto"/>
    <w:pitch w:val="default"/>
    <w:sig w:usb0="00000000" w:usb1="00000000" w:usb2="00000017" w:usb3="00000000" w:csb0="00040001"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pPr>
    <w:r>
      <w:rPr>
        <w:rStyle w:val="30"/>
      </w:rPr>
      <w:fldChar w:fldCharType="begin"/>
    </w:r>
    <w:r>
      <w:rPr>
        <w:rStyle w:val="30"/>
      </w:rPr>
      <w:instrText xml:space="preserve">Page</w:instrText>
    </w:r>
    <w:r>
      <w:rPr>
        <w:rStyle w:val="30"/>
      </w:rPr>
      <w:fldChar w:fldCharType="separate"/>
    </w:r>
    <w:r>
      <w:rPr>
        <w:rStyle w:val="30"/>
      </w:rPr>
      <w:t>1</w:t>
    </w:r>
    <w:r>
      <w:rPr>
        <w:rStyle w:val="30"/>
      </w:rPr>
      <w:fldChar w:fldCharType="end"/>
    </w:r>
  </w:p>
  <w:p>
    <w:pPr>
      <w:pStyle w:val="2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8C9CDC"/>
    <w:multiLevelType w:val="singleLevel"/>
    <w:tmpl w:val="818C9CDC"/>
    <w:lvl w:ilvl="0" w:tentative="0">
      <w:start w:val="1"/>
      <w:numFmt w:val="decimal"/>
      <w:pStyle w:val="9"/>
      <w:lvlText w:val="%1、"/>
      <w:lvlJc w:val="left"/>
      <w:pPr>
        <w:tabs>
          <w:tab w:val="left" w:pos="0"/>
        </w:tabs>
        <w:ind w:left="840" w:hanging="420"/>
      </w:pPr>
      <w:rPr>
        <w:rFonts w:ascii="Cambria" w:hAnsi="Cambria" w:eastAsia="微软雅黑" w:cs="Times New Roman"/>
      </w:r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B46DDD72"/>
    <w:multiLevelType w:val="multilevel"/>
    <w:tmpl w:val="B46DDD72"/>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3">
    <w:nsid w:val="CCCB1E34"/>
    <w:multiLevelType w:val="singleLevel"/>
    <w:tmpl w:val="CCCB1E34"/>
    <w:lvl w:ilvl="0" w:tentative="0">
      <w:start w:val="5"/>
      <w:numFmt w:val="decimal"/>
      <w:suff w:val="nothing"/>
      <w:lvlText w:val="%1、"/>
      <w:lvlJc w:val="left"/>
    </w:lvl>
  </w:abstractNum>
  <w:abstractNum w:abstractNumId="4">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5">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6">
    <w:nsid w:val="4FAE8CAB"/>
    <w:multiLevelType w:val="singleLevel"/>
    <w:tmpl w:val="4FAE8CAB"/>
    <w:lvl w:ilvl="0" w:tentative="0">
      <w:start w:val="10"/>
      <w:numFmt w:val="chineseCounting"/>
      <w:suff w:val="nothing"/>
      <w:lvlText w:val="%1、"/>
      <w:lvlJc w:val="left"/>
      <w:rPr>
        <w:rFonts w:hint="eastAsia"/>
      </w:rPr>
    </w:lvl>
  </w:abstractNum>
  <w:abstractNum w:abstractNumId="7">
    <w:nsid w:val="5D883EFB"/>
    <w:multiLevelType w:val="multilevel"/>
    <w:tmpl w:val="5D883EFB"/>
    <w:lvl w:ilvl="0" w:tentative="0">
      <w:start w:val="1"/>
      <w:numFmt w:val="decimal"/>
      <w:lvlText w:val="%1."/>
      <w:legacy w:legacy="1" w:legacySpace="0" w:legacyIndent="425"/>
      <w:lvlJc w:val="left"/>
      <w:pPr>
        <w:ind w:left="425" w:hanging="425"/>
      </w:pPr>
    </w:lvl>
    <w:lvl w:ilvl="1" w:tentative="0">
      <w:start w:val="1"/>
      <w:numFmt w:val="decimal"/>
      <w:pStyle w:val="46"/>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8">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9">
    <w:nsid w:val="79D64D85"/>
    <w:multiLevelType w:val="multilevel"/>
    <w:tmpl w:val="79D64D85"/>
    <w:lvl w:ilvl="0" w:tentative="0">
      <w:start w:val="1"/>
      <w:numFmt w:val="japaneseCounting"/>
      <w:lvlText w:val="%1、"/>
      <w:lvlJc w:val="left"/>
      <w:pPr>
        <w:ind w:left="408" w:hanging="408"/>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A24796F"/>
    <w:multiLevelType w:val="multilevel"/>
    <w:tmpl w:val="7A24796F"/>
    <w:lvl w:ilvl="0" w:tentative="0">
      <w:start w:val="1"/>
      <w:numFmt w:val="japaneseCounting"/>
      <w:lvlText w:val="（%1）"/>
      <w:lvlJc w:val="left"/>
      <w:pPr>
        <w:ind w:left="612" w:hanging="61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7"/>
  </w:num>
  <w:num w:numId="3">
    <w:abstractNumId w:val="1"/>
  </w:num>
  <w:num w:numId="4">
    <w:abstractNumId w:val="8"/>
  </w:num>
  <w:num w:numId="5">
    <w:abstractNumId w:val="9"/>
  </w:num>
  <w:num w:numId="6">
    <w:abstractNumId w:val="10"/>
  </w:num>
  <w:num w:numId="7">
    <w:abstractNumId w:val="3"/>
  </w:num>
  <w:num w:numId="8">
    <w:abstractNumId w:val="6"/>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mMjk0NDM4ZGE3N2FiNmUwNGRmYjA2MzNkODY0OTAifQ=="/>
  </w:docVars>
  <w:rsids>
    <w:rsidRoot w:val="00855D5B"/>
    <w:rsid w:val="00330CD2"/>
    <w:rsid w:val="003C58D7"/>
    <w:rsid w:val="00491A74"/>
    <w:rsid w:val="004A16F0"/>
    <w:rsid w:val="00536D02"/>
    <w:rsid w:val="0056516B"/>
    <w:rsid w:val="00565B27"/>
    <w:rsid w:val="005B1DA4"/>
    <w:rsid w:val="00653663"/>
    <w:rsid w:val="00655D92"/>
    <w:rsid w:val="006907F1"/>
    <w:rsid w:val="007E757A"/>
    <w:rsid w:val="007F2E72"/>
    <w:rsid w:val="00855D5B"/>
    <w:rsid w:val="00992DD1"/>
    <w:rsid w:val="00A01646"/>
    <w:rsid w:val="00A245E4"/>
    <w:rsid w:val="00B124F0"/>
    <w:rsid w:val="00B66D35"/>
    <w:rsid w:val="00BC5FF1"/>
    <w:rsid w:val="00C33C62"/>
    <w:rsid w:val="00CF74BD"/>
    <w:rsid w:val="00DA7824"/>
    <w:rsid w:val="00DF4EB8"/>
    <w:rsid w:val="00EC5193"/>
    <w:rsid w:val="00F81386"/>
    <w:rsid w:val="00FE0DBA"/>
    <w:rsid w:val="03522419"/>
    <w:rsid w:val="037563AA"/>
    <w:rsid w:val="039C17B0"/>
    <w:rsid w:val="040B7A05"/>
    <w:rsid w:val="04934DAA"/>
    <w:rsid w:val="057B5C57"/>
    <w:rsid w:val="06381E86"/>
    <w:rsid w:val="06585F98"/>
    <w:rsid w:val="06E67100"/>
    <w:rsid w:val="081E6D6D"/>
    <w:rsid w:val="0875775F"/>
    <w:rsid w:val="08984FAD"/>
    <w:rsid w:val="08CF2C3B"/>
    <w:rsid w:val="0946032A"/>
    <w:rsid w:val="09AD2157"/>
    <w:rsid w:val="0B05685F"/>
    <w:rsid w:val="0C6E19E1"/>
    <w:rsid w:val="0DC45C7F"/>
    <w:rsid w:val="0E520FEE"/>
    <w:rsid w:val="0E817B8E"/>
    <w:rsid w:val="0EBA51BF"/>
    <w:rsid w:val="0FB81933"/>
    <w:rsid w:val="100A211F"/>
    <w:rsid w:val="10381251"/>
    <w:rsid w:val="10741E80"/>
    <w:rsid w:val="107D1D4C"/>
    <w:rsid w:val="10F62635"/>
    <w:rsid w:val="111737F8"/>
    <w:rsid w:val="113118BF"/>
    <w:rsid w:val="114009DF"/>
    <w:rsid w:val="11D11FC0"/>
    <w:rsid w:val="12505DEF"/>
    <w:rsid w:val="125950BC"/>
    <w:rsid w:val="138B6F5E"/>
    <w:rsid w:val="149E2DE5"/>
    <w:rsid w:val="14DD2EAC"/>
    <w:rsid w:val="15152C6A"/>
    <w:rsid w:val="1596755C"/>
    <w:rsid w:val="15AE5313"/>
    <w:rsid w:val="181168D3"/>
    <w:rsid w:val="1B870D60"/>
    <w:rsid w:val="1C7A17B2"/>
    <w:rsid w:val="1D8A2A83"/>
    <w:rsid w:val="1DA70330"/>
    <w:rsid w:val="1EE73A0E"/>
    <w:rsid w:val="2038320F"/>
    <w:rsid w:val="2135232B"/>
    <w:rsid w:val="224209D9"/>
    <w:rsid w:val="22511AE0"/>
    <w:rsid w:val="233F6564"/>
    <w:rsid w:val="238A7CBF"/>
    <w:rsid w:val="23CD7038"/>
    <w:rsid w:val="23E956C0"/>
    <w:rsid w:val="2409076C"/>
    <w:rsid w:val="24EA2616"/>
    <w:rsid w:val="25851B54"/>
    <w:rsid w:val="26377520"/>
    <w:rsid w:val="26D66D39"/>
    <w:rsid w:val="26E35DB6"/>
    <w:rsid w:val="27B94651"/>
    <w:rsid w:val="27D74B17"/>
    <w:rsid w:val="28184376"/>
    <w:rsid w:val="284B34CC"/>
    <w:rsid w:val="28714BFF"/>
    <w:rsid w:val="2B3B74A1"/>
    <w:rsid w:val="2C7C170E"/>
    <w:rsid w:val="2CF471A3"/>
    <w:rsid w:val="2DAB6B68"/>
    <w:rsid w:val="2E6C79C7"/>
    <w:rsid w:val="2EBB724E"/>
    <w:rsid w:val="2F4B1946"/>
    <w:rsid w:val="31E20FD4"/>
    <w:rsid w:val="31F73D29"/>
    <w:rsid w:val="32B1065A"/>
    <w:rsid w:val="32B36180"/>
    <w:rsid w:val="32D4360E"/>
    <w:rsid w:val="32E62ADF"/>
    <w:rsid w:val="32FE31F0"/>
    <w:rsid w:val="33F965B1"/>
    <w:rsid w:val="342A2CE5"/>
    <w:rsid w:val="34895B74"/>
    <w:rsid w:val="34B54432"/>
    <w:rsid w:val="364C4711"/>
    <w:rsid w:val="369D517D"/>
    <w:rsid w:val="37A51BD7"/>
    <w:rsid w:val="38737FB9"/>
    <w:rsid w:val="3B1E43B3"/>
    <w:rsid w:val="3B551709"/>
    <w:rsid w:val="3B710AD0"/>
    <w:rsid w:val="3C3F2833"/>
    <w:rsid w:val="3CEC364C"/>
    <w:rsid w:val="3D8C78D5"/>
    <w:rsid w:val="3DD84CED"/>
    <w:rsid w:val="3F92226F"/>
    <w:rsid w:val="41742F7F"/>
    <w:rsid w:val="41BF069E"/>
    <w:rsid w:val="42053D29"/>
    <w:rsid w:val="424B72F3"/>
    <w:rsid w:val="427F375F"/>
    <w:rsid w:val="43A85162"/>
    <w:rsid w:val="44743BD9"/>
    <w:rsid w:val="44B5538E"/>
    <w:rsid w:val="478A7058"/>
    <w:rsid w:val="49954093"/>
    <w:rsid w:val="49D1625B"/>
    <w:rsid w:val="4A862918"/>
    <w:rsid w:val="4B02784D"/>
    <w:rsid w:val="4CB5190B"/>
    <w:rsid w:val="4DF1191E"/>
    <w:rsid w:val="50463A49"/>
    <w:rsid w:val="504C289D"/>
    <w:rsid w:val="508C6AC7"/>
    <w:rsid w:val="53C61BFF"/>
    <w:rsid w:val="54625CC9"/>
    <w:rsid w:val="55230AEC"/>
    <w:rsid w:val="562736C2"/>
    <w:rsid w:val="58092D8B"/>
    <w:rsid w:val="5829167B"/>
    <w:rsid w:val="585A64D2"/>
    <w:rsid w:val="58F7537D"/>
    <w:rsid w:val="59413C36"/>
    <w:rsid w:val="598F211F"/>
    <w:rsid w:val="59965D30"/>
    <w:rsid w:val="59AC0756"/>
    <w:rsid w:val="59ED28F2"/>
    <w:rsid w:val="5E853A7C"/>
    <w:rsid w:val="5EF23E06"/>
    <w:rsid w:val="5F523420"/>
    <w:rsid w:val="5F776831"/>
    <w:rsid w:val="5F8E31CC"/>
    <w:rsid w:val="60D3466D"/>
    <w:rsid w:val="60D4666C"/>
    <w:rsid w:val="62BA59F7"/>
    <w:rsid w:val="62E06647"/>
    <w:rsid w:val="62E66767"/>
    <w:rsid w:val="633D578B"/>
    <w:rsid w:val="63E74546"/>
    <w:rsid w:val="64FC0FB0"/>
    <w:rsid w:val="65133287"/>
    <w:rsid w:val="657020D1"/>
    <w:rsid w:val="66C7577B"/>
    <w:rsid w:val="66E33E1B"/>
    <w:rsid w:val="67106E53"/>
    <w:rsid w:val="672C3462"/>
    <w:rsid w:val="67746A37"/>
    <w:rsid w:val="67DE3D73"/>
    <w:rsid w:val="682700FC"/>
    <w:rsid w:val="6A325601"/>
    <w:rsid w:val="6AD60707"/>
    <w:rsid w:val="6B0F626B"/>
    <w:rsid w:val="6B6F687F"/>
    <w:rsid w:val="6D9B7C56"/>
    <w:rsid w:val="6DB84D91"/>
    <w:rsid w:val="6DD27122"/>
    <w:rsid w:val="6E577A4C"/>
    <w:rsid w:val="6ED0141D"/>
    <w:rsid w:val="6FA83C70"/>
    <w:rsid w:val="6FC82564"/>
    <w:rsid w:val="701A3088"/>
    <w:rsid w:val="70574AB8"/>
    <w:rsid w:val="707C12C0"/>
    <w:rsid w:val="71063344"/>
    <w:rsid w:val="71373596"/>
    <w:rsid w:val="71557E6C"/>
    <w:rsid w:val="72872262"/>
    <w:rsid w:val="739C7F8F"/>
    <w:rsid w:val="73B31EAE"/>
    <w:rsid w:val="747375AA"/>
    <w:rsid w:val="747F58E7"/>
    <w:rsid w:val="74F57957"/>
    <w:rsid w:val="74F636CF"/>
    <w:rsid w:val="75897813"/>
    <w:rsid w:val="75A3060C"/>
    <w:rsid w:val="773526DE"/>
    <w:rsid w:val="77617526"/>
    <w:rsid w:val="77EA104D"/>
    <w:rsid w:val="79495563"/>
    <w:rsid w:val="79C122DB"/>
    <w:rsid w:val="79EA274E"/>
    <w:rsid w:val="7AA16C62"/>
    <w:rsid w:val="7BD15701"/>
    <w:rsid w:val="7CD96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340" w:after="330" w:line="578" w:lineRule="auto"/>
      <w:jc w:val="center"/>
      <w:outlineLvl w:val="0"/>
    </w:pPr>
    <w:rPr>
      <w:rFonts w:eastAsia="仿宋"/>
      <w:b/>
      <w:kern w:val="44"/>
      <w:sz w:val="44"/>
    </w:rPr>
  </w:style>
  <w:style w:type="paragraph" w:styleId="5">
    <w:name w:val="heading 2"/>
    <w:basedOn w:val="1"/>
    <w:next w:val="1"/>
    <w:qFormat/>
    <w:uiPriority w:val="0"/>
    <w:pPr>
      <w:keepNext/>
      <w:keepLines/>
      <w:spacing w:before="260" w:after="260" w:line="415" w:lineRule="auto"/>
      <w:jc w:val="center"/>
      <w:outlineLvl w:val="1"/>
    </w:pPr>
    <w:rPr>
      <w:rFonts w:ascii="Arial" w:hAnsi="Arial" w:eastAsia="仿宋"/>
      <w:b/>
      <w:sz w:val="32"/>
    </w:rPr>
  </w:style>
  <w:style w:type="paragraph" w:styleId="6">
    <w:name w:val="heading 3"/>
    <w:basedOn w:val="1"/>
    <w:next w:val="1"/>
    <w:qFormat/>
    <w:uiPriority w:val="0"/>
    <w:pPr>
      <w:keepNext/>
      <w:keepLines/>
      <w:spacing w:before="260" w:after="260" w:line="415" w:lineRule="auto"/>
      <w:outlineLvl w:val="2"/>
    </w:pPr>
    <w:rPr>
      <w:b/>
      <w:sz w:val="32"/>
    </w:rPr>
  </w:style>
  <w:style w:type="paragraph" w:styleId="7">
    <w:name w:val="heading 4"/>
    <w:basedOn w:val="1"/>
    <w:next w:val="1"/>
    <w:qFormat/>
    <w:uiPriority w:val="0"/>
    <w:pPr>
      <w:keepNext/>
      <w:keepLines/>
      <w:spacing w:before="280" w:after="290" w:line="377" w:lineRule="auto"/>
      <w:outlineLvl w:val="3"/>
    </w:pPr>
    <w:rPr>
      <w:rFonts w:ascii="Arial" w:hAnsi="Arial" w:eastAsia="黑体"/>
      <w:b/>
      <w:sz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left="420" w:firstLine="210"/>
    </w:pPr>
  </w:style>
  <w:style w:type="paragraph" w:styleId="3">
    <w:name w:val="Body Text Indent"/>
    <w:basedOn w:val="1"/>
    <w:qFormat/>
    <w:uiPriority w:val="0"/>
    <w:pPr>
      <w:spacing w:after="120"/>
      <w:ind w:left="200" w:leftChars="200"/>
    </w:pPr>
    <w:rPr>
      <w:szCs w:val="24"/>
    </w:rPr>
  </w:style>
  <w:style w:type="paragraph" w:styleId="8">
    <w:name w:val="List Number 2"/>
    <w:qFormat/>
    <w:uiPriority w:val="0"/>
    <w:pPr>
      <w:tabs>
        <w:tab w:val="left" w:pos="1697"/>
      </w:tabs>
      <w:spacing w:after="50" w:afterLines="50"/>
      <w:ind w:left="1697" w:hanging="420"/>
    </w:pPr>
    <w:rPr>
      <w:rFonts w:ascii="Times New Roman" w:hAnsi="Times New Roman" w:eastAsia="宋体" w:cs="Times New Roman"/>
      <w:sz w:val="24"/>
      <w:lang w:val="en-US" w:eastAsia="zh-CN" w:bidi="ar-SA"/>
    </w:rPr>
  </w:style>
  <w:style w:type="paragraph" w:styleId="9">
    <w:name w:val="List Number"/>
    <w:qFormat/>
    <w:uiPriority w:val="0"/>
    <w:pPr>
      <w:numPr>
        <w:ilvl w:val="0"/>
        <w:numId w:val="1"/>
      </w:numPr>
      <w:tabs>
        <w:tab w:val="left" w:pos="454"/>
      </w:tabs>
      <w:spacing w:after="50" w:afterLines="50"/>
      <w:ind w:left="454" w:hanging="284"/>
    </w:pPr>
    <w:rPr>
      <w:rFonts w:ascii="Times New Roman" w:hAnsi="Times New Roman" w:eastAsia="宋体" w:cs="Times New Roman"/>
      <w:sz w:val="24"/>
      <w:lang w:val="en-US" w:eastAsia="zh-CN" w:bidi="ar-SA"/>
    </w:rPr>
  </w:style>
  <w:style w:type="paragraph" w:styleId="10">
    <w:name w:val="Normal Indent"/>
    <w:qFormat/>
    <w:uiPriority w:val="0"/>
    <w:pPr>
      <w:widowControl w:val="0"/>
      <w:ind w:firstLine="420"/>
      <w:jc w:val="both"/>
    </w:pPr>
    <w:rPr>
      <w:rFonts w:ascii="Calibri" w:hAnsi="Calibri" w:eastAsia="宋体" w:cs="Times New Roman"/>
      <w:kern w:val="2"/>
      <w:sz w:val="21"/>
      <w:lang w:val="en-US" w:eastAsia="zh-CN" w:bidi="ar-SA"/>
    </w:rPr>
  </w:style>
  <w:style w:type="paragraph" w:styleId="11">
    <w:name w:val="caption"/>
    <w:next w:val="1"/>
    <w:qFormat/>
    <w:uiPriority w:val="0"/>
    <w:pPr>
      <w:widowControl w:val="0"/>
      <w:spacing w:before="152" w:after="160"/>
      <w:jc w:val="both"/>
    </w:pPr>
    <w:rPr>
      <w:rFonts w:ascii="Arial" w:hAnsi="Arial" w:eastAsia="黑体" w:cs="Times New Roman"/>
      <w:kern w:val="2"/>
      <w:lang w:val="en-US" w:eastAsia="zh-CN" w:bidi="ar-SA"/>
    </w:rPr>
  </w:style>
  <w:style w:type="paragraph" w:styleId="12">
    <w:name w:val="annotation text"/>
    <w:basedOn w:val="1"/>
    <w:qFormat/>
    <w:uiPriority w:val="0"/>
    <w:pPr>
      <w:jc w:val="left"/>
    </w:pPr>
  </w:style>
  <w:style w:type="paragraph" w:styleId="13">
    <w:name w:val="Body Text 3"/>
    <w:qFormat/>
    <w:uiPriority w:val="0"/>
    <w:pPr>
      <w:widowControl w:val="0"/>
      <w:snapToGrid w:val="0"/>
      <w:spacing w:before="50" w:after="50"/>
      <w:jc w:val="both"/>
    </w:pPr>
    <w:rPr>
      <w:rFonts w:ascii="Times New Roman" w:hAnsi="Times New Roman" w:eastAsia="仿宋_GB2312" w:cs="Times New Roman"/>
      <w:b/>
      <w:bCs/>
      <w:kern w:val="2"/>
      <w:sz w:val="24"/>
      <w:lang w:val="en-US" w:eastAsia="zh-CN" w:bidi="ar-SA"/>
    </w:rPr>
  </w:style>
  <w:style w:type="paragraph" w:styleId="14">
    <w:name w:val="Body Text"/>
    <w:basedOn w:val="1"/>
    <w:next w:val="15"/>
    <w:qFormat/>
    <w:uiPriority w:val="0"/>
    <w:pPr>
      <w:spacing w:line="360" w:lineRule="auto"/>
    </w:pPr>
    <w:rPr>
      <w:rFonts w:eastAsia="仿宋_GB2312"/>
      <w:sz w:val="28"/>
    </w:rPr>
  </w:style>
  <w:style w:type="paragraph" w:styleId="15">
    <w:name w:val="Body Text First Indent"/>
    <w:basedOn w:val="14"/>
    <w:qFormat/>
    <w:uiPriority w:val="0"/>
    <w:pPr>
      <w:spacing w:after="120" w:line="240" w:lineRule="auto"/>
      <w:ind w:firstLine="420" w:firstLineChars="100"/>
    </w:pPr>
    <w:rPr>
      <w:rFonts w:eastAsia="宋体"/>
      <w:sz w:val="21"/>
    </w:rPr>
  </w:style>
  <w:style w:type="paragraph" w:styleId="16">
    <w:name w:val="toc 5"/>
    <w:basedOn w:val="1"/>
    <w:next w:val="1"/>
    <w:qFormat/>
    <w:uiPriority w:val="0"/>
    <w:pPr>
      <w:ind w:left="1680"/>
    </w:pPr>
  </w:style>
  <w:style w:type="paragraph" w:styleId="17">
    <w:name w:val="toc 3"/>
    <w:basedOn w:val="1"/>
    <w:next w:val="1"/>
    <w:qFormat/>
    <w:uiPriority w:val="0"/>
    <w:pPr>
      <w:ind w:left="840"/>
    </w:pPr>
  </w:style>
  <w:style w:type="paragraph" w:styleId="18">
    <w:name w:val="Plain Text"/>
    <w:qFormat/>
    <w:uiPriority w:val="0"/>
    <w:pPr>
      <w:widowControl w:val="0"/>
      <w:jc w:val="both"/>
    </w:pPr>
    <w:rPr>
      <w:rFonts w:ascii="宋体" w:hAnsi="Times New Roman" w:eastAsia="宋体" w:cs="Times New Roman"/>
      <w:kern w:val="2"/>
      <w:sz w:val="21"/>
      <w:lang w:val="en-US" w:eastAsia="zh-CN" w:bidi="ar-SA"/>
    </w:rPr>
  </w:style>
  <w:style w:type="paragraph" w:styleId="19">
    <w:name w:val="Date"/>
    <w:basedOn w:val="1"/>
    <w:next w:val="1"/>
    <w:qFormat/>
    <w:uiPriority w:val="0"/>
    <w:pPr>
      <w:ind w:left="2500" w:leftChars="2500"/>
    </w:pPr>
  </w:style>
  <w:style w:type="paragraph" w:styleId="20">
    <w:name w:val="footer"/>
    <w:qFormat/>
    <w:uiPriority w:val="0"/>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21">
    <w:name w:val="header"/>
    <w:basedOn w:val="1"/>
    <w:qFormat/>
    <w:uiPriority w:val="0"/>
    <w:pPr>
      <w:pBdr>
        <w:bottom w:val="single" w:color="auto" w:sz="6" w:space="1"/>
      </w:pBdr>
      <w:tabs>
        <w:tab w:val="center" w:pos="4153"/>
        <w:tab w:val="right" w:pos="8307"/>
      </w:tabs>
      <w:snapToGrid w:val="0"/>
      <w:jc w:val="center"/>
    </w:pPr>
    <w:rPr>
      <w:sz w:val="18"/>
    </w:rPr>
  </w:style>
  <w:style w:type="paragraph" w:styleId="22">
    <w:name w:val="toc 1"/>
    <w:basedOn w:val="1"/>
    <w:next w:val="1"/>
    <w:qFormat/>
    <w:uiPriority w:val="0"/>
  </w:style>
  <w:style w:type="paragraph" w:styleId="23">
    <w:name w:val="toc 4"/>
    <w:basedOn w:val="1"/>
    <w:next w:val="1"/>
    <w:qFormat/>
    <w:uiPriority w:val="0"/>
    <w:pPr>
      <w:ind w:left="1260"/>
    </w:pPr>
  </w:style>
  <w:style w:type="paragraph" w:styleId="24">
    <w:name w:val="toc 2"/>
    <w:basedOn w:val="1"/>
    <w:next w:val="1"/>
    <w:qFormat/>
    <w:uiPriority w:val="0"/>
    <w:pPr>
      <w:ind w:left="420"/>
    </w:pPr>
  </w:style>
  <w:style w:type="paragraph" w:styleId="25">
    <w:name w:val="annotation subject"/>
    <w:basedOn w:val="12"/>
    <w:next w:val="12"/>
    <w:qFormat/>
    <w:uiPriority w:val="0"/>
    <w:rPr>
      <w:b/>
    </w:r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0"/>
    <w:rPr>
      <w:b/>
      <w:bCs/>
    </w:rPr>
  </w:style>
  <w:style w:type="character" w:styleId="30">
    <w:name w:val="page number"/>
    <w:basedOn w:val="28"/>
    <w:qFormat/>
    <w:uiPriority w:val="0"/>
  </w:style>
  <w:style w:type="character" w:styleId="31">
    <w:name w:val="FollowedHyperlink"/>
    <w:basedOn w:val="28"/>
    <w:qFormat/>
    <w:uiPriority w:val="0"/>
    <w:rPr>
      <w:color w:val="800080"/>
      <w:u w:val="none"/>
    </w:rPr>
  </w:style>
  <w:style w:type="character" w:styleId="32">
    <w:name w:val="Emphasis"/>
    <w:basedOn w:val="28"/>
    <w:qFormat/>
    <w:uiPriority w:val="0"/>
    <w:rPr>
      <w:rFonts w:ascii="微软雅黑" w:hAnsi="微软雅黑" w:eastAsia="微软雅黑" w:cs="微软雅黑"/>
      <w:b/>
      <w:bCs/>
      <w:sz w:val="18"/>
      <w:szCs w:val="18"/>
    </w:rPr>
  </w:style>
  <w:style w:type="character" w:styleId="33">
    <w:name w:val="HTML Definition"/>
    <w:basedOn w:val="28"/>
    <w:qFormat/>
    <w:uiPriority w:val="0"/>
  </w:style>
  <w:style w:type="character" w:styleId="34">
    <w:name w:val="HTML Typewriter"/>
    <w:basedOn w:val="28"/>
    <w:qFormat/>
    <w:uiPriority w:val="0"/>
    <w:rPr>
      <w:rFonts w:hint="default" w:ascii="monospace" w:hAnsi="monospace" w:eastAsia="monospace" w:cs="monospace"/>
      <w:sz w:val="20"/>
    </w:rPr>
  </w:style>
  <w:style w:type="character" w:styleId="35">
    <w:name w:val="HTML Acronym"/>
    <w:basedOn w:val="28"/>
    <w:qFormat/>
    <w:uiPriority w:val="0"/>
  </w:style>
  <w:style w:type="character" w:styleId="36">
    <w:name w:val="HTML Variable"/>
    <w:basedOn w:val="28"/>
    <w:qFormat/>
    <w:uiPriority w:val="0"/>
  </w:style>
  <w:style w:type="character" w:styleId="37">
    <w:name w:val="Hyperlink"/>
    <w:qFormat/>
    <w:uiPriority w:val="0"/>
    <w:rPr>
      <w:color w:val="0000FF"/>
      <w:u w:val="single"/>
    </w:rPr>
  </w:style>
  <w:style w:type="character" w:styleId="38">
    <w:name w:val="HTML Code"/>
    <w:basedOn w:val="28"/>
    <w:qFormat/>
    <w:uiPriority w:val="0"/>
    <w:rPr>
      <w:rFonts w:hint="default" w:ascii="monospace" w:hAnsi="monospace" w:eastAsia="monospace" w:cs="monospace"/>
      <w:sz w:val="20"/>
    </w:rPr>
  </w:style>
  <w:style w:type="character" w:styleId="39">
    <w:name w:val="annotation reference"/>
    <w:basedOn w:val="28"/>
    <w:qFormat/>
    <w:uiPriority w:val="0"/>
    <w:rPr>
      <w:sz w:val="21"/>
      <w:szCs w:val="21"/>
    </w:rPr>
  </w:style>
  <w:style w:type="character" w:styleId="40">
    <w:name w:val="HTML Cite"/>
    <w:basedOn w:val="28"/>
    <w:qFormat/>
    <w:uiPriority w:val="0"/>
  </w:style>
  <w:style w:type="character" w:styleId="41">
    <w:name w:val="HTML Keyboard"/>
    <w:basedOn w:val="28"/>
    <w:qFormat/>
    <w:uiPriority w:val="0"/>
    <w:rPr>
      <w:rFonts w:hint="default" w:ascii="monospace" w:hAnsi="monospace" w:eastAsia="monospace" w:cs="monospace"/>
      <w:sz w:val="20"/>
    </w:rPr>
  </w:style>
  <w:style w:type="character" w:styleId="42">
    <w:name w:val="HTML Sample"/>
    <w:basedOn w:val="28"/>
    <w:qFormat/>
    <w:uiPriority w:val="0"/>
    <w:rPr>
      <w:rFonts w:ascii="monospace" w:hAnsi="monospace" w:eastAsia="monospace" w:cs="monospace"/>
    </w:rPr>
  </w:style>
  <w:style w:type="paragraph" w:customStyle="1" w:styleId="43">
    <w:name w:val="正文段"/>
    <w:qFormat/>
    <w:uiPriority w:val="0"/>
    <w:pPr>
      <w:snapToGrid w:val="0"/>
      <w:spacing w:after="50" w:afterLines="50"/>
      <w:ind w:firstLine="200" w:firstLineChars="200"/>
      <w:jc w:val="both"/>
    </w:pPr>
    <w:rPr>
      <w:rFonts w:ascii="Calibri" w:hAnsi="Calibri" w:eastAsia="宋体" w:cs="Times New Roman"/>
      <w:sz w:val="24"/>
      <w:lang w:val="en-US" w:eastAsia="zh-CN" w:bidi="ar-SA"/>
    </w:rPr>
  </w:style>
  <w:style w:type="paragraph" w:customStyle="1" w:styleId="44">
    <w:name w:val="Proposals body"/>
    <w:next w:val="1"/>
    <w:qFormat/>
    <w:uiPriority w:val="0"/>
    <w:pPr>
      <w:spacing w:line="360" w:lineRule="auto"/>
    </w:pPr>
    <w:rPr>
      <w:rFonts w:ascii="宋体" w:hAnsi="Times New Roman" w:eastAsia="宋体" w:cs="Times New Roman"/>
      <w:snapToGrid w:val="0"/>
      <w:color w:val="000000"/>
      <w:sz w:val="24"/>
      <w:lang w:val="en-US" w:eastAsia="zh-CN" w:bidi="ar-SA"/>
    </w:rPr>
  </w:style>
  <w:style w:type="paragraph" w:customStyle="1" w:styleId="45">
    <w:name w:val="正文文字 7"/>
    <w:basedOn w:val="1"/>
    <w:next w:val="1"/>
    <w:qFormat/>
    <w:uiPriority w:val="0"/>
    <w:pPr>
      <w:ind w:left="240"/>
    </w:pPr>
    <w:rPr>
      <w:sz w:val="20"/>
    </w:rPr>
  </w:style>
  <w:style w:type="paragraph" w:customStyle="1" w:styleId="46">
    <w:name w:val="正文文字 8"/>
    <w:next w:val="1"/>
    <w:qFormat/>
    <w:uiPriority w:val="0"/>
    <w:pPr>
      <w:widowControl w:val="0"/>
      <w:numPr>
        <w:ilvl w:val="1"/>
        <w:numId w:val="2"/>
      </w:numPr>
      <w:ind w:left="805"/>
      <w:jc w:val="both"/>
    </w:pPr>
    <w:rPr>
      <w:rFonts w:ascii="Times New Roman" w:hAnsi="Times New Roman" w:eastAsia="宋体" w:cs="Times New Roman"/>
      <w:kern w:val="2"/>
      <w:sz w:val="16"/>
      <w:lang w:val="en-US" w:eastAsia="zh-CN" w:bidi="ar-SA"/>
    </w:rPr>
  </w:style>
  <w:style w:type="paragraph" w:customStyle="1" w:styleId="47">
    <w:name w:val="列出段落1"/>
    <w:next w:val="45"/>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48">
    <w:name w:val="样式5"/>
    <w:next w:val="46"/>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49">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p20"/>
    <w:qFormat/>
    <w:uiPriority w:val="0"/>
    <w:pPr>
      <w:spacing w:after="160"/>
      <w:jc w:val="center"/>
    </w:pPr>
    <w:rPr>
      <w:rFonts w:hint="eastAsia" w:ascii="pingfang sc" w:hAnsi="pingfang sc" w:eastAsia="pingfang sc" w:cs="Times New Roman"/>
      <w:color w:val="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9D45F-84E0-4A10-8D47-6F072D3CA61C}">
  <ds:schemaRefs/>
</ds:datastoreItem>
</file>

<file path=docProps/app.xml><?xml version="1.0" encoding="utf-8"?>
<Properties xmlns="http://schemas.openxmlformats.org/officeDocument/2006/extended-properties" xmlns:vt="http://schemas.openxmlformats.org/officeDocument/2006/docPropsVTypes">
  <Template>Normal.dotm</Template>
  <Pages>71</Pages>
  <Words>33679</Words>
  <Characters>35870</Characters>
  <Lines>268</Lines>
  <Paragraphs>75</Paragraphs>
  <TotalTime>5</TotalTime>
  <ScaleCrop>false</ScaleCrop>
  <LinksUpToDate>false</LinksUpToDate>
  <CharactersWithSpaces>38548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2022-06-07T01:41:00Z</dcterms:created>
  <dc:creator>admin8</dc:creator>
  <cp:lastModifiedBy>浅浅</cp:lastModifiedBy>
  <cp:lastPrinted>2022-06-22T06:06:00Z</cp:lastPrinted>
  <dcterms:modified xsi:type="dcterms:W3CDTF">2022-07-01T06:39:58Z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A4EDD6FC19454F09B37697335AA9BBF9</vt:lpwstr>
  </property>
</Properties>
</file>