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C1" w:rsidRDefault="004F01B0" w:rsidP="002F772E">
      <w:pPr>
        <w:ind w:firstLineChars="0" w:firstLine="0"/>
        <w:jc w:val="center"/>
        <w:rPr>
          <w:rFonts w:ascii="隶书" w:eastAsia="隶书" w:hAnsi="仿宋"/>
          <w:sz w:val="48"/>
          <w:szCs w:val="52"/>
        </w:rPr>
      </w:pPr>
      <w:bookmarkStart w:id="0" w:name="_Toc294295913"/>
      <w:bookmarkStart w:id="1" w:name="_Toc485359982"/>
      <w:bookmarkStart w:id="2" w:name="_Toc485359981"/>
      <w:r>
        <w:rPr>
          <w:rFonts w:ascii="隶书" w:eastAsia="隶书" w:hAnsi="仿宋" w:hint="eastAsia"/>
          <w:sz w:val="48"/>
          <w:szCs w:val="52"/>
        </w:rPr>
        <w:t>绍兴市财政局预算绩效管理系统项目</w:t>
      </w:r>
    </w:p>
    <w:p w:rsidR="00EC0EC1" w:rsidRDefault="004F01B0">
      <w:pPr>
        <w:ind w:firstLineChars="0" w:firstLine="0"/>
        <w:rPr>
          <w:rFonts w:ascii="仿宋" w:eastAsia="仿宋" w:hAnsi="仿宋"/>
          <w:b/>
          <w:bCs/>
        </w:rPr>
      </w:pPr>
      <w:r>
        <w:rPr>
          <w:rFonts w:ascii="仿宋" w:eastAsia="仿宋" w:hAnsi="仿宋" w:hint="eastAsia"/>
          <w:b/>
          <w:bCs/>
        </w:rPr>
        <w:t>一、项目编号：2019-04-0049</w:t>
      </w:r>
      <w:r>
        <w:rPr>
          <w:rFonts w:ascii="仿宋" w:eastAsia="仿宋" w:hAnsi="仿宋" w:hint="eastAsia"/>
          <w:b/>
          <w:bCs/>
        </w:rPr>
        <w:tab/>
      </w:r>
    </w:p>
    <w:p w:rsidR="00EC0EC1" w:rsidRDefault="004F01B0">
      <w:pPr>
        <w:ind w:firstLineChars="0" w:firstLine="0"/>
        <w:rPr>
          <w:rFonts w:ascii="仿宋" w:eastAsia="仿宋" w:hAnsi="仿宋"/>
          <w:b/>
          <w:bCs/>
        </w:rPr>
      </w:pPr>
      <w:r>
        <w:rPr>
          <w:rFonts w:ascii="仿宋" w:eastAsia="仿宋" w:hAnsi="仿宋" w:hint="eastAsia"/>
          <w:b/>
          <w:bCs/>
        </w:rPr>
        <w:t>二、资格要求：</w:t>
      </w:r>
    </w:p>
    <w:p w:rsidR="00EC0EC1" w:rsidRDefault="004F01B0">
      <w:pPr>
        <w:spacing w:line="440" w:lineRule="exact"/>
        <w:ind w:firstLineChars="225" w:firstLine="540"/>
        <w:rPr>
          <w:rFonts w:ascii="仿宋_GB2312" w:eastAsia="仿宋_GB2312" w:cs="宋体"/>
          <w:color w:val="000000" w:themeColor="text1"/>
          <w:kern w:val="0"/>
        </w:rPr>
      </w:pPr>
      <w:r>
        <w:rPr>
          <w:rFonts w:ascii="仿宋_GB2312" w:eastAsia="仿宋_GB2312" w:cs="宋体" w:hint="eastAsia"/>
          <w:color w:val="000000" w:themeColor="text1"/>
          <w:kern w:val="0"/>
        </w:rPr>
        <w:t>1.符合政府采购法第二十二条之供应商资格规定。</w:t>
      </w:r>
    </w:p>
    <w:p w:rsidR="00EC0EC1" w:rsidRDefault="004F01B0">
      <w:pPr>
        <w:spacing w:line="440" w:lineRule="exact"/>
        <w:ind w:firstLineChars="225" w:firstLine="540"/>
        <w:rPr>
          <w:rFonts w:ascii="仿宋" w:eastAsia="仿宋" w:hAnsi="仿宋"/>
          <w:b/>
          <w:bCs/>
        </w:rPr>
      </w:pPr>
      <w:r>
        <w:rPr>
          <w:rFonts w:ascii="仿宋_GB2312" w:eastAsia="仿宋_GB2312" w:cs="宋体" w:hint="eastAsia"/>
          <w:color w:val="000000" w:themeColor="text1"/>
          <w:kern w:val="0"/>
        </w:rPr>
        <w:t>2.不接受联合体投标。</w:t>
      </w:r>
    </w:p>
    <w:p w:rsidR="00EC0EC1" w:rsidRDefault="004F01B0">
      <w:pPr>
        <w:ind w:firstLineChars="0" w:firstLine="0"/>
        <w:rPr>
          <w:rFonts w:ascii="仿宋" w:eastAsia="仿宋" w:hAnsi="仿宋"/>
          <w:b/>
          <w:bCs/>
        </w:rPr>
      </w:pPr>
      <w:r>
        <w:rPr>
          <w:rFonts w:ascii="仿宋" w:eastAsia="仿宋" w:hAnsi="仿宋" w:hint="eastAsia"/>
          <w:b/>
          <w:bCs/>
        </w:rPr>
        <w:t>三、采购人联系方式：绍兴市财政局，何婷茹，85209754.</w:t>
      </w:r>
    </w:p>
    <w:p w:rsidR="00EC0EC1" w:rsidRDefault="004F01B0">
      <w:pPr>
        <w:ind w:firstLineChars="0" w:firstLine="0"/>
        <w:rPr>
          <w:rFonts w:ascii="仿宋" w:eastAsia="仿宋" w:hAnsi="仿宋"/>
          <w:b/>
          <w:bCs/>
        </w:rPr>
      </w:pPr>
      <w:r>
        <w:rPr>
          <w:rFonts w:ascii="仿宋" w:eastAsia="仿宋" w:hAnsi="仿宋" w:hint="eastAsia"/>
          <w:b/>
          <w:bCs/>
        </w:rPr>
        <w:t>四、招标项目设备名称及数量：</w:t>
      </w:r>
    </w:p>
    <w:p w:rsidR="00EC0EC1" w:rsidRDefault="004F01B0">
      <w:pPr>
        <w:ind w:firstLineChars="0" w:firstLine="0"/>
        <w:rPr>
          <w:rFonts w:ascii="仿宋_GB2312" w:eastAsia="仿宋_GB2312" w:hAnsi="仿宋"/>
          <w:b/>
          <w:bCs/>
        </w:rPr>
      </w:pPr>
      <w:r>
        <w:rPr>
          <w:rFonts w:ascii="仿宋_GB2312" w:eastAsia="仿宋_GB2312" w:hAnsi="仿宋" w:hint="eastAsia"/>
          <w:b/>
          <w:bCs/>
          <w:bdr w:val="single" w:sz="4" w:space="0" w:color="auto"/>
        </w:rPr>
        <w:t>01标</w:t>
      </w:r>
      <w:r>
        <w:rPr>
          <w:rFonts w:ascii="仿宋_GB2312" w:eastAsia="仿宋_GB2312" w:hAnsi="仿宋" w:hint="eastAsia"/>
          <w:b/>
          <w:bCs/>
        </w:rPr>
        <w:t>绍兴市财政局预算绩效管理系统项目（预算60万）</w:t>
      </w:r>
    </w:p>
    <w:p w:rsidR="00EC0EC1" w:rsidRDefault="004F01B0">
      <w:pPr>
        <w:ind w:firstLineChars="0" w:firstLine="0"/>
        <w:rPr>
          <w:rFonts w:ascii="仿宋" w:eastAsia="仿宋" w:hAnsi="仿宋"/>
          <w:b/>
          <w:bCs/>
        </w:rPr>
      </w:pPr>
      <w:r>
        <w:rPr>
          <w:rFonts w:ascii="仿宋" w:eastAsia="仿宋" w:hAnsi="仿宋" w:hint="eastAsia"/>
          <w:b/>
          <w:bCs/>
        </w:rPr>
        <w:t>（一）主要功能要求</w:t>
      </w:r>
    </w:p>
    <w:p w:rsidR="00EC0EC1" w:rsidRDefault="004F01B0">
      <w:pPr>
        <w:numPr>
          <w:ilvl w:val="0"/>
          <w:numId w:val="3"/>
        </w:numPr>
        <w:rPr>
          <w:rFonts w:ascii="仿宋" w:eastAsia="仿宋" w:hAnsi="仿宋"/>
          <w:szCs w:val="30"/>
        </w:rPr>
      </w:pPr>
      <w:r>
        <w:rPr>
          <w:rFonts w:ascii="仿宋" w:eastAsia="仿宋" w:hAnsi="仿宋" w:hint="eastAsia"/>
          <w:szCs w:val="30"/>
        </w:rPr>
        <w:t>核心模块：绩效目标管理及事前评估、绩效运行跟踪监控、绩效评价管理、评价结果应用。</w:t>
      </w:r>
    </w:p>
    <w:p w:rsidR="00EC0EC1" w:rsidRDefault="004F01B0">
      <w:pPr>
        <w:numPr>
          <w:ilvl w:val="0"/>
          <w:numId w:val="3"/>
        </w:numPr>
        <w:rPr>
          <w:rFonts w:ascii="仿宋" w:eastAsia="仿宋" w:hAnsi="仿宋"/>
          <w:szCs w:val="30"/>
        </w:rPr>
      </w:pPr>
      <w:r>
        <w:rPr>
          <w:rFonts w:ascii="仿宋" w:eastAsia="仿宋" w:hAnsi="仿宋" w:hint="eastAsia"/>
          <w:szCs w:val="30"/>
        </w:rPr>
        <w:t>各类查询报表和统计分析。</w:t>
      </w:r>
    </w:p>
    <w:p w:rsidR="00EC0EC1" w:rsidRDefault="004F01B0">
      <w:pPr>
        <w:numPr>
          <w:ilvl w:val="0"/>
          <w:numId w:val="3"/>
        </w:numPr>
        <w:rPr>
          <w:rFonts w:ascii="仿宋" w:eastAsia="仿宋" w:hAnsi="仿宋"/>
          <w:szCs w:val="30"/>
        </w:rPr>
      </w:pPr>
      <w:r>
        <w:rPr>
          <w:rFonts w:ascii="仿宋" w:eastAsia="仿宋" w:hAnsi="仿宋" w:hint="eastAsia"/>
          <w:szCs w:val="30"/>
        </w:rPr>
        <w:t>系统管理：部门、用户、岗位、角色等的管理；流程管理；接口管理（含内部和外部）。</w:t>
      </w:r>
    </w:p>
    <w:p w:rsidR="00EC0EC1" w:rsidRDefault="004F01B0">
      <w:pPr>
        <w:numPr>
          <w:ilvl w:val="0"/>
          <w:numId w:val="3"/>
        </w:numPr>
        <w:rPr>
          <w:rFonts w:ascii="仿宋" w:eastAsia="仿宋" w:hAnsi="仿宋"/>
          <w:szCs w:val="30"/>
        </w:rPr>
      </w:pPr>
      <w:r>
        <w:rPr>
          <w:rFonts w:ascii="仿宋" w:eastAsia="仿宋" w:hAnsi="仿宋" w:hint="eastAsia"/>
          <w:szCs w:val="30"/>
        </w:rPr>
        <w:t>基础类管理：各类代码及指标库、专家库（含本单位要调用的其他类别专家）、第三方绩效评价机构、政策法规条例等资料、案例库、项目库、模板库等的管理。</w:t>
      </w:r>
    </w:p>
    <w:p w:rsidR="00EC0EC1" w:rsidRDefault="004F01B0">
      <w:pPr>
        <w:numPr>
          <w:ilvl w:val="0"/>
          <w:numId w:val="3"/>
        </w:numPr>
        <w:rPr>
          <w:rFonts w:ascii="仿宋" w:eastAsia="仿宋" w:hAnsi="仿宋"/>
          <w:szCs w:val="30"/>
        </w:rPr>
      </w:pPr>
      <w:r>
        <w:rPr>
          <w:rFonts w:ascii="仿宋" w:eastAsia="仿宋" w:hAnsi="仿宋" w:hint="eastAsia"/>
          <w:szCs w:val="30"/>
        </w:rPr>
        <w:t>其他要求：标准规范、可扩展、可移植、维护简单、提供开放接口、文档资料完整，合理利用采购人的现有硬件资源。</w:t>
      </w:r>
    </w:p>
    <w:p w:rsidR="00EC0EC1" w:rsidRDefault="004F01B0">
      <w:pPr>
        <w:numPr>
          <w:ilvl w:val="0"/>
          <w:numId w:val="3"/>
        </w:numPr>
        <w:rPr>
          <w:rFonts w:ascii="仿宋" w:eastAsia="仿宋" w:hAnsi="仿宋"/>
          <w:szCs w:val="30"/>
        </w:rPr>
      </w:pPr>
      <w:r>
        <w:rPr>
          <w:rFonts w:ascii="仿宋" w:eastAsia="仿宋" w:hAnsi="仿宋" w:hint="eastAsia"/>
          <w:szCs w:val="30"/>
        </w:rPr>
        <w:t>技术要求：采用B/S结构，使用主流数据库，支持各种主流浏览器。</w:t>
      </w:r>
    </w:p>
    <w:p w:rsidR="00EC0EC1" w:rsidRDefault="004F01B0">
      <w:pPr>
        <w:ind w:firstLineChars="0" w:firstLine="0"/>
        <w:rPr>
          <w:rFonts w:ascii="仿宋" w:eastAsia="仿宋" w:hAnsi="仿宋"/>
          <w:b/>
          <w:bCs/>
        </w:rPr>
      </w:pPr>
      <w:r>
        <w:rPr>
          <w:rFonts w:ascii="仿宋" w:eastAsia="仿宋" w:hAnsi="仿宋" w:hint="eastAsia"/>
          <w:b/>
          <w:bCs/>
        </w:rPr>
        <w:t>（二）其他要求</w:t>
      </w:r>
    </w:p>
    <w:p w:rsidR="00EC0EC1" w:rsidRDefault="004F01B0">
      <w:pPr>
        <w:rPr>
          <w:rFonts w:ascii="仿宋" w:eastAsia="仿宋" w:hAnsi="仿宋"/>
        </w:rPr>
      </w:pPr>
      <w:r>
        <w:rPr>
          <w:rFonts w:ascii="仿宋" w:eastAsia="仿宋" w:hAnsi="仿宋" w:hint="eastAsia"/>
        </w:rPr>
        <w:t>1、售后服务期限最低为2年。</w:t>
      </w:r>
    </w:p>
    <w:p w:rsidR="00EC0EC1" w:rsidRDefault="004F01B0">
      <w:pPr>
        <w:rPr>
          <w:rFonts w:ascii="仿宋" w:eastAsia="仿宋" w:hAnsi="仿宋"/>
        </w:rPr>
      </w:pPr>
      <w:r>
        <w:rPr>
          <w:rFonts w:ascii="仿宋" w:eastAsia="仿宋" w:hAnsi="仿宋" w:hint="eastAsia"/>
        </w:rPr>
        <w:t>2、付款方式：</w:t>
      </w:r>
      <w:r>
        <w:rPr>
          <w:rFonts w:ascii="仿宋" w:eastAsia="仿宋" w:hAnsi="仿宋"/>
        </w:rPr>
        <w:t>开发完成验收合格后，付合同总价款的50%；运行满半年后，付40%；售后服务期满后付余下的10%。</w:t>
      </w:r>
    </w:p>
    <w:p w:rsidR="00EC0EC1" w:rsidRDefault="004F01B0">
      <w:pPr>
        <w:rPr>
          <w:rFonts w:ascii="仿宋" w:eastAsia="仿宋" w:hAnsi="仿宋"/>
        </w:rPr>
      </w:pPr>
      <w:r>
        <w:rPr>
          <w:rFonts w:ascii="仿宋" w:eastAsia="仿宋" w:hAnsi="仿宋" w:hint="eastAsia"/>
        </w:rPr>
        <w:t>3、工期：工程完工期限为2019年10月31日。</w:t>
      </w:r>
    </w:p>
    <w:p w:rsidR="00EC0EC1" w:rsidRDefault="004F01B0">
      <w:pPr>
        <w:rPr>
          <w:rFonts w:ascii="仿宋" w:eastAsia="仿宋" w:hAnsi="仿宋"/>
        </w:rPr>
      </w:pPr>
      <w:r>
        <w:rPr>
          <w:rFonts w:ascii="仿宋" w:eastAsia="仿宋" w:hAnsi="仿宋" w:hint="eastAsia"/>
        </w:rPr>
        <w:t>4、开发完后，需提供详细、完整的电子文档，除集成平台以外所有权归本单位所有。</w:t>
      </w:r>
    </w:p>
    <w:p w:rsidR="00EC0EC1" w:rsidRDefault="004F01B0">
      <w:pPr>
        <w:rPr>
          <w:rFonts w:ascii="仿宋" w:eastAsia="仿宋" w:hAnsi="仿宋"/>
        </w:rPr>
      </w:pPr>
      <w:r>
        <w:rPr>
          <w:rFonts w:ascii="仿宋" w:eastAsia="仿宋" w:hAnsi="仿宋" w:hint="eastAsia"/>
        </w:rPr>
        <w:t>5、投标文件中的承诺，采购人可作为合同条款。</w:t>
      </w:r>
    </w:p>
    <w:p w:rsidR="00DB7D96" w:rsidRDefault="004F01B0" w:rsidP="00DB7D96">
      <w:pPr>
        <w:rPr>
          <w:rFonts w:ascii="仿宋" w:eastAsia="仿宋" w:hAnsi="仿宋" w:hint="eastAsia"/>
        </w:rPr>
      </w:pPr>
      <w:r>
        <w:rPr>
          <w:rFonts w:ascii="仿宋" w:eastAsia="仿宋" w:hAnsi="仿宋" w:hint="eastAsia"/>
        </w:rPr>
        <w:t>6、按采购人的要求签订保密协议。</w:t>
      </w:r>
    </w:p>
    <w:p w:rsidR="00EC0EC1" w:rsidRPr="00DB7D96" w:rsidRDefault="004F01B0" w:rsidP="00DB7D96">
      <w:pPr>
        <w:ind w:firstLineChars="0" w:firstLine="0"/>
        <w:rPr>
          <w:rFonts w:ascii="仿宋_GB2312" w:eastAsia="仿宋_GB2312" w:hint="eastAsia"/>
          <w:b/>
          <w:color w:val="000000" w:themeColor="text1"/>
          <w:szCs w:val="24"/>
        </w:rPr>
      </w:pPr>
      <w:r w:rsidRPr="00DB7D96">
        <w:rPr>
          <w:rFonts w:ascii="仿宋_GB2312" w:eastAsia="仿宋_GB2312" w:hint="eastAsia"/>
          <w:b/>
          <w:color w:val="000000" w:themeColor="text1"/>
          <w:szCs w:val="24"/>
        </w:rPr>
        <w:lastRenderedPageBreak/>
        <w:t>五、技术评分标准</w:t>
      </w:r>
      <w:bookmarkEnd w:id="0"/>
      <w:bookmarkEnd w:id="1"/>
      <w:bookmarkEnd w:id="2"/>
    </w:p>
    <w:p w:rsidR="00DB7D96" w:rsidRPr="006A3D9E" w:rsidRDefault="00DB7D96" w:rsidP="00DB7D96">
      <w:pPr>
        <w:spacing w:line="440" w:lineRule="exact"/>
        <w:ind w:firstLine="482"/>
        <w:jc w:val="left"/>
        <w:rPr>
          <w:rFonts w:ascii="仿宋_GB2312" w:eastAsia="仿宋_GB2312"/>
          <w:b/>
          <w:color w:val="000000" w:themeColor="text1"/>
        </w:rPr>
      </w:pPr>
      <w:r w:rsidRPr="006A3D9E">
        <w:rPr>
          <w:rFonts w:ascii="仿宋_GB2312" w:eastAsia="仿宋_GB2312" w:hint="eastAsia"/>
          <w:b/>
          <w:color w:val="000000" w:themeColor="text1"/>
        </w:rPr>
        <w:t>1、评标方法：</w:t>
      </w:r>
    </w:p>
    <w:p w:rsidR="00DB7D96" w:rsidRPr="006A3D9E" w:rsidRDefault="00DB7D96" w:rsidP="00DB7D96">
      <w:pPr>
        <w:spacing w:line="440" w:lineRule="exact"/>
        <w:jc w:val="left"/>
        <w:rPr>
          <w:rFonts w:ascii="仿宋_GB2312" w:eastAsia="仿宋_GB2312"/>
          <w:color w:val="000000" w:themeColor="text1"/>
        </w:rPr>
      </w:pPr>
      <w:r w:rsidRPr="006A3D9E">
        <w:rPr>
          <w:rFonts w:ascii="仿宋_GB2312" w:eastAsia="仿宋_GB2312" w:hint="eastAsia"/>
          <w:color w:val="000000" w:themeColor="text1"/>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B7D96" w:rsidRPr="006A3D9E" w:rsidRDefault="00DB7D96" w:rsidP="00DB7D96">
      <w:pPr>
        <w:spacing w:line="440" w:lineRule="exact"/>
        <w:ind w:firstLineChars="196" w:firstLine="472"/>
        <w:jc w:val="left"/>
        <w:rPr>
          <w:rFonts w:ascii="仿宋_GB2312" w:eastAsia="仿宋_GB2312"/>
          <w:b/>
          <w:color w:val="000000" w:themeColor="text1"/>
        </w:rPr>
      </w:pPr>
      <w:r w:rsidRPr="006A3D9E">
        <w:rPr>
          <w:rFonts w:ascii="仿宋_GB2312" w:eastAsia="仿宋_GB2312" w:hint="eastAsia"/>
          <w:b/>
          <w:color w:val="000000" w:themeColor="text1"/>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B7D96" w:rsidRPr="006A3D9E" w:rsidRDefault="00DB7D96" w:rsidP="00DB7D96">
      <w:pPr>
        <w:spacing w:line="440" w:lineRule="exact"/>
        <w:ind w:firstLine="482"/>
        <w:jc w:val="left"/>
        <w:rPr>
          <w:rFonts w:ascii="仿宋_GB2312" w:eastAsia="仿宋_GB2312"/>
          <w:color w:val="000000" w:themeColor="text1"/>
        </w:rPr>
      </w:pPr>
      <w:r w:rsidRPr="006A3D9E">
        <w:rPr>
          <w:rFonts w:ascii="仿宋_GB2312" w:eastAsia="仿宋_GB2312" w:hint="eastAsia"/>
          <w:b/>
          <w:color w:val="000000" w:themeColor="text1"/>
        </w:rPr>
        <w:t>非单一产品采购项目，采购人应当根据采购项目技术构成、产品价格比重等合理确定核心产品，并在招标文件中载明。多家投标人提供的核心产品品牌相同的，按前款规定处理。</w:t>
      </w:r>
    </w:p>
    <w:p w:rsidR="00DB7D96" w:rsidRPr="006A3D9E" w:rsidRDefault="00DB7D96" w:rsidP="00DB7D96">
      <w:pPr>
        <w:spacing w:line="440" w:lineRule="exact"/>
        <w:ind w:firstLine="482"/>
        <w:jc w:val="left"/>
        <w:rPr>
          <w:rFonts w:ascii="仿宋_GB2312" w:eastAsia="仿宋_GB2312"/>
          <w:color w:val="000000" w:themeColor="text1"/>
        </w:rPr>
      </w:pPr>
      <w:r w:rsidRPr="006A3D9E">
        <w:rPr>
          <w:rFonts w:ascii="仿宋_GB2312" w:eastAsia="仿宋_GB2312" w:hint="eastAsia"/>
          <w:b/>
          <w:color w:val="000000" w:themeColor="text1"/>
        </w:rPr>
        <w:t>2.评分标准：</w:t>
      </w:r>
      <w:r w:rsidRPr="006A3D9E">
        <w:rPr>
          <w:rFonts w:ascii="仿宋_GB2312" w:eastAsia="仿宋_GB2312" w:hint="eastAsia"/>
          <w:color w:val="000000" w:themeColor="text1"/>
        </w:rPr>
        <w:t>共100分，其中技术分</w:t>
      </w:r>
      <w:r>
        <w:rPr>
          <w:rFonts w:ascii="仿宋_GB2312" w:eastAsia="仿宋_GB2312" w:hint="eastAsia"/>
          <w:color w:val="000000" w:themeColor="text1"/>
        </w:rPr>
        <w:t>70</w:t>
      </w:r>
      <w:r w:rsidRPr="006A3D9E">
        <w:rPr>
          <w:rFonts w:ascii="仿宋_GB2312" w:eastAsia="仿宋_GB2312" w:hint="eastAsia"/>
          <w:color w:val="000000" w:themeColor="text1"/>
        </w:rPr>
        <w:t>分，商务分</w:t>
      </w:r>
      <w:r>
        <w:rPr>
          <w:rFonts w:ascii="仿宋_GB2312" w:eastAsia="仿宋_GB2312" w:hint="eastAsia"/>
          <w:color w:val="000000" w:themeColor="text1"/>
        </w:rPr>
        <w:t>40</w:t>
      </w:r>
      <w:r w:rsidRPr="006A3D9E">
        <w:rPr>
          <w:rFonts w:ascii="仿宋_GB2312" w:eastAsia="仿宋_GB2312" w:hint="eastAsia"/>
          <w:color w:val="000000" w:themeColor="text1"/>
        </w:rPr>
        <w:t>分。评分依下述所列为评标打分依据，分值如下（本次评标评委由5人及以上单数组成，计算分值时，按其算术平均值保留小数2位）。</w:t>
      </w:r>
    </w:p>
    <w:p w:rsidR="00DB7D96" w:rsidRPr="00DB7D96" w:rsidRDefault="00DB7D96" w:rsidP="00DB7D96">
      <w:pPr>
        <w:spacing w:line="440" w:lineRule="exact"/>
        <w:ind w:firstLine="482"/>
      </w:pPr>
      <w:r w:rsidRPr="006A3D9E">
        <w:rPr>
          <w:rFonts w:ascii="仿宋_GB2312" w:eastAsia="仿宋_GB2312" w:hint="eastAsia"/>
          <w:b/>
          <w:bCs/>
          <w:iCs/>
          <w:color w:val="000000" w:themeColor="text1"/>
        </w:rPr>
        <w:t>2.1.技术分（</w:t>
      </w:r>
      <w:r>
        <w:rPr>
          <w:rFonts w:ascii="仿宋_GB2312" w:eastAsia="仿宋_GB2312" w:hint="eastAsia"/>
          <w:b/>
          <w:bCs/>
          <w:iCs/>
          <w:color w:val="000000" w:themeColor="text1"/>
        </w:rPr>
        <w:t>7</w:t>
      </w:r>
      <w:r w:rsidRPr="006A3D9E">
        <w:rPr>
          <w:rFonts w:ascii="仿宋_GB2312" w:eastAsia="仿宋_GB2312" w:hint="eastAsia"/>
          <w:b/>
          <w:bCs/>
          <w:iCs/>
          <w:color w:val="000000" w:themeColor="text1"/>
        </w:rPr>
        <w:t>0分）</w:t>
      </w:r>
    </w:p>
    <w:tbl>
      <w:tblPr>
        <w:tblStyle w:val="ab"/>
        <w:tblW w:w="8522" w:type="dxa"/>
        <w:tblLayout w:type="fixed"/>
        <w:tblLook w:val="04A0"/>
      </w:tblPr>
      <w:tblGrid>
        <w:gridCol w:w="7499"/>
        <w:gridCol w:w="1023"/>
      </w:tblGrid>
      <w:tr w:rsidR="00EC0EC1" w:rsidTr="00DB7D96">
        <w:tc>
          <w:tcPr>
            <w:tcW w:w="7499" w:type="dxa"/>
            <w:vAlign w:val="center"/>
          </w:tcPr>
          <w:p w:rsidR="00EC0EC1" w:rsidRDefault="004F01B0" w:rsidP="00DB7D96">
            <w:pPr>
              <w:ind w:firstLineChars="0" w:firstLine="0"/>
              <w:jc w:val="center"/>
              <w:rPr>
                <w:rFonts w:ascii="仿宋" w:eastAsia="仿宋" w:hAnsi="仿宋"/>
                <w:b/>
                <w:bCs/>
              </w:rPr>
            </w:pPr>
            <w:r>
              <w:rPr>
                <w:rFonts w:ascii="仿宋" w:eastAsia="仿宋" w:hAnsi="仿宋" w:hint="eastAsia"/>
                <w:b/>
                <w:bCs/>
              </w:rPr>
              <w:t>条款</w:t>
            </w:r>
          </w:p>
        </w:tc>
        <w:tc>
          <w:tcPr>
            <w:tcW w:w="1023" w:type="dxa"/>
            <w:vAlign w:val="center"/>
          </w:tcPr>
          <w:p w:rsidR="00EC0EC1" w:rsidRDefault="004F01B0" w:rsidP="00DB7D96">
            <w:pPr>
              <w:ind w:firstLineChars="0" w:firstLine="0"/>
              <w:jc w:val="center"/>
              <w:rPr>
                <w:rFonts w:ascii="仿宋" w:eastAsia="仿宋" w:hAnsi="仿宋"/>
                <w:b/>
                <w:bCs/>
              </w:rPr>
            </w:pPr>
            <w:r>
              <w:rPr>
                <w:rFonts w:ascii="仿宋" w:eastAsia="仿宋" w:hAnsi="仿宋" w:hint="eastAsia"/>
                <w:b/>
                <w:bCs/>
              </w:rPr>
              <w:t>分值</w:t>
            </w:r>
          </w:p>
        </w:tc>
      </w:tr>
      <w:tr w:rsidR="00EC0EC1" w:rsidTr="00DB7D96">
        <w:tc>
          <w:tcPr>
            <w:tcW w:w="7499" w:type="dxa"/>
            <w:vAlign w:val="center"/>
          </w:tcPr>
          <w:p w:rsidR="00EC0EC1" w:rsidRDefault="008E071E" w:rsidP="00DB7D96">
            <w:pPr>
              <w:ind w:firstLineChars="0" w:firstLine="0"/>
              <w:jc w:val="left"/>
              <w:rPr>
                <w:rFonts w:ascii="仿宋" w:eastAsia="仿宋" w:hAnsi="仿宋"/>
              </w:rPr>
            </w:pPr>
            <w:r w:rsidRPr="00456A31">
              <w:rPr>
                <w:rFonts w:ascii="仿宋" w:eastAsia="仿宋" w:hAnsi="仿宋" w:hint="eastAsia"/>
              </w:rPr>
              <w:t>有政府部门绩效管理（人员绩效与企业绩效的不算）相关软件产品证书或著作权登记证书，得</w:t>
            </w:r>
            <w:r w:rsidRPr="00456A31">
              <w:rPr>
                <w:rFonts w:ascii="仿宋" w:eastAsia="仿宋" w:hAnsi="仿宋"/>
              </w:rPr>
              <w:t>2</w:t>
            </w:r>
            <w:r w:rsidRPr="00456A31">
              <w:rPr>
                <w:rFonts w:ascii="仿宋" w:eastAsia="仿宋" w:hAnsi="仿宋" w:hint="eastAsia"/>
              </w:rPr>
              <w:t>分。</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2</w:t>
            </w:r>
          </w:p>
        </w:tc>
      </w:tr>
      <w:tr w:rsidR="00EC0EC1" w:rsidTr="00DB7D96">
        <w:tc>
          <w:tcPr>
            <w:tcW w:w="7499" w:type="dxa"/>
            <w:vAlign w:val="center"/>
          </w:tcPr>
          <w:p w:rsidR="00EC0EC1" w:rsidRPr="00456A31" w:rsidRDefault="00676E53" w:rsidP="00DB7D96">
            <w:pPr>
              <w:ind w:firstLineChars="0" w:firstLine="0"/>
              <w:jc w:val="left"/>
              <w:rPr>
                <w:rFonts w:ascii="仿宋" w:eastAsia="仿宋" w:hAnsi="仿宋"/>
                <w:dstrike/>
              </w:rPr>
            </w:pPr>
            <w:r w:rsidRPr="00456A31">
              <w:rPr>
                <w:rFonts w:ascii="仿宋" w:eastAsia="仿宋" w:hAnsi="仿宋" w:hint="eastAsia"/>
              </w:rPr>
              <w:t>2016年1月1日以来，同等规模同类项目案例，每有1个得2分，最多8分。（投标文件中提供合同复印件）</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8</w:t>
            </w:r>
          </w:p>
        </w:tc>
      </w:tr>
      <w:tr w:rsidR="00EC0EC1" w:rsidTr="00DB7D96">
        <w:tc>
          <w:tcPr>
            <w:tcW w:w="7499" w:type="dxa"/>
            <w:vAlign w:val="center"/>
          </w:tcPr>
          <w:p w:rsidR="006A2783" w:rsidRDefault="00676E53" w:rsidP="00DB7D96">
            <w:pPr>
              <w:ind w:firstLineChars="0" w:firstLine="0"/>
              <w:jc w:val="left"/>
              <w:rPr>
                <w:rFonts w:ascii="仿宋" w:eastAsia="仿宋" w:hAnsi="仿宋"/>
              </w:rPr>
            </w:pPr>
            <w:r>
              <w:rPr>
                <w:rFonts w:ascii="仿宋" w:eastAsia="仿宋" w:hAnsi="仿宋" w:hint="eastAsia"/>
              </w:rPr>
              <w:t>根据投标供应商拟建设案例库的</w:t>
            </w:r>
            <w:r w:rsidR="004F01B0">
              <w:rPr>
                <w:rFonts w:ascii="仿宋" w:eastAsia="仿宋" w:hAnsi="仿宋" w:hint="eastAsia"/>
              </w:rPr>
              <w:t>预算绩效案例资源数量及可用性打分，优5.0-4.0分，良好3.9-2.0分，一般1.9-0.0分。</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5</w:t>
            </w:r>
          </w:p>
        </w:tc>
      </w:tr>
      <w:tr w:rsidR="00EC0EC1" w:rsidTr="00DB7D96">
        <w:tc>
          <w:tcPr>
            <w:tcW w:w="7499" w:type="dxa"/>
            <w:vAlign w:val="center"/>
          </w:tcPr>
          <w:p w:rsidR="00EC0EC1" w:rsidRDefault="004F01B0" w:rsidP="00DB7D96">
            <w:pPr>
              <w:ind w:firstLineChars="0" w:firstLine="0"/>
              <w:jc w:val="left"/>
              <w:rPr>
                <w:rFonts w:ascii="仿宋" w:eastAsia="仿宋" w:hAnsi="仿宋"/>
                <w:highlight w:val="yellow"/>
              </w:rPr>
            </w:pPr>
            <w:r>
              <w:rPr>
                <w:rFonts w:ascii="仿宋" w:eastAsia="仿宋" w:hAnsi="仿宋" w:hint="eastAsia"/>
              </w:rPr>
              <w:t>对本项目需求的理解提供设计方案，根据设计方案进</w:t>
            </w:r>
            <w:bookmarkStart w:id="3" w:name="_GoBack"/>
            <w:bookmarkEnd w:id="3"/>
            <w:r>
              <w:rPr>
                <w:rFonts w:ascii="仿宋" w:eastAsia="仿宋" w:hAnsi="仿宋" w:hint="eastAsia"/>
              </w:rPr>
              <w:t>行横向对比，综合打分，优15.0-10.0分，良好9.9-5.0分，一般4.9-0.0分。</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15</w:t>
            </w:r>
          </w:p>
        </w:tc>
      </w:tr>
      <w:tr w:rsidR="00EC0EC1" w:rsidTr="00DB7D96">
        <w:tc>
          <w:tcPr>
            <w:tcW w:w="7499" w:type="dxa"/>
            <w:vAlign w:val="center"/>
          </w:tcPr>
          <w:p w:rsidR="00EC0EC1" w:rsidRDefault="004F01B0" w:rsidP="00DB7D96">
            <w:pPr>
              <w:ind w:firstLineChars="0" w:firstLine="0"/>
              <w:jc w:val="left"/>
              <w:rPr>
                <w:rFonts w:ascii="仿宋" w:eastAsia="仿宋" w:hAnsi="仿宋"/>
              </w:rPr>
            </w:pPr>
            <w:r>
              <w:rPr>
                <w:rFonts w:ascii="仿宋" w:eastAsia="仿宋" w:hAnsi="仿宋" w:hint="eastAsia"/>
              </w:rPr>
              <w:t>对本项目需求的合理化建议，优5.0-4.0分，良好3.9-2.0分，一般1.9-0.0分。</w:t>
            </w:r>
          </w:p>
        </w:tc>
        <w:tc>
          <w:tcPr>
            <w:tcW w:w="1023" w:type="dxa"/>
            <w:vAlign w:val="center"/>
          </w:tcPr>
          <w:p w:rsidR="00EC0EC1" w:rsidRDefault="006A2783" w:rsidP="00DB7D96">
            <w:pPr>
              <w:ind w:firstLineChars="0" w:firstLine="0"/>
              <w:jc w:val="center"/>
              <w:rPr>
                <w:rFonts w:ascii="仿宋" w:eastAsia="仿宋" w:hAnsi="仿宋"/>
              </w:rPr>
            </w:pPr>
            <w:r>
              <w:rPr>
                <w:rFonts w:ascii="仿宋" w:eastAsia="仿宋" w:hAnsi="仿宋" w:hint="eastAsia"/>
              </w:rPr>
              <w:t>4</w:t>
            </w:r>
          </w:p>
        </w:tc>
      </w:tr>
      <w:tr w:rsidR="00EC0EC1" w:rsidTr="00DB7D96">
        <w:tc>
          <w:tcPr>
            <w:tcW w:w="7499" w:type="dxa"/>
            <w:vAlign w:val="center"/>
          </w:tcPr>
          <w:p w:rsidR="00EC0EC1" w:rsidRDefault="004F01B0" w:rsidP="00DB7D96">
            <w:pPr>
              <w:ind w:firstLineChars="0" w:firstLine="0"/>
              <w:jc w:val="left"/>
              <w:rPr>
                <w:rFonts w:ascii="仿宋" w:eastAsia="仿宋" w:hAnsi="仿宋"/>
              </w:rPr>
            </w:pPr>
            <w:r>
              <w:rPr>
                <w:rFonts w:ascii="仿宋" w:eastAsia="仿宋" w:hAnsi="仿宋" w:hint="eastAsia"/>
              </w:rPr>
              <w:lastRenderedPageBreak/>
              <w:t>根据</w:t>
            </w:r>
            <w:r w:rsidR="00676E53">
              <w:rPr>
                <w:rFonts w:ascii="仿宋" w:eastAsia="仿宋" w:hAnsi="仿宋" w:hint="eastAsia"/>
              </w:rPr>
              <w:t>所提供的</w:t>
            </w:r>
            <w:r>
              <w:rPr>
                <w:rFonts w:ascii="仿宋" w:eastAsia="仿宋" w:hAnsi="仿宋" w:hint="eastAsia"/>
              </w:rPr>
              <w:t>项目实施方案</w:t>
            </w:r>
            <w:r w:rsidR="00676E53">
              <w:rPr>
                <w:rFonts w:ascii="仿宋" w:eastAsia="仿宋" w:hAnsi="仿宋" w:hint="eastAsia"/>
              </w:rPr>
              <w:t>进行横向对比，综合打分，</w:t>
            </w:r>
            <w:r>
              <w:rPr>
                <w:rFonts w:ascii="仿宋" w:eastAsia="仿宋" w:hAnsi="仿宋" w:hint="eastAsia"/>
              </w:rPr>
              <w:t>优10.0-7.0分，良好6.9-4.0分，一般3.9-0.0分。</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10</w:t>
            </w:r>
          </w:p>
        </w:tc>
      </w:tr>
      <w:tr w:rsidR="00EC0EC1" w:rsidTr="00DB7D96">
        <w:tc>
          <w:tcPr>
            <w:tcW w:w="7499" w:type="dxa"/>
            <w:vAlign w:val="center"/>
          </w:tcPr>
          <w:p w:rsidR="00EC0EC1" w:rsidRDefault="003E2A68" w:rsidP="00DB7D96">
            <w:pPr>
              <w:ind w:firstLineChars="0" w:firstLine="0"/>
              <w:jc w:val="left"/>
              <w:rPr>
                <w:rFonts w:ascii="仿宋" w:eastAsia="仿宋" w:hAnsi="仿宋"/>
              </w:rPr>
            </w:pPr>
            <w:r>
              <w:rPr>
                <w:rFonts w:ascii="仿宋" w:eastAsia="仿宋" w:hAnsi="仿宋" w:hint="eastAsia"/>
              </w:rPr>
              <w:t>根据投标人拟投入项目团队成员情况（包括技术力量和经验等）进行横向对比，综合打分</w:t>
            </w:r>
            <w:r w:rsidR="004F01B0">
              <w:rPr>
                <w:rFonts w:ascii="仿宋" w:eastAsia="仿宋" w:hAnsi="仿宋" w:hint="eastAsia"/>
              </w:rPr>
              <w:t>，优13.0-9.0分，良好8.9-5.0分，一般4.9-0.0分。</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13</w:t>
            </w:r>
          </w:p>
        </w:tc>
      </w:tr>
      <w:tr w:rsidR="00EC0EC1" w:rsidTr="00DB7D96">
        <w:tc>
          <w:tcPr>
            <w:tcW w:w="7499" w:type="dxa"/>
            <w:vAlign w:val="center"/>
          </w:tcPr>
          <w:p w:rsidR="00EC0EC1" w:rsidRDefault="004F01B0" w:rsidP="00DB7D96">
            <w:pPr>
              <w:ind w:firstLineChars="0" w:firstLine="0"/>
              <w:jc w:val="left"/>
              <w:rPr>
                <w:rFonts w:ascii="仿宋" w:eastAsia="仿宋" w:hAnsi="仿宋"/>
              </w:rPr>
            </w:pPr>
            <w:r>
              <w:rPr>
                <w:rFonts w:ascii="仿宋" w:eastAsia="仿宋" w:hAnsi="仿宋" w:hint="eastAsia"/>
              </w:rPr>
              <w:t>售后服务期限：</w:t>
            </w:r>
            <w:r w:rsidR="00676E53">
              <w:rPr>
                <w:rFonts w:ascii="仿宋" w:eastAsia="仿宋" w:hAnsi="仿宋" w:hint="eastAsia"/>
              </w:rPr>
              <w:t>满足招标文件基础要求的不得分，每增加1年服务期限的得</w:t>
            </w:r>
            <w:r w:rsidR="006A2783">
              <w:rPr>
                <w:rFonts w:ascii="仿宋" w:eastAsia="仿宋" w:hAnsi="仿宋" w:hint="eastAsia"/>
              </w:rPr>
              <w:t>3</w:t>
            </w:r>
            <w:r w:rsidR="00676E53">
              <w:rPr>
                <w:rFonts w:ascii="仿宋" w:eastAsia="仿宋" w:hAnsi="仿宋" w:hint="eastAsia"/>
              </w:rPr>
              <w:t>分，满分</w:t>
            </w:r>
            <w:r w:rsidR="006A2783">
              <w:rPr>
                <w:rFonts w:ascii="仿宋" w:eastAsia="仿宋" w:hAnsi="仿宋" w:hint="eastAsia"/>
              </w:rPr>
              <w:t>9</w:t>
            </w:r>
            <w:r w:rsidR="00676E53">
              <w:rPr>
                <w:rFonts w:ascii="仿宋" w:eastAsia="仿宋" w:hAnsi="仿宋" w:hint="eastAsia"/>
              </w:rPr>
              <w:t>分。</w:t>
            </w:r>
          </w:p>
        </w:tc>
        <w:tc>
          <w:tcPr>
            <w:tcW w:w="1023" w:type="dxa"/>
            <w:vAlign w:val="center"/>
          </w:tcPr>
          <w:p w:rsidR="00EC0EC1" w:rsidRDefault="006A2783" w:rsidP="00DB7D96">
            <w:pPr>
              <w:ind w:firstLineChars="0" w:firstLine="0"/>
              <w:jc w:val="center"/>
              <w:rPr>
                <w:rFonts w:ascii="仿宋" w:eastAsia="仿宋" w:hAnsi="仿宋"/>
              </w:rPr>
            </w:pPr>
            <w:r>
              <w:rPr>
                <w:rFonts w:ascii="仿宋" w:eastAsia="仿宋" w:hAnsi="仿宋" w:hint="eastAsia"/>
              </w:rPr>
              <w:t>9</w:t>
            </w:r>
          </w:p>
        </w:tc>
      </w:tr>
      <w:tr w:rsidR="00EC0EC1" w:rsidTr="00DB7D96">
        <w:tc>
          <w:tcPr>
            <w:tcW w:w="7499" w:type="dxa"/>
            <w:vAlign w:val="center"/>
          </w:tcPr>
          <w:p w:rsidR="00EC0EC1" w:rsidRDefault="004F01B0" w:rsidP="00DB7D96">
            <w:pPr>
              <w:ind w:firstLineChars="0" w:firstLine="0"/>
              <w:jc w:val="left"/>
              <w:rPr>
                <w:rFonts w:ascii="仿宋" w:eastAsia="仿宋" w:hAnsi="仿宋"/>
              </w:rPr>
            </w:pPr>
            <w:r>
              <w:rPr>
                <w:rFonts w:ascii="仿宋" w:eastAsia="仿宋" w:hAnsi="仿宋" w:hint="eastAsia"/>
              </w:rPr>
              <w:t>根据测试方案、售后服务方案及培训方案进行综合打分，优4.0-3.0分，良好2.9-2.0分，一般1.9-0.0分。</w:t>
            </w:r>
          </w:p>
        </w:tc>
        <w:tc>
          <w:tcPr>
            <w:tcW w:w="1023" w:type="dxa"/>
            <w:vAlign w:val="center"/>
          </w:tcPr>
          <w:p w:rsidR="00EC0EC1" w:rsidRDefault="004F01B0" w:rsidP="00DB7D96">
            <w:pPr>
              <w:ind w:firstLineChars="0" w:firstLine="0"/>
              <w:jc w:val="center"/>
              <w:rPr>
                <w:rFonts w:ascii="仿宋" w:eastAsia="仿宋" w:hAnsi="仿宋"/>
              </w:rPr>
            </w:pPr>
            <w:r>
              <w:rPr>
                <w:rFonts w:ascii="仿宋" w:eastAsia="仿宋" w:hAnsi="仿宋" w:hint="eastAsia"/>
              </w:rPr>
              <w:t>4</w:t>
            </w:r>
          </w:p>
        </w:tc>
      </w:tr>
    </w:tbl>
    <w:p w:rsidR="00DB7D96" w:rsidRPr="00DB7D96" w:rsidRDefault="00DB7D96" w:rsidP="00DB7D96">
      <w:pPr>
        <w:ind w:firstLineChars="0" w:firstLine="0"/>
        <w:rPr>
          <w:rFonts w:ascii="仿宋_GB2312" w:eastAsia="仿宋_GB2312" w:hAnsi="仿宋_GB2312" w:cs="仿宋_GB2312"/>
          <w:color w:val="000000" w:themeColor="text1"/>
          <w:szCs w:val="21"/>
        </w:rPr>
      </w:pPr>
      <w:r w:rsidRPr="00DB7D96">
        <w:rPr>
          <w:rFonts w:ascii="仿宋_GB2312" w:eastAsia="仿宋_GB2312" w:hAnsi="仿宋_GB2312" w:cs="仿宋_GB2312" w:hint="eastAsia"/>
          <w:color w:val="000000" w:themeColor="text1"/>
          <w:szCs w:val="21"/>
        </w:rPr>
        <w:t>▲ 减分：投标人的信誉情况：政府采购领域中投标人在项目招标、投标和合同履约期间是否存在不良行为记录。</w:t>
      </w:r>
    </w:p>
    <w:p w:rsidR="00DB7D96" w:rsidRPr="006A3D9E" w:rsidRDefault="00DB7D96" w:rsidP="00DB7D96">
      <w:pPr>
        <w:ind w:firstLineChars="0" w:firstLine="0"/>
        <w:rPr>
          <w:rFonts w:ascii="仿宋_GB2312" w:eastAsia="仿宋_GB2312" w:hAnsi="仿宋_GB2312" w:cs="仿宋_GB2312"/>
          <w:color w:val="000000" w:themeColor="text1"/>
        </w:rPr>
      </w:pPr>
      <w:r w:rsidRPr="006A3D9E">
        <w:rPr>
          <w:rFonts w:ascii="仿宋_GB2312" w:eastAsia="仿宋_GB2312" w:hAnsi="仿宋_GB2312" w:cs="仿宋_GB2312" w:hint="eastAsia"/>
          <w:color w:val="000000" w:themeColor="text1"/>
        </w:rPr>
        <w:t>●</w:t>
      </w:r>
      <w:r w:rsidRPr="006A3D9E">
        <w:rPr>
          <w:rFonts w:ascii="仿宋_GB2312" w:eastAsia="仿宋_GB2312" w:hAnsi="仿宋_GB2312" w:cs="仿宋_GB2312" w:hint="eastAsia"/>
          <w:color w:val="000000" w:themeColor="text1"/>
          <w:szCs w:val="21"/>
        </w:rPr>
        <w:t xml:space="preserve"> </w:t>
      </w:r>
      <w:r w:rsidRPr="006A3D9E">
        <w:rPr>
          <w:rFonts w:ascii="仿宋_GB2312" w:eastAsia="仿宋_GB2312" w:hAnsi="仿宋_GB2312" w:cs="仿宋_GB2312" w:hint="eastAsia"/>
          <w:color w:val="000000" w:themeColor="text1"/>
        </w:rPr>
        <w:t>投标人参与本次招标活动前三年内在浙江省范围内政府采购领域中受到不良行为记录处罚的每次扣1分。</w:t>
      </w:r>
    </w:p>
    <w:p w:rsidR="00DB7D96" w:rsidRPr="006A3D9E" w:rsidRDefault="00DB7D96" w:rsidP="00DB7D96">
      <w:pPr>
        <w:ind w:firstLineChars="0" w:firstLine="0"/>
        <w:rPr>
          <w:rFonts w:ascii="仿宋_GB2312" w:eastAsia="仿宋_GB2312"/>
          <w:b/>
          <w:bCs/>
          <w:iCs/>
          <w:color w:val="000000" w:themeColor="text1"/>
        </w:rPr>
      </w:pPr>
      <w:r w:rsidRPr="006A3D9E">
        <w:rPr>
          <w:rFonts w:ascii="仿宋_GB2312" w:eastAsia="仿宋_GB2312" w:hAnsi="仿宋_GB2312" w:cs="仿宋_GB2312" w:hint="eastAsia"/>
          <w:color w:val="000000" w:themeColor="text1"/>
        </w:rPr>
        <w:t>●</w:t>
      </w:r>
      <w:r w:rsidRPr="006A3D9E">
        <w:rPr>
          <w:rFonts w:ascii="仿宋_GB2312" w:eastAsia="仿宋_GB2312" w:hint="eastAsia"/>
          <w:b/>
          <w:color w:val="000000" w:themeColor="text1"/>
        </w:rPr>
        <w:t>未按规定提供商务文件光盘的扣一分。</w:t>
      </w:r>
    </w:p>
    <w:p w:rsidR="00DB7D96" w:rsidRPr="006A3D9E" w:rsidRDefault="00DB7D96" w:rsidP="00DB7D96">
      <w:pPr>
        <w:spacing w:line="440" w:lineRule="exact"/>
        <w:ind w:firstLineChars="0" w:firstLine="0"/>
        <w:rPr>
          <w:rFonts w:ascii="仿宋_GB2312" w:eastAsia="仿宋_GB2312"/>
          <w:b/>
          <w:bCs/>
          <w:iCs/>
          <w:color w:val="000000" w:themeColor="text1"/>
        </w:rPr>
      </w:pPr>
      <w:r w:rsidRPr="006A3D9E">
        <w:rPr>
          <w:rFonts w:ascii="仿宋_GB2312" w:eastAsia="仿宋_GB2312" w:hint="eastAsia"/>
          <w:b/>
          <w:bCs/>
          <w:iCs/>
          <w:color w:val="000000" w:themeColor="text1"/>
        </w:rPr>
        <w:t>2.2商务分</w:t>
      </w:r>
      <w:r>
        <w:rPr>
          <w:rFonts w:ascii="仿宋_GB2312" w:eastAsia="仿宋_GB2312" w:hint="eastAsia"/>
          <w:b/>
          <w:bCs/>
          <w:iCs/>
          <w:color w:val="000000" w:themeColor="text1"/>
        </w:rPr>
        <w:t>3</w:t>
      </w:r>
      <w:r w:rsidRPr="006A3D9E">
        <w:rPr>
          <w:rFonts w:ascii="仿宋_GB2312" w:eastAsia="仿宋_GB2312" w:hint="eastAsia"/>
          <w:b/>
          <w:bCs/>
          <w:iCs/>
          <w:color w:val="000000" w:themeColor="text1"/>
        </w:rPr>
        <w:t>0分</w:t>
      </w:r>
    </w:p>
    <w:p w:rsidR="00DB7D96" w:rsidRPr="006A3D9E" w:rsidRDefault="00DB7D96" w:rsidP="00DB7D96">
      <w:pPr>
        <w:spacing w:line="440" w:lineRule="exact"/>
        <w:ind w:firstLineChars="0" w:firstLine="0"/>
        <w:rPr>
          <w:rFonts w:ascii="仿宋_GB2312" w:eastAsia="仿宋_GB2312"/>
          <w:bCs/>
          <w:iCs/>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3D9E">
          <w:rPr>
            <w:rFonts w:ascii="仿宋_GB2312" w:eastAsia="仿宋_GB2312" w:hint="eastAsia"/>
            <w:bCs/>
            <w:iCs/>
            <w:color w:val="000000" w:themeColor="text1"/>
          </w:rPr>
          <w:t>2.2.1</w:t>
        </w:r>
      </w:smartTag>
      <w:r w:rsidRPr="006A3D9E">
        <w:rPr>
          <w:rFonts w:ascii="仿宋_GB2312" w:eastAsia="仿宋_GB2312" w:hint="eastAsia"/>
          <w:bCs/>
          <w:iCs/>
          <w:color w:val="000000" w:themeColor="text1"/>
        </w:rPr>
        <w:t>评标基准价：即满足招标文件要求且投标价格最低的投标报价为评标基准价，其价格分为满分。</w:t>
      </w:r>
    </w:p>
    <w:p w:rsidR="00DB7D96" w:rsidRPr="006A3D9E" w:rsidRDefault="00DB7D96" w:rsidP="00DB7D96">
      <w:pPr>
        <w:spacing w:line="440" w:lineRule="exact"/>
        <w:ind w:firstLineChars="0" w:firstLine="0"/>
        <w:rPr>
          <w:rFonts w:ascii="仿宋_GB2312" w:eastAsia="仿宋_GB2312"/>
          <w:bCs/>
          <w:iCs/>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3D9E">
          <w:rPr>
            <w:rFonts w:ascii="仿宋_GB2312" w:eastAsia="仿宋_GB2312" w:hint="eastAsia"/>
            <w:bCs/>
            <w:iCs/>
            <w:color w:val="000000" w:themeColor="text1"/>
          </w:rPr>
          <w:t>2.2.2</w:t>
        </w:r>
      </w:smartTag>
      <w:r w:rsidRPr="006A3D9E">
        <w:rPr>
          <w:rFonts w:ascii="仿宋_GB2312" w:eastAsia="仿宋_GB2312" w:hint="eastAsia"/>
          <w:bCs/>
          <w:iCs/>
          <w:color w:val="000000" w:themeColor="text1"/>
        </w:rPr>
        <w:t>其他投标人的价格分统一按照下列公式计算：</w:t>
      </w:r>
    </w:p>
    <w:p w:rsidR="00DB7D96" w:rsidRPr="006A3D9E" w:rsidRDefault="00DB7D96" w:rsidP="00DB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firstLine="0"/>
        <w:rPr>
          <w:rFonts w:ascii="仿宋_GB2312" w:eastAsia="仿宋_GB2312"/>
          <w:bCs/>
          <w:iCs/>
          <w:color w:val="000000" w:themeColor="text1"/>
        </w:rPr>
      </w:pPr>
      <w:r w:rsidRPr="006A3D9E">
        <w:rPr>
          <w:rFonts w:ascii="仿宋_GB2312" w:eastAsia="仿宋_GB2312" w:hint="eastAsia"/>
          <w:bCs/>
          <w:iCs/>
          <w:color w:val="000000" w:themeColor="text1"/>
        </w:rPr>
        <w:t>投标报价得分=(评标基准价／投标报价)×价格权值×100</w:t>
      </w:r>
    </w:p>
    <w:p w:rsidR="00DB7D96" w:rsidRPr="006A3D9E" w:rsidRDefault="00DB7D96" w:rsidP="00DB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firstLine="0"/>
        <w:rPr>
          <w:rFonts w:ascii="仿宋_GB2312" w:eastAsia="仿宋_GB2312"/>
          <w:bCs/>
          <w:iCs/>
          <w:color w:val="000000" w:themeColor="text1"/>
        </w:rPr>
      </w:pPr>
      <w:r w:rsidRPr="006A3D9E">
        <w:rPr>
          <w:rFonts w:ascii="仿宋_GB2312" w:eastAsia="仿宋_GB2312" w:hint="eastAsia"/>
          <w:bCs/>
          <w:iCs/>
          <w:color w:val="000000" w:themeColor="text1"/>
        </w:rPr>
        <w:t>即：投标报价得分=(评标基准价／投标报价)×</w:t>
      </w:r>
      <w:r>
        <w:rPr>
          <w:rFonts w:ascii="仿宋_GB2312" w:eastAsia="仿宋_GB2312" w:hint="eastAsia"/>
          <w:bCs/>
          <w:iCs/>
          <w:color w:val="000000" w:themeColor="text1"/>
        </w:rPr>
        <w:t>3</w:t>
      </w:r>
      <w:r w:rsidRPr="006A3D9E">
        <w:rPr>
          <w:rFonts w:ascii="仿宋_GB2312" w:eastAsia="仿宋_GB2312" w:hint="eastAsia"/>
          <w:bCs/>
          <w:iCs/>
          <w:color w:val="000000" w:themeColor="text1"/>
        </w:rPr>
        <w:t>0</w:t>
      </w:r>
    </w:p>
    <w:p w:rsidR="00EC0EC1" w:rsidRPr="00DB7D96" w:rsidRDefault="00EC0EC1" w:rsidP="00DB7D96">
      <w:pPr>
        <w:ind w:left="480" w:firstLineChars="0" w:firstLine="0"/>
      </w:pPr>
    </w:p>
    <w:sectPr w:rsidR="00EC0EC1" w:rsidRPr="00DB7D96" w:rsidSect="00EC0E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BE" w:rsidRDefault="001977BE" w:rsidP="00EC0EC1">
      <w:pPr>
        <w:spacing w:line="240" w:lineRule="auto"/>
      </w:pPr>
      <w:r>
        <w:separator/>
      </w:r>
    </w:p>
  </w:endnote>
  <w:endnote w:type="continuationSeparator" w:id="1">
    <w:p w:rsidR="001977BE" w:rsidRDefault="001977BE" w:rsidP="00EC0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1" w:rsidRDefault="00EC0EC1">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1" w:rsidRDefault="008E071E">
    <w:pPr>
      <w:pStyle w:val="a7"/>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EC0EC1" w:rsidRDefault="008E071E">
                <w:pPr>
                  <w:pStyle w:val="a7"/>
                  <w:ind w:firstLine="360"/>
                </w:pPr>
                <w:r>
                  <w:rPr>
                    <w:rFonts w:hint="eastAsia"/>
                  </w:rPr>
                  <w:fldChar w:fldCharType="begin"/>
                </w:r>
                <w:r w:rsidR="004F01B0">
                  <w:rPr>
                    <w:rFonts w:hint="eastAsia"/>
                  </w:rPr>
                  <w:instrText xml:space="preserve"> PAGE  \* MERGEFORMAT </w:instrText>
                </w:r>
                <w:r>
                  <w:rPr>
                    <w:rFonts w:hint="eastAsia"/>
                  </w:rPr>
                  <w:fldChar w:fldCharType="separate"/>
                </w:r>
                <w:r w:rsidR="002F772E">
                  <w:rPr>
                    <w:noProof/>
                  </w:rPr>
                  <w:t>3</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1" w:rsidRDefault="00EC0EC1">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BE" w:rsidRDefault="001977BE" w:rsidP="00EC0EC1">
      <w:pPr>
        <w:spacing w:line="240" w:lineRule="auto"/>
      </w:pPr>
      <w:r>
        <w:separator/>
      </w:r>
    </w:p>
  </w:footnote>
  <w:footnote w:type="continuationSeparator" w:id="1">
    <w:p w:rsidR="001977BE" w:rsidRDefault="001977BE" w:rsidP="00EC0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1" w:rsidRDefault="00EC0EC1">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1" w:rsidRDefault="00EC0EC1">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C1" w:rsidRDefault="00EC0EC1">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4D21"/>
    <w:multiLevelType w:val="multilevel"/>
    <w:tmpl w:val="0F9B4D21"/>
    <w:lvl w:ilvl="0">
      <w:start w:val="1"/>
      <w:numFmt w:val="decimal"/>
      <w:pStyle w:val="1"/>
      <w:lvlText w:val="%1"/>
      <w:lvlJc w:val="left"/>
      <w:pPr>
        <w:ind w:left="432" w:hanging="432"/>
      </w:pPr>
      <w:rPr>
        <w:rFonts w:ascii="黑体" w:eastAsia="黑体" w:hAnsi="黑体"/>
        <w:sz w:val="36"/>
        <w:szCs w:val="36"/>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C91DBA5"/>
    <w:multiLevelType w:val="singleLevel"/>
    <w:tmpl w:val="5C91DBA5"/>
    <w:lvl w:ilvl="0">
      <w:start w:val="1"/>
      <w:numFmt w:val="decimal"/>
      <w:suff w:val="nothing"/>
      <w:lvlText w:val="%1、"/>
      <w:lvlJc w:val="left"/>
    </w:lvl>
  </w:abstractNum>
  <w:abstractNum w:abstractNumId="2">
    <w:nsid w:val="6C096751"/>
    <w:multiLevelType w:val="multilevel"/>
    <w:tmpl w:val="6C096751"/>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cs="Arial" w:hint="default"/>
      </w:rPr>
    </w:lvl>
    <w:lvl w:ilvl="2">
      <w:start w:val="1"/>
      <w:numFmt w:val="decimal"/>
      <w:pStyle w:val="a"/>
      <w:isLgl/>
      <w:lvlText w:val="%1.%2.%3"/>
      <w:lvlJc w:val="left"/>
      <w:pPr>
        <w:tabs>
          <w:tab w:val="left" w:pos="851"/>
        </w:tabs>
        <w:ind w:left="709" w:hanging="709"/>
      </w:pPr>
      <w:rPr>
        <w:rFonts w:hint="eastAsia"/>
        <w:b/>
        <w:i w:val="0"/>
      </w:rPr>
    </w:lvl>
    <w:lvl w:ilvl="3">
      <w:start w:val="1"/>
      <w:numFmt w:val="decimal"/>
      <w:isLgl/>
      <w:lvlText w:val="%1.%2.%3.%4"/>
      <w:lvlJc w:val="left"/>
      <w:pPr>
        <w:tabs>
          <w:tab w:val="left" w:pos="1134"/>
        </w:tabs>
        <w:ind w:left="738"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00E0342"/>
    <w:rsid w:val="00011586"/>
    <w:rsid w:val="00022F97"/>
    <w:rsid w:val="00024F60"/>
    <w:rsid w:val="0006006E"/>
    <w:rsid w:val="00084B55"/>
    <w:rsid w:val="000D441C"/>
    <w:rsid w:val="000F3BB8"/>
    <w:rsid w:val="00167694"/>
    <w:rsid w:val="001861CA"/>
    <w:rsid w:val="001977BE"/>
    <w:rsid w:val="001C08BC"/>
    <w:rsid w:val="00283917"/>
    <w:rsid w:val="002868D2"/>
    <w:rsid w:val="002A3047"/>
    <w:rsid w:val="002B78D6"/>
    <w:rsid w:val="002D3A4C"/>
    <w:rsid w:val="002F772E"/>
    <w:rsid w:val="00301BFA"/>
    <w:rsid w:val="0037541D"/>
    <w:rsid w:val="003E2A68"/>
    <w:rsid w:val="003E75CA"/>
    <w:rsid w:val="00456A31"/>
    <w:rsid w:val="00471E91"/>
    <w:rsid w:val="00474050"/>
    <w:rsid w:val="004F01B0"/>
    <w:rsid w:val="0050457F"/>
    <w:rsid w:val="0052377E"/>
    <w:rsid w:val="00676E53"/>
    <w:rsid w:val="006A2783"/>
    <w:rsid w:val="00727B88"/>
    <w:rsid w:val="007A45F3"/>
    <w:rsid w:val="007A4D71"/>
    <w:rsid w:val="007B21D5"/>
    <w:rsid w:val="008D088F"/>
    <w:rsid w:val="008E071E"/>
    <w:rsid w:val="008F7171"/>
    <w:rsid w:val="00925811"/>
    <w:rsid w:val="009631D8"/>
    <w:rsid w:val="00977639"/>
    <w:rsid w:val="009A07E3"/>
    <w:rsid w:val="00A20935"/>
    <w:rsid w:val="00A5223E"/>
    <w:rsid w:val="00AA33CB"/>
    <w:rsid w:val="00AB4170"/>
    <w:rsid w:val="00B559F0"/>
    <w:rsid w:val="00BA72E8"/>
    <w:rsid w:val="00BE5BAC"/>
    <w:rsid w:val="00C00A12"/>
    <w:rsid w:val="00C02658"/>
    <w:rsid w:val="00C1322B"/>
    <w:rsid w:val="00CF34D7"/>
    <w:rsid w:val="00D914E1"/>
    <w:rsid w:val="00DB7D96"/>
    <w:rsid w:val="00E54B51"/>
    <w:rsid w:val="00EC0EC1"/>
    <w:rsid w:val="00F11370"/>
    <w:rsid w:val="00F16B9B"/>
    <w:rsid w:val="00F76112"/>
    <w:rsid w:val="068F34BE"/>
    <w:rsid w:val="0AE50741"/>
    <w:rsid w:val="0B834A32"/>
    <w:rsid w:val="17745630"/>
    <w:rsid w:val="1A1B4E64"/>
    <w:rsid w:val="1ADC6B22"/>
    <w:rsid w:val="1B794B40"/>
    <w:rsid w:val="1C7C368E"/>
    <w:rsid w:val="2310673C"/>
    <w:rsid w:val="2B9D3641"/>
    <w:rsid w:val="2C44626F"/>
    <w:rsid w:val="300E0342"/>
    <w:rsid w:val="34317623"/>
    <w:rsid w:val="3BF61DDB"/>
    <w:rsid w:val="42102D46"/>
    <w:rsid w:val="444863C7"/>
    <w:rsid w:val="47272A79"/>
    <w:rsid w:val="4E1B2D54"/>
    <w:rsid w:val="54F56F56"/>
    <w:rsid w:val="5B7E137B"/>
    <w:rsid w:val="5B853306"/>
    <w:rsid w:val="6CD630C9"/>
    <w:rsid w:val="6D6507DD"/>
    <w:rsid w:val="756E4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0EC1"/>
    <w:pPr>
      <w:widowControl w:val="0"/>
      <w:spacing w:line="360" w:lineRule="auto"/>
      <w:ind w:firstLineChars="200" w:firstLine="480"/>
      <w:jc w:val="both"/>
    </w:pPr>
    <w:rPr>
      <w:rFonts w:ascii="宋体" w:eastAsia="宋体" w:hAnsi="宋体" w:cs="Times New Roman"/>
      <w:kern w:val="2"/>
      <w:sz w:val="24"/>
      <w:szCs w:val="22"/>
    </w:rPr>
  </w:style>
  <w:style w:type="paragraph" w:styleId="1">
    <w:name w:val="heading 1"/>
    <w:basedOn w:val="2"/>
    <w:next w:val="a0"/>
    <w:qFormat/>
    <w:rsid w:val="00EC0EC1"/>
    <w:pPr>
      <w:numPr>
        <w:ilvl w:val="0"/>
      </w:numPr>
      <w:outlineLvl w:val="0"/>
    </w:pPr>
  </w:style>
  <w:style w:type="paragraph" w:styleId="2">
    <w:name w:val="heading 2"/>
    <w:basedOn w:val="a0"/>
    <w:next w:val="a0"/>
    <w:qFormat/>
    <w:rsid w:val="00EC0EC1"/>
    <w:pPr>
      <w:keepNext/>
      <w:keepLines/>
      <w:numPr>
        <w:ilvl w:val="1"/>
        <w:numId w:val="1"/>
      </w:numPr>
      <w:ind w:firstLineChars="0" w:firstLine="0"/>
      <w:jc w:val="left"/>
      <w:outlineLvl w:val="1"/>
    </w:pPr>
    <w:rPr>
      <w:rFonts w:hAnsi="Cambria"/>
      <w:b/>
      <w:bCs/>
      <w:sz w:val="30"/>
      <w:szCs w:val="32"/>
    </w:rPr>
  </w:style>
  <w:style w:type="paragraph" w:styleId="3">
    <w:name w:val="heading 3"/>
    <w:basedOn w:val="a0"/>
    <w:next w:val="a0"/>
    <w:qFormat/>
    <w:rsid w:val="00EC0EC1"/>
    <w:pPr>
      <w:keepNext/>
      <w:keepLines/>
      <w:numPr>
        <w:ilvl w:val="2"/>
        <w:numId w:val="1"/>
      </w:numPr>
      <w:ind w:firstLineChars="0" w:firstLine="0"/>
      <w:jc w:val="left"/>
      <w:outlineLvl w:val="2"/>
    </w:pPr>
    <w:rPr>
      <w:b/>
      <w:bCs/>
      <w:sz w:val="28"/>
      <w:szCs w:val="32"/>
    </w:rPr>
  </w:style>
  <w:style w:type="paragraph" w:styleId="4">
    <w:name w:val="heading 4"/>
    <w:basedOn w:val="a0"/>
    <w:next w:val="a0"/>
    <w:qFormat/>
    <w:rsid w:val="00EC0EC1"/>
    <w:pPr>
      <w:keepNext/>
      <w:keepLines/>
      <w:numPr>
        <w:ilvl w:val="3"/>
        <w:numId w:val="1"/>
      </w:numPr>
      <w:ind w:firstLineChars="0" w:firstLine="0"/>
      <w:outlineLvl w:val="3"/>
    </w:pPr>
    <w:rPr>
      <w:rFonts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EC0EC1"/>
    <w:rPr>
      <w:b/>
      <w:bCs/>
    </w:rPr>
  </w:style>
  <w:style w:type="paragraph" w:styleId="a5">
    <w:name w:val="annotation text"/>
    <w:basedOn w:val="a0"/>
    <w:link w:val="Char0"/>
    <w:qFormat/>
    <w:rsid w:val="00EC0EC1"/>
    <w:pPr>
      <w:jc w:val="left"/>
    </w:pPr>
  </w:style>
  <w:style w:type="paragraph" w:styleId="7">
    <w:name w:val="toc 7"/>
    <w:basedOn w:val="a0"/>
    <w:next w:val="a0"/>
    <w:uiPriority w:val="39"/>
    <w:unhideWhenUsed/>
    <w:qFormat/>
    <w:rsid w:val="00EC0EC1"/>
    <w:pPr>
      <w:spacing w:line="240" w:lineRule="auto"/>
      <w:ind w:leftChars="1200" w:left="2520" w:firstLineChars="0" w:firstLine="0"/>
    </w:pPr>
    <w:rPr>
      <w:rFonts w:asciiTheme="minorHAnsi" w:eastAsiaTheme="minorEastAsia" w:hAnsiTheme="minorHAnsi" w:cstheme="minorBidi"/>
      <w:sz w:val="21"/>
    </w:rPr>
  </w:style>
  <w:style w:type="paragraph" w:styleId="5">
    <w:name w:val="toc 5"/>
    <w:basedOn w:val="a0"/>
    <w:next w:val="a0"/>
    <w:uiPriority w:val="39"/>
    <w:unhideWhenUsed/>
    <w:qFormat/>
    <w:rsid w:val="00EC0EC1"/>
    <w:pPr>
      <w:spacing w:line="240" w:lineRule="auto"/>
      <w:ind w:leftChars="800" w:left="1680" w:firstLineChars="0" w:firstLine="0"/>
    </w:pPr>
    <w:rPr>
      <w:rFonts w:asciiTheme="minorHAnsi" w:eastAsiaTheme="minorEastAsia" w:hAnsiTheme="minorHAnsi" w:cstheme="minorBidi"/>
      <w:sz w:val="21"/>
    </w:rPr>
  </w:style>
  <w:style w:type="paragraph" w:styleId="30">
    <w:name w:val="toc 3"/>
    <w:basedOn w:val="a0"/>
    <w:next w:val="a0"/>
    <w:uiPriority w:val="39"/>
    <w:qFormat/>
    <w:rsid w:val="00EC0EC1"/>
    <w:pPr>
      <w:ind w:leftChars="400" w:left="840"/>
    </w:pPr>
  </w:style>
  <w:style w:type="paragraph" w:styleId="8">
    <w:name w:val="toc 8"/>
    <w:basedOn w:val="a0"/>
    <w:next w:val="a0"/>
    <w:uiPriority w:val="39"/>
    <w:unhideWhenUsed/>
    <w:qFormat/>
    <w:rsid w:val="00EC0EC1"/>
    <w:pPr>
      <w:spacing w:line="240" w:lineRule="auto"/>
      <w:ind w:leftChars="1400" w:left="2940" w:firstLineChars="0" w:firstLine="0"/>
    </w:pPr>
    <w:rPr>
      <w:rFonts w:asciiTheme="minorHAnsi" w:eastAsiaTheme="minorEastAsia" w:hAnsiTheme="minorHAnsi" w:cstheme="minorBidi"/>
      <w:sz w:val="21"/>
    </w:rPr>
  </w:style>
  <w:style w:type="paragraph" w:styleId="a6">
    <w:name w:val="Balloon Text"/>
    <w:basedOn w:val="a0"/>
    <w:link w:val="Char1"/>
    <w:qFormat/>
    <w:rsid w:val="00EC0EC1"/>
    <w:pPr>
      <w:spacing w:line="240" w:lineRule="auto"/>
    </w:pPr>
    <w:rPr>
      <w:sz w:val="18"/>
      <w:szCs w:val="18"/>
    </w:rPr>
  </w:style>
  <w:style w:type="paragraph" w:styleId="a7">
    <w:name w:val="footer"/>
    <w:basedOn w:val="a0"/>
    <w:uiPriority w:val="99"/>
    <w:unhideWhenUsed/>
    <w:qFormat/>
    <w:rsid w:val="00EC0EC1"/>
    <w:pPr>
      <w:tabs>
        <w:tab w:val="center" w:pos="4153"/>
        <w:tab w:val="right" w:pos="8306"/>
      </w:tabs>
      <w:snapToGrid w:val="0"/>
      <w:spacing w:line="240" w:lineRule="auto"/>
      <w:jc w:val="left"/>
    </w:pPr>
    <w:rPr>
      <w:rFonts w:ascii="Calibri" w:hAnsi="Calibri"/>
      <w:sz w:val="18"/>
      <w:szCs w:val="18"/>
    </w:rPr>
  </w:style>
  <w:style w:type="paragraph" w:styleId="a8">
    <w:name w:val="header"/>
    <w:basedOn w:val="a0"/>
    <w:uiPriority w:val="99"/>
    <w:unhideWhenUsed/>
    <w:qFormat/>
    <w:rsid w:val="00EC0EC1"/>
    <w:pPr>
      <w:pBdr>
        <w:bottom w:val="single" w:sz="6" w:space="1" w:color="auto"/>
      </w:pBdr>
      <w:tabs>
        <w:tab w:val="center" w:pos="4153"/>
        <w:tab w:val="right" w:pos="8306"/>
      </w:tabs>
      <w:snapToGrid w:val="0"/>
      <w:spacing w:line="240" w:lineRule="auto"/>
      <w:jc w:val="center"/>
    </w:pPr>
    <w:rPr>
      <w:rFonts w:ascii="Calibri" w:hAnsi="Calibri"/>
      <w:sz w:val="18"/>
      <w:szCs w:val="18"/>
    </w:rPr>
  </w:style>
  <w:style w:type="paragraph" w:styleId="10">
    <w:name w:val="toc 1"/>
    <w:basedOn w:val="a0"/>
    <w:next w:val="a0"/>
    <w:uiPriority w:val="39"/>
    <w:qFormat/>
    <w:rsid w:val="00EC0EC1"/>
  </w:style>
  <w:style w:type="paragraph" w:styleId="40">
    <w:name w:val="toc 4"/>
    <w:basedOn w:val="a0"/>
    <w:next w:val="a0"/>
    <w:uiPriority w:val="39"/>
    <w:unhideWhenUsed/>
    <w:qFormat/>
    <w:rsid w:val="00EC0EC1"/>
    <w:pPr>
      <w:spacing w:line="240" w:lineRule="auto"/>
      <w:ind w:leftChars="600" w:left="1260" w:firstLineChars="0" w:firstLine="0"/>
    </w:pPr>
    <w:rPr>
      <w:rFonts w:asciiTheme="minorHAnsi" w:eastAsiaTheme="minorEastAsia" w:hAnsiTheme="minorHAnsi" w:cstheme="minorBidi"/>
      <w:sz w:val="21"/>
    </w:rPr>
  </w:style>
  <w:style w:type="paragraph" w:styleId="6">
    <w:name w:val="toc 6"/>
    <w:basedOn w:val="a0"/>
    <w:next w:val="a0"/>
    <w:uiPriority w:val="39"/>
    <w:unhideWhenUsed/>
    <w:qFormat/>
    <w:rsid w:val="00EC0EC1"/>
    <w:pPr>
      <w:spacing w:line="240" w:lineRule="auto"/>
      <w:ind w:leftChars="1000" w:left="2100" w:firstLineChars="0" w:firstLine="0"/>
    </w:pPr>
    <w:rPr>
      <w:rFonts w:asciiTheme="minorHAnsi" w:eastAsiaTheme="minorEastAsia" w:hAnsiTheme="minorHAnsi" w:cstheme="minorBidi"/>
      <w:sz w:val="21"/>
    </w:rPr>
  </w:style>
  <w:style w:type="paragraph" w:styleId="20">
    <w:name w:val="toc 2"/>
    <w:basedOn w:val="a0"/>
    <w:next w:val="a0"/>
    <w:uiPriority w:val="39"/>
    <w:qFormat/>
    <w:rsid w:val="00EC0EC1"/>
    <w:pPr>
      <w:ind w:leftChars="200" w:left="420"/>
    </w:pPr>
  </w:style>
  <w:style w:type="paragraph" w:styleId="9">
    <w:name w:val="toc 9"/>
    <w:basedOn w:val="a0"/>
    <w:next w:val="a0"/>
    <w:uiPriority w:val="39"/>
    <w:unhideWhenUsed/>
    <w:qFormat/>
    <w:rsid w:val="00EC0EC1"/>
    <w:pPr>
      <w:spacing w:line="240" w:lineRule="auto"/>
      <w:ind w:leftChars="1600" w:left="3360" w:firstLineChars="0" w:firstLine="0"/>
    </w:pPr>
    <w:rPr>
      <w:rFonts w:asciiTheme="minorHAnsi" w:eastAsiaTheme="minorEastAsia" w:hAnsiTheme="minorHAnsi" w:cstheme="minorBidi"/>
      <w:sz w:val="21"/>
    </w:rPr>
  </w:style>
  <w:style w:type="character" w:styleId="a9">
    <w:name w:val="Hyperlink"/>
    <w:basedOn w:val="a1"/>
    <w:uiPriority w:val="99"/>
    <w:unhideWhenUsed/>
    <w:qFormat/>
    <w:rsid w:val="00EC0EC1"/>
    <w:rPr>
      <w:color w:val="0563C1" w:themeColor="hyperlink"/>
      <w:u w:val="single"/>
    </w:rPr>
  </w:style>
  <w:style w:type="character" w:styleId="aa">
    <w:name w:val="annotation reference"/>
    <w:basedOn w:val="a1"/>
    <w:qFormat/>
    <w:rsid w:val="00EC0EC1"/>
    <w:rPr>
      <w:sz w:val="21"/>
      <w:szCs w:val="21"/>
    </w:rPr>
  </w:style>
  <w:style w:type="table" w:styleId="ab">
    <w:name w:val="Table Grid"/>
    <w:basedOn w:val="a2"/>
    <w:qFormat/>
    <w:rsid w:val="00EC0E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一级节标题"/>
    <w:next w:val="a0"/>
    <w:qFormat/>
    <w:rsid w:val="00EC0EC1"/>
    <w:pPr>
      <w:adjustRightInd w:val="0"/>
      <w:snapToGrid w:val="0"/>
      <w:spacing w:line="360" w:lineRule="auto"/>
      <w:ind w:left="567" w:hanging="567"/>
      <w:outlineLvl w:val="1"/>
    </w:pPr>
    <w:rPr>
      <w:rFonts w:ascii="仿宋" w:eastAsia="仿宋" w:hAnsi="仿宋" w:cs="Arial"/>
      <w:b/>
      <w:sz w:val="30"/>
      <w:szCs w:val="30"/>
    </w:rPr>
  </w:style>
  <w:style w:type="paragraph" w:customStyle="1" w:styleId="a">
    <w:name w:val="二级节标题"/>
    <w:next w:val="a0"/>
    <w:qFormat/>
    <w:rsid w:val="00EC0EC1"/>
    <w:pPr>
      <w:numPr>
        <w:ilvl w:val="2"/>
        <w:numId w:val="2"/>
      </w:numPr>
      <w:tabs>
        <w:tab w:val="left" w:pos="600"/>
      </w:tabs>
      <w:spacing w:before="240" w:after="240" w:line="400" w:lineRule="exact"/>
      <w:outlineLvl w:val="2"/>
    </w:pPr>
    <w:rPr>
      <w:rFonts w:ascii="Arial" w:eastAsia="黑体" w:hAnsi="Arial" w:cs="Times New Roman"/>
      <w:b/>
      <w:sz w:val="30"/>
      <w:szCs w:val="30"/>
    </w:rPr>
  </w:style>
  <w:style w:type="paragraph" w:customStyle="1" w:styleId="1231231231231231231312">
    <w:name w:val="1231231231231231231312"/>
    <w:basedOn w:val="a0"/>
    <w:link w:val="1231231231231231231312Char"/>
    <w:qFormat/>
    <w:rsid w:val="00EC0EC1"/>
    <w:pPr>
      <w:spacing w:line="500" w:lineRule="exact"/>
      <w:ind w:firstLine="560"/>
    </w:pPr>
    <w:rPr>
      <w:rFonts w:ascii="Times New Roman" w:eastAsia="仿宋_GB2312" w:hAnsi="Times New Roman"/>
      <w:sz w:val="28"/>
    </w:rPr>
  </w:style>
  <w:style w:type="character" w:customStyle="1" w:styleId="1231231231231231231312Char">
    <w:name w:val="1231231231231231231312 Char"/>
    <w:link w:val="1231231231231231231312"/>
    <w:qFormat/>
    <w:rsid w:val="00EC0EC1"/>
    <w:rPr>
      <w:rFonts w:ascii="Times New Roman" w:eastAsia="仿宋_GB2312" w:hAnsi="Times New Roman"/>
      <w:sz w:val="28"/>
    </w:rPr>
  </w:style>
  <w:style w:type="character" w:customStyle="1" w:styleId="Char1">
    <w:name w:val="批注框文本 Char"/>
    <w:basedOn w:val="a1"/>
    <w:link w:val="a6"/>
    <w:qFormat/>
    <w:rsid w:val="00EC0EC1"/>
    <w:rPr>
      <w:rFonts w:ascii="宋体" w:eastAsia="宋体" w:hAnsi="宋体" w:cs="Times New Roman"/>
      <w:kern w:val="2"/>
      <w:sz w:val="18"/>
      <w:szCs w:val="18"/>
    </w:rPr>
  </w:style>
  <w:style w:type="paragraph" w:customStyle="1" w:styleId="TOC1">
    <w:name w:val="TOC 标题1"/>
    <w:basedOn w:val="1"/>
    <w:next w:val="a0"/>
    <w:uiPriority w:val="39"/>
    <w:unhideWhenUsed/>
    <w:qFormat/>
    <w:rsid w:val="00EC0EC1"/>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UnresolvedMention">
    <w:name w:val="Unresolved Mention"/>
    <w:basedOn w:val="a1"/>
    <w:uiPriority w:val="99"/>
    <w:unhideWhenUsed/>
    <w:qFormat/>
    <w:rsid w:val="00EC0EC1"/>
    <w:rPr>
      <w:color w:val="605E5C"/>
      <w:shd w:val="clear" w:color="auto" w:fill="E1DFDD"/>
    </w:rPr>
  </w:style>
  <w:style w:type="character" w:customStyle="1" w:styleId="Char0">
    <w:name w:val="批注文字 Char"/>
    <w:basedOn w:val="a1"/>
    <w:link w:val="a5"/>
    <w:rsid w:val="00EC0EC1"/>
    <w:rPr>
      <w:rFonts w:ascii="宋体" w:eastAsia="宋体" w:hAnsi="宋体" w:cs="Times New Roman"/>
      <w:kern w:val="2"/>
      <w:sz w:val="24"/>
      <w:szCs w:val="22"/>
    </w:rPr>
  </w:style>
  <w:style w:type="character" w:customStyle="1" w:styleId="Char">
    <w:name w:val="批注主题 Char"/>
    <w:basedOn w:val="Char0"/>
    <w:link w:val="a4"/>
    <w:rsid w:val="00EC0EC1"/>
    <w:rPr>
      <w:b/>
      <w:bCs/>
    </w:rPr>
  </w:style>
  <w:style w:type="paragraph" w:styleId="ad">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0"/>
    <w:link w:val="Char2"/>
    <w:rsid w:val="00DB7D96"/>
    <w:pPr>
      <w:spacing w:line="240" w:lineRule="auto"/>
      <w:ind w:firstLineChars="0" w:firstLine="0"/>
    </w:pPr>
    <w:rPr>
      <w:rFonts w:hAnsi="Courier New"/>
      <w:sz w:val="21"/>
      <w:szCs w:val="20"/>
    </w:rPr>
  </w:style>
  <w:style w:type="character" w:customStyle="1" w:styleId="Char3">
    <w:name w:val="纯文本 Char"/>
    <w:basedOn w:val="a1"/>
    <w:link w:val="ad"/>
    <w:rsid w:val="00DB7D96"/>
    <w:rPr>
      <w:rFonts w:ascii="宋体" w:eastAsia="宋体" w:hAnsi="Courier New" w:cs="Courier New"/>
      <w:kern w:val="2"/>
      <w:sz w:val="21"/>
      <w:szCs w:val="21"/>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d"/>
    <w:rsid w:val="00DB7D96"/>
    <w:rPr>
      <w:rFonts w:ascii="宋体" w:eastAsia="宋体" w:hAnsi="Courier New"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292DD-56FD-4C00-BEFB-B3A0935D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284</Words>
  <Characters>1624</Characters>
  <Application>Microsoft Office Word</Application>
  <DocSecurity>0</DocSecurity>
  <Lines>13</Lines>
  <Paragraphs>3</Paragraphs>
  <ScaleCrop>false</ScaleCrop>
  <Company>MS</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daijie</dc:creator>
  <cp:lastModifiedBy>glgl</cp:lastModifiedBy>
  <cp:revision>13</cp:revision>
  <cp:lastPrinted>2019-04-02T07:14:00Z</cp:lastPrinted>
  <dcterms:created xsi:type="dcterms:W3CDTF">2019-04-03T10:01:00Z</dcterms:created>
  <dcterms:modified xsi:type="dcterms:W3CDTF">2019-04-04T01:47:00Z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