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sz w:val="44"/>
          <w:szCs w:val="44"/>
        </w:rPr>
      </w:pPr>
      <w:bookmarkStart w:id="442" w:name="_GoBack"/>
      <w:bookmarkEnd w:id="442"/>
    </w:p>
    <w:p>
      <w:pPr>
        <w:jc w:val="center"/>
        <w:rPr>
          <w:rFonts w:hint="eastAsia"/>
          <w:b/>
          <w:sz w:val="96"/>
          <w:szCs w:val="96"/>
        </w:rPr>
      </w:pPr>
      <w:r>
        <w:rPr>
          <w:rFonts w:hint="eastAsia"/>
          <w:sz w:val="36"/>
          <w:szCs w:val="44"/>
        </w:rPr>
        <w:t>绍兴市公安局上虞区分局</w:t>
      </w:r>
      <w:r>
        <w:rPr>
          <w:sz w:val="36"/>
          <w:szCs w:val="44"/>
        </w:rPr>
        <w:t>**通四期项目（两年）</w:t>
      </w:r>
    </w:p>
    <w:p>
      <w:pPr>
        <w:jc w:val="center"/>
        <w:rPr>
          <w:sz w:val="36"/>
          <w:szCs w:val="44"/>
        </w:rPr>
      </w:pPr>
    </w:p>
    <w:p>
      <w:pPr>
        <w:jc w:val="center"/>
        <w:rPr>
          <w:sz w:val="36"/>
          <w:szCs w:val="44"/>
        </w:rPr>
      </w:pPr>
    </w:p>
    <w:p>
      <w:pPr>
        <w:pStyle w:val="3"/>
        <w:rPr>
          <w:rFonts w:hint="eastAsia"/>
        </w:rPr>
      </w:pPr>
    </w:p>
    <w:p>
      <w:pPr>
        <w:pStyle w:val="3"/>
        <w:rPr>
          <w:rFonts w:hint="eastAsia"/>
        </w:rPr>
      </w:pPr>
    </w:p>
    <w:p>
      <w:pPr>
        <w:pStyle w:val="3"/>
        <w:rPr>
          <w:rFonts w:hint="eastAsia"/>
        </w:rPr>
      </w:pPr>
    </w:p>
    <w:p>
      <w:pPr>
        <w:spacing w:line="360" w:lineRule="auto"/>
        <w:jc w:val="center"/>
        <w:rPr>
          <w:rFonts w:hint="eastAsia"/>
          <w:b/>
          <w:sz w:val="110"/>
          <w:szCs w:val="110"/>
        </w:rPr>
      </w:pPr>
      <w:r>
        <w:rPr>
          <w:rFonts w:hint="eastAsia"/>
          <w:b/>
          <w:sz w:val="110"/>
          <w:szCs w:val="110"/>
        </w:rPr>
        <w:t>招 标 文 件</w:t>
      </w:r>
    </w:p>
    <w:p>
      <w:pPr>
        <w:spacing w:line="360" w:lineRule="auto"/>
        <w:jc w:val="center"/>
        <w:rPr>
          <w:rFonts w:hint="eastAsia"/>
          <w:b/>
          <w:sz w:val="24"/>
        </w:rPr>
      </w:pPr>
    </w:p>
    <w:p>
      <w:pPr>
        <w:spacing w:line="360" w:lineRule="auto"/>
        <w:jc w:val="center"/>
        <w:rPr>
          <w:rFonts w:hint="eastAsia"/>
          <w:b/>
          <w:sz w:val="24"/>
        </w:rPr>
      </w:pPr>
    </w:p>
    <w:p>
      <w:pPr>
        <w:snapToGrid w:val="0"/>
        <w:spacing w:line="360" w:lineRule="auto"/>
        <w:ind w:firstLine="2301" w:firstLineChars="767"/>
        <w:jc w:val="left"/>
        <w:rPr>
          <w:sz w:val="30"/>
          <w:szCs w:val="30"/>
        </w:rPr>
      </w:pPr>
      <w:r>
        <w:rPr>
          <w:rFonts w:hint="eastAsia"/>
          <w:sz w:val="30"/>
          <w:szCs w:val="30"/>
        </w:rPr>
        <w:t>招标编号：FS2023004</w:t>
      </w:r>
    </w:p>
    <w:p>
      <w:pPr>
        <w:snapToGrid w:val="0"/>
        <w:spacing w:line="360" w:lineRule="auto"/>
        <w:ind w:firstLine="2301" w:firstLineChars="767"/>
        <w:jc w:val="left"/>
        <w:rPr>
          <w:rFonts w:hint="eastAsia"/>
          <w:sz w:val="30"/>
          <w:szCs w:val="30"/>
        </w:rPr>
      </w:pPr>
      <w:r>
        <w:rPr>
          <w:rFonts w:hint="eastAsia"/>
          <w:sz w:val="30"/>
          <w:szCs w:val="30"/>
        </w:rPr>
        <w:t>采购方式：公开招标</w:t>
      </w:r>
    </w:p>
    <w:p>
      <w:pPr>
        <w:spacing w:line="360" w:lineRule="auto"/>
        <w:rPr>
          <w:rFonts w:hint="eastAsia"/>
          <w:sz w:val="28"/>
          <w:szCs w:val="20"/>
        </w:rPr>
      </w:pPr>
    </w:p>
    <w:p>
      <w:pPr>
        <w:spacing w:line="360" w:lineRule="auto"/>
        <w:jc w:val="center"/>
        <w:rPr>
          <w:rFonts w:hint="eastAsia"/>
          <w:sz w:val="24"/>
        </w:rPr>
      </w:pPr>
    </w:p>
    <w:p>
      <w:pPr>
        <w:spacing w:line="360" w:lineRule="auto"/>
        <w:jc w:val="center"/>
        <w:rPr>
          <w:rFonts w:hint="eastAsia"/>
          <w:sz w:val="24"/>
        </w:rPr>
      </w:pPr>
    </w:p>
    <w:p>
      <w:pPr>
        <w:pStyle w:val="2"/>
        <w:rPr>
          <w:rFonts w:hint="eastAsia"/>
        </w:rPr>
      </w:pPr>
    </w:p>
    <w:p>
      <w:pPr>
        <w:pStyle w:val="3"/>
        <w:rPr>
          <w:rFonts w:hint="eastAsia"/>
        </w:rPr>
      </w:pPr>
    </w:p>
    <w:p>
      <w:pPr>
        <w:spacing w:line="360" w:lineRule="auto"/>
        <w:jc w:val="center"/>
        <w:rPr>
          <w:rFonts w:hint="eastAsia"/>
          <w:sz w:val="24"/>
        </w:rPr>
      </w:pPr>
    </w:p>
    <w:p>
      <w:pPr>
        <w:spacing w:line="360" w:lineRule="auto"/>
        <w:jc w:val="center"/>
        <w:rPr>
          <w:rFonts w:hint="eastAsia"/>
          <w:sz w:val="24"/>
        </w:rPr>
      </w:pPr>
    </w:p>
    <w:p>
      <w:pPr>
        <w:spacing w:line="360" w:lineRule="auto"/>
        <w:jc w:val="center"/>
        <w:rPr>
          <w:rFonts w:hint="eastAsia"/>
          <w:sz w:val="24"/>
        </w:rPr>
      </w:pPr>
    </w:p>
    <w:p>
      <w:pPr>
        <w:snapToGrid w:val="0"/>
        <w:spacing w:line="360" w:lineRule="auto"/>
        <w:ind w:firstLine="1500" w:firstLineChars="500"/>
        <w:jc w:val="left"/>
        <w:rPr>
          <w:rFonts w:hint="eastAsia"/>
          <w:u w:val="single"/>
        </w:rPr>
      </w:pPr>
      <w:r>
        <w:rPr>
          <w:rFonts w:hint="eastAsia"/>
          <w:sz w:val="30"/>
        </w:rPr>
        <w:t>采   购   人：绍兴市公安局上虞区分局</w:t>
      </w:r>
    </w:p>
    <w:p>
      <w:pPr>
        <w:snapToGrid w:val="0"/>
        <w:spacing w:line="360" w:lineRule="auto"/>
        <w:ind w:firstLine="1500" w:firstLineChars="500"/>
        <w:jc w:val="left"/>
        <w:rPr>
          <w:rFonts w:hint="eastAsia"/>
          <w:sz w:val="30"/>
        </w:rPr>
      </w:pPr>
      <w:r>
        <w:rPr>
          <w:rFonts w:hint="eastAsia"/>
          <w:sz w:val="30"/>
        </w:rPr>
        <w:t>采购代理机构：绍兴虞宸招标代理有限公司</w:t>
      </w:r>
    </w:p>
    <w:p>
      <w:pPr>
        <w:snapToGrid w:val="0"/>
        <w:spacing w:line="360" w:lineRule="auto"/>
        <w:jc w:val="center"/>
        <w:rPr>
          <w:sz w:val="30"/>
        </w:rPr>
      </w:pPr>
      <w:r>
        <w:rPr>
          <w:rFonts w:hint="eastAsia"/>
          <w:sz w:val="30"/>
        </w:rPr>
        <w:t>二○二三年</w:t>
      </w:r>
      <w:r>
        <w:rPr>
          <w:rFonts w:hint="eastAsia"/>
          <w:sz w:val="30"/>
          <w:lang w:val="en-US" w:eastAsia="zh-CN"/>
        </w:rPr>
        <w:t>三</w:t>
      </w:r>
      <w:r>
        <w:rPr>
          <w:rFonts w:hint="eastAsia"/>
          <w:sz w:val="30"/>
        </w:rPr>
        <w:t>月</w:t>
      </w:r>
    </w:p>
    <w:p>
      <w:pPr>
        <w:snapToGrid w:val="0"/>
        <w:spacing w:line="360" w:lineRule="auto"/>
        <w:ind w:firstLine="1500" w:firstLineChars="500"/>
        <w:jc w:val="left"/>
        <w:rPr>
          <w:rFonts w:hint="eastAsia"/>
          <w:sz w:val="30"/>
        </w:rPr>
      </w:pPr>
      <w:r>
        <w:rPr>
          <w:rFonts w:hint="eastAsia"/>
          <w:sz w:val="30"/>
        </w:rPr>
        <w:t xml:space="preserve">       </w:t>
      </w:r>
    </w:p>
    <w:p>
      <w:pPr>
        <w:spacing w:line="360" w:lineRule="auto"/>
        <w:jc w:val="center"/>
        <w:rPr>
          <w:rFonts w:hint="eastAsia"/>
          <w:sz w:val="24"/>
        </w:rPr>
      </w:pPr>
      <w:r>
        <w:rPr>
          <w:rFonts w:hint="eastAsia"/>
          <w:sz w:val="24"/>
        </w:rPr>
        <w:br w:type="page"/>
      </w:r>
      <w:bookmarkStart w:id="0" w:name="_Hlt67893495"/>
      <w:bookmarkEnd w:id="0"/>
    </w:p>
    <w:p>
      <w:pPr>
        <w:spacing w:line="360" w:lineRule="auto"/>
        <w:jc w:val="center"/>
        <w:rPr>
          <w:rFonts w:hint="eastAsia"/>
          <w:b/>
          <w:sz w:val="48"/>
          <w:szCs w:val="48"/>
        </w:rPr>
      </w:pPr>
      <w:r>
        <w:rPr>
          <w:rFonts w:hint="eastAsia"/>
          <w:b/>
          <w:sz w:val="48"/>
          <w:szCs w:val="48"/>
        </w:rPr>
        <w:t>目  录</w:t>
      </w:r>
    </w:p>
    <w:p>
      <w:pPr>
        <w:pStyle w:val="23"/>
        <w:tabs>
          <w:tab w:val="right" w:leader="dot" w:pos="8302"/>
        </w:tabs>
        <w:rPr>
          <w:rFonts w:ascii="宋体" w:eastAsia="宋体" w:cs="Times New Roman"/>
          <w:b w:val="0"/>
          <w:bCs w:val="0"/>
          <w:kern w:val="2"/>
          <w:sz w:val="24"/>
          <w:szCs w:val="24"/>
          <w:lang/>
        </w:rPr>
      </w:pPr>
      <w:bookmarkStart w:id="1" w:name="_Toc91899869"/>
      <w:bookmarkStart w:id="2" w:name="第一部分"/>
      <w:r>
        <w:rPr>
          <w:rFonts w:hint="eastAsia" w:ascii="宋体" w:eastAsia="宋体"/>
          <w:b w:val="0"/>
          <w:bCs w:val="0"/>
          <w:szCs w:val="21"/>
          <w:lang/>
        </w:rPr>
        <w:fldChar w:fldCharType="begin"/>
      </w:r>
      <w:r>
        <w:rPr>
          <w:rStyle w:val="44"/>
          <w:rFonts w:hint="eastAsia" w:ascii="宋体" w:eastAsia="宋体"/>
          <w:b w:val="0"/>
          <w:bCs w:val="0"/>
          <w:szCs w:val="21"/>
          <w:lang/>
        </w:rPr>
        <w:instrText xml:space="preserve"> TOC \o "1-1" \h \z \u </w:instrText>
      </w:r>
      <w:r>
        <w:rPr>
          <w:rFonts w:hint="eastAsia" w:ascii="宋体" w:eastAsia="宋体"/>
          <w:b w:val="0"/>
          <w:bCs w:val="0"/>
          <w:szCs w:val="21"/>
          <w:lang/>
        </w:rPr>
        <w:fldChar w:fldCharType="separate"/>
      </w: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"_Toc121294567"</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第一部分</w:t>
      </w:r>
      <w:r>
        <w:rPr>
          <w:rStyle w:val="44"/>
          <w:rFonts w:ascii="宋体" w:eastAsia="宋体"/>
          <w:b w:val="0"/>
          <w:sz w:val="24"/>
          <w:szCs w:val="24"/>
          <w:lang/>
        </w:rPr>
        <w:t xml:space="preserve">  </w:t>
      </w:r>
      <w:r>
        <w:rPr>
          <w:rStyle w:val="44"/>
          <w:rFonts w:hint="eastAsia" w:ascii="宋体" w:eastAsia="宋体"/>
          <w:b w:val="0"/>
          <w:sz w:val="24"/>
          <w:szCs w:val="24"/>
          <w:lang/>
        </w:rPr>
        <w:t>招标公告</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_Toc121294567 \h </w:instrText>
      </w:r>
      <w:r>
        <w:rPr>
          <w:rFonts w:ascii="宋体" w:eastAsia="宋体"/>
          <w:b w:val="0"/>
          <w:sz w:val="24"/>
          <w:szCs w:val="24"/>
          <w:lang/>
        </w:rPr>
        <w:fldChar w:fldCharType="separate"/>
      </w:r>
      <w:r>
        <w:rPr>
          <w:rFonts w:ascii="宋体" w:eastAsia="宋体"/>
          <w:b w:val="0"/>
          <w:sz w:val="24"/>
          <w:szCs w:val="24"/>
          <w:lang/>
        </w:rPr>
        <w:t>3</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"_Toc121294568"</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第二部分</w:t>
      </w:r>
      <w:r>
        <w:rPr>
          <w:rStyle w:val="44"/>
          <w:rFonts w:ascii="宋体" w:eastAsia="宋体"/>
          <w:b w:val="0"/>
          <w:sz w:val="24"/>
          <w:szCs w:val="24"/>
          <w:lang/>
        </w:rPr>
        <w:t xml:space="preserve">  </w:t>
      </w:r>
      <w:r>
        <w:rPr>
          <w:rStyle w:val="44"/>
          <w:rFonts w:hint="eastAsia" w:ascii="宋体" w:eastAsia="宋体"/>
          <w:b w:val="0"/>
          <w:sz w:val="24"/>
          <w:szCs w:val="24"/>
          <w:lang/>
        </w:rPr>
        <w:t>投标须知</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_Toc121294568 \h </w:instrText>
      </w:r>
      <w:r>
        <w:rPr>
          <w:rFonts w:ascii="宋体" w:eastAsia="宋体"/>
          <w:b w:val="0"/>
          <w:sz w:val="24"/>
          <w:szCs w:val="24"/>
          <w:lang/>
        </w:rPr>
        <w:fldChar w:fldCharType="separate"/>
      </w:r>
      <w:r>
        <w:rPr>
          <w:rFonts w:ascii="宋体" w:eastAsia="宋体"/>
          <w:b w:val="0"/>
          <w:sz w:val="24"/>
          <w:szCs w:val="24"/>
          <w:lang/>
        </w:rPr>
        <w:t>7</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"_Toc121294569"</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一、总则</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_Toc121294569 \h </w:instrText>
      </w:r>
      <w:r>
        <w:rPr>
          <w:rFonts w:ascii="宋体" w:eastAsia="宋体"/>
          <w:b w:val="0"/>
          <w:sz w:val="24"/>
          <w:szCs w:val="24"/>
          <w:lang/>
        </w:rPr>
        <w:fldChar w:fldCharType="separate"/>
      </w:r>
      <w:r>
        <w:rPr>
          <w:rFonts w:ascii="宋体" w:eastAsia="宋体"/>
          <w:b w:val="0"/>
          <w:sz w:val="24"/>
          <w:szCs w:val="24"/>
          <w:lang/>
        </w:rPr>
        <w:t>11</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"_Toc121294570"</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二、招标文件</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_Toc121294570 \h </w:instrText>
      </w:r>
      <w:r>
        <w:rPr>
          <w:rFonts w:ascii="宋体" w:eastAsia="宋体"/>
          <w:b w:val="0"/>
          <w:sz w:val="24"/>
          <w:szCs w:val="24"/>
          <w:lang/>
        </w:rPr>
        <w:fldChar w:fldCharType="separate"/>
      </w:r>
      <w:r>
        <w:rPr>
          <w:rFonts w:ascii="宋体" w:eastAsia="宋体"/>
          <w:b w:val="0"/>
          <w:sz w:val="24"/>
          <w:szCs w:val="24"/>
          <w:lang/>
        </w:rPr>
        <w:t>11</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"_Toc121294571"</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三、投标文件的编制</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_Toc121294571 \h </w:instrText>
      </w:r>
      <w:r>
        <w:rPr>
          <w:rFonts w:ascii="宋体" w:eastAsia="宋体"/>
          <w:b w:val="0"/>
          <w:sz w:val="24"/>
          <w:szCs w:val="24"/>
          <w:lang/>
        </w:rPr>
        <w:fldChar w:fldCharType="separate"/>
      </w:r>
      <w:r>
        <w:rPr>
          <w:rFonts w:ascii="宋体" w:eastAsia="宋体"/>
          <w:b w:val="0"/>
          <w:sz w:val="24"/>
          <w:szCs w:val="24"/>
          <w:lang/>
        </w:rPr>
        <w:t>13</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"_Toc121294572"</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四、投标文件的递交</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_Toc121294572 \h </w:instrText>
      </w:r>
      <w:r>
        <w:rPr>
          <w:rFonts w:ascii="宋体" w:eastAsia="宋体"/>
          <w:b w:val="0"/>
          <w:sz w:val="24"/>
          <w:szCs w:val="24"/>
          <w:lang/>
        </w:rPr>
        <w:fldChar w:fldCharType="separate"/>
      </w:r>
      <w:r>
        <w:rPr>
          <w:rFonts w:ascii="宋体" w:eastAsia="宋体"/>
          <w:b w:val="0"/>
          <w:sz w:val="24"/>
          <w:szCs w:val="24"/>
          <w:lang/>
        </w:rPr>
        <w:t>16</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"_Toc121294573"</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五、开标</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_Toc121294573 \h </w:instrText>
      </w:r>
      <w:r>
        <w:rPr>
          <w:rFonts w:ascii="宋体" w:eastAsia="宋体"/>
          <w:b w:val="0"/>
          <w:sz w:val="24"/>
          <w:szCs w:val="24"/>
          <w:lang/>
        </w:rPr>
        <w:fldChar w:fldCharType="separate"/>
      </w:r>
      <w:r>
        <w:rPr>
          <w:rFonts w:ascii="宋体" w:eastAsia="宋体"/>
          <w:b w:val="0"/>
          <w:sz w:val="24"/>
          <w:szCs w:val="24"/>
          <w:lang/>
        </w:rPr>
        <w:t>16</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spacing w:before="0" w:after="0" w:line="312" w:lineRule="auto"/>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"_Toc121294574"</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六、资格审查</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_Toc121294574 \h </w:instrText>
      </w:r>
      <w:r>
        <w:rPr>
          <w:rFonts w:ascii="宋体" w:eastAsia="宋体"/>
          <w:b w:val="0"/>
          <w:sz w:val="24"/>
          <w:szCs w:val="24"/>
          <w:lang/>
        </w:rPr>
        <w:fldChar w:fldCharType="separate"/>
      </w:r>
      <w:r>
        <w:rPr>
          <w:rFonts w:ascii="宋体" w:eastAsia="宋体"/>
          <w:b w:val="0"/>
          <w:sz w:val="24"/>
          <w:szCs w:val="24"/>
          <w:lang/>
        </w:rPr>
        <w:t>17</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"_Toc121294575"</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七、评标</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_Toc121294575 \h </w:instrText>
      </w:r>
      <w:r>
        <w:rPr>
          <w:rFonts w:ascii="宋体" w:eastAsia="宋体"/>
          <w:b w:val="0"/>
          <w:sz w:val="24"/>
          <w:szCs w:val="24"/>
          <w:lang/>
        </w:rPr>
        <w:fldChar w:fldCharType="separate"/>
      </w:r>
      <w:r>
        <w:rPr>
          <w:rFonts w:ascii="宋体" w:eastAsia="宋体"/>
          <w:b w:val="0"/>
          <w:sz w:val="24"/>
          <w:szCs w:val="24"/>
          <w:lang/>
        </w:rPr>
        <w:t>17</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"_Toc121294576"</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八、定</w:t>
      </w:r>
      <w:r>
        <w:rPr>
          <w:rStyle w:val="44"/>
          <w:rFonts w:ascii="宋体" w:eastAsia="宋体"/>
          <w:b w:val="0"/>
          <w:sz w:val="24"/>
          <w:szCs w:val="24"/>
          <w:lang/>
        </w:rPr>
        <w:t xml:space="preserve"> </w:t>
      </w:r>
      <w:r>
        <w:rPr>
          <w:rStyle w:val="44"/>
          <w:rFonts w:hint="eastAsia" w:ascii="宋体" w:eastAsia="宋体"/>
          <w:b w:val="0"/>
          <w:sz w:val="24"/>
          <w:szCs w:val="24"/>
          <w:lang/>
        </w:rPr>
        <w:t>标</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_Toc121294576 \h </w:instrText>
      </w:r>
      <w:r>
        <w:rPr>
          <w:rFonts w:ascii="宋体" w:eastAsia="宋体"/>
          <w:b w:val="0"/>
          <w:sz w:val="24"/>
          <w:szCs w:val="24"/>
          <w:lang/>
        </w:rPr>
        <w:fldChar w:fldCharType="separate"/>
      </w:r>
      <w:r>
        <w:rPr>
          <w:rFonts w:ascii="宋体" w:eastAsia="宋体"/>
          <w:b w:val="0"/>
          <w:sz w:val="24"/>
          <w:szCs w:val="24"/>
          <w:lang/>
        </w:rPr>
        <w:t>22</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"_Toc121294577"</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九、合同签订及其他</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_Toc121294577 \h </w:instrText>
      </w:r>
      <w:r>
        <w:rPr>
          <w:rFonts w:ascii="宋体" w:eastAsia="宋体"/>
          <w:b w:val="0"/>
          <w:sz w:val="24"/>
          <w:szCs w:val="24"/>
          <w:lang/>
        </w:rPr>
        <w:fldChar w:fldCharType="separate"/>
      </w:r>
      <w:r>
        <w:rPr>
          <w:rFonts w:ascii="宋体" w:eastAsia="宋体"/>
          <w:b w:val="0"/>
          <w:sz w:val="24"/>
          <w:szCs w:val="24"/>
          <w:lang/>
        </w:rPr>
        <w:t>22</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"_Toc121294578"</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十、质疑与投诉</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_Toc121294578 \h </w:instrText>
      </w:r>
      <w:r>
        <w:rPr>
          <w:rFonts w:ascii="宋体" w:eastAsia="宋体"/>
          <w:b w:val="0"/>
          <w:sz w:val="24"/>
          <w:szCs w:val="24"/>
          <w:lang/>
        </w:rPr>
        <w:fldChar w:fldCharType="separate"/>
      </w:r>
      <w:r>
        <w:rPr>
          <w:rFonts w:ascii="宋体" w:eastAsia="宋体"/>
          <w:b w:val="0"/>
          <w:sz w:val="24"/>
          <w:szCs w:val="24"/>
          <w:lang/>
        </w:rPr>
        <w:t>23</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"_Toc121294579"</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第三部分</w:t>
      </w:r>
      <w:r>
        <w:rPr>
          <w:rStyle w:val="44"/>
          <w:rFonts w:ascii="宋体" w:eastAsia="宋体"/>
          <w:b w:val="0"/>
          <w:sz w:val="24"/>
          <w:szCs w:val="24"/>
          <w:lang/>
        </w:rPr>
        <w:t xml:space="preserve">  </w:t>
      </w:r>
      <w:r>
        <w:rPr>
          <w:rStyle w:val="44"/>
          <w:rFonts w:hint="eastAsia" w:ascii="宋体" w:eastAsia="宋体"/>
          <w:b w:val="0"/>
          <w:sz w:val="24"/>
          <w:szCs w:val="24"/>
          <w:lang/>
        </w:rPr>
        <w:t>评标办法及评分标准</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_Toc121294579 \h </w:instrText>
      </w:r>
      <w:r>
        <w:rPr>
          <w:rFonts w:ascii="宋体" w:eastAsia="宋体"/>
          <w:b w:val="0"/>
          <w:sz w:val="24"/>
          <w:szCs w:val="24"/>
          <w:lang/>
        </w:rPr>
        <w:fldChar w:fldCharType="separate"/>
      </w:r>
      <w:r>
        <w:rPr>
          <w:rFonts w:ascii="宋体" w:eastAsia="宋体"/>
          <w:b w:val="0"/>
          <w:sz w:val="24"/>
          <w:szCs w:val="24"/>
          <w:lang/>
        </w:rPr>
        <w:t>25</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"_Toc121294580"</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第一章　评标办法</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_Toc121294580 \h </w:instrText>
      </w:r>
      <w:r>
        <w:rPr>
          <w:rFonts w:ascii="宋体" w:eastAsia="宋体"/>
          <w:b w:val="0"/>
          <w:sz w:val="24"/>
          <w:szCs w:val="24"/>
          <w:lang/>
        </w:rPr>
        <w:fldChar w:fldCharType="separate"/>
      </w:r>
      <w:r>
        <w:rPr>
          <w:rFonts w:ascii="宋体" w:eastAsia="宋体"/>
          <w:b w:val="0"/>
          <w:sz w:val="24"/>
          <w:szCs w:val="24"/>
          <w:lang/>
        </w:rPr>
        <w:t>25</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"_Toc121294581"</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第二章　评分</w:t>
      </w:r>
      <w:bookmarkStart w:id="3" w:name="_Hlt125800912"/>
      <w:r>
        <w:rPr>
          <w:rStyle w:val="44"/>
          <w:rFonts w:hint="eastAsia" w:ascii="宋体" w:eastAsia="宋体"/>
          <w:b w:val="0"/>
          <w:sz w:val="24"/>
          <w:szCs w:val="24"/>
          <w:lang/>
        </w:rPr>
        <w:t>标</w:t>
      </w:r>
      <w:bookmarkEnd w:id="3"/>
      <w:r>
        <w:rPr>
          <w:rStyle w:val="44"/>
          <w:rFonts w:hint="eastAsia" w:ascii="宋体" w:eastAsia="宋体"/>
          <w:b w:val="0"/>
          <w:sz w:val="24"/>
          <w:szCs w:val="24"/>
          <w:lang/>
        </w:rPr>
        <w:t>准</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_Toc121294581 \h </w:instrText>
      </w:r>
      <w:r>
        <w:rPr>
          <w:rFonts w:ascii="宋体" w:eastAsia="宋体"/>
          <w:b w:val="0"/>
          <w:sz w:val="24"/>
          <w:szCs w:val="24"/>
          <w:lang/>
        </w:rPr>
        <w:fldChar w:fldCharType="separate"/>
      </w:r>
      <w:r>
        <w:rPr>
          <w:rFonts w:ascii="宋体" w:eastAsia="宋体"/>
          <w:b w:val="0"/>
          <w:sz w:val="24"/>
          <w:szCs w:val="24"/>
          <w:lang/>
        </w:rPr>
        <w:t>26</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"_Toc121294582"</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第四部分</w:t>
      </w:r>
      <w:r>
        <w:rPr>
          <w:rStyle w:val="44"/>
          <w:rFonts w:ascii="宋体" w:eastAsia="宋体"/>
          <w:b w:val="0"/>
          <w:sz w:val="24"/>
          <w:szCs w:val="24"/>
          <w:lang/>
        </w:rPr>
        <w:t xml:space="preserve">  </w:t>
      </w:r>
      <w:r>
        <w:rPr>
          <w:rStyle w:val="44"/>
          <w:rFonts w:hint="eastAsia" w:ascii="宋体" w:eastAsia="宋体"/>
          <w:b w:val="0"/>
          <w:sz w:val="24"/>
          <w:szCs w:val="24"/>
          <w:lang/>
        </w:rPr>
        <w:t>采购需求</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_Toc121294582 \h </w:instrText>
      </w:r>
      <w:r>
        <w:rPr>
          <w:rFonts w:ascii="宋体" w:eastAsia="宋体"/>
          <w:b w:val="0"/>
          <w:sz w:val="24"/>
          <w:szCs w:val="24"/>
          <w:lang/>
        </w:rPr>
        <w:fldChar w:fldCharType="separate"/>
      </w:r>
      <w:r>
        <w:rPr>
          <w:rFonts w:ascii="宋体" w:eastAsia="宋体"/>
          <w:b w:val="0"/>
          <w:sz w:val="24"/>
          <w:szCs w:val="24"/>
          <w:lang/>
        </w:rPr>
        <w:t>30</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"_Toc121294583"</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第一章</w:t>
      </w:r>
      <w:r>
        <w:rPr>
          <w:rStyle w:val="44"/>
          <w:rFonts w:ascii="宋体" w:eastAsia="宋体"/>
          <w:b w:val="0"/>
          <w:sz w:val="24"/>
          <w:szCs w:val="24"/>
          <w:lang/>
        </w:rPr>
        <w:t xml:space="preserve"> </w:t>
      </w:r>
      <w:r>
        <w:rPr>
          <w:rStyle w:val="44"/>
          <w:rFonts w:hint="eastAsia" w:ascii="宋体" w:eastAsia="宋体"/>
          <w:b w:val="0"/>
          <w:sz w:val="24"/>
          <w:szCs w:val="24"/>
          <w:lang/>
        </w:rPr>
        <w:t xml:space="preserve"> 技术规</w:t>
      </w:r>
      <w:bookmarkStart w:id="4" w:name="_Hlt125799980"/>
      <w:bookmarkStart w:id="5" w:name="_Hlt125799979"/>
      <w:r>
        <w:rPr>
          <w:rStyle w:val="44"/>
          <w:rFonts w:hint="eastAsia" w:ascii="宋体" w:eastAsia="宋体"/>
          <w:b w:val="0"/>
          <w:sz w:val="24"/>
          <w:szCs w:val="24"/>
          <w:lang/>
        </w:rPr>
        <w:t>范</w:t>
      </w:r>
      <w:bookmarkEnd w:id="4"/>
      <w:bookmarkEnd w:id="5"/>
      <w:r>
        <w:rPr>
          <w:rStyle w:val="44"/>
          <w:rFonts w:hint="eastAsia" w:ascii="宋体" w:eastAsia="宋体"/>
          <w:b w:val="0"/>
          <w:sz w:val="24"/>
          <w:szCs w:val="24"/>
          <w:lang/>
        </w:rPr>
        <w:t>及要求</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_Toc121294583 \h </w:instrText>
      </w:r>
      <w:r>
        <w:rPr>
          <w:rFonts w:ascii="宋体" w:eastAsia="宋体"/>
          <w:b w:val="0"/>
          <w:sz w:val="24"/>
          <w:szCs w:val="24"/>
          <w:lang/>
        </w:rPr>
        <w:fldChar w:fldCharType="separate"/>
      </w:r>
      <w:r>
        <w:rPr>
          <w:rFonts w:ascii="宋体" w:eastAsia="宋体"/>
          <w:b w:val="0"/>
          <w:sz w:val="24"/>
          <w:szCs w:val="24"/>
          <w:lang/>
        </w:rPr>
        <w:t>30</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"_Toc121294584"</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第二章　供货范围及要求</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_Toc121294584 \h </w:instrText>
      </w:r>
      <w:r>
        <w:rPr>
          <w:rFonts w:ascii="宋体" w:eastAsia="宋体"/>
          <w:b w:val="0"/>
          <w:sz w:val="24"/>
          <w:szCs w:val="24"/>
          <w:lang/>
        </w:rPr>
        <w:fldChar w:fldCharType="separate"/>
      </w:r>
      <w:r>
        <w:rPr>
          <w:rFonts w:ascii="宋体" w:eastAsia="宋体"/>
          <w:b w:val="0"/>
          <w:sz w:val="24"/>
          <w:szCs w:val="24"/>
          <w:lang/>
        </w:rPr>
        <w:t>48</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4"/>
          <w:szCs w:val="24"/>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"_Toc121294585"</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第五部分</w:t>
      </w:r>
      <w:r>
        <w:rPr>
          <w:rStyle w:val="44"/>
          <w:rFonts w:ascii="宋体" w:eastAsia="宋体"/>
          <w:b w:val="0"/>
          <w:sz w:val="24"/>
          <w:szCs w:val="24"/>
          <w:lang/>
        </w:rPr>
        <w:t xml:space="preserve">  </w:t>
      </w:r>
      <w:r>
        <w:rPr>
          <w:rStyle w:val="44"/>
          <w:rFonts w:hint="eastAsia" w:ascii="宋体" w:eastAsia="宋体"/>
          <w:b w:val="0"/>
          <w:sz w:val="24"/>
          <w:szCs w:val="24"/>
          <w:lang/>
        </w:rPr>
        <w:t>采购合</w:t>
      </w:r>
      <w:bookmarkStart w:id="6" w:name="_Hlt121294641"/>
      <w:bookmarkStart w:id="7" w:name="_Hlt121294642"/>
      <w:r>
        <w:rPr>
          <w:rStyle w:val="44"/>
          <w:rFonts w:hint="eastAsia" w:ascii="宋体" w:eastAsia="宋体"/>
          <w:b w:val="0"/>
          <w:sz w:val="24"/>
          <w:szCs w:val="24"/>
          <w:lang/>
        </w:rPr>
        <w:t>同</w:t>
      </w:r>
      <w:bookmarkEnd w:id="6"/>
      <w:bookmarkEnd w:id="7"/>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_Toc121294585 \h </w:instrText>
      </w:r>
      <w:r>
        <w:rPr>
          <w:rFonts w:ascii="宋体" w:eastAsia="宋体"/>
          <w:b w:val="0"/>
          <w:sz w:val="24"/>
          <w:szCs w:val="24"/>
          <w:lang/>
        </w:rPr>
        <w:fldChar w:fldCharType="separate"/>
      </w:r>
      <w:r>
        <w:rPr>
          <w:rFonts w:ascii="宋体" w:eastAsia="宋体"/>
          <w:b w:val="0"/>
          <w:sz w:val="24"/>
          <w:szCs w:val="24"/>
          <w:lang/>
        </w:rPr>
        <w:t>50</w:t>
      </w:r>
      <w:r>
        <w:rPr>
          <w:rFonts w:ascii="宋体" w:eastAsia="宋体"/>
          <w:b w:val="0"/>
          <w:sz w:val="24"/>
          <w:szCs w:val="24"/>
          <w:lang/>
        </w:rPr>
        <w:fldChar w:fldCharType="end"/>
      </w:r>
      <w:r>
        <w:rPr>
          <w:rFonts w:ascii="宋体" w:eastAsia="宋体"/>
          <w:b w:val="0"/>
          <w:sz w:val="24"/>
          <w:szCs w:val="24"/>
          <w:lang/>
        </w:rPr>
        <w:fldChar w:fldCharType="end"/>
      </w:r>
    </w:p>
    <w:p>
      <w:pPr>
        <w:pStyle w:val="23"/>
        <w:tabs>
          <w:tab w:val="right" w:leader="dot" w:pos="8302"/>
        </w:tabs>
        <w:rPr>
          <w:rFonts w:ascii="宋体" w:eastAsia="宋体" w:cs="Times New Roman"/>
          <w:b w:val="0"/>
          <w:bCs w:val="0"/>
          <w:kern w:val="2"/>
          <w:sz w:val="21"/>
          <w:szCs w:val="22"/>
          <w:lang/>
        </w:rPr>
      </w:pPr>
      <w:r>
        <w:rPr>
          <w:rFonts w:ascii="宋体" w:eastAsia="宋体"/>
          <w:b w:val="0"/>
          <w:sz w:val="24"/>
          <w:szCs w:val="24"/>
          <w:lang/>
        </w:rPr>
        <w:fldChar w:fldCharType="begin"/>
      </w:r>
      <w:r>
        <w:rPr>
          <w:rStyle w:val="44"/>
          <w:rFonts w:ascii="宋体" w:eastAsia="宋体"/>
          <w:b w:val="0"/>
          <w:sz w:val="24"/>
          <w:szCs w:val="24"/>
          <w:lang/>
        </w:rPr>
        <w:instrText xml:space="preserve"> </w:instrText>
      </w:r>
      <w:r>
        <w:rPr>
          <w:rFonts w:ascii="宋体" w:eastAsia="宋体"/>
          <w:b w:val="0"/>
          <w:sz w:val="24"/>
          <w:szCs w:val="24"/>
          <w:lang/>
        </w:rPr>
        <w:instrText xml:space="preserve">HYPERLINK \l "_Toc121294586"</w:instrText>
      </w:r>
      <w:r>
        <w:rPr>
          <w:rStyle w:val="44"/>
          <w:rFonts w:ascii="宋体" w:eastAsia="宋体"/>
          <w:b w:val="0"/>
          <w:sz w:val="24"/>
          <w:szCs w:val="24"/>
          <w:lang/>
        </w:rPr>
        <w:instrText xml:space="preserve"> </w:instrText>
      </w:r>
      <w:r>
        <w:rPr>
          <w:rFonts w:ascii="宋体" w:eastAsia="宋体"/>
          <w:b w:val="0"/>
          <w:sz w:val="24"/>
          <w:szCs w:val="24"/>
          <w:lang/>
        </w:rPr>
        <w:fldChar w:fldCharType="separate"/>
      </w:r>
      <w:r>
        <w:rPr>
          <w:rStyle w:val="44"/>
          <w:rFonts w:hint="eastAsia" w:ascii="宋体" w:eastAsia="宋体"/>
          <w:b w:val="0"/>
          <w:sz w:val="24"/>
          <w:szCs w:val="24"/>
          <w:lang/>
        </w:rPr>
        <w:t>第六部分</w:t>
      </w:r>
      <w:r>
        <w:rPr>
          <w:rStyle w:val="44"/>
          <w:rFonts w:ascii="宋体" w:eastAsia="宋体"/>
          <w:b w:val="0"/>
          <w:sz w:val="24"/>
          <w:szCs w:val="24"/>
          <w:lang/>
        </w:rPr>
        <w:t xml:space="preserve">  </w:t>
      </w:r>
      <w:r>
        <w:rPr>
          <w:rStyle w:val="44"/>
          <w:rFonts w:hint="eastAsia" w:ascii="宋体" w:eastAsia="宋体"/>
          <w:b w:val="0"/>
          <w:sz w:val="24"/>
          <w:szCs w:val="24"/>
          <w:lang/>
        </w:rPr>
        <w:t>应提交的有关格式范例</w:t>
      </w:r>
      <w:r>
        <w:rPr>
          <w:rFonts w:ascii="宋体" w:eastAsia="宋体"/>
          <w:b w:val="0"/>
          <w:sz w:val="24"/>
          <w:szCs w:val="24"/>
          <w:lang/>
        </w:rPr>
        <w:tab/>
      </w:r>
      <w:r>
        <w:rPr>
          <w:rFonts w:ascii="宋体" w:eastAsia="宋体"/>
          <w:b w:val="0"/>
          <w:sz w:val="24"/>
          <w:szCs w:val="24"/>
          <w:lang/>
        </w:rPr>
        <w:fldChar w:fldCharType="begin"/>
      </w:r>
      <w:r>
        <w:rPr>
          <w:rFonts w:ascii="宋体" w:eastAsia="宋体"/>
          <w:b w:val="0"/>
          <w:sz w:val="24"/>
          <w:szCs w:val="24"/>
          <w:lang/>
        </w:rPr>
        <w:instrText xml:space="preserve"> PAGEREF _Toc121294586 \h </w:instrText>
      </w:r>
      <w:r>
        <w:rPr>
          <w:rFonts w:ascii="宋体" w:eastAsia="宋体"/>
          <w:b w:val="0"/>
          <w:sz w:val="24"/>
          <w:szCs w:val="24"/>
          <w:lang/>
        </w:rPr>
        <w:fldChar w:fldCharType="separate"/>
      </w:r>
      <w:r>
        <w:rPr>
          <w:rFonts w:ascii="宋体" w:eastAsia="宋体"/>
          <w:b w:val="0"/>
          <w:sz w:val="24"/>
          <w:szCs w:val="24"/>
          <w:lang/>
        </w:rPr>
        <w:t>53</w:t>
      </w:r>
      <w:r>
        <w:rPr>
          <w:rFonts w:ascii="宋体" w:eastAsia="宋体"/>
          <w:b w:val="0"/>
          <w:sz w:val="24"/>
          <w:szCs w:val="24"/>
          <w:lang/>
        </w:rPr>
        <w:fldChar w:fldCharType="end"/>
      </w:r>
      <w:r>
        <w:rPr>
          <w:rFonts w:ascii="宋体" w:eastAsia="宋体"/>
          <w:b w:val="0"/>
          <w:sz w:val="24"/>
          <w:szCs w:val="24"/>
          <w:lang/>
        </w:rPr>
        <w:fldChar w:fldCharType="end"/>
      </w:r>
    </w:p>
    <w:p>
      <w:pPr>
        <w:spacing w:line="360" w:lineRule="auto"/>
        <w:jc w:val="center"/>
        <w:outlineLvl w:val="0"/>
        <w:rPr>
          <w:rFonts w:hint="eastAsia"/>
          <w:b/>
          <w:sz w:val="36"/>
          <w:szCs w:val="20"/>
        </w:rPr>
      </w:pPr>
      <w:r>
        <w:rPr>
          <w:rFonts w:hint="eastAsia"/>
          <w:bCs/>
          <w:lang/>
        </w:rPr>
        <w:fldChar w:fldCharType="end"/>
      </w:r>
      <w:r>
        <w:rPr>
          <w:rFonts w:hint="eastAsia"/>
          <w:b/>
          <w:sz w:val="36"/>
          <w:szCs w:val="36"/>
        </w:rPr>
        <w:br w:type="page"/>
      </w:r>
      <w:bookmarkEnd w:id="1"/>
      <w:bookmarkEnd w:id="2"/>
      <w:bookmarkStart w:id="8" w:name="_Hlt74707423"/>
      <w:bookmarkEnd w:id="8"/>
      <w:bookmarkStart w:id="9" w:name="_Hlt74729822"/>
      <w:bookmarkEnd w:id="9"/>
      <w:bookmarkStart w:id="10" w:name="_Hlt74649545"/>
      <w:bookmarkEnd w:id="10"/>
      <w:bookmarkStart w:id="11" w:name="_Hlt74728647"/>
      <w:bookmarkEnd w:id="11"/>
      <w:bookmarkStart w:id="12" w:name="_Toc121294567"/>
      <w:bookmarkStart w:id="13" w:name="第二部分"/>
      <w:bookmarkStart w:id="14" w:name="_Toc91899870"/>
      <w:bookmarkStart w:id="15" w:name="_Toc91899871"/>
      <w:r>
        <w:rPr>
          <w:rFonts w:hint="eastAsia"/>
          <w:b/>
          <w:sz w:val="36"/>
          <w:szCs w:val="20"/>
        </w:rPr>
        <w:t xml:space="preserve">第一部分 </w:t>
      </w:r>
      <w:r>
        <w:rPr>
          <w:b/>
          <w:sz w:val="36"/>
          <w:szCs w:val="20"/>
        </w:rPr>
        <w:t xml:space="preserve"> </w:t>
      </w:r>
      <w:r>
        <w:rPr>
          <w:rFonts w:hint="eastAsia"/>
          <w:b/>
          <w:sz w:val="36"/>
          <w:szCs w:val="20"/>
        </w:rPr>
        <w:t>招标公告</w:t>
      </w:r>
      <w:bookmarkEnd w:id="12"/>
    </w:p>
    <w:p>
      <w:pPr>
        <w:adjustRightInd w:val="0"/>
        <w:spacing w:line="360" w:lineRule="auto"/>
        <w:ind w:firstLine="480" w:firstLineChars="200"/>
        <w:jc w:val="center"/>
        <w:rPr>
          <w:rFonts w:hint="eastAsia"/>
          <w:sz w:val="24"/>
        </w:rPr>
      </w:pPr>
      <w:r>
        <w:rPr>
          <w:rFonts w:hint="eastAsia"/>
          <w:sz w:val="24"/>
        </w:rPr>
        <w:t>绍兴虞宸招标代理有限公司关于绍兴市公安局上虞区分局</w:t>
      </w:r>
      <w:r>
        <w:rPr>
          <w:sz w:val="24"/>
        </w:rPr>
        <w:t>**通四期项目（两年）</w:t>
      </w:r>
      <w:r>
        <w:rPr>
          <w:rFonts w:hint="eastAsia"/>
          <w:sz w:val="24"/>
        </w:rPr>
        <w:t>公开招标的公告</w:t>
      </w:r>
    </w:p>
    <w:p>
      <w:pPr>
        <w:adjustRightInd w:val="0"/>
        <w:spacing w:line="360" w:lineRule="auto"/>
        <w:ind w:firstLine="480" w:firstLineChars="200"/>
        <w:jc w:val="center"/>
        <w:rPr>
          <w:rFonts w:hint="eastAsia"/>
          <w:sz w:val="24"/>
        </w:rPr>
      </w:pPr>
      <w:r>
        <w:rPr>
          <w:rFonts w:hint="eastAsia"/>
          <w:sz w:val="24"/>
        </w:rPr>
        <w:t>公告日期：2023年</w:t>
      </w:r>
      <w:r>
        <w:rPr>
          <w:rFonts w:hint="eastAsia"/>
          <w:sz w:val="24"/>
          <w:lang w:val="en-US" w:eastAsia="zh-CN"/>
        </w:rPr>
        <w:t>3</w:t>
      </w:r>
      <w:r>
        <w:rPr>
          <w:rFonts w:hint="eastAsia"/>
          <w:sz w:val="24"/>
        </w:rPr>
        <w:t>月</w:t>
      </w:r>
      <w:r>
        <w:rPr>
          <w:rFonts w:hint="eastAsia"/>
          <w:sz w:val="24"/>
          <w:lang w:val="en-US" w:eastAsia="zh-CN"/>
        </w:rPr>
        <w:t>3</w:t>
      </w:r>
      <w:r>
        <w:rPr>
          <w:rFonts w:hint="eastAsia"/>
          <w:sz w:val="24"/>
        </w:rPr>
        <w:t>日</w:t>
      </w:r>
    </w:p>
    <w:p>
      <w:pPr>
        <w:adjustRightInd w:val="0"/>
        <w:spacing w:line="360" w:lineRule="auto"/>
        <w:ind w:firstLine="480" w:firstLineChars="200"/>
        <w:rPr>
          <w:rFonts w:hint="eastAsia"/>
          <w:sz w:val="24"/>
        </w:rPr>
      </w:pPr>
      <w:r>
        <w:rPr>
          <w:rFonts w:hint="eastAsia"/>
          <w:sz w:val="24"/>
        </w:rPr>
        <w:t>根据《中华人民共和国政府采购法》等有关规定，绍兴虞宸招标代理有限公司受绍兴市公安局上虞区分局委托，现就绍兴市公安局上虞区分局</w:t>
      </w:r>
      <w:r>
        <w:rPr>
          <w:sz w:val="24"/>
        </w:rPr>
        <w:t>**通四期项目（两年）</w:t>
      </w:r>
      <w:r>
        <w:rPr>
          <w:rFonts w:hint="eastAsia"/>
          <w:sz w:val="24"/>
        </w:rPr>
        <w:t>进行公开招标，欢迎国内合格的供应商前来投标。</w:t>
      </w:r>
    </w:p>
    <w:p>
      <w:pPr>
        <w:adjustRightInd w:val="0"/>
        <w:spacing w:line="360" w:lineRule="auto"/>
        <w:ind w:firstLine="480" w:firstLineChars="200"/>
        <w:rPr>
          <w:rFonts w:hint="eastAsia"/>
          <w:sz w:val="24"/>
        </w:rPr>
      </w:pPr>
      <w:r>
        <w:rPr>
          <w:rFonts w:hint="eastAsia"/>
          <w:sz w:val="24"/>
        </w:rPr>
        <w:t>一、招标项目编号：FS2023004</w:t>
      </w:r>
    </w:p>
    <w:p>
      <w:pPr>
        <w:adjustRightInd w:val="0"/>
        <w:spacing w:line="360" w:lineRule="auto"/>
        <w:ind w:firstLine="480" w:firstLineChars="200"/>
        <w:rPr>
          <w:rFonts w:hint="eastAsia"/>
          <w:sz w:val="24"/>
        </w:rPr>
      </w:pPr>
      <w:r>
        <w:rPr>
          <w:rFonts w:hint="eastAsia"/>
          <w:sz w:val="24"/>
        </w:rPr>
        <w:t>二、采购组织类型：分散采购-委托代理</w:t>
      </w:r>
    </w:p>
    <w:p>
      <w:pPr>
        <w:adjustRightInd w:val="0"/>
        <w:spacing w:line="360" w:lineRule="auto"/>
        <w:ind w:firstLine="480" w:firstLineChars="200"/>
        <w:rPr>
          <w:rFonts w:hint="eastAsia"/>
          <w:sz w:val="24"/>
        </w:rPr>
      </w:pPr>
      <w:r>
        <w:rPr>
          <w:rFonts w:hint="eastAsia"/>
          <w:sz w:val="24"/>
        </w:rPr>
        <w:t>三、招标项目概况:</w:t>
      </w:r>
      <w:r>
        <w:rPr>
          <w:rFonts w:hint="eastAsia"/>
        </w:rPr>
        <w:t xml:space="preserve"> </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1275"/>
        <w:gridCol w:w="709"/>
        <w:gridCol w:w="851"/>
        <w:gridCol w:w="1275"/>
        <w:gridCol w:w="2268"/>
        <w:gridCol w:w="1273"/>
        <w:gridCol w:w="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77" w:hRule="atLeast"/>
          <w:jc w:val="center"/>
        </w:trPr>
        <w:tc>
          <w:tcPr>
            <w:tcW w:w="912" w:type="dxa"/>
            <w:noWrap w:val="0"/>
            <w:vAlign w:val="center"/>
          </w:tcPr>
          <w:p>
            <w:pPr>
              <w:adjustRightInd w:val="0"/>
              <w:spacing w:line="360" w:lineRule="auto"/>
              <w:jc w:val="center"/>
              <w:rPr>
                <w:rFonts w:hint="eastAsia"/>
                <w:sz w:val="24"/>
                <w:szCs w:val="24"/>
              </w:rPr>
            </w:pPr>
            <w:r>
              <w:rPr>
                <w:rFonts w:hint="eastAsia"/>
                <w:sz w:val="24"/>
                <w:szCs w:val="24"/>
              </w:rPr>
              <w:t>序号</w:t>
            </w:r>
          </w:p>
        </w:tc>
        <w:tc>
          <w:tcPr>
            <w:tcW w:w="1275" w:type="dxa"/>
            <w:noWrap w:val="0"/>
            <w:vAlign w:val="center"/>
          </w:tcPr>
          <w:p>
            <w:pPr>
              <w:adjustRightInd w:val="0"/>
              <w:spacing w:line="360" w:lineRule="auto"/>
              <w:jc w:val="center"/>
              <w:rPr>
                <w:rFonts w:hint="eastAsia"/>
                <w:sz w:val="24"/>
                <w:szCs w:val="24"/>
              </w:rPr>
            </w:pPr>
            <w:r>
              <w:rPr>
                <w:rFonts w:hint="eastAsia"/>
                <w:sz w:val="24"/>
                <w:szCs w:val="24"/>
              </w:rPr>
              <w:t>项目名称</w:t>
            </w:r>
          </w:p>
        </w:tc>
        <w:tc>
          <w:tcPr>
            <w:tcW w:w="709" w:type="dxa"/>
            <w:noWrap w:val="0"/>
            <w:vAlign w:val="center"/>
          </w:tcPr>
          <w:p>
            <w:pPr>
              <w:adjustRightInd w:val="0"/>
              <w:spacing w:line="360" w:lineRule="auto"/>
              <w:jc w:val="center"/>
              <w:rPr>
                <w:rFonts w:hint="eastAsia"/>
                <w:sz w:val="24"/>
                <w:szCs w:val="24"/>
              </w:rPr>
            </w:pPr>
            <w:r>
              <w:rPr>
                <w:rFonts w:hint="eastAsia"/>
                <w:sz w:val="24"/>
                <w:szCs w:val="24"/>
              </w:rPr>
              <w:t>数量</w:t>
            </w:r>
          </w:p>
        </w:tc>
        <w:tc>
          <w:tcPr>
            <w:tcW w:w="851" w:type="dxa"/>
            <w:noWrap w:val="0"/>
            <w:vAlign w:val="center"/>
          </w:tcPr>
          <w:p>
            <w:pPr>
              <w:adjustRightInd w:val="0"/>
              <w:spacing w:line="360" w:lineRule="auto"/>
              <w:jc w:val="center"/>
              <w:rPr>
                <w:rFonts w:hint="eastAsia"/>
                <w:sz w:val="24"/>
                <w:szCs w:val="24"/>
              </w:rPr>
            </w:pPr>
            <w:r>
              <w:rPr>
                <w:rFonts w:hint="eastAsia"/>
                <w:sz w:val="24"/>
                <w:szCs w:val="24"/>
              </w:rPr>
              <w:t>单位</w:t>
            </w:r>
          </w:p>
        </w:tc>
        <w:tc>
          <w:tcPr>
            <w:tcW w:w="1275" w:type="dxa"/>
            <w:noWrap w:val="0"/>
            <w:vAlign w:val="center"/>
          </w:tcPr>
          <w:p>
            <w:pPr>
              <w:adjustRightInd w:val="0"/>
              <w:spacing w:line="360" w:lineRule="auto"/>
              <w:jc w:val="center"/>
              <w:rPr>
                <w:rFonts w:hint="eastAsia"/>
                <w:sz w:val="24"/>
                <w:szCs w:val="24"/>
              </w:rPr>
            </w:pPr>
            <w:r>
              <w:rPr>
                <w:rFonts w:hint="eastAsia"/>
                <w:sz w:val="24"/>
                <w:szCs w:val="24"/>
              </w:rPr>
              <w:t>预算金额</w:t>
            </w:r>
          </w:p>
        </w:tc>
        <w:tc>
          <w:tcPr>
            <w:tcW w:w="2268" w:type="dxa"/>
            <w:noWrap w:val="0"/>
            <w:vAlign w:val="center"/>
          </w:tcPr>
          <w:p>
            <w:pPr>
              <w:adjustRightInd w:val="0"/>
              <w:spacing w:line="360" w:lineRule="auto"/>
              <w:jc w:val="center"/>
              <w:rPr>
                <w:rFonts w:hint="eastAsia"/>
                <w:sz w:val="24"/>
                <w:szCs w:val="24"/>
              </w:rPr>
            </w:pPr>
            <w:r>
              <w:rPr>
                <w:rFonts w:hint="eastAsia"/>
                <w:sz w:val="24"/>
                <w:szCs w:val="24"/>
              </w:rPr>
              <w:t>简要规格描述或标项基本概况介绍</w:t>
            </w:r>
          </w:p>
        </w:tc>
        <w:tc>
          <w:tcPr>
            <w:tcW w:w="1273" w:type="dxa"/>
            <w:noWrap w:val="0"/>
            <w:vAlign w:val="center"/>
          </w:tcPr>
          <w:p>
            <w:pPr>
              <w:adjustRightInd w:val="0"/>
              <w:spacing w:line="360" w:lineRule="auto"/>
              <w:jc w:val="center"/>
              <w:rPr>
                <w:rFonts w:hint="eastAsia"/>
                <w:sz w:val="24"/>
                <w:szCs w:val="24"/>
              </w:rPr>
            </w:pPr>
            <w:r>
              <w:rPr>
                <w:rFonts w:hint="eastAsia"/>
                <w:sz w:val="24"/>
                <w:szCs w:val="24"/>
              </w:rPr>
              <w:t>最高限价</w:t>
            </w:r>
          </w:p>
        </w:tc>
        <w:tc>
          <w:tcPr>
            <w:tcW w:w="714" w:type="dxa"/>
            <w:noWrap w:val="0"/>
            <w:vAlign w:val="center"/>
          </w:tcPr>
          <w:p>
            <w:pPr>
              <w:adjustRightInd w:val="0"/>
              <w:spacing w:line="360" w:lineRule="auto"/>
              <w:jc w:val="center"/>
              <w:rPr>
                <w:rFonts w:hint="eastAsia"/>
                <w:sz w:val="24"/>
                <w:szCs w:val="24"/>
              </w:rPr>
            </w:pPr>
            <w:r>
              <w:rPr>
                <w:rFonts w:hint="eastAsia"/>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77" w:hRule="atLeast"/>
          <w:jc w:val="center"/>
        </w:trPr>
        <w:tc>
          <w:tcPr>
            <w:tcW w:w="912" w:type="dxa"/>
            <w:noWrap w:val="0"/>
            <w:vAlign w:val="center"/>
          </w:tcPr>
          <w:p>
            <w:pPr>
              <w:adjustRightInd w:val="0"/>
              <w:spacing w:line="360" w:lineRule="auto"/>
              <w:jc w:val="center"/>
              <w:rPr>
                <w:rFonts w:hint="eastAsia"/>
                <w:sz w:val="24"/>
                <w:szCs w:val="24"/>
              </w:rPr>
            </w:pPr>
            <w:r>
              <w:rPr>
                <w:rFonts w:hint="eastAsia"/>
                <w:sz w:val="24"/>
                <w:szCs w:val="24"/>
              </w:rPr>
              <w:t>1</w:t>
            </w:r>
          </w:p>
        </w:tc>
        <w:tc>
          <w:tcPr>
            <w:tcW w:w="1275" w:type="dxa"/>
            <w:noWrap w:val="0"/>
            <w:vAlign w:val="center"/>
          </w:tcPr>
          <w:p>
            <w:pPr>
              <w:adjustRightInd w:val="0"/>
              <w:spacing w:line="360" w:lineRule="auto"/>
              <w:jc w:val="center"/>
              <w:rPr>
                <w:rFonts w:hint="eastAsia"/>
                <w:sz w:val="24"/>
                <w:szCs w:val="24"/>
              </w:rPr>
            </w:pPr>
            <w:r>
              <w:rPr>
                <w:rFonts w:hint="eastAsia"/>
                <w:sz w:val="24"/>
              </w:rPr>
              <w:t>绍兴市公安局上虞区分局</w:t>
            </w:r>
            <w:r>
              <w:rPr>
                <w:sz w:val="24"/>
              </w:rPr>
              <w:t>**通四期项目（两年）</w:t>
            </w:r>
          </w:p>
        </w:tc>
        <w:tc>
          <w:tcPr>
            <w:tcW w:w="709" w:type="dxa"/>
            <w:noWrap w:val="0"/>
            <w:vAlign w:val="center"/>
          </w:tcPr>
          <w:p>
            <w:pPr>
              <w:adjustRightInd w:val="0"/>
              <w:spacing w:line="360" w:lineRule="auto"/>
              <w:jc w:val="center"/>
              <w:rPr>
                <w:rFonts w:hint="eastAsia"/>
                <w:sz w:val="24"/>
                <w:szCs w:val="24"/>
              </w:rPr>
            </w:pPr>
            <w:r>
              <w:rPr>
                <w:rFonts w:hint="eastAsia"/>
                <w:sz w:val="24"/>
                <w:szCs w:val="24"/>
              </w:rPr>
              <w:t>1</w:t>
            </w:r>
          </w:p>
        </w:tc>
        <w:tc>
          <w:tcPr>
            <w:tcW w:w="851" w:type="dxa"/>
            <w:noWrap w:val="0"/>
            <w:vAlign w:val="center"/>
          </w:tcPr>
          <w:p>
            <w:pPr>
              <w:adjustRightInd w:val="0"/>
              <w:spacing w:line="360" w:lineRule="auto"/>
              <w:jc w:val="center"/>
              <w:rPr>
                <w:rFonts w:hint="eastAsia"/>
                <w:sz w:val="24"/>
                <w:szCs w:val="24"/>
              </w:rPr>
            </w:pPr>
            <w:r>
              <w:rPr>
                <w:rFonts w:hint="eastAsia"/>
                <w:sz w:val="24"/>
                <w:szCs w:val="24"/>
              </w:rPr>
              <w:t>批</w:t>
            </w:r>
          </w:p>
        </w:tc>
        <w:tc>
          <w:tcPr>
            <w:tcW w:w="1275" w:type="dxa"/>
            <w:noWrap w:val="0"/>
            <w:vAlign w:val="center"/>
          </w:tcPr>
          <w:p>
            <w:pPr>
              <w:adjustRightInd w:val="0"/>
              <w:spacing w:line="360" w:lineRule="auto"/>
              <w:jc w:val="center"/>
              <w:rPr>
                <w:rFonts w:hint="eastAsia"/>
                <w:sz w:val="24"/>
                <w:szCs w:val="24"/>
              </w:rPr>
            </w:pPr>
            <w:r>
              <w:rPr>
                <w:rFonts w:hint="eastAsia"/>
                <w:sz w:val="24"/>
                <w:szCs w:val="24"/>
              </w:rPr>
              <w:t>600万元</w:t>
            </w:r>
          </w:p>
        </w:tc>
        <w:tc>
          <w:tcPr>
            <w:tcW w:w="2268" w:type="dxa"/>
            <w:noWrap w:val="0"/>
            <w:vAlign w:val="center"/>
          </w:tcPr>
          <w:p>
            <w:pPr>
              <w:adjustRightInd w:val="0"/>
              <w:spacing w:line="360" w:lineRule="auto"/>
              <w:jc w:val="center"/>
              <w:rPr>
                <w:rFonts w:hint="eastAsia"/>
                <w:sz w:val="24"/>
                <w:szCs w:val="24"/>
              </w:rPr>
            </w:pPr>
            <w:r>
              <w:rPr>
                <w:rFonts w:hint="eastAsia"/>
                <w:sz w:val="24"/>
                <w:szCs w:val="24"/>
              </w:rPr>
              <w:t>浙警云端移动**通讯服务，提供访问浙江省公安厅“浙警云端”移动**平台的公安专用VPN通道传输及相应的配套服务，采购数量740台，服务周期24个月</w:t>
            </w:r>
          </w:p>
        </w:tc>
        <w:tc>
          <w:tcPr>
            <w:tcW w:w="1273" w:type="dxa"/>
            <w:noWrap w:val="0"/>
            <w:vAlign w:val="center"/>
          </w:tcPr>
          <w:p>
            <w:pPr>
              <w:adjustRightInd w:val="0"/>
              <w:spacing w:line="360" w:lineRule="auto"/>
              <w:jc w:val="center"/>
              <w:rPr>
                <w:rFonts w:hint="eastAsia"/>
                <w:sz w:val="24"/>
                <w:szCs w:val="24"/>
              </w:rPr>
            </w:pPr>
            <w:r>
              <w:rPr>
                <w:rFonts w:hint="eastAsia"/>
                <w:sz w:val="24"/>
                <w:szCs w:val="24"/>
              </w:rPr>
              <w:t>600万元</w:t>
            </w:r>
          </w:p>
        </w:tc>
        <w:tc>
          <w:tcPr>
            <w:tcW w:w="714" w:type="dxa"/>
            <w:noWrap w:val="0"/>
            <w:vAlign w:val="center"/>
          </w:tcPr>
          <w:p>
            <w:pPr>
              <w:adjustRightInd w:val="0"/>
              <w:spacing w:line="360" w:lineRule="auto"/>
              <w:jc w:val="center"/>
              <w:rPr>
                <w:rFonts w:hint="eastAsia"/>
                <w:sz w:val="24"/>
                <w:szCs w:val="24"/>
              </w:rPr>
            </w:pPr>
          </w:p>
        </w:tc>
      </w:tr>
    </w:tbl>
    <w:p>
      <w:pPr>
        <w:adjustRightInd w:val="0"/>
        <w:spacing w:line="360" w:lineRule="auto"/>
        <w:ind w:firstLine="480" w:firstLineChars="200"/>
        <w:rPr>
          <w:rFonts w:hint="eastAsia"/>
          <w:color w:val="000000"/>
          <w:sz w:val="24"/>
        </w:rPr>
      </w:pPr>
      <w:r>
        <w:rPr>
          <w:rFonts w:hint="eastAsia"/>
          <w:color w:val="000000"/>
          <w:sz w:val="24"/>
        </w:rPr>
        <w:t>四． 投标供应商资格要求:</w:t>
      </w:r>
    </w:p>
    <w:p>
      <w:pPr>
        <w:numPr>
          <w:ilvl w:val="0"/>
          <w:numId w:val="7"/>
        </w:numPr>
        <w:adjustRightInd w:val="0"/>
        <w:spacing w:line="360" w:lineRule="auto"/>
        <w:ind w:firstLine="480" w:firstLineChars="200"/>
        <w:rPr>
          <w:rFonts w:hint="eastAsia"/>
          <w:color w:val="000000"/>
          <w:sz w:val="24"/>
        </w:rPr>
      </w:pPr>
      <w:r>
        <w:rPr>
          <w:rFonts w:hint="eastAsia"/>
          <w:color w:val="000000"/>
          <w:sz w:val="24"/>
        </w:rPr>
        <w:t>符合政府采购法第二十二条，且未被“信用中国”（www.creditchina.gov.cn）、中国政府采购网（www.ccgp.gov.cn）列入失信被执行人、重大税收违法案件当事人名单、政府采购严重违法失信行为记录名单。 </w:t>
      </w:r>
    </w:p>
    <w:p>
      <w:pPr>
        <w:numPr>
          <w:ilvl w:val="0"/>
          <w:numId w:val="7"/>
        </w:numPr>
        <w:adjustRightInd w:val="0"/>
        <w:spacing w:line="360" w:lineRule="auto"/>
        <w:ind w:firstLine="480" w:firstLineChars="200"/>
        <w:rPr>
          <w:color w:val="000000"/>
          <w:sz w:val="24"/>
          <w:szCs w:val="24"/>
        </w:rPr>
      </w:pPr>
      <w:r>
        <w:rPr>
          <w:rFonts w:hint="eastAsia"/>
          <w:sz w:val="24"/>
        </w:rPr>
        <w:t>落实政府采购政策需满足的资格要求：</w:t>
      </w:r>
      <w:r>
        <w:rPr>
          <w:rFonts w:hint="eastAsia"/>
          <w:color w:val="000000"/>
          <w:sz w:val="24"/>
          <w:szCs w:val="24"/>
        </w:rPr>
        <w:t>本项目预留了项目总预算金额80%以上专门面向中小微企业，预留份额通过下列措施进行：</w:t>
      </w:r>
    </w:p>
    <w:p>
      <w:pPr>
        <w:autoSpaceDE w:val="0"/>
        <w:autoSpaceDN w:val="0"/>
        <w:spacing w:line="360" w:lineRule="auto"/>
        <w:ind w:firstLine="480" w:firstLineChars="200"/>
        <w:textAlignment w:val="bottom"/>
        <w:rPr>
          <w:rFonts w:hint="eastAsia"/>
          <w:color w:val="000000"/>
          <w:sz w:val="24"/>
          <w:szCs w:val="24"/>
        </w:rPr>
      </w:pPr>
      <w:r>
        <w:rPr>
          <w:rFonts w:hint="eastAsia"/>
          <w:color w:val="000000"/>
          <w:sz w:val="24"/>
          <w:szCs w:val="24"/>
        </w:rPr>
        <w:t>① 供应商可以以联合体形式参加采购活动，联合体中中小企业预留份额需约定项目总金额80%以上，采用联合体的需提供联合体协议书；</w:t>
      </w:r>
    </w:p>
    <w:p>
      <w:pPr>
        <w:autoSpaceDE w:val="0"/>
        <w:autoSpaceDN w:val="0"/>
        <w:spacing w:line="360" w:lineRule="auto"/>
        <w:ind w:firstLine="480" w:firstLineChars="200"/>
        <w:textAlignment w:val="bottom"/>
        <w:rPr>
          <w:rFonts w:hint="eastAsia" w:ascii="Times New Roman" w:hAnsi="Times New Roman"/>
          <w:sz w:val="21"/>
        </w:rPr>
      </w:pPr>
      <w:r>
        <w:rPr>
          <w:rFonts w:hint="eastAsia"/>
          <w:color w:val="000000"/>
          <w:sz w:val="24"/>
          <w:szCs w:val="24"/>
        </w:rPr>
        <w:t>② 获得采购合同的供应商可以将采购项目中80%以上采购份额分包给一家或者多家中小企业，采用分包的需提供分包协议书。</w:t>
      </w:r>
    </w:p>
    <w:p>
      <w:pPr>
        <w:numPr>
          <w:ilvl w:val="0"/>
          <w:numId w:val="7"/>
        </w:numPr>
        <w:adjustRightInd w:val="0"/>
        <w:spacing w:line="360" w:lineRule="auto"/>
        <w:ind w:firstLine="480" w:firstLineChars="200"/>
        <w:rPr>
          <w:rFonts w:hint="eastAsia"/>
          <w:sz w:val="24"/>
        </w:rPr>
      </w:pPr>
      <w:r>
        <w:rPr>
          <w:rFonts w:hint="eastAsia"/>
          <w:sz w:val="24"/>
        </w:rPr>
        <w:t>本次招标</w:t>
      </w:r>
      <w:r>
        <w:rPr>
          <w:rFonts w:hint="eastAsia"/>
          <w:sz w:val="24"/>
          <w:u w:val="single"/>
        </w:rPr>
        <w:t xml:space="preserve"> </w:t>
      </w:r>
      <w:r>
        <w:rPr>
          <w:rFonts w:hint="eastAsia"/>
          <w:color w:val="000000"/>
          <w:sz w:val="24"/>
          <w:u w:val="single"/>
        </w:rPr>
        <w:t>接受</w:t>
      </w:r>
      <w:r>
        <w:rPr>
          <w:rFonts w:hint="eastAsia"/>
          <w:sz w:val="24"/>
          <w:u w:val="single"/>
        </w:rPr>
        <w:t xml:space="preserve"> </w:t>
      </w:r>
      <w:r>
        <w:rPr>
          <w:rFonts w:hint="eastAsia"/>
          <w:sz w:val="24"/>
        </w:rPr>
        <w:t>联合体投标</w:t>
      </w:r>
    </w:p>
    <w:p>
      <w:pPr>
        <w:numPr>
          <w:ilvl w:val="0"/>
          <w:numId w:val="7"/>
        </w:numPr>
        <w:adjustRightInd w:val="0"/>
        <w:spacing w:line="360" w:lineRule="auto"/>
        <w:ind w:firstLine="480" w:firstLineChars="200"/>
        <w:rPr>
          <w:rFonts w:hint="eastAsia"/>
          <w:color w:val="000000"/>
          <w:sz w:val="24"/>
        </w:rPr>
      </w:pPr>
      <w:r>
        <w:rPr>
          <w:rFonts w:hint="eastAsia"/>
          <w:color w:val="000000"/>
          <w:sz w:val="24"/>
        </w:rPr>
        <w:t>本次招标采用资格后审的审查方式，由采购人负责审查。</w:t>
      </w:r>
    </w:p>
    <w:p>
      <w:pPr>
        <w:spacing w:line="336" w:lineRule="auto"/>
        <w:ind w:firstLine="480" w:firstLineChars="200"/>
        <w:contextualSpacing/>
        <w:rPr>
          <w:rFonts w:hint="eastAsia"/>
          <w:color w:val="000000"/>
          <w:sz w:val="24"/>
        </w:rPr>
      </w:pPr>
      <w:r>
        <w:rPr>
          <w:rFonts w:hint="eastAsia"/>
          <w:color w:val="000000"/>
          <w:sz w:val="24"/>
        </w:rPr>
        <w:t>五．投标获取采购文件</w:t>
      </w:r>
    </w:p>
    <w:p>
      <w:pPr>
        <w:numPr>
          <w:ilvl w:val="0"/>
          <w:numId w:val="8"/>
        </w:numPr>
        <w:spacing w:line="336" w:lineRule="auto"/>
        <w:ind w:firstLine="480" w:firstLineChars="200"/>
        <w:contextualSpacing/>
        <w:rPr>
          <w:rFonts w:hint="eastAsia"/>
          <w:color w:val="000000"/>
          <w:sz w:val="24"/>
        </w:rPr>
      </w:pPr>
      <w:bookmarkStart w:id="16" w:name="报名开始时间1"/>
      <w:r>
        <w:rPr>
          <w:rFonts w:hint="eastAsia"/>
          <w:color w:val="000000"/>
          <w:sz w:val="24"/>
        </w:rPr>
        <w:t>获取采购文件时间:</w:t>
      </w:r>
      <w:bookmarkEnd w:id="16"/>
      <w:r>
        <w:rPr>
          <w:rFonts w:hint="eastAsia"/>
          <w:color w:val="000000"/>
          <w:sz w:val="24"/>
          <w:u w:val="single"/>
        </w:rPr>
        <w:t>2023年</w:t>
      </w:r>
      <w:r>
        <w:rPr>
          <w:rFonts w:hint="eastAsia"/>
          <w:color w:val="000000"/>
          <w:sz w:val="24"/>
          <w:u w:val="single"/>
          <w:lang w:val="en-US" w:eastAsia="zh-CN"/>
        </w:rPr>
        <w:t>3</w:t>
      </w:r>
      <w:r>
        <w:rPr>
          <w:rFonts w:hint="eastAsia"/>
          <w:color w:val="000000"/>
          <w:sz w:val="24"/>
          <w:u w:val="single"/>
        </w:rPr>
        <w:t>月</w:t>
      </w:r>
      <w:r>
        <w:rPr>
          <w:rFonts w:hint="eastAsia"/>
          <w:color w:val="000000"/>
          <w:sz w:val="24"/>
          <w:u w:val="single"/>
          <w:lang w:val="en-US" w:eastAsia="zh-CN"/>
        </w:rPr>
        <w:t>24</w:t>
      </w:r>
      <w:r>
        <w:rPr>
          <w:rFonts w:hint="eastAsia"/>
          <w:color w:val="000000"/>
          <w:sz w:val="24"/>
          <w:u w:val="single"/>
        </w:rPr>
        <w:t>日</w:t>
      </w:r>
      <w:r>
        <w:rPr>
          <w:rFonts w:hint="eastAsia"/>
          <w:color w:val="000000"/>
          <w:sz w:val="24"/>
        </w:rPr>
        <w:t>上午9:30之前获取。</w:t>
      </w:r>
    </w:p>
    <w:p>
      <w:pPr>
        <w:numPr>
          <w:ilvl w:val="0"/>
          <w:numId w:val="8"/>
        </w:numPr>
        <w:spacing w:line="336" w:lineRule="auto"/>
        <w:ind w:firstLine="480" w:firstLineChars="200"/>
        <w:contextualSpacing/>
        <w:rPr>
          <w:rFonts w:hint="eastAsia"/>
          <w:color w:val="000000"/>
          <w:sz w:val="24"/>
        </w:rPr>
      </w:pPr>
      <w:r>
        <w:rPr>
          <w:rFonts w:hint="eastAsia"/>
          <w:color w:val="000000"/>
          <w:sz w:val="24"/>
        </w:rPr>
        <w:t>获取采购文件方式：供应商登陆政采云平台http://www.zcygov.cn/，在线申请获取采购文件（进入“项目采购”应用，在获取采购文件菜单中选择项目，申请获取采购文件）。</w:t>
      </w:r>
    </w:p>
    <w:p>
      <w:pPr>
        <w:numPr>
          <w:ilvl w:val="0"/>
          <w:numId w:val="8"/>
        </w:numPr>
        <w:spacing w:line="336" w:lineRule="auto"/>
        <w:ind w:firstLine="480" w:firstLineChars="200"/>
        <w:contextualSpacing/>
        <w:rPr>
          <w:rFonts w:hint="eastAsia"/>
          <w:color w:val="000000"/>
          <w:sz w:val="24"/>
        </w:rPr>
      </w:pPr>
      <w:r>
        <w:rPr>
          <w:rFonts w:hint="eastAsia"/>
          <w:color w:val="000000"/>
          <w:sz w:val="24"/>
        </w:rPr>
        <w:t>提示：</w:t>
      </w:r>
    </w:p>
    <w:p>
      <w:pPr>
        <w:numPr>
          <w:ilvl w:val="0"/>
          <w:numId w:val="9"/>
        </w:numPr>
        <w:spacing w:line="336" w:lineRule="auto"/>
        <w:ind w:firstLine="480" w:firstLineChars="200"/>
        <w:contextualSpacing/>
        <w:rPr>
          <w:rFonts w:hint="eastAsia"/>
          <w:color w:val="000000"/>
          <w:sz w:val="24"/>
        </w:rPr>
      </w:pPr>
      <w:r>
        <w:rPr>
          <w:rFonts w:hint="eastAsia"/>
          <w:color w:val="000000"/>
          <w:sz w:val="24"/>
        </w:rPr>
        <w:t>将拒绝接受未获取采购文件供应商的投标文件。</w:t>
      </w:r>
    </w:p>
    <w:p>
      <w:pPr>
        <w:numPr>
          <w:ilvl w:val="0"/>
          <w:numId w:val="9"/>
        </w:numPr>
        <w:spacing w:line="336" w:lineRule="auto"/>
        <w:ind w:firstLine="480" w:firstLineChars="200"/>
        <w:contextualSpacing/>
        <w:rPr>
          <w:rFonts w:hint="eastAsia"/>
          <w:color w:val="000000"/>
          <w:sz w:val="24"/>
        </w:rPr>
      </w:pPr>
      <w:r>
        <w:rPr>
          <w:rFonts w:hint="eastAsia"/>
          <w:color w:val="000000"/>
          <w:sz w:val="24"/>
        </w:rPr>
        <w:t>招标文件及更正补充公告请自行登录浙江政府采购网或绍兴市上虞区公共资源交易中心网站，在采购公告页面中下载。</w:t>
      </w:r>
    </w:p>
    <w:p>
      <w:pPr>
        <w:spacing w:line="336" w:lineRule="auto"/>
        <w:ind w:firstLine="480" w:firstLineChars="200"/>
        <w:contextualSpacing/>
        <w:rPr>
          <w:rFonts w:hint="eastAsia"/>
          <w:color w:val="000000"/>
          <w:sz w:val="24"/>
        </w:rPr>
      </w:pPr>
      <w:r>
        <w:rPr>
          <w:rFonts w:hint="eastAsia"/>
          <w:color w:val="000000"/>
          <w:sz w:val="24"/>
        </w:rPr>
        <w:t>六、</w:t>
      </w:r>
      <w:r>
        <w:rPr>
          <w:rFonts w:hint="eastAsia"/>
          <w:b/>
          <w:color w:val="000000"/>
          <w:sz w:val="24"/>
        </w:rPr>
        <w:t>投标与开标注意事项</w:t>
      </w:r>
      <w:r>
        <w:rPr>
          <w:rFonts w:hint="eastAsia"/>
          <w:color w:val="000000"/>
          <w:sz w:val="24"/>
        </w:rPr>
        <w:t>：</w:t>
      </w:r>
    </w:p>
    <w:p>
      <w:pPr>
        <w:numPr>
          <w:ilvl w:val="0"/>
          <w:numId w:val="10"/>
        </w:numPr>
        <w:spacing w:line="336" w:lineRule="auto"/>
        <w:ind w:firstLine="480" w:firstLineChars="200"/>
        <w:contextualSpacing/>
        <w:rPr>
          <w:rFonts w:hint="eastAsia"/>
          <w:color w:val="000000"/>
          <w:sz w:val="24"/>
        </w:rPr>
      </w:pPr>
      <w:r>
        <w:rPr>
          <w:rFonts w:hint="eastAsia"/>
          <w:color w:val="000000"/>
          <w:sz w:val="24"/>
        </w:rPr>
        <w:t>本项目实行</w:t>
      </w:r>
      <w:r>
        <w:rPr>
          <w:rFonts w:hint="eastAsia"/>
          <w:b/>
          <w:color w:val="000000"/>
          <w:sz w:val="24"/>
        </w:rPr>
        <w:t>网上投标</w:t>
      </w:r>
      <w:r>
        <w:rPr>
          <w:rFonts w:hint="eastAsia"/>
          <w:color w:val="000000"/>
          <w:sz w:val="24"/>
        </w:rPr>
        <w:t>，采用电子投标文件，若供应商参与投标，自行承担投标一切费用。</w:t>
      </w:r>
    </w:p>
    <w:p>
      <w:pPr>
        <w:numPr>
          <w:ilvl w:val="0"/>
          <w:numId w:val="10"/>
        </w:numPr>
        <w:spacing w:line="336" w:lineRule="auto"/>
        <w:ind w:firstLine="480" w:firstLineChars="200"/>
        <w:contextualSpacing/>
        <w:rPr>
          <w:rFonts w:hint="eastAsia"/>
          <w:color w:val="000000"/>
          <w:sz w:val="24"/>
        </w:rPr>
      </w:pPr>
      <w:r>
        <w:rPr>
          <w:rFonts w:hint="eastAsia"/>
          <w:color w:val="000000"/>
          <w:sz w:val="24"/>
        </w:rPr>
        <w:t>标前准备：各供应商应在开标前应确保成为浙江省政府采购网正式注册入库供应商，并完成CA数字证书办理。因未注册入库、未办理CA数字证书等原因造成无法投标或投标失败等后果由供应商自行承担。</w:t>
      </w:r>
    </w:p>
    <w:p>
      <w:pPr>
        <w:autoSpaceDE w:val="0"/>
        <w:autoSpaceDN w:val="0"/>
        <w:spacing w:line="336" w:lineRule="auto"/>
        <w:ind w:firstLine="480" w:firstLineChars="200"/>
        <w:contextualSpacing/>
        <w:textAlignment w:val="bottom"/>
        <w:rPr>
          <w:rFonts w:hint="eastAsia"/>
          <w:color w:val="000000"/>
          <w:sz w:val="24"/>
        </w:rPr>
      </w:pPr>
      <w:r>
        <w:rPr>
          <w:rFonts w:hint="eastAsia"/>
          <w:color w:val="000000"/>
          <w:sz w:val="24"/>
        </w:rPr>
        <w:t>供应商将政采云电子交易客户端下载、安装完成后，可通过账号密码或CA登录客户端进行投标文件制作。在使用政采云投标客户端时，建议使用WIN7及以上操作系统。</w:t>
      </w:r>
    </w:p>
    <w:p>
      <w:pPr>
        <w:autoSpaceDE w:val="0"/>
        <w:autoSpaceDN w:val="0"/>
        <w:spacing w:line="336" w:lineRule="auto"/>
        <w:ind w:firstLine="480" w:firstLineChars="200"/>
        <w:contextualSpacing/>
        <w:textAlignment w:val="bottom"/>
        <w:rPr>
          <w:rFonts w:hint="eastAsia"/>
          <w:color w:val="000000"/>
          <w:sz w:val="24"/>
        </w:rPr>
      </w:pPr>
      <w:r>
        <w:rPr>
          <w:rFonts w:hint="eastAsia"/>
          <w:color w:val="000000"/>
          <w:sz w:val="24"/>
        </w:rPr>
        <w:t>注：供应商先要申领CA，取得CA后需要在政采云平台进行绑定，CA相关操作可参考《CA管理学习专题》。完成CA数字证书办理在资料齐全的情况下预计7个工作日左右，建议供应商获取招标文件后立即办理。</w:t>
      </w:r>
    </w:p>
    <w:p>
      <w:pPr>
        <w:spacing w:line="336" w:lineRule="auto"/>
        <w:ind w:left="400" w:leftChars="200"/>
        <w:contextualSpacing/>
        <w:rPr>
          <w:rFonts w:hint="eastAsia"/>
          <w:color w:val="000000"/>
          <w:sz w:val="24"/>
        </w:rPr>
      </w:pPr>
      <w:r>
        <w:rPr>
          <w:rFonts w:hint="eastAsia"/>
          <w:color w:val="000000"/>
          <w:sz w:val="24"/>
        </w:rPr>
        <w:t>《CA管理学习专题》：</w:t>
      </w:r>
    </w:p>
    <w:p>
      <w:pPr>
        <w:spacing w:line="336" w:lineRule="auto"/>
        <w:ind w:left="400" w:leftChars="200"/>
        <w:contextualSpacing/>
        <w:rPr>
          <w:rFonts w:hint="eastAsia"/>
          <w:color w:val="000000"/>
          <w:sz w:val="24"/>
        </w:rPr>
      </w:pPr>
      <w:r>
        <w:rPr>
          <w:rFonts w:hint="eastAsia"/>
          <w:color w:val="000000"/>
          <w:sz w:val="24"/>
        </w:rPr>
        <w:t>https://edu.zcygov.cn/luban/ca?utm=web-government-front.380aac0a.0.0.fc2b6aa0b6e211ebbdb0dd007730dd44</w:t>
      </w:r>
    </w:p>
    <w:p>
      <w:pPr>
        <w:spacing w:line="336" w:lineRule="auto"/>
        <w:ind w:left="400" w:leftChars="200"/>
        <w:contextualSpacing/>
        <w:rPr>
          <w:rFonts w:hint="eastAsia"/>
          <w:color w:val="000000"/>
          <w:sz w:val="24"/>
        </w:rPr>
      </w:pPr>
      <w:r>
        <w:rPr>
          <w:rFonts w:hint="eastAsia"/>
          <w:color w:val="000000"/>
          <w:sz w:val="24"/>
        </w:rPr>
        <w:t>《CA驱动和申领流程》:</w:t>
      </w:r>
    </w:p>
    <w:p>
      <w:pPr>
        <w:spacing w:line="336" w:lineRule="auto"/>
        <w:ind w:left="400" w:leftChars="200"/>
        <w:contextualSpacing/>
        <w:rPr>
          <w:rFonts w:hint="eastAsia"/>
          <w:color w:val="000000"/>
          <w:sz w:val="24"/>
        </w:rPr>
      </w:pPr>
      <w:r>
        <w:rPr>
          <w:rFonts w:hint="eastAsia"/>
          <w:color w:val="000000"/>
          <w:sz w:val="24"/>
        </w:rPr>
        <w:fldChar w:fldCharType="begin"/>
      </w:r>
      <w:r>
        <w:rPr>
          <w:rFonts w:hint="eastAsia"/>
          <w:color w:val="000000"/>
          <w:sz w:val="24"/>
        </w:rPr>
        <w:instrText xml:space="preserve"> HYPERLINK "http://zfcg.czt.zj.gov.cn/bidClientTemplate/2019-05-27/12945.html" </w:instrText>
      </w:r>
      <w:r>
        <w:rPr>
          <w:rFonts w:hint="eastAsia"/>
          <w:color w:val="000000"/>
          <w:sz w:val="24"/>
        </w:rPr>
        <w:fldChar w:fldCharType="separate"/>
      </w:r>
      <w:r>
        <w:rPr>
          <w:rFonts w:hint="eastAsia"/>
          <w:color w:val="000000"/>
          <w:sz w:val="24"/>
        </w:rPr>
        <w:t>http://zfcg.czt.zj.gov.cn/bidClientTemplate/2019-05-27/12945.html</w:t>
      </w:r>
      <w:r>
        <w:rPr>
          <w:rFonts w:hint="eastAsia"/>
          <w:color w:val="000000"/>
          <w:sz w:val="24"/>
        </w:rPr>
        <w:fldChar w:fldCharType="end"/>
      </w:r>
    </w:p>
    <w:p>
      <w:pPr>
        <w:numPr>
          <w:ilvl w:val="0"/>
          <w:numId w:val="10"/>
        </w:numPr>
        <w:spacing w:line="336" w:lineRule="auto"/>
        <w:ind w:firstLine="480" w:firstLineChars="200"/>
        <w:contextualSpacing/>
        <w:rPr>
          <w:rFonts w:hint="eastAsia"/>
          <w:color w:val="000000"/>
          <w:sz w:val="24"/>
        </w:rPr>
      </w:pPr>
      <w:r>
        <w:rPr>
          <w:rFonts w:hint="eastAsia"/>
          <w:color w:val="000000"/>
          <w:sz w:val="24"/>
        </w:rPr>
        <w:t>投标文件制作：</w:t>
      </w:r>
    </w:p>
    <w:p>
      <w:pPr>
        <w:numPr>
          <w:ilvl w:val="0"/>
          <w:numId w:val="11"/>
        </w:numPr>
        <w:spacing w:line="336" w:lineRule="auto"/>
        <w:ind w:firstLine="480" w:firstLineChars="200"/>
        <w:contextualSpacing/>
        <w:rPr>
          <w:rFonts w:hint="eastAsia"/>
          <w:color w:val="000000"/>
          <w:sz w:val="24"/>
        </w:rPr>
      </w:pPr>
      <w:r>
        <w:rPr>
          <w:rFonts w:hint="eastAsia"/>
          <w:color w:val="000000"/>
          <w:sz w:val="24"/>
        </w:rPr>
        <w:t>应按照本项目招标文件和政采云平台的要求编制、加密并递交投标文件。供应商在使用系统进行投标的过程中遇到涉及平台使用的任何问题，可致电政采云平台技术支持热线咨询，联系方式：400-881-7190。</w:t>
      </w:r>
    </w:p>
    <w:p>
      <w:pPr>
        <w:numPr>
          <w:ilvl w:val="0"/>
          <w:numId w:val="11"/>
        </w:numPr>
        <w:spacing w:line="336" w:lineRule="auto"/>
        <w:ind w:firstLine="480" w:firstLineChars="200"/>
        <w:contextualSpacing/>
        <w:rPr>
          <w:rFonts w:hint="eastAsia"/>
          <w:color w:val="000000"/>
          <w:sz w:val="24"/>
        </w:rPr>
      </w:pPr>
      <w:r>
        <w:rPr>
          <w:rFonts w:hint="eastAsia"/>
          <w:color w:val="000000"/>
          <w:sz w:val="24"/>
        </w:rPr>
        <w:t>投标人通过“政采云”平台电子投标工具制作投标文件。</w:t>
      </w:r>
    </w:p>
    <w:p>
      <w:pPr>
        <w:spacing w:line="336" w:lineRule="auto"/>
        <w:ind w:firstLine="480" w:firstLineChars="200"/>
        <w:contextualSpacing/>
        <w:jc w:val="left"/>
        <w:rPr>
          <w:rFonts w:hint="eastAsia"/>
          <w:color w:val="000000"/>
          <w:sz w:val="24"/>
        </w:rPr>
      </w:pPr>
      <w:r>
        <w:rPr>
          <w:rFonts w:hint="eastAsia"/>
          <w:color w:val="000000"/>
          <w:sz w:val="24"/>
        </w:rPr>
        <w:t>《电子投标工具》：</w:t>
      </w:r>
    </w:p>
    <w:p>
      <w:pPr>
        <w:spacing w:line="336" w:lineRule="auto"/>
        <w:ind w:firstLine="480" w:firstLineChars="200"/>
        <w:contextualSpacing/>
        <w:jc w:val="left"/>
        <w:rPr>
          <w:rFonts w:hint="eastAsia"/>
          <w:color w:val="000000"/>
          <w:sz w:val="24"/>
        </w:rPr>
      </w:pPr>
      <w:r>
        <w:rPr>
          <w:rFonts w:hint="eastAsia"/>
          <w:color w:val="000000"/>
          <w:sz w:val="24"/>
        </w:rPr>
        <w:fldChar w:fldCharType="begin"/>
      </w:r>
      <w:r>
        <w:rPr>
          <w:rFonts w:hint="eastAsia"/>
          <w:color w:val="000000"/>
          <w:sz w:val="24"/>
        </w:rPr>
        <w:instrText xml:space="preserve"> HYPERLINK "http://zfcg.czt.zj.gov.cn/bidClientTemplate/2019-09-24/12975.html" </w:instrText>
      </w:r>
      <w:r>
        <w:rPr>
          <w:rFonts w:hint="eastAsia"/>
          <w:color w:val="000000"/>
          <w:sz w:val="24"/>
        </w:rPr>
        <w:fldChar w:fldCharType="separate"/>
      </w:r>
      <w:r>
        <w:rPr>
          <w:rFonts w:hint="eastAsia"/>
          <w:color w:val="000000"/>
          <w:sz w:val="24"/>
        </w:rPr>
        <w:t>http://zfcg.czt.zj.gov.cn/bidClientTemplate/2019-09-24/12975.html</w:t>
      </w:r>
      <w:r>
        <w:rPr>
          <w:rFonts w:hint="eastAsia"/>
          <w:color w:val="000000"/>
          <w:sz w:val="24"/>
        </w:rPr>
        <w:fldChar w:fldCharType="end"/>
      </w:r>
    </w:p>
    <w:p>
      <w:pPr>
        <w:spacing w:line="336" w:lineRule="auto"/>
        <w:ind w:firstLine="480" w:firstLineChars="200"/>
        <w:contextualSpacing/>
        <w:jc w:val="left"/>
        <w:rPr>
          <w:color w:val="000000"/>
          <w:sz w:val="24"/>
        </w:rPr>
      </w:pPr>
      <w:r>
        <w:rPr>
          <w:rFonts w:hint="eastAsia"/>
          <w:color w:val="000000"/>
          <w:sz w:val="24"/>
        </w:rPr>
        <w:t>《供应商-政府采购项目电子交易操作指南》：(需登录账号后查看)</w:t>
      </w:r>
    </w:p>
    <w:p>
      <w:pPr>
        <w:spacing w:line="336" w:lineRule="auto"/>
        <w:ind w:firstLine="480" w:firstLineChars="200"/>
        <w:contextualSpacing/>
        <w:jc w:val="left"/>
        <w:rPr>
          <w:rFonts w:hint="eastAsia"/>
          <w:color w:val="000000"/>
          <w:sz w:val="24"/>
        </w:rPr>
      </w:pPr>
      <w:r>
        <w:rPr>
          <w:rFonts w:hint="eastAsia"/>
          <w:color w:val="000000"/>
          <w:sz w:val="24"/>
        </w:rPr>
        <w:fldChar w:fldCharType="begin"/>
      </w:r>
      <w:r>
        <w:rPr>
          <w:rFonts w:hint="eastAsia"/>
          <w:color w:val="000000"/>
          <w:sz w:val="24"/>
        </w:rPr>
        <w:instrText xml:space="preserve"> HYPERLINK "https://service.zcygov.cn/#/knowledges/tree?tag=AG1DtGwBFdiHxlNdhY0r" </w:instrText>
      </w:r>
      <w:r>
        <w:rPr>
          <w:rFonts w:hint="eastAsia"/>
          <w:color w:val="000000"/>
          <w:sz w:val="24"/>
        </w:rPr>
        <w:fldChar w:fldCharType="separate"/>
      </w:r>
      <w:r>
        <w:rPr>
          <w:rFonts w:hint="eastAsia"/>
          <w:color w:val="000000"/>
          <w:sz w:val="24"/>
        </w:rPr>
        <w:t>https://service.zcygov.cn/#/knowledges/tree?tag=AG1DtGwBFdiHxlNdhY0r</w:t>
      </w:r>
      <w:r>
        <w:rPr>
          <w:rFonts w:hint="eastAsia"/>
          <w:color w:val="000000"/>
          <w:sz w:val="24"/>
        </w:rPr>
        <w:fldChar w:fldCharType="end"/>
      </w:r>
    </w:p>
    <w:p>
      <w:pPr>
        <w:numPr>
          <w:ilvl w:val="0"/>
          <w:numId w:val="10"/>
        </w:numPr>
        <w:spacing w:line="336" w:lineRule="auto"/>
        <w:ind w:firstLine="480" w:firstLineChars="200"/>
        <w:contextualSpacing/>
        <w:rPr>
          <w:rFonts w:hint="eastAsia"/>
          <w:color w:val="000000"/>
          <w:sz w:val="24"/>
        </w:rPr>
      </w:pPr>
      <w:r>
        <w:rPr>
          <w:rFonts w:hint="eastAsia"/>
          <w:color w:val="000000"/>
          <w:sz w:val="24"/>
        </w:rPr>
        <w:t>供应商在法定质疑期内应一次性提出针对同一采购程序环节的质疑。否则质疑将不予受理。</w:t>
      </w:r>
      <w:bookmarkStart w:id="17" w:name="B31_其他事项"/>
    </w:p>
    <w:bookmarkEnd w:id="17"/>
    <w:p>
      <w:pPr>
        <w:numPr>
          <w:ilvl w:val="0"/>
          <w:numId w:val="10"/>
        </w:numPr>
        <w:spacing w:line="336" w:lineRule="auto"/>
        <w:ind w:firstLine="480" w:firstLineChars="200"/>
        <w:contextualSpacing/>
        <w:rPr>
          <w:rFonts w:hint="eastAsia"/>
          <w:color w:val="000000"/>
          <w:sz w:val="24"/>
        </w:rPr>
      </w:pPr>
      <w:r>
        <w:rPr>
          <w:rFonts w:hint="eastAsia"/>
          <w:color w:val="000000"/>
          <w:sz w:val="24"/>
        </w:rPr>
        <w:t>投标人可指派授权代表递交备份文件，授权代表递交备份文件需携带法定代表人授权书原件，于投标截止时间前到达开标地点递交。</w:t>
      </w:r>
    </w:p>
    <w:p>
      <w:pPr>
        <w:numPr>
          <w:ilvl w:val="0"/>
          <w:numId w:val="10"/>
        </w:numPr>
        <w:spacing w:line="336" w:lineRule="auto"/>
        <w:ind w:firstLine="480" w:firstLineChars="200"/>
        <w:contextualSpacing/>
        <w:rPr>
          <w:rFonts w:hint="eastAsia"/>
          <w:color w:val="000000"/>
          <w:sz w:val="24"/>
        </w:rPr>
      </w:pPr>
      <w:r>
        <w:rPr>
          <w:rFonts w:hint="eastAsia"/>
          <w:color w:val="000000"/>
          <w:sz w:val="24"/>
        </w:rPr>
        <w:t>特别提醒</w:t>
      </w:r>
    </w:p>
    <w:p>
      <w:pPr>
        <w:numPr>
          <w:ilvl w:val="0"/>
          <w:numId w:val="12"/>
        </w:numPr>
        <w:spacing w:line="336" w:lineRule="auto"/>
        <w:ind w:firstLine="480" w:firstLineChars="200"/>
        <w:contextualSpacing/>
        <w:rPr>
          <w:rFonts w:hint="eastAsia"/>
          <w:sz w:val="24"/>
        </w:rPr>
      </w:pPr>
      <w:r>
        <w:rPr>
          <w:rFonts w:hint="eastAsia"/>
          <w:sz w:val="24"/>
        </w:rPr>
        <w:t>单位负责人为同一人或者存在直接控股、管理关系的不同供应商，不得参加同一合同项下的政府采购活动。</w:t>
      </w:r>
    </w:p>
    <w:p>
      <w:pPr>
        <w:numPr>
          <w:ilvl w:val="0"/>
          <w:numId w:val="12"/>
        </w:numPr>
        <w:spacing w:line="336" w:lineRule="auto"/>
        <w:ind w:firstLine="480" w:firstLineChars="200"/>
        <w:contextualSpacing/>
        <w:rPr>
          <w:rFonts w:hint="eastAsia"/>
          <w:sz w:val="24"/>
        </w:rPr>
      </w:pPr>
      <w:r>
        <w:rPr>
          <w:rFonts w:hint="eastAsia"/>
          <w:sz w:val="24"/>
        </w:rPr>
        <w:t>除单一来源采购项目外，为采购项目提供整体设计、规范编制或者项目管理、监理、检测等服务的供应商，不得再参加该采购项目的其他采购活动。</w:t>
      </w:r>
    </w:p>
    <w:p>
      <w:pPr>
        <w:spacing w:line="336" w:lineRule="auto"/>
        <w:ind w:firstLine="482" w:firstLineChars="200"/>
        <w:contextualSpacing/>
        <w:jc w:val="left"/>
        <w:rPr>
          <w:sz w:val="24"/>
        </w:rPr>
      </w:pPr>
      <w:r>
        <w:rPr>
          <w:rFonts w:hint="eastAsia"/>
          <w:b/>
          <w:sz w:val="24"/>
        </w:rPr>
        <w:t>七、投标截止时间及要求：</w:t>
      </w:r>
      <w:r>
        <w:rPr>
          <w:rFonts w:hint="eastAsia"/>
          <w:sz w:val="24"/>
          <w:u w:val="single"/>
        </w:rPr>
        <w:t xml:space="preserve">2023 </w:t>
      </w:r>
      <w:r>
        <w:rPr>
          <w:rFonts w:hint="eastAsia"/>
          <w:sz w:val="24"/>
        </w:rPr>
        <w:t>年</w:t>
      </w:r>
      <w:r>
        <w:rPr>
          <w:rFonts w:hint="eastAsia"/>
          <w:sz w:val="24"/>
          <w:u w:val="single"/>
        </w:rPr>
        <w:t xml:space="preserve"> </w:t>
      </w:r>
      <w:r>
        <w:rPr>
          <w:rFonts w:hint="eastAsia"/>
          <w:sz w:val="24"/>
          <w:u w:val="single"/>
          <w:lang w:val="en-US" w:eastAsia="zh-CN"/>
        </w:rPr>
        <w:t>3</w:t>
      </w:r>
      <w:r>
        <w:rPr>
          <w:rFonts w:hint="eastAsia"/>
          <w:sz w:val="24"/>
          <w:u w:val="single"/>
        </w:rPr>
        <w:t xml:space="preserve"> </w:t>
      </w:r>
      <w:r>
        <w:rPr>
          <w:rFonts w:hint="eastAsia"/>
          <w:sz w:val="24"/>
        </w:rPr>
        <w:t>月</w:t>
      </w:r>
      <w:r>
        <w:rPr>
          <w:rFonts w:hint="eastAsia"/>
          <w:sz w:val="24"/>
          <w:u w:val="single"/>
        </w:rPr>
        <w:t xml:space="preserve"> </w:t>
      </w:r>
      <w:r>
        <w:rPr>
          <w:rFonts w:hint="eastAsia"/>
          <w:sz w:val="24"/>
          <w:u w:val="single"/>
          <w:lang w:val="en-US" w:eastAsia="zh-CN"/>
        </w:rPr>
        <w:t>24</w:t>
      </w:r>
      <w:r>
        <w:rPr>
          <w:rFonts w:hint="eastAsia"/>
          <w:sz w:val="24"/>
          <w:u w:val="single"/>
        </w:rPr>
        <w:t xml:space="preserve"> </w:t>
      </w:r>
      <w:r>
        <w:rPr>
          <w:rFonts w:hint="eastAsia"/>
          <w:sz w:val="24"/>
        </w:rPr>
        <w:t>日上午</w:t>
      </w:r>
      <w:r>
        <w:rPr>
          <w:rFonts w:hint="eastAsia"/>
          <w:sz w:val="24"/>
          <w:u w:val="single"/>
        </w:rPr>
        <w:t xml:space="preserve"> 09 </w:t>
      </w:r>
      <w:r>
        <w:rPr>
          <w:rFonts w:hint="eastAsia"/>
          <w:sz w:val="24"/>
        </w:rPr>
        <w:t>时</w:t>
      </w:r>
      <w:r>
        <w:rPr>
          <w:rFonts w:hint="eastAsia"/>
          <w:sz w:val="24"/>
          <w:u w:val="single"/>
        </w:rPr>
        <w:t xml:space="preserve"> 30 </w:t>
      </w:r>
      <w:r>
        <w:rPr>
          <w:rFonts w:hint="eastAsia"/>
          <w:sz w:val="24"/>
        </w:rPr>
        <w:t>分整</w:t>
      </w:r>
      <w:r>
        <w:rPr>
          <w:rFonts w:hint="eastAsia"/>
          <w:bCs/>
          <w:sz w:val="24"/>
        </w:rPr>
        <w:t>之前将电子投标文件上传到“政采云”平台。</w:t>
      </w:r>
    </w:p>
    <w:p>
      <w:pPr>
        <w:spacing w:line="336" w:lineRule="auto"/>
        <w:ind w:firstLine="482" w:firstLineChars="200"/>
        <w:contextualSpacing/>
        <w:jc w:val="left"/>
        <w:rPr>
          <w:sz w:val="24"/>
        </w:rPr>
      </w:pPr>
      <w:r>
        <w:rPr>
          <w:rFonts w:hint="eastAsia"/>
          <w:b/>
          <w:sz w:val="24"/>
        </w:rPr>
        <w:t>八、开标时间及地点：</w:t>
      </w:r>
      <w:bookmarkStart w:id="18" w:name="B30_开标地点"/>
      <w:r>
        <w:rPr>
          <w:rFonts w:hint="eastAsia"/>
          <w:sz w:val="24"/>
          <w:u w:val="single"/>
        </w:rPr>
        <w:t xml:space="preserve">2023 </w:t>
      </w:r>
      <w:r>
        <w:rPr>
          <w:rFonts w:hint="eastAsia"/>
          <w:sz w:val="24"/>
        </w:rPr>
        <w:t>年</w:t>
      </w:r>
      <w:r>
        <w:rPr>
          <w:rFonts w:hint="eastAsia"/>
          <w:sz w:val="24"/>
          <w:u w:val="single"/>
        </w:rPr>
        <w:t xml:space="preserve"> </w:t>
      </w:r>
      <w:r>
        <w:rPr>
          <w:rFonts w:hint="eastAsia"/>
          <w:sz w:val="24"/>
          <w:u w:val="single"/>
          <w:lang w:val="en-US" w:eastAsia="zh-CN"/>
        </w:rPr>
        <w:t>3</w:t>
      </w:r>
      <w:r>
        <w:rPr>
          <w:rFonts w:hint="eastAsia"/>
          <w:sz w:val="24"/>
          <w:u w:val="single"/>
        </w:rPr>
        <w:t xml:space="preserve"> </w:t>
      </w:r>
      <w:r>
        <w:rPr>
          <w:rFonts w:hint="eastAsia"/>
          <w:sz w:val="24"/>
        </w:rPr>
        <w:t>月</w:t>
      </w:r>
      <w:r>
        <w:rPr>
          <w:rFonts w:hint="eastAsia"/>
          <w:sz w:val="24"/>
          <w:u w:val="single"/>
        </w:rPr>
        <w:t xml:space="preserve"> </w:t>
      </w:r>
      <w:r>
        <w:rPr>
          <w:rFonts w:hint="eastAsia"/>
          <w:sz w:val="24"/>
          <w:u w:val="single"/>
          <w:lang w:val="en-US" w:eastAsia="zh-CN"/>
        </w:rPr>
        <w:t>24</w:t>
      </w:r>
      <w:r>
        <w:rPr>
          <w:rFonts w:hint="eastAsia"/>
          <w:sz w:val="24"/>
          <w:u w:val="single"/>
        </w:rPr>
        <w:t xml:space="preserve"> </w:t>
      </w:r>
      <w:r>
        <w:rPr>
          <w:rFonts w:hint="eastAsia"/>
          <w:sz w:val="24"/>
        </w:rPr>
        <w:t>日上午</w:t>
      </w:r>
      <w:r>
        <w:rPr>
          <w:rFonts w:hint="eastAsia"/>
          <w:sz w:val="24"/>
          <w:u w:val="single"/>
        </w:rPr>
        <w:t xml:space="preserve"> 09 </w:t>
      </w:r>
      <w:r>
        <w:rPr>
          <w:rFonts w:hint="eastAsia"/>
          <w:sz w:val="24"/>
        </w:rPr>
        <w:t>时</w:t>
      </w:r>
      <w:r>
        <w:rPr>
          <w:rFonts w:hint="eastAsia"/>
          <w:sz w:val="24"/>
          <w:u w:val="single"/>
        </w:rPr>
        <w:t xml:space="preserve"> 30 </w:t>
      </w:r>
      <w:r>
        <w:rPr>
          <w:rFonts w:hint="eastAsia"/>
          <w:sz w:val="24"/>
        </w:rPr>
        <w:t>分整在绍兴市上虞区公共资源交易中心三楼</w:t>
      </w:r>
      <w:r>
        <w:rPr>
          <w:rFonts w:hint="eastAsia"/>
          <w:sz w:val="24"/>
          <w:u w:val="single"/>
        </w:rPr>
        <w:t xml:space="preserve">  </w:t>
      </w:r>
      <w:r>
        <w:rPr>
          <w:rFonts w:hint="eastAsia"/>
          <w:sz w:val="24"/>
          <w:u w:val="single"/>
          <w:lang w:val="en-US" w:eastAsia="zh-CN"/>
        </w:rPr>
        <w:t>375</w:t>
      </w:r>
      <w:r>
        <w:rPr>
          <w:rFonts w:hint="eastAsia"/>
          <w:sz w:val="24"/>
          <w:u w:val="single"/>
        </w:rPr>
        <w:t xml:space="preserve"> </w:t>
      </w:r>
      <w:r>
        <w:rPr>
          <w:rFonts w:hint="eastAsia"/>
          <w:sz w:val="24"/>
        </w:rPr>
        <w:t>开标室开标。</w:t>
      </w:r>
      <w:bookmarkEnd w:id="18"/>
    </w:p>
    <w:p>
      <w:pPr>
        <w:spacing w:line="336" w:lineRule="auto"/>
        <w:ind w:firstLine="480" w:firstLineChars="200"/>
        <w:contextualSpacing/>
        <w:rPr>
          <w:sz w:val="24"/>
        </w:rPr>
      </w:pPr>
      <w:r>
        <w:rPr>
          <w:rFonts w:hint="eastAsia"/>
          <w:sz w:val="24"/>
        </w:rPr>
        <w:t>开标时间后30分钟内（</w:t>
      </w:r>
      <w:r>
        <w:rPr>
          <w:rFonts w:hint="eastAsia"/>
          <w:sz w:val="24"/>
          <w:u w:val="single"/>
        </w:rPr>
        <w:t>2023年</w:t>
      </w:r>
      <w:r>
        <w:rPr>
          <w:rFonts w:hint="eastAsia"/>
          <w:sz w:val="24"/>
          <w:u w:val="single"/>
          <w:lang w:val="en-US" w:eastAsia="zh-CN"/>
        </w:rPr>
        <w:t>3</w:t>
      </w:r>
      <w:r>
        <w:rPr>
          <w:rFonts w:hint="eastAsia"/>
          <w:sz w:val="24"/>
          <w:u w:val="single"/>
        </w:rPr>
        <w:t>月</w:t>
      </w:r>
      <w:r>
        <w:rPr>
          <w:rFonts w:hint="eastAsia"/>
          <w:sz w:val="24"/>
          <w:u w:val="single"/>
          <w:lang w:val="en-US" w:eastAsia="zh-CN"/>
        </w:rPr>
        <w:t>24</w:t>
      </w:r>
      <w:r>
        <w:rPr>
          <w:rFonts w:hint="eastAsia"/>
          <w:sz w:val="24"/>
          <w:u w:val="single"/>
        </w:rPr>
        <w:t>日</w:t>
      </w:r>
      <w:r>
        <w:rPr>
          <w:rFonts w:hint="eastAsia"/>
          <w:sz w:val="24"/>
        </w:rPr>
        <w:t>10: 00 前）供应商可以登录“政采云”平台，用“项目采购-开标评标”功能进行解密投标文件。若供应商在规定时间内（</w:t>
      </w:r>
      <w:r>
        <w:rPr>
          <w:rFonts w:hint="eastAsia"/>
          <w:sz w:val="24"/>
          <w:u w:val="single"/>
        </w:rPr>
        <w:t>2023年</w:t>
      </w:r>
      <w:r>
        <w:rPr>
          <w:rFonts w:hint="eastAsia"/>
          <w:sz w:val="24"/>
          <w:u w:val="single"/>
          <w:lang w:val="en-US" w:eastAsia="zh-CN"/>
        </w:rPr>
        <w:t>3</w:t>
      </w:r>
      <w:r>
        <w:rPr>
          <w:rFonts w:hint="eastAsia"/>
          <w:sz w:val="24"/>
          <w:u w:val="single"/>
        </w:rPr>
        <w:t>月</w:t>
      </w:r>
      <w:r>
        <w:rPr>
          <w:rFonts w:hint="eastAsia"/>
          <w:sz w:val="24"/>
          <w:u w:val="single"/>
          <w:lang w:val="en-US" w:eastAsia="zh-CN"/>
        </w:rPr>
        <w:t>24</w:t>
      </w:r>
      <w:r>
        <w:rPr>
          <w:rFonts w:hint="eastAsia"/>
          <w:sz w:val="24"/>
          <w:u w:val="single"/>
        </w:rPr>
        <w:t>日</w:t>
      </w:r>
      <w:r>
        <w:rPr>
          <w:rFonts w:hint="eastAsia"/>
          <w:sz w:val="24"/>
        </w:rPr>
        <w:t>10: 00 前）解密失败，则由采购代理机构工作人员上传投标人提供的备份文件。备份文件（后缀名为.bfbs）须存储在U盘中，与上传的电子投标文件一致，用信封进行密封并盖章，由授权代表在投标截止时间前递交至开标地点。若电子投标文件正常解锁，则U盘退还给供应商；若解锁失败，则由采购代理机构将U盘中的备份文件上传，该U盘将由采购代理机构保存。</w:t>
      </w:r>
    </w:p>
    <w:p>
      <w:pPr>
        <w:spacing w:line="336" w:lineRule="auto"/>
        <w:ind w:firstLine="480" w:firstLineChars="200"/>
        <w:contextualSpacing/>
        <w:rPr>
          <w:bCs/>
          <w:sz w:val="24"/>
        </w:rPr>
      </w:pPr>
      <w:r>
        <w:rPr>
          <w:rFonts w:hint="eastAsia"/>
          <w:sz w:val="24"/>
        </w:rPr>
        <w:t>本次开标（不）提供现场视频。</w:t>
      </w:r>
    </w:p>
    <w:p>
      <w:pPr>
        <w:spacing w:line="336" w:lineRule="auto"/>
        <w:ind w:firstLine="480" w:firstLineChars="200"/>
        <w:contextualSpacing/>
        <w:rPr>
          <w:sz w:val="24"/>
        </w:rPr>
      </w:pPr>
      <w:r>
        <w:rPr>
          <w:rFonts w:hint="eastAsia"/>
          <w:sz w:val="24"/>
        </w:rPr>
        <w:t>九． 投标保证金：无</w:t>
      </w:r>
    </w:p>
    <w:p>
      <w:pPr>
        <w:spacing w:line="336" w:lineRule="auto"/>
        <w:ind w:firstLine="480" w:firstLineChars="200"/>
        <w:contextualSpacing/>
        <w:rPr>
          <w:sz w:val="24"/>
        </w:rPr>
      </w:pPr>
      <w:r>
        <w:rPr>
          <w:rFonts w:hint="eastAsia"/>
          <w:sz w:val="24"/>
        </w:rPr>
        <w:t>十．公告期限：5个工作日</w:t>
      </w:r>
    </w:p>
    <w:p>
      <w:pPr>
        <w:spacing w:line="336" w:lineRule="auto"/>
        <w:ind w:firstLine="480" w:firstLineChars="200"/>
        <w:contextualSpacing/>
        <w:rPr>
          <w:sz w:val="24"/>
        </w:rPr>
      </w:pPr>
      <w:r>
        <w:rPr>
          <w:rFonts w:hint="eastAsia"/>
          <w:sz w:val="24"/>
        </w:rPr>
        <w:t>十一．联系方式：</w:t>
      </w:r>
    </w:p>
    <w:p>
      <w:pPr>
        <w:spacing w:line="336" w:lineRule="auto"/>
        <w:ind w:firstLine="480" w:firstLineChars="200"/>
        <w:contextualSpacing/>
        <w:rPr>
          <w:color w:val="000000"/>
          <w:sz w:val="24"/>
        </w:rPr>
      </w:pPr>
      <w:r>
        <w:rPr>
          <w:rFonts w:hint="eastAsia"/>
          <w:color w:val="000000"/>
          <w:sz w:val="24"/>
        </w:rPr>
        <w:t>1、采购人信息</w:t>
      </w:r>
    </w:p>
    <w:p>
      <w:pPr>
        <w:spacing w:line="336" w:lineRule="auto"/>
        <w:ind w:firstLine="480" w:firstLineChars="200"/>
        <w:contextualSpacing/>
        <w:rPr>
          <w:color w:val="000000"/>
          <w:sz w:val="24"/>
        </w:rPr>
      </w:pPr>
      <w:r>
        <w:rPr>
          <w:rFonts w:hint="eastAsia"/>
          <w:color w:val="000000"/>
          <w:sz w:val="24"/>
        </w:rPr>
        <w:t> 名 称：绍兴市公安局上虞区分局</w:t>
      </w:r>
    </w:p>
    <w:p>
      <w:pPr>
        <w:spacing w:line="336" w:lineRule="auto"/>
        <w:ind w:firstLine="480" w:firstLineChars="200"/>
        <w:contextualSpacing/>
        <w:rPr>
          <w:color w:val="000000"/>
          <w:sz w:val="24"/>
        </w:rPr>
      </w:pPr>
      <w:r>
        <w:rPr>
          <w:rFonts w:hint="eastAsia"/>
          <w:color w:val="000000"/>
          <w:sz w:val="24"/>
        </w:rPr>
        <w:t> 地 址：绍兴市上虞区百官街道王充路1117号</w:t>
      </w:r>
    </w:p>
    <w:p>
      <w:pPr>
        <w:spacing w:line="336" w:lineRule="auto"/>
        <w:ind w:firstLine="480" w:firstLineChars="200"/>
        <w:contextualSpacing/>
        <w:rPr>
          <w:color w:val="000000"/>
          <w:sz w:val="24"/>
        </w:rPr>
      </w:pPr>
      <w:r>
        <w:rPr>
          <w:rFonts w:hint="eastAsia"/>
          <w:color w:val="000000"/>
          <w:sz w:val="24"/>
        </w:rPr>
        <w:t> 项目联系人（询问）：徐先生</w:t>
      </w:r>
    </w:p>
    <w:p>
      <w:pPr>
        <w:spacing w:line="336" w:lineRule="auto"/>
        <w:ind w:firstLine="480" w:firstLineChars="200"/>
        <w:contextualSpacing/>
        <w:rPr>
          <w:color w:val="000000"/>
          <w:sz w:val="24"/>
        </w:rPr>
      </w:pPr>
      <w:r>
        <w:rPr>
          <w:rFonts w:hint="eastAsia"/>
          <w:color w:val="000000"/>
          <w:sz w:val="24"/>
        </w:rPr>
        <w:t> 项目联系方式（询问）：</w:t>
      </w:r>
      <w:r>
        <w:rPr>
          <w:rFonts w:hint="eastAsia"/>
          <w:color w:val="333333"/>
          <w:sz w:val="24"/>
        </w:rPr>
        <w:t>0575-82766082</w:t>
      </w:r>
    </w:p>
    <w:p>
      <w:pPr>
        <w:spacing w:line="336" w:lineRule="auto"/>
        <w:ind w:firstLine="480" w:firstLineChars="200"/>
        <w:contextualSpacing/>
        <w:rPr>
          <w:color w:val="000000"/>
          <w:sz w:val="24"/>
        </w:rPr>
      </w:pPr>
      <w:r>
        <w:rPr>
          <w:rFonts w:hint="eastAsia"/>
          <w:color w:val="000000"/>
          <w:sz w:val="24"/>
        </w:rPr>
        <w:t> 质疑联系人：魏先生</w:t>
      </w:r>
    </w:p>
    <w:p>
      <w:pPr>
        <w:spacing w:line="336" w:lineRule="auto"/>
        <w:ind w:firstLine="480" w:firstLineChars="200"/>
        <w:contextualSpacing/>
        <w:rPr>
          <w:color w:val="333333"/>
          <w:sz w:val="24"/>
        </w:rPr>
      </w:pPr>
      <w:r>
        <w:rPr>
          <w:rFonts w:hint="eastAsia"/>
          <w:color w:val="000000"/>
          <w:sz w:val="24"/>
        </w:rPr>
        <w:t> 质疑联系方式：</w:t>
      </w:r>
      <w:r>
        <w:rPr>
          <w:rFonts w:hint="eastAsia"/>
          <w:color w:val="333333"/>
          <w:sz w:val="24"/>
        </w:rPr>
        <w:t>0575-82766082</w:t>
      </w:r>
    </w:p>
    <w:p>
      <w:pPr>
        <w:pStyle w:val="14"/>
        <w:spacing w:line="336" w:lineRule="auto"/>
        <w:ind w:left="400"/>
        <w:contextualSpacing/>
      </w:pPr>
    </w:p>
    <w:p>
      <w:pPr>
        <w:spacing w:line="336" w:lineRule="auto"/>
        <w:ind w:firstLine="480" w:firstLineChars="200"/>
        <w:contextualSpacing/>
        <w:rPr>
          <w:color w:val="000000"/>
          <w:sz w:val="24"/>
        </w:rPr>
      </w:pPr>
      <w:r>
        <w:rPr>
          <w:rFonts w:hint="eastAsia"/>
          <w:color w:val="000000"/>
          <w:sz w:val="24"/>
        </w:rPr>
        <w:t>2、采购代理机构信息</w:t>
      </w:r>
    </w:p>
    <w:p>
      <w:pPr>
        <w:spacing w:line="336" w:lineRule="auto"/>
        <w:ind w:firstLine="480" w:firstLineChars="200"/>
        <w:contextualSpacing/>
        <w:rPr>
          <w:color w:val="000000"/>
          <w:sz w:val="24"/>
        </w:rPr>
      </w:pPr>
      <w:r>
        <w:rPr>
          <w:rFonts w:hint="eastAsia"/>
          <w:color w:val="000000"/>
          <w:sz w:val="24"/>
        </w:rPr>
        <w:t>  名 称：绍兴虞宸招标代理有限公司</w:t>
      </w:r>
    </w:p>
    <w:p>
      <w:pPr>
        <w:spacing w:line="336" w:lineRule="auto"/>
        <w:ind w:firstLine="480" w:firstLineChars="200"/>
        <w:contextualSpacing/>
        <w:rPr>
          <w:color w:val="000000"/>
          <w:sz w:val="24"/>
        </w:rPr>
      </w:pPr>
      <w:r>
        <w:rPr>
          <w:rFonts w:hint="eastAsia"/>
          <w:color w:val="000000"/>
          <w:sz w:val="24"/>
        </w:rPr>
        <w:t>  地 址：绍兴市上虞区新天龙大厦12楼</w:t>
      </w:r>
    </w:p>
    <w:p>
      <w:pPr>
        <w:spacing w:line="336" w:lineRule="auto"/>
        <w:ind w:firstLine="480" w:firstLineChars="200"/>
        <w:contextualSpacing/>
        <w:rPr>
          <w:color w:val="000000"/>
          <w:sz w:val="24"/>
        </w:rPr>
      </w:pPr>
      <w:r>
        <w:rPr>
          <w:rFonts w:hint="eastAsia"/>
          <w:color w:val="000000"/>
          <w:sz w:val="24"/>
        </w:rPr>
        <w:t>  项目联系人（询问）：刘焕炯</w:t>
      </w:r>
    </w:p>
    <w:p>
      <w:pPr>
        <w:spacing w:line="336" w:lineRule="auto"/>
        <w:ind w:firstLine="480" w:firstLineChars="200"/>
        <w:contextualSpacing/>
        <w:rPr>
          <w:color w:val="000000"/>
          <w:sz w:val="24"/>
        </w:rPr>
      </w:pPr>
      <w:r>
        <w:rPr>
          <w:rFonts w:hint="eastAsia"/>
          <w:color w:val="000000"/>
          <w:sz w:val="24"/>
        </w:rPr>
        <w:t>  项目联系方式（询问）：13758566617</w:t>
      </w:r>
    </w:p>
    <w:p>
      <w:pPr>
        <w:spacing w:line="336" w:lineRule="auto"/>
        <w:ind w:firstLine="480" w:firstLineChars="200"/>
        <w:contextualSpacing/>
        <w:rPr>
          <w:color w:val="000000"/>
          <w:sz w:val="24"/>
        </w:rPr>
      </w:pPr>
      <w:r>
        <w:rPr>
          <w:rFonts w:hint="eastAsia"/>
          <w:color w:val="000000"/>
          <w:sz w:val="24"/>
        </w:rPr>
        <w:t>  质疑联系人：夏女士</w:t>
      </w:r>
    </w:p>
    <w:p>
      <w:pPr>
        <w:spacing w:line="336" w:lineRule="auto"/>
        <w:ind w:firstLine="480" w:firstLineChars="200"/>
        <w:contextualSpacing/>
        <w:rPr>
          <w:color w:val="000000"/>
          <w:sz w:val="24"/>
        </w:rPr>
      </w:pPr>
      <w:r>
        <w:rPr>
          <w:rFonts w:hint="eastAsia"/>
          <w:color w:val="000000"/>
          <w:sz w:val="24"/>
        </w:rPr>
        <w:t>  质疑联系方式：13777330860</w:t>
      </w:r>
    </w:p>
    <w:p>
      <w:pPr>
        <w:pStyle w:val="14"/>
        <w:spacing w:line="336" w:lineRule="auto"/>
        <w:ind w:left="400"/>
        <w:contextualSpacing/>
      </w:pPr>
    </w:p>
    <w:p>
      <w:pPr>
        <w:spacing w:line="336" w:lineRule="auto"/>
        <w:ind w:firstLine="480" w:firstLineChars="200"/>
        <w:contextualSpacing/>
        <w:rPr>
          <w:color w:val="000000"/>
          <w:sz w:val="24"/>
        </w:rPr>
      </w:pPr>
      <w:r>
        <w:rPr>
          <w:rFonts w:hint="eastAsia"/>
          <w:color w:val="000000"/>
          <w:sz w:val="24"/>
        </w:rPr>
        <w:t> 3、同级政府采购监督管理部门</w:t>
      </w:r>
    </w:p>
    <w:p>
      <w:pPr>
        <w:spacing w:line="336" w:lineRule="auto"/>
        <w:ind w:firstLine="480" w:firstLineChars="200"/>
        <w:contextualSpacing/>
        <w:rPr>
          <w:color w:val="000000"/>
          <w:sz w:val="24"/>
        </w:rPr>
      </w:pPr>
      <w:r>
        <w:rPr>
          <w:rFonts w:hint="eastAsia"/>
          <w:color w:val="000000"/>
          <w:sz w:val="24"/>
        </w:rPr>
        <w:t>  名 称：绍兴市上虞区财政局政府采购监管科</w:t>
      </w:r>
    </w:p>
    <w:p>
      <w:pPr>
        <w:spacing w:line="336" w:lineRule="auto"/>
        <w:ind w:firstLine="480" w:firstLineChars="200"/>
        <w:contextualSpacing/>
        <w:rPr>
          <w:color w:val="000000"/>
          <w:sz w:val="24"/>
        </w:rPr>
      </w:pPr>
      <w:r>
        <w:rPr>
          <w:rFonts w:hint="eastAsia"/>
          <w:color w:val="000000"/>
          <w:sz w:val="24"/>
        </w:rPr>
        <w:t>  地 址：绍兴市上虞区体育场路18号</w:t>
      </w:r>
    </w:p>
    <w:p>
      <w:pPr>
        <w:spacing w:line="336" w:lineRule="auto"/>
        <w:ind w:firstLine="480" w:firstLineChars="200"/>
        <w:contextualSpacing/>
        <w:rPr>
          <w:color w:val="000000"/>
          <w:sz w:val="24"/>
        </w:rPr>
      </w:pPr>
      <w:r>
        <w:rPr>
          <w:rFonts w:hint="eastAsia"/>
          <w:color w:val="000000"/>
          <w:sz w:val="24"/>
        </w:rPr>
        <w:t>  传 真：0575-82154859</w:t>
      </w:r>
    </w:p>
    <w:p>
      <w:pPr>
        <w:spacing w:line="336" w:lineRule="auto"/>
        <w:ind w:firstLine="480" w:firstLineChars="200"/>
        <w:contextualSpacing/>
        <w:rPr>
          <w:color w:val="000000"/>
          <w:sz w:val="24"/>
        </w:rPr>
      </w:pPr>
      <w:r>
        <w:rPr>
          <w:rFonts w:hint="eastAsia"/>
          <w:color w:val="000000"/>
          <w:sz w:val="24"/>
        </w:rPr>
        <w:t>  联系人 ：谷先生</w:t>
      </w:r>
    </w:p>
    <w:p>
      <w:pPr>
        <w:spacing w:line="336" w:lineRule="auto"/>
        <w:ind w:firstLine="480" w:firstLineChars="200"/>
        <w:contextualSpacing/>
        <w:rPr>
          <w:sz w:val="24"/>
        </w:rPr>
      </w:pPr>
      <w:r>
        <w:rPr>
          <w:rFonts w:hint="eastAsia"/>
          <w:color w:val="000000"/>
          <w:sz w:val="24"/>
        </w:rPr>
        <w:t xml:space="preserve">   监督投诉电话：0575-82130212</w:t>
      </w:r>
    </w:p>
    <w:p>
      <w:pPr>
        <w:spacing w:line="360" w:lineRule="auto"/>
        <w:jc w:val="center"/>
        <w:outlineLvl w:val="0"/>
        <w:rPr>
          <w:rFonts w:hint="eastAsia"/>
          <w:b/>
          <w:sz w:val="36"/>
          <w:szCs w:val="20"/>
        </w:rPr>
      </w:pPr>
      <w:bookmarkStart w:id="19" w:name="_Toc121294568"/>
      <w:r>
        <w:rPr>
          <w:rFonts w:hint="eastAsia"/>
          <w:b/>
          <w:sz w:val="36"/>
          <w:szCs w:val="20"/>
        </w:rPr>
        <w:br w:type="page"/>
      </w:r>
      <w:r>
        <w:rPr>
          <w:rFonts w:hint="eastAsia"/>
          <w:b/>
          <w:sz w:val="36"/>
          <w:szCs w:val="20"/>
        </w:rPr>
        <w:t>第二部分</w:t>
      </w:r>
      <w:bookmarkEnd w:id="13"/>
      <w:r>
        <w:rPr>
          <w:rFonts w:hint="eastAsia"/>
          <w:b/>
          <w:sz w:val="36"/>
          <w:szCs w:val="20"/>
        </w:rPr>
        <w:t xml:space="preserve"> </w:t>
      </w:r>
      <w:bookmarkEnd w:id="14"/>
      <w:r>
        <w:rPr>
          <w:b/>
          <w:sz w:val="36"/>
          <w:szCs w:val="20"/>
        </w:rPr>
        <w:t xml:space="preserve"> 投标须知</w:t>
      </w:r>
      <w:bookmarkEnd w:id="19"/>
    </w:p>
    <w:p>
      <w:pPr>
        <w:widowControl/>
        <w:adjustRightInd w:val="0"/>
        <w:snapToGrid w:val="0"/>
        <w:spacing w:line="360" w:lineRule="auto"/>
        <w:jc w:val="center"/>
        <w:rPr>
          <w:rFonts w:hint="eastAsia"/>
          <w:b/>
          <w:snapToGrid w:val="0"/>
          <w:sz w:val="32"/>
          <w:szCs w:val="32"/>
        </w:rPr>
      </w:pPr>
      <w:r>
        <w:rPr>
          <w:rFonts w:hint="eastAsia"/>
          <w:b/>
          <w:snapToGrid w:val="0"/>
          <w:sz w:val="30"/>
          <w:szCs w:val="30"/>
        </w:rPr>
        <w:t>前附表</w:t>
      </w:r>
    </w:p>
    <w:tbl>
      <w:tblPr>
        <w:tblStyle w:val="34"/>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1800"/>
        <w:gridCol w:w="6682"/>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cantSplit/>
          <w:trHeight w:val="567" w:hRule="atLeast"/>
          <w:tblHeader/>
          <w:jc w:val="center"/>
        </w:trPr>
        <w:tc>
          <w:tcPr>
            <w:tcW w:w="648" w:type="dxa"/>
            <w:noWrap w:val="0"/>
            <w:vAlign w:val="center"/>
          </w:tcPr>
          <w:p>
            <w:pPr>
              <w:snapToGrid w:val="0"/>
              <w:spacing w:line="360" w:lineRule="exact"/>
              <w:jc w:val="center"/>
              <w:rPr>
                <w:rFonts w:hint="eastAsia"/>
                <w:b/>
                <w:bCs/>
                <w:snapToGrid w:val="0"/>
              </w:rPr>
            </w:pPr>
            <w:r>
              <w:rPr>
                <w:rFonts w:hint="eastAsia"/>
                <w:b/>
                <w:bCs/>
                <w:snapToGrid w:val="0"/>
              </w:rPr>
              <w:t>序号</w:t>
            </w:r>
          </w:p>
        </w:tc>
        <w:tc>
          <w:tcPr>
            <w:tcW w:w="1800" w:type="dxa"/>
            <w:noWrap w:val="0"/>
            <w:vAlign w:val="center"/>
          </w:tcPr>
          <w:p>
            <w:pPr>
              <w:snapToGrid w:val="0"/>
              <w:spacing w:line="360" w:lineRule="exact"/>
              <w:jc w:val="center"/>
              <w:rPr>
                <w:rFonts w:hint="eastAsia"/>
                <w:b/>
                <w:bCs/>
                <w:snapToGrid w:val="0"/>
              </w:rPr>
            </w:pPr>
            <w:r>
              <w:rPr>
                <w:rFonts w:hint="eastAsia"/>
                <w:b/>
                <w:bCs/>
                <w:snapToGrid w:val="0"/>
              </w:rPr>
              <w:t>项目</w:t>
            </w:r>
          </w:p>
        </w:tc>
        <w:tc>
          <w:tcPr>
            <w:tcW w:w="6682" w:type="dxa"/>
            <w:noWrap w:val="0"/>
            <w:vAlign w:val="center"/>
          </w:tcPr>
          <w:p>
            <w:pPr>
              <w:snapToGrid w:val="0"/>
              <w:spacing w:line="360" w:lineRule="exact"/>
              <w:jc w:val="center"/>
              <w:rPr>
                <w:rFonts w:hint="eastAsia"/>
                <w:b/>
                <w:bCs/>
                <w:snapToGrid w:val="0"/>
              </w:rPr>
            </w:pPr>
            <w:r>
              <w:rPr>
                <w:rFonts w:hint="eastAsia"/>
                <w:b/>
                <w:bCs/>
                <w:snapToGrid w:val="0"/>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1</w:t>
            </w:r>
          </w:p>
        </w:tc>
        <w:tc>
          <w:tcPr>
            <w:tcW w:w="1800" w:type="dxa"/>
            <w:noWrap w:val="0"/>
            <w:vAlign w:val="center"/>
          </w:tcPr>
          <w:p>
            <w:pPr>
              <w:jc w:val="center"/>
              <w:rPr>
                <w:rFonts w:hint="eastAsia"/>
                <w:kern w:val="2"/>
                <w:sz w:val="21"/>
              </w:rPr>
            </w:pPr>
            <w:r>
              <w:rPr>
                <w:rFonts w:hint="eastAsia"/>
                <w:kern w:val="2"/>
                <w:sz w:val="21"/>
              </w:rPr>
              <w:t>项目名称</w:t>
            </w:r>
          </w:p>
        </w:tc>
        <w:tc>
          <w:tcPr>
            <w:tcW w:w="6682" w:type="dxa"/>
            <w:noWrap w:val="0"/>
            <w:vAlign w:val="center"/>
          </w:tcPr>
          <w:p>
            <w:pPr>
              <w:ind w:firstLine="480" w:firstLineChars="200"/>
              <w:rPr>
                <w:rFonts w:hint="eastAsia"/>
                <w:kern w:val="2"/>
                <w:sz w:val="21"/>
              </w:rPr>
            </w:pPr>
            <w:r>
              <w:rPr>
                <w:rFonts w:hint="eastAsia"/>
                <w:sz w:val="24"/>
              </w:rPr>
              <w:t>绍兴市公安局上虞区分局</w:t>
            </w:r>
            <w:r>
              <w:rPr>
                <w:sz w:val="24"/>
              </w:rPr>
              <w:t>**通四期项目（两年）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2</w:t>
            </w:r>
          </w:p>
        </w:tc>
        <w:tc>
          <w:tcPr>
            <w:tcW w:w="1800" w:type="dxa"/>
            <w:noWrap w:val="0"/>
            <w:vAlign w:val="center"/>
          </w:tcPr>
          <w:p>
            <w:pPr>
              <w:jc w:val="center"/>
              <w:rPr>
                <w:rFonts w:hint="eastAsia"/>
                <w:kern w:val="2"/>
                <w:sz w:val="21"/>
              </w:rPr>
            </w:pPr>
            <w:r>
              <w:rPr>
                <w:rFonts w:hint="eastAsia"/>
                <w:kern w:val="2"/>
                <w:sz w:val="21"/>
              </w:rPr>
              <w:t>项目实施时间</w:t>
            </w:r>
          </w:p>
        </w:tc>
        <w:tc>
          <w:tcPr>
            <w:tcW w:w="6682" w:type="dxa"/>
            <w:noWrap w:val="0"/>
            <w:vAlign w:val="center"/>
          </w:tcPr>
          <w:p>
            <w:pPr>
              <w:ind w:firstLine="420" w:firstLineChars="200"/>
              <w:rPr>
                <w:rFonts w:hint="eastAsia"/>
                <w:kern w:val="2"/>
                <w:sz w:val="21"/>
              </w:rPr>
            </w:pPr>
            <w:r>
              <w:rPr>
                <w:rFonts w:hint="eastAsia"/>
                <w:kern w:val="2"/>
                <w:sz w:val="21"/>
              </w:rPr>
              <w:t>合同签订后60天内经验收合格后交付使用。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3</w:t>
            </w:r>
          </w:p>
        </w:tc>
        <w:tc>
          <w:tcPr>
            <w:tcW w:w="1800" w:type="dxa"/>
            <w:noWrap w:val="0"/>
            <w:vAlign w:val="center"/>
          </w:tcPr>
          <w:p>
            <w:pPr>
              <w:jc w:val="center"/>
              <w:rPr>
                <w:rFonts w:hint="eastAsia"/>
                <w:b/>
                <w:kern w:val="2"/>
                <w:sz w:val="21"/>
              </w:rPr>
            </w:pPr>
            <w:r>
              <w:rPr>
                <w:rFonts w:hint="eastAsia"/>
                <w:b/>
                <w:kern w:val="2"/>
                <w:sz w:val="21"/>
              </w:rPr>
              <w:t>最高限价</w:t>
            </w:r>
          </w:p>
        </w:tc>
        <w:tc>
          <w:tcPr>
            <w:tcW w:w="6682" w:type="dxa"/>
            <w:noWrap w:val="0"/>
            <w:vAlign w:val="center"/>
          </w:tcPr>
          <w:p>
            <w:pPr>
              <w:ind w:firstLine="420" w:firstLineChars="200"/>
              <w:rPr>
                <w:rFonts w:hint="eastAsia"/>
                <w:kern w:val="2"/>
                <w:sz w:val="21"/>
              </w:rPr>
            </w:pPr>
            <w:r>
              <w:rPr>
                <w:rFonts w:hint="eastAsia"/>
                <w:kern w:val="2"/>
                <w:sz w:val="21"/>
              </w:rPr>
              <w:t>最高限价人民币</w:t>
            </w:r>
            <w:r>
              <w:rPr>
                <w:rFonts w:hint="eastAsia"/>
                <w:kern w:val="2"/>
                <w:sz w:val="21"/>
                <w:u w:val="single"/>
              </w:rPr>
              <w:t xml:space="preserve"> 600 </w:t>
            </w:r>
            <w:r>
              <w:rPr>
                <w:rFonts w:hint="eastAsia"/>
                <w:kern w:val="2"/>
                <w:sz w:val="21"/>
              </w:rPr>
              <w:t>万元；</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829" w:hRule="atLeast"/>
          <w:jc w:val="center"/>
        </w:trPr>
        <w:tc>
          <w:tcPr>
            <w:tcW w:w="648" w:type="dxa"/>
            <w:noWrap w:val="0"/>
            <w:vAlign w:val="center"/>
          </w:tcPr>
          <w:p>
            <w:pPr>
              <w:jc w:val="center"/>
              <w:rPr>
                <w:rFonts w:hint="eastAsia"/>
                <w:kern w:val="2"/>
                <w:sz w:val="21"/>
              </w:rPr>
            </w:pPr>
            <w:r>
              <w:rPr>
                <w:rFonts w:hint="eastAsia"/>
                <w:kern w:val="2"/>
                <w:sz w:val="21"/>
              </w:rPr>
              <w:t>4</w:t>
            </w:r>
          </w:p>
        </w:tc>
        <w:tc>
          <w:tcPr>
            <w:tcW w:w="1800" w:type="dxa"/>
            <w:noWrap w:val="0"/>
            <w:vAlign w:val="center"/>
          </w:tcPr>
          <w:p>
            <w:pPr>
              <w:spacing w:line="360" w:lineRule="exact"/>
              <w:jc w:val="center"/>
              <w:rPr>
                <w:rFonts w:hint="eastAsia"/>
                <w:kern w:val="2"/>
                <w:sz w:val="21"/>
              </w:rPr>
            </w:pPr>
            <w:r>
              <w:rPr>
                <w:rFonts w:hint="eastAsia"/>
                <w:kern w:val="2"/>
                <w:sz w:val="21"/>
              </w:rPr>
              <w:t>资格审查方式</w:t>
            </w:r>
          </w:p>
        </w:tc>
        <w:tc>
          <w:tcPr>
            <w:tcW w:w="6682" w:type="dxa"/>
            <w:noWrap w:val="0"/>
            <w:vAlign w:val="center"/>
          </w:tcPr>
          <w:p>
            <w:pPr>
              <w:spacing w:line="360" w:lineRule="exact"/>
              <w:ind w:firstLine="420" w:firstLineChars="200"/>
              <w:rPr>
                <w:rFonts w:hint="eastAsia"/>
                <w:kern w:val="2"/>
                <w:sz w:val="21"/>
              </w:rPr>
            </w:pPr>
            <w:r>
              <w:rPr>
                <w:rFonts w:hint="eastAsia"/>
                <w:kern w:val="2"/>
                <w:sz w:val="21"/>
              </w:rPr>
              <w:t>资格审查是指开标后，采购人或采购代理机构将依据法律法规和招标文件的规定对投标人的资格进行审查。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5</w:t>
            </w:r>
          </w:p>
        </w:tc>
        <w:tc>
          <w:tcPr>
            <w:tcW w:w="1800" w:type="dxa"/>
            <w:noWrap w:val="0"/>
            <w:vAlign w:val="center"/>
          </w:tcPr>
          <w:p>
            <w:pPr>
              <w:jc w:val="center"/>
              <w:rPr>
                <w:rFonts w:hint="eastAsia"/>
                <w:kern w:val="2"/>
                <w:sz w:val="21"/>
              </w:rPr>
            </w:pPr>
            <w:r>
              <w:rPr>
                <w:rFonts w:hint="eastAsia"/>
                <w:kern w:val="2"/>
                <w:sz w:val="21"/>
              </w:rPr>
              <w:t>踏勘现场</w:t>
            </w:r>
          </w:p>
        </w:tc>
        <w:tc>
          <w:tcPr>
            <w:tcW w:w="6682" w:type="dxa"/>
            <w:noWrap w:val="0"/>
            <w:vAlign w:val="center"/>
          </w:tcPr>
          <w:p>
            <w:pPr>
              <w:ind w:firstLine="422" w:firstLineChars="200"/>
              <w:rPr>
                <w:rFonts w:hint="eastAsia"/>
                <w:b/>
                <w:kern w:val="2"/>
                <w:sz w:val="21"/>
              </w:rPr>
            </w:pPr>
            <w:r>
              <w:rPr>
                <w:rFonts w:hint="eastAsia"/>
                <w:b/>
                <w:kern w:val="2"/>
                <w:sz w:val="21"/>
              </w:rPr>
              <w:t>本项目</w:t>
            </w:r>
            <w:r>
              <w:rPr>
                <w:rFonts w:hint="eastAsia"/>
                <w:b/>
                <w:kern w:val="2"/>
                <w:sz w:val="21"/>
                <w:u w:val="single"/>
              </w:rPr>
              <w:t>不组织</w:t>
            </w:r>
            <w:r>
              <w:rPr>
                <w:rFonts w:hint="eastAsia"/>
                <w:b/>
                <w:kern w:val="2"/>
                <w:sz w:val="21"/>
              </w:rPr>
              <w:t>现场踏勘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6</w:t>
            </w:r>
          </w:p>
        </w:tc>
        <w:tc>
          <w:tcPr>
            <w:tcW w:w="1800" w:type="dxa"/>
            <w:noWrap w:val="0"/>
            <w:vAlign w:val="center"/>
          </w:tcPr>
          <w:p>
            <w:pPr>
              <w:jc w:val="center"/>
              <w:rPr>
                <w:rFonts w:hint="eastAsia"/>
                <w:kern w:val="2"/>
                <w:sz w:val="21"/>
              </w:rPr>
            </w:pPr>
            <w:r>
              <w:rPr>
                <w:rFonts w:hint="eastAsia"/>
                <w:kern w:val="2"/>
                <w:sz w:val="21"/>
              </w:rPr>
              <w:t>询问</w:t>
            </w:r>
          </w:p>
        </w:tc>
        <w:tc>
          <w:tcPr>
            <w:tcW w:w="6682" w:type="dxa"/>
            <w:noWrap w:val="0"/>
            <w:vAlign w:val="center"/>
          </w:tcPr>
          <w:p>
            <w:pPr>
              <w:ind w:firstLine="420" w:firstLineChars="200"/>
              <w:rPr>
                <w:rFonts w:hint="eastAsia"/>
                <w:kern w:val="2"/>
                <w:sz w:val="21"/>
              </w:rPr>
            </w:pPr>
            <w:r>
              <w:rPr>
                <w:rFonts w:hint="eastAsia"/>
                <w:kern w:val="2"/>
                <w:sz w:val="21"/>
              </w:rPr>
              <w:t>供应商对政府采购活动事项有疑问的，可以向采购机构提出询问，采购人或者招标代理机构应当在3个工作日内对供应商依法提出的询问作出答复，但答复的内容不得涉及商业秘密。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7</w:t>
            </w:r>
          </w:p>
        </w:tc>
        <w:tc>
          <w:tcPr>
            <w:tcW w:w="1800" w:type="dxa"/>
            <w:noWrap w:val="0"/>
            <w:vAlign w:val="center"/>
          </w:tcPr>
          <w:p>
            <w:pPr>
              <w:jc w:val="center"/>
              <w:rPr>
                <w:rFonts w:hint="eastAsia"/>
                <w:kern w:val="2"/>
                <w:sz w:val="21"/>
              </w:rPr>
            </w:pPr>
            <w:r>
              <w:rPr>
                <w:rFonts w:hint="eastAsia"/>
                <w:kern w:val="2"/>
                <w:sz w:val="21"/>
              </w:rPr>
              <w:t>招标文件的澄清与修改</w:t>
            </w:r>
          </w:p>
        </w:tc>
        <w:tc>
          <w:tcPr>
            <w:tcW w:w="6682" w:type="dxa"/>
            <w:noWrap w:val="0"/>
            <w:vAlign w:val="center"/>
          </w:tcPr>
          <w:p>
            <w:pPr>
              <w:ind w:firstLine="420" w:firstLineChars="200"/>
              <w:rPr>
                <w:rFonts w:hint="eastAsia"/>
                <w:kern w:val="2"/>
                <w:sz w:val="21"/>
              </w:rPr>
            </w:pPr>
            <w:r>
              <w:rPr>
                <w:rFonts w:hint="eastAsia"/>
                <w:kern w:val="2"/>
                <w:sz w:val="21"/>
              </w:rPr>
              <w:t>招标采购单位可以对已发出的招标文件进行必要澄清或者修改，澄清或者修改的内容可能影响投标文件编制的，应当在招标文件要求提交投标文件截止时间十五日前，在招标公告发布的媒体上发布更正公告，该澄清或者修改的内容为招标文件的组成部分。本项目招标文件和补充（答疑、澄清）、修改文件等请自行登录浙江政府采购网或绍兴市上虞区公共资源交易中心网站查看。</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8</w:t>
            </w:r>
          </w:p>
        </w:tc>
        <w:tc>
          <w:tcPr>
            <w:tcW w:w="1800" w:type="dxa"/>
            <w:noWrap w:val="0"/>
            <w:vAlign w:val="center"/>
          </w:tcPr>
          <w:p>
            <w:pPr>
              <w:jc w:val="center"/>
              <w:rPr>
                <w:rFonts w:hint="eastAsia"/>
                <w:kern w:val="2"/>
                <w:sz w:val="21"/>
              </w:rPr>
            </w:pPr>
            <w:r>
              <w:rPr>
                <w:rFonts w:hint="eastAsia"/>
                <w:kern w:val="2"/>
                <w:sz w:val="21"/>
              </w:rPr>
              <w:t>投标文件组成</w:t>
            </w:r>
          </w:p>
        </w:tc>
        <w:tc>
          <w:tcPr>
            <w:tcW w:w="6682" w:type="dxa"/>
            <w:noWrap w:val="0"/>
            <w:vAlign w:val="center"/>
          </w:tcPr>
          <w:p>
            <w:pPr>
              <w:ind w:firstLine="420" w:firstLineChars="200"/>
              <w:rPr>
                <w:rFonts w:hint="eastAsia"/>
                <w:kern w:val="2"/>
                <w:sz w:val="21"/>
              </w:rPr>
            </w:pPr>
            <w:r>
              <w:rPr>
                <w:rFonts w:hint="eastAsia"/>
                <w:kern w:val="2"/>
                <w:sz w:val="21"/>
              </w:rPr>
              <w:t>投标人向采购人递交的投标文件由资格文件、商务技术文件、报价文件三部分组成。</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9</w:t>
            </w:r>
          </w:p>
        </w:tc>
        <w:tc>
          <w:tcPr>
            <w:tcW w:w="1800" w:type="dxa"/>
            <w:noWrap w:val="0"/>
            <w:vAlign w:val="center"/>
          </w:tcPr>
          <w:p>
            <w:pPr>
              <w:jc w:val="center"/>
              <w:rPr>
                <w:rFonts w:hint="eastAsia"/>
                <w:kern w:val="2"/>
                <w:sz w:val="21"/>
              </w:rPr>
            </w:pPr>
            <w:r>
              <w:rPr>
                <w:rFonts w:hint="eastAsia"/>
                <w:kern w:val="2"/>
                <w:sz w:val="21"/>
              </w:rPr>
              <w:t>评标办法</w:t>
            </w:r>
          </w:p>
        </w:tc>
        <w:tc>
          <w:tcPr>
            <w:tcW w:w="6682" w:type="dxa"/>
            <w:noWrap w:val="0"/>
            <w:vAlign w:val="center"/>
          </w:tcPr>
          <w:p>
            <w:pPr>
              <w:ind w:firstLine="420" w:firstLineChars="200"/>
              <w:rPr>
                <w:rFonts w:hint="eastAsia"/>
                <w:kern w:val="2"/>
                <w:sz w:val="21"/>
              </w:rPr>
            </w:pPr>
            <w:r>
              <w:rPr>
                <w:rFonts w:hint="eastAsia"/>
                <w:kern w:val="2"/>
                <w:sz w:val="21"/>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10</w:t>
            </w:r>
          </w:p>
        </w:tc>
        <w:tc>
          <w:tcPr>
            <w:tcW w:w="1800" w:type="dxa"/>
            <w:noWrap w:val="0"/>
            <w:vAlign w:val="center"/>
          </w:tcPr>
          <w:p>
            <w:pPr>
              <w:jc w:val="center"/>
              <w:rPr>
                <w:rFonts w:hint="eastAsia"/>
                <w:kern w:val="2"/>
                <w:sz w:val="21"/>
              </w:rPr>
            </w:pPr>
            <w:r>
              <w:rPr>
                <w:rFonts w:hint="eastAsia"/>
                <w:kern w:val="2"/>
                <w:sz w:val="21"/>
              </w:rPr>
              <w:t>投标文件递交地址及截止时间</w:t>
            </w:r>
          </w:p>
        </w:tc>
        <w:tc>
          <w:tcPr>
            <w:tcW w:w="6682" w:type="dxa"/>
            <w:noWrap w:val="0"/>
            <w:vAlign w:val="center"/>
          </w:tcPr>
          <w:p>
            <w:pPr>
              <w:ind w:firstLine="420" w:firstLineChars="200"/>
              <w:rPr>
                <w:rFonts w:hint="eastAsia"/>
                <w:kern w:val="2"/>
                <w:sz w:val="21"/>
              </w:rPr>
            </w:pPr>
            <w:r>
              <w:rPr>
                <w:rFonts w:hint="eastAsia"/>
                <w:kern w:val="2"/>
                <w:sz w:val="21"/>
              </w:rPr>
              <w:t>详见招标公告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11</w:t>
            </w:r>
          </w:p>
        </w:tc>
        <w:tc>
          <w:tcPr>
            <w:tcW w:w="1800" w:type="dxa"/>
            <w:noWrap w:val="0"/>
            <w:vAlign w:val="center"/>
          </w:tcPr>
          <w:p>
            <w:pPr>
              <w:jc w:val="center"/>
              <w:rPr>
                <w:rFonts w:hint="eastAsia"/>
                <w:kern w:val="2"/>
                <w:sz w:val="21"/>
              </w:rPr>
            </w:pPr>
            <w:r>
              <w:rPr>
                <w:rFonts w:hint="eastAsia"/>
                <w:kern w:val="2"/>
                <w:sz w:val="21"/>
              </w:rPr>
              <w:t>开标时间、地点</w:t>
            </w:r>
          </w:p>
        </w:tc>
        <w:tc>
          <w:tcPr>
            <w:tcW w:w="6682" w:type="dxa"/>
            <w:noWrap w:val="0"/>
            <w:vAlign w:val="center"/>
          </w:tcPr>
          <w:p>
            <w:pPr>
              <w:ind w:firstLine="420" w:firstLineChars="200"/>
              <w:rPr>
                <w:rFonts w:hint="eastAsia"/>
                <w:kern w:val="2"/>
                <w:sz w:val="21"/>
              </w:rPr>
            </w:pPr>
            <w:r>
              <w:rPr>
                <w:rFonts w:hint="eastAsia"/>
                <w:kern w:val="2"/>
                <w:sz w:val="21"/>
              </w:rPr>
              <w:t>开标时间：详见招标公告</w:t>
            </w:r>
          </w:p>
          <w:p>
            <w:pPr>
              <w:ind w:firstLine="420" w:firstLineChars="200"/>
              <w:rPr>
                <w:rFonts w:hint="eastAsia"/>
                <w:kern w:val="2"/>
                <w:sz w:val="21"/>
              </w:rPr>
            </w:pPr>
            <w:r>
              <w:rPr>
                <w:rFonts w:hint="eastAsia"/>
                <w:kern w:val="2"/>
                <w:sz w:val="21"/>
              </w:rPr>
              <w:t>开标地点：详见招标公告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12</w:t>
            </w:r>
          </w:p>
        </w:tc>
        <w:tc>
          <w:tcPr>
            <w:tcW w:w="1800" w:type="dxa"/>
            <w:noWrap w:val="0"/>
            <w:vAlign w:val="center"/>
          </w:tcPr>
          <w:p>
            <w:pPr>
              <w:jc w:val="center"/>
              <w:rPr>
                <w:rFonts w:hint="eastAsia"/>
                <w:kern w:val="2"/>
                <w:sz w:val="21"/>
              </w:rPr>
            </w:pPr>
            <w:r>
              <w:rPr>
                <w:rFonts w:hint="eastAsia"/>
                <w:kern w:val="2"/>
                <w:sz w:val="21"/>
              </w:rPr>
              <w:t>投标有效期</w:t>
            </w:r>
          </w:p>
        </w:tc>
        <w:tc>
          <w:tcPr>
            <w:tcW w:w="6682" w:type="dxa"/>
            <w:noWrap w:val="0"/>
            <w:vAlign w:val="center"/>
          </w:tcPr>
          <w:p>
            <w:pPr>
              <w:ind w:firstLine="420" w:firstLineChars="200"/>
              <w:rPr>
                <w:rFonts w:hint="eastAsia"/>
                <w:kern w:val="2"/>
                <w:sz w:val="21"/>
              </w:rPr>
            </w:pPr>
            <w:r>
              <w:rPr>
                <w:rFonts w:hint="eastAsia"/>
                <w:kern w:val="2"/>
                <w:sz w:val="21"/>
              </w:rPr>
              <w:t>投标有效期为从提交投标文件的截止之日起90天。投标人的投标文件中承诺的投标有效期少于招标文件中载明的投标有效期的，投标无效。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13</w:t>
            </w:r>
          </w:p>
        </w:tc>
        <w:tc>
          <w:tcPr>
            <w:tcW w:w="1800" w:type="dxa"/>
            <w:noWrap w:val="0"/>
            <w:vAlign w:val="center"/>
          </w:tcPr>
          <w:p>
            <w:pPr>
              <w:jc w:val="center"/>
              <w:rPr>
                <w:rFonts w:hint="eastAsia"/>
                <w:kern w:val="2"/>
                <w:sz w:val="21"/>
              </w:rPr>
            </w:pPr>
            <w:r>
              <w:rPr>
                <w:rFonts w:hint="eastAsia"/>
                <w:kern w:val="2"/>
                <w:sz w:val="21"/>
              </w:rPr>
              <w:t>履约保证金</w:t>
            </w:r>
          </w:p>
        </w:tc>
        <w:tc>
          <w:tcPr>
            <w:tcW w:w="6682" w:type="dxa"/>
            <w:noWrap w:val="0"/>
            <w:vAlign w:val="center"/>
          </w:tcPr>
          <w:p>
            <w:pPr>
              <w:pStyle w:val="17"/>
              <w:ind w:firstLine="420" w:firstLineChars="200"/>
              <w:rPr>
                <w:rFonts w:hint="eastAsia" w:hAnsi="宋体" w:cs="宋体"/>
              </w:rPr>
            </w:pPr>
            <w:r>
              <w:rPr>
                <w:rFonts w:hint="eastAsia" w:hAnsi="宋体" w:cs="宋体"/>
              </w:rPr>
              <w:t>本项目不设置履约保证金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14</w:t>
            </w:r>
          </w:p>
        </w:tc>
        <w:tc>
          <w:tcPr>
            <w:tcW w:w="1800" w:type="dxa"/>
            <w:noWrap w:val="0"/>
            <w:vAlign w:val="center"/>
          </w:tcPr>
          <w:p>
            <w:pPr>
              <w:jc w:val="center"/>
              <w:rPr>
                <w:rFonts w:hint="eastAsia"/>
                <w:kern w:val="2"/>
                <w:sz w:val="21"/>
              </w:rPr>
            </w:pPr>
            <w:r>
              <w:rPr>
                <w:rFonts w:hint="eastAsia"/>
                <w:kern w:val="2"/>
                <w:sz w:val="21"/>
              </w:rPr>
              <w:t>采购及中标公告发布媒体</w:t>
            </w:r>
          </w:p>
        </w:tc>
        <w:tc>
          <w:tcPr>
            <w:tcW w:w="6682" w:type="dxa"/>
            <w:noWrap w:val="0"/>
            <w:vAlign w:val="center"/>
          </w:tcPr>
          <w:p>
            <w:pPr>
              <w:pStyle w:val="17"/>
              <w:ind w:firstLine="420" w:firstLineChars="200"/>
              <w:jc w:val="left"/>
              <w:rPr>
                <w:rFonts w:hint="eastAsia" w:hAnsi="宋体" w:cs="宋体"/>
              </w:rPr>
            </w:pPr>
            <w:r>
              <w:rPr>
                <w:rFonts w:hint="eastAsia" w:hAnsi="宋体" w:cs="宋体"/>
              </w:rPr>
              <w:t>浙江省政府采购网、 绍兴市上虞区公共资源交易中心网站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15</w:t>
            </w:r>
          </w:p>
        </w:tc>
        <w:tc>
          <w:tcPr>
            <w:tcW w:w="1800" w:type="dxa"/>
            <w:noWrap w:val="0"/>
            <w:vAlign w:val="center"/>
          </w:tcPr>
          <w:p>
            <w:pPr>
              <w:jc w:val="center"/>
              <w:rPr>
                <w:rFonts w:hint="eastAsia"/>
                <w:kern w:val="2"/>
                <w:sz w:val="21"/>
              </w:rPr>
            </w:pPr>
            <w:r>
              <w:rPr>
                <w:rFonts w:hint="eastAsia"/>
                <w:kern w:val="2"/>
                <w:sz w:val="21"/>
              </w:rPr>
              <w:t>质疑</w:t>
            </w:r>
          </w:p>
        </w:tc>
        <w:tc>
          <w:tcPr>
            <w:tcW w:w="6682" w:type="dxa"/>
            <w:noWrap w:val="0"/>
            <w:vAlign w:val="center"/>
          </w:tcPr>
          <w:p>
            <w:pPr>
              <w:ind w:firstLine="420" w:firstLineChars="200"/>
              <w:rPr>
                <w:rFonts w:hint="eastAsia"/>
                <w:kern w:val="2"/>
                <w:sz w:val="21"/>
              </w:rPr>
            </w:pPr>
            <w:r>
              <w:rPr>
                <w:rFonts w:hint="eastAsia"/>
                <w:kern w:val="2"/>
                <w:sz w:val="21"/>
              </w:rPr>
              <w:t>根据《中华人民共和国政府采购法》第五十二条、《中华人民共和国政府采购法实施条例》第五十三条、《浙江省政府采购供应商质疑处理办法》的规定：</w:t>
            </w:r>
          </w:p>
          <w:p>
            <w:pPr>
              <w:ind w:firstLine="420" w:firstLineChars="200"/>
              <w:rPr>
                <w:rFonts w:hint="eastAsia"/>
                <w:kern w:val="2"/>
                <w:sz w:val="21"/>
              </w:rPr>
            </w:pPr>
            <w:r>
              <w:rPr>
                <w:rFonts w:hint="eastAsia"/>
                <w:kern w:val="2"/>
                <w:sz w:val="21"/>
              </w:rPr>
              <w:t>供应商认为采购文件使自己的权益受到损害的，可以在采购文件告期限届满之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供应商在法定质疑期内应一次性提出针对同一采购程序环节的质疑。否则质疑将不予受理。</w:t>
            </w:r>
          </w:p>
          <w:p>
            <w:pPr>
              <w:ind w:firstLine="420" w:firstLineChars="200"/>
              <w:rPr>
                <w:rFonts w:hint="eastAsia"/>
                <w:kern w:val="2"/>
                <w:sz w:val="21"/>
              </w:rPr>
            </w:pPr>
            <w:r>
              <w:rPr>
                <w:rFonts w:hint="eastAsia"/>
                <w:kern w:val="2"/>
                <w:sz w:val="21"/>
              </w:rPr>
              <w:t>投标人如认为采购过程使自身的合法权益受到损害的，应于各采购程序环节结束之日起七个工作日内以书面形式向采购机构提出质疑；</w:t>
            </w:r>
          </w:p>
          <w:p>
            <w:pPr>
              <w:ind w:firstLine="420" w:firstLineChars="200"/>
              <w:rPr>
                <w:rFonts w:hint="eastAsia"/>
                <w:kern w:val="2"/>
                <w:sz w:val="21"/>
              </w:rPr>
            </w:pPr>
            <w:r>
              <w:rPr>
                <w:rFonts w:hint="eastAsia"/>
                <w:kern w:val="2"/>
                <w:sz w:val="21"/>
              </w:rPr>
              <w:t>投标人如认为中标结果使自身的合法权益受到损害的，应于中标或者成交结果公告期限届满之日起七个工作日内以书面形式向采购机构提出质疑。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snapToGrid w:val="0"/>
              <w:spacing w:line="360" w:lineRule="exact"/>
              <w:jc w:val="center"/>
              <w:rPr>
                <w:rFonts w:hint="eastAsia"/>
                <w:snapToGrid w:val="0"/>
              </w:rPr>
            </w:pPr>
            <w:r>
              <w:rPr>
                <w:rFonts w:hint="eastAsia"/>
                <w:snapToGrid w:val="0"/>
              </w:rPr>
              <w:t>16</w:t>
            </w:r>
          </w:p>
        </w:tc>
        <w:tc>
          <w:tcPr>
            <w:tcW w:w="1800" w:type="dxa"/>
            <w:noWrap w:val="0"/>
            <w:vAlign w:val="center"/>
          </w:tcPr>
          <w:p>
            <w:pPr>
              <w:jc w:val="center"/>
              <w:rPr>
                <w:rFonts w:hint="eastAsia"/>
                <w:kern w:val="2"/>
                <w:sz w:val="21"/>
              </w:rPr>
            </w:pPr>
            <w:r>
              <w:rPr>
                <w:rFonts w:hint="eastAsia"/>
                <w:kern w:val="2"/>
                <w:sz w:val="21"/>
              </w:rPr>
              <w:t>投诉</w:t>
            </w:r>
          </w:p>
        </w:tc>
        <w:tc>
          <w:tcPr>
            <w:tcW w:w="6682" w:type="dxa"/>
            <w:noWrap w:val="0"/>
            <w:vAlign w:val="center"/>
          </w:tcPr>
          <w:p>
            <w:pPr>
              <w:ind w:firstLine="420" w:firstLineChars="200"/>
              <w:rPr>
                <w:rFonts w:hint="eastAsia"/>
                <w:kern w:val="2"/>
                <w:sz w:val="21"/>
              </w:rPr>
            </w:pPr>
            <w:r>
              <w:rPr>
                <w:rFonts w:hint="eastAsia"/>
                <w:kern w:val="2"/>
                <w:sz w:val="21"/>
              </w:rPr>
              <w:t>根据《政府采购法》第五十五条的规定，质疑供应商对采购人、招标代理机构的答复不满意或者采购人、招标代理机构未在规定的时间内作出答复的，可以在答复期满后十五个工作日内向同级政府采购监督管理部门投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snapToGrid w:val="0"/>
              <w:spacing w:line="360" w:lineRule="exact"/>
              <w:jc w:val="center"/>
              <w:rPr>
                <w:rFonts w:hint="eastAsia"/>
                <w:snapToGrid w:val="0"/>
              </w:rPr>
            </w:pPr>
            <w:r>
              <w:rPr>
                <w:rFonts w:hint="eastAsia"/>
                <w:snapToGrid w:val="0"/>
              </w:rPr>
              <w:t>17</w:t>
            </w:r>
          </w:p>
        </w:tc>
        <w:tc>
          <w:tcPr>
            <w:tcW w:w="1800" w:type="dxa"/>
            <w:noWrap w:val="0"/>
            <w:vAlign w:val="center"/>
          </w:tcPr>
          <w:p>
            <w:pPr>
              <w:jc w:val="center"/>
              <w:rPr>
                <w:rFonts w:hint="eastAsia"/>
                <w:kern w:val="2"/>
                <w:sz w:val="21"/>
              </w:rPr>
            </w:pPr>
            <w:r>
              <w:rPr>
                <w:rFonts w:hint="eastAsia"/>
                <w:kern w:val="2"/>
                <w:sz w:val="21"/>
              </w:rPr>
              <w:t>特别说明</w:t>
            </w:r>
          </w:p>
        </w:tc>
        <w:tc>
          <w:tcPr>
            <w:tcW w:w="6682" w:type="dxa"/>
            <w:noWrap w:val="0"/>
            <w:vAlign w:val="center"/>
          </w:tcPr>
          <w:p>
            <w:pPr>
              <w:pStyle w:val="17"/>
              <w:ind w:firstLine="420" w:firstLineChars="200"/>
              <w:rPr>
                <w:rFonts w:hint="eastAsia" w:hAnsi="宋体" w:cs="宋体"/>
              </w:rPr>
            </w:pPr>
            <w:r>
              <w:rPr>
                <w:rFonts w:hint="eastAsia" w:hAnsi="宋体" w:cs="宋体"/>
              </w:rPr>
              <w:t>投标人应无条件的、认真仔细的阅读本招标文件及其澄清答疑、修改答复的补充文件，严格按照招标文件及补充文件的规定和要求编制投标文件。在编制投标文件过程中，应严格遵循实事求是、诚信投标的原则，针对招标文件中的采购需求、合同条款等各项内容进行确认，如有偏离，应如实填写响应偏离表。</w:t>
            </w:r>
          </w:p>
          <w:p>
            <w:pPr>
              <w:pStyle w:val="17"/>
              <w:ind w:firstLine="420" w:firstLineChars="200"/>
              <w:rPr>
                <w:rFonts w:hint="eastAsia" w:hAnsi="宋体" w:cs="宋体"/>
              </w:rPr>
            </w:pPr>
            <w:r>
              <w:rPr>
                <w:rFonts w:hint="eastAsia" w:hAnsi="宋体" w:cs="宋体"/>
              </w:rPr>
              <w:t>该项目中标公示期间，投标人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pPr>
              <w:pStyle w:val="17"/>
              <w:ind w:firstLine="420" w:firstLineChars="200"/>
              <w:rPr>
                <w:rFonts w:hint="eastAsia" w:hAnsi="宋体" w:cs="宋体"/>
              </w:rPr>
            </w:pPr>
            <w:r>
              <w:rPr>
                <w:rFonts w:hint="eastAsia" w:hAnsi="宋体" w:cs="宋体"/>
              </w:rPr>
              <w:t>招标文件中凡标注“★”的条款均为实质性要求，不响应的投标文件将作无效标处理。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snapToGrid w:val="0"/>
              <w:spacing w:line="360" w:lineRule="exact"/>
              <w:jc w:val="center"/>
              <w:rPr>
                <w:rFonts w:hint="eastAsia"/>
                <w:snapToGrid w:val="0"/>
              </w:rPr>
            </w:pPr>
            <w:r>
              <w:rPr>
                <w:rFonts w:hint="eastAsia"/>
                <w:snapToGrid w:val="0"/>
              </w:rPr>
              <w:t>18</w:t>
            </w:r>
          </w:p>
        </w:tc>
        <w:tc>
          <w:tcPr>
            <w:tcW w:w="1800" w:type="dxa"/>
            <w:noWrap w:val="0"/>
            <w:vAlign w:val="center"/>
          </w:tcPr>
          <w:p>
            <w:pPr>
              <w:jc w:val="center"/>
              <w:rPr>
                <w:rFonts w:hint="eastAsia"/>
                <w:kern w:val="2"/>
                <w:sz w:val="21"/>
              </w:rPr>
            </w:pPr>
            <w:r>
              <w:rPr>
                <w:rFonts w:hint="eastAsia"/>
                <w:kern w:val="2"/>
                <w:sz w:val="21"/>
              </w:rPr>
              <w:t>政府采购节能环保产品</w:t>
            </w:r>
          </w:p>
        </w:tc>
        <w:tc>
          <w:tcPr>
            <w:tcW w:w="6682" w:type="dxa"/>
            <w:noWrap w:val="0"/>
            <w:vAlign w:val="center"/>
          </w:tcPr>
          <w:p>
            <w:pPr>
              <w:ind w:firstLine="420" w:firstLineChars="200"/>
              <w:rPr>
                <w:rFonts w:hint="eastAsia"/>
                <w:kern w:val="2"/>
                <w:sz w:val="21"/>
              </w:rPr>
            </w:pPr>
            <w:r>
              <w:rPr>
                <w:rFonts w:hint="eastAsia"/>
                <w:kern w:val="2"/>
                <w:sz w:val="21"/>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产品属于政府强制采购节能品目的（详见《关于印发节能产品政府采购品目清单的通知》财库〔2019〕19号），投标人须按上款要求提供节能产品认证证书或规定网站证书查询截图，否则将作为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snapToGrid w:val="0"/>
              <w:spacing w:line="360" w:lineRule="exact"/>
              <w:jc w:val="center"/>
              <w:rPr>
                <w:snapToGrid w:val="0"/>
              </w:rPr>
            </w:pPr>
            <w:r>
              <w:rPr>
                <w:rFonts w:hint="eastAsia"/>
                <w:snapToGrid w:val="0"/>
              </w:rPr>
              <w:t>19</w:t>
            </w:r>
          </w:p>
        </w:tc>
        <w:tc>
          <w:tcPr>
            <w:tcW w:w="1800" w:type="dxa"/>
            <w:noWrap w:val="0"/>
            <w:vAlign w:val="center"/>
          </w:tcPr>
          <w:p>
            <w:pPr>
              <w:jc w:val="center"/>
              <w:rPr>
                <w:rFonts w:hint="eastAsia"/>
                <w:kern w:val="2"/>
                <w:sz w:val="21"/>
              </w:rPr>
            </w:pPr>
            <w:r>
              <w:rPr>
                <w:rFonts w:hint="eastAsia"/>
                <w:kern w:val="2"/>
                <w:sz w:val="21"/>
              </w:rPr>
              <w:t>支</w:t>
            </w:r>
          </w:p>
          <w:p>
            <w:pPr>
              <w:jc w:val="center"/>
              <w:rPr>
                <w:rFonts w:hint="eastAsia"/>
                <w:kern w:val="2"/>
                <w:sz w:val="21"/>
              </w:rPr>
            </w:pPr>
            <w:r>
              <w:rPr>
                <w:rFonts w:hint="eastAsia"/>
                <w:kern w:val="2"/>
                <w:sz w:val="21"/>
              </w:rPr>
              <w:t>持</w:t>
            </w:r>
          </w:p>
          <w:p>
            <w:pPr>
              <w:jc w:val="center"/>
              <w:rPr>
                <w:rFonts w:hint="eastAsia"/>
                <w:kern w:val="2"/>
                <w:sz w:val="21"/>
              </w:rPr>
            </w:pPr>
            <w:r>
              <w:rPr>
                <w:rFonts w:hint="eastAsia"/>
                <w:kern w:val="2"/>
                <w:sz w:val="21"/>
              </w:rPr>
              <w:t>中</w:t>
            </w:r>
          </w:p>
          <w:p>
            <w:pPr>
              <w:jc w:val="center"/>
              <w:rPr>
                <w:rFonts w:hint="eastAsia"/>
                <w:kern w:val="2"/>
                <w:sz w:val="21"/>
              </w:rPr>
            </w:pPr>
            <w:r>
              <w:rPr>
                <w:rFonts w:hint="eastAsia"/>
                <w:kern w:val="2"/>
                <w:sz w:val="21"/>
              </w:rPr>
              <w:t>小</w:t>
            </w:r>
          </w:p>
          <w:p>
            <w:pPr>
              <w:jc w:val="center"/>
              <w:rPr>
                <w:rFonts w:hint="eastAsia"/>
                <w:kern w:val="2"/>
                <w:sz w:val="21"/>
              </w:rPr>
            </w:pPr>
            <w:r>
              <w:rPr>
                <w:rFonts w:hint="eastAsia"/>
                <w:kern w:val="2"/>
                <w:sz w:val="21"/>
              </w:rPr>
              <w:t>企</w:t>
            </w:r>
          </w:p>
          <w:p>
            <w:pPr>
              <w:jc w:val="center"/>
              <w:rPr>
                <w:rFonts w:hint="eastAsia"/>
                <w:kern w:val="2"/>
                <w:sz w:val="21"/>
              </w:rPr>
            </w:pPr>
            <w:r>
              <w:rPr>
                <w:rFonts w:hint="eastAsia"/>
                <w:kern w:val="2"/>
                <w:sz w:val="21"/>
              </w:rPr>
              <w:t>业</w:t>
            </w:r>
          </w:p>
          <w:p>
            <w:pPr>
              <w:jc w:val="center"/>
              <w:rPr>
                <w:rFonts w:hint="eastAsia"/>
                <w:kern w:val="2"/>
                <w:sz w:val="21"/>
              </w:rPr>
            </w:pPr>
          </w:p>
        </w:tc>
        <w:tc>
          <w:tcPr>
            <w:tcW w:w="6682" w:type="dxa"/>
            <w:noWrap w:val="0"/>
            <w:vAlign w:val="center"/>
          </w:tcPr>
          <w:p>
            <w:pPr>
              <w:ind w:firstLine="420" w:firstLineChars="200"/>
              <w:rPr>
                <w:rFonts w:hint="eastAsia"/>
                <w:kern w:val="2"/>
                <w:sz w:val="21"/>
                <w:szCs w:val="24"/>
              </w:rPr>
            </w:pPr>
            <w:r>
              <w:rPr>
                <w:rFonts w:hint="eastAsia"/>
                <w:kern w:val="2"/>
                <w:sz w:val="21"/>
                <w:szCs w:val="24"/>
              </w:rPr>
              <w:t>小微企业是指在中华人民共和国境内依法设立，依据国务院批准的中小企业划分标准确定的小型企业和微型企业，但与大企业的负责人为同一人，或者与大企业存在直接控股、管理关系的除外。</w:t>
            </w:r>
          </w:p>
          <w:p>
            <w:pPr>
              <w:ind w:firstLine="420" w:firstLineChars="200"/>
              <w:rPr>
                <w:rFonts w:hint="eastAsia"/>
                <w:kern w:val="2"/>
                <w:sz w:val="21"/>
                <w:szCs w:val="24"/>
              </w:rPr>
            </w:pPr>
            <w:r>
              <w:rPr>
                <w:rFonts w:hint="eastAsia"/>
                <w:kern w:val="2"/>
                <w:sz w:val="21"/>
                <w:szCs w:val="24"/>
              </w:rPr>
              <w:t>符合中小企业划分标准的个体工商户，在政府采购活动中视同中小企业。</w:t>
            </w:r>
          </w:p>
          <w:p>
            <w:pPr>
              <w:ind w:firstLine="420" w:firstLineChars="200"/>
              <w:rPr>
                <w:rFonts w:hint="eastAsia"/>
                <w:kern w:val="2"/>
                <w:sz w:val="21"/>
                <w:szCs w:val="24"/>
              </w:rPr>
            </w:pPr>
            <w:r>
              <w:rPr>
                <w:rFonts w:hint="eastAsia"/>
                <w:kern w:val="2"/>
                <w:sz w:val="21"/>
                <w:szCs w:val="24"/>
              </w:rPr>
              <w:t>在货物采购项目中，货物由小微企业制造，即货物由小微企业生产且使用该小微企业商号或者注册商标。供应商提供的货物既有中小企业制造货物，也有大型企业制造货物的，不享受中小企业扶持政策。</w:t>
            </w:r>
          </w:p>
          <w:p>
            <w:pPr>
              <w:ind w:firstLine="420" w:firstLineChars="200"/>
              <w:rPr>
                <w:rFonts w:hint="eastAsia"/>
                <w:kern w:val="2"/>
                <w:sz w:val="21"/>
                <w:szCs w:val="24"/>
              </w:rPr>
            </w:pPr>
            <w:r>
              <w:rPr>
                <w:rFonts w:hint="eastAsia"/>
                <w:kern w:val="2"/>
                <w:sz w:val="21"/>
                <w:szCs w:val="24"/>
              </w:rPr>
              <w:t>在服务采购项目中，服务由小微企业承接，即提供服务的人员为小微企业依照《中华人民共和国劳动合同法》订立劳动合同的从业人员。</w:t>
            </w:r>
          </w:p>
          <w:p>
            <w:pPr>
              <w:ind w:firstLine="420" w:firstLineChars="200"/>
              <w:rPr>
                <w:rFonts w:hint="eastAsia"/>
                <w:kern w:val="2"/>
                <w:sz w:val="21"/>
                <w:szCs w:val="24"/>
              </w:rPr>
            </w:pPr>
            <w:r>
              <w:rPr>
                <w:rFonts w:hint="eastAsia"/>
                <w:kern w:val="2"/>
                <w:sz w:val="21"/>
                <w:szCs w:val="24"/>
              </w:rPr>
              <w:t>联合体各方均为小型、微型企业的，联合体视同为小型、微型企业。</w:t>
            </w:r>
          </w:p>
          <w:p>
            <w:pPr>
              <w:ind w:firstLine="420" w:firstLineChars="200"/>
              <w:rPr>
                <w:rFonts w:hint="eastAsia"/>
                <w:kern w:val="2"/>
                <w:sz w:val="21"/>
                <w:szCs w:val="24"/>
              </w:rPr>
            </w:pPr>
            <w:r>
              <w:rPr>
                <w:rFonts w:hint="eastAsia"/>
                <w:kern w:val="2"/>
                <w:sz w:val="21"/>
                <w:szCs w:val="24"/>
              </w:rPr>
              <w:t>符合上述条件的中小微型企业应按照招标文件附件11的格式要求提供《中小企业声明函》。符合《关于促进残疾人就业政府采购政策的通知》（财库〔2017〕141号）规定的条件并提供《残疾人福利性单位声明函》（附件13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ind w:firstLine="420" w:firstLineChars="200"/>
              <w:rPr>
                <w:rFonts w:hint="eastAsia"/>
                <w:kern w:val="2"/>
                <w:sz w:val="21"/>
                <w:szCs w:val="24"/>
              </w:rPr>
            </w:pPr>
            <w:r>
              <w:rPr>
                <w:rFonts w:hint="eastAsia"/>
                <w:kern w:val="2"/>
                <w:sz w:val="21"/>
                <w:szCs w:val="24"/>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-20%给予扣除，用扣除后的价格参加评审；对于联合协议或者分包意向协议约定小微企业的合同份额占到合同总金额30%以上的，采购单位、采购代理机构应结合项目实际，对联合体或者大中型企业的报价按4%—6%给予扣除，用扣除后的价格参加评审。</w:t>
            </w:r>
          </w:p>
          <w:p>
            <w:pPr>
              <w:ind w:firstLine="420" w:firstLineChars="200"/>
              <w:rPr>
                <w:rFonts w:hint="eastAsia"/>
                <w:kern w:val="2"/>
                <w:sz w:val="21"/>
              </w:rPr>
            </w:pPr>
            <w:r>
              <w:rPr>
                <w:rFonts w:hint="eastAsia"/>
                <w:kern w:val="2"/>
                <w:sz w:val="21"/>
                <w:szCs w:val="24"/>
              </w:rPr>
              <w:t>组成联合体或者接受分包的小微企业与联合体内其他企业、分包企业之间存在直接控股、管理关系的，不享受价格扣除优惠政策。</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20</w:t>
            </w:r>
          </w:p>
        </w:tc>
        <w:tc>
          <w:tcPr>
            <w:tcW w:w="1800" w:type="dxa"/>
            <w:noWrap w:val="0"/>
            <w:vAlign w:val="center"/>
          </w:tcPr>
          <w:p>
            <w:pPr>
              <w:jc w:val="center"/>
              <w:rPr>
                <w:rFonts w:hint="eastAsia"/>
                <w:b/>
                <w:kern w:val="2"/>
                <w:sz w:val="21"/>
              </w:rPr>
            </w:pPr>
            <w:r>
              <w:rPr>
                <w:rFonts w:hint="eastAsia"/>
                <w:b/>
                <w:kern w:val="2"/>
                <w:sz w:val="21"/>
              </w:rPr>
              <w:t>是否允许分包</w:t>
            </w:r>
          </w:p>
        </w:tc>
        <w:tc>
          <w:tcPr>
            <w:tcW w:w="6682" w:type="dxa"/>
            <w:noWrap w:val="0"/>
            <w:vAlign w:val="center"/>
          </w:tcPr>
          <w:p>
            <w:pPr>
              <w:rPr>
                <w:rFonts w:hint="eastAsia"/>
                <w:kern w:val="2"/>
                <w:sz w:val="21"/>
              </w:rPr>
            </w:pPr>
            <w:r>
              <w:rPr>
                <w:rFonts w:hint="eastAsia"/>
                <w:kern w:val="2"/>
                <w:sz w:val="21"/>
              </w:rPr>
              <w:t>本项目</w:t>
            </w:r>
            <w:r>
              <w:rPr>
                <w:rFonts w:hint="eastAsia"/>
                <w:kern w:val="2"/>
                <w:sz w:val="21"/>
                <w:u w:val="single"/>
              </w:rPr>
              <w:t xml:space="preserve"> 允许 </w:t>
            </w:r>
            <w:r>
              <w:rPr>
                <w:rFonts w:hint="eastAsia"/>
                <w:kern w:val="2"/>
                <w:sz w:val="21"/>
              </w:rPr>
              <w:t>分包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21</w:t>
            </w:r>
          </w:p>
        </w:tc>
        <w:tc>
          <w:tcPr>
            <w:tcW w:w="1800" w:type="dxa"/>
            <w:noWrap w:val="0"/>
            <w:vAlign w:val="center"/>
          </w:tcPr>
          <w:p>
            <w:pPr>
              <w:jc w:val="center"/>
              <w:rPr>
                <w:rFonts w:hint="eastAsia"/>
                <w:kern w:val="2"/>
                <w:sz w:val="21"/>
              </w:rPr>
            </w:pPr>
            <w:r>
              <w:rPr>
                <w:rFonts w:hint="eastAsia"/>
                <w:kern w:val="2"/>
                <w:sz w:val="21"/>
              </w:rPr>
              <w:t>是否提供样品</w:t>
            </w:r>
          </w:p>
        </w:tc>
        <w:tc>
          <w:tcPr>
            <w:tcW w:w="6682" w:type="dxa"/>
            <w:noWrap w:val="0"/>
            <w:vAlign w:val="center"/>
          </w:tcPr>
          <w:p>
            <w:pPr>
              <w:rPr>
                <w:rFonts w:hint="eastAsia"/>
                <w:kern w:val="2"/>
                <w:sz w:val="21"/>
              </w:rPr>
            </w:pPr>
            <w:r>
              <w:rPr>
                <w:rFonts w:hint="eastAsia"/>
                <w:kern w:val="2"/>
                <w:sz w:val="21"/>
              </w:rPr>
              <w:t>本项目</w:t>
            </w:r>
            <w:r>
              <w:rPr>
                <w:rFonts w:hint="eastAsia"/>
                <w:kern w:val="2"/>
                <w:sz w:val="21"/>
                <w:u w:val="single"/>
              </w:rPr>
              <w:t>不需要</w:t>
            </w:r>
            <w:r>
              <w:rPr>
                <w:rFonts w:hint="eastAsia"/>
                <w:kern w:val="2"/>
                <w:sz w:val="21"/>
              </w:rPr>
              <w:t>提供样品。</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22</w:t>
            </w:r>
          </w:p>
        </w:tc>
        <w:tc>
          <w:tcPr>
            <w:tcW w:w="1800" w:type="dxa"/>
            <w:tcBorders>
              <w:bottom w:val="single" w:color="auto" w:sz="4" w:space="0"/>
            </w:tcBorders>
            <w:noWrap w:val="0"/>
            <w:vAlign w:val="center"/>
          </w:tcPr>
          <w:p>
            <w:pPr>
              <w:jc w:val="center"/>
              <w:rPr>
                <w:rFonts w:hint="eastAsia"/>
                <w:kern w:val="2"/>
                <w:sz w:val="21"/>
              </w:rPr>
            </w:pPr>
            <w:r>
              <w:rPr>
                <w:rFonts w:hint="eastAsia"/>
                <w:kern w:val="2"/>
                <w:sz w:val="21"/>
              </w:rPr>
              <w:t>是否提供演示</w:t>
            </w:r>
          </w:p>
        </w:tc>
        <w:tc>
          <w:tcPr>
            <w:tcW w:w="6682" w:type="dxa"/>
            <w:tcBorders>
              <w:bottom w:val="single" w:color="auto" w:sz="4" w:space="0"/>
            </w:tcBorders>
            <w:noWrap w:val="0"/>
            <w:vAlign w:val="center"/>
          </w:tcPr>
          <w:p>
            <w:pPr>
              <w:rPr>
                <w:rFonts w:hint="eastAsia"/>
                <w:kern w:val="2"/>
                <w:sz w:val="21"/>
              </w:rPr>
            </w:pPr>
            <w:r>
              <w:rPr>
                <w:rFonts w:hint="eastAsia"/>
                <w:kern w:val="2"/>
                <w:sz w:val="21"/>
              </w:rPr>
              <w:t>本项目</w:t>
            </w:r>
            <w:r>
              <w:rPr>
                <w:rFonts w:hint="eastAsia"/>
                <w:kern w:val="2"/>
                <w:sz w:val="21"/>
                <w:u w:val="single"/>
              </w:rPr>
              <w:t>不需要</w:t>
            </w:r>
            <w:r>
              <w:rPr>
                <w:rFonts w:hint="eastAsia"/>
                <w:kern w:val="2"/>
                <w:sz w:val="21"/>
              </w:rPr>
              <w:t>提供演示。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660" w:hRule="atLeast"/>
          <w:jc w:val="center"/>
        </w:trPr>
        <w:tc>
          <w:tcPr>
            <w:tcW w:w="648" w:type="dxa"/>
            <w:tcBorders>
              <w:bottom w:val="single" w:color="auto" w:sz="4" w:space="0"/>
            </w:tcBorders>
            <w:noWrap w:val="0"/>
            <w:vAlign w:val="center"/>
          </w:tcPr>
          <w:p>
            <w:pPr>
              <w:jc w:val="center"/>
              <w:rPr>
                <w:rFonts w:hint="eastAsia"/>
                <w:kern w:val="2"/>
                <w:sz w:val="21"/>
              </w:rPr>
            </w:pPr>
            <w:r>
              <w:rPr>
                <w:rFonts w:hint="eastAsia"/>
                <w:kern w:val="2"/>
                <w:sz w:val="21"/>
              </w:rPr>
              <w:t>23</w:t>
            </w:r>
          </w:p>
        </w:tc>
        <w:tc>
          <w:tcPr>
            <w:tcW w:w="1800" w:type="dxa"/>
            <w:tcBorders>
              <w:top w:val="single" w:color="auto" w:sz="4" w:space="0"/>
              <w:bottom w:val="single" w:color="auto" w:sz="4" w:space="0"/>
            </w:tcBorders>
            <w:noWrap w:val="0"/>
            <w:vAlign w:val="center"/>
          </w:tcPr>
          <w:p>
            <w:pPr>
              <w:jc w:val="center"/>
              <w:rPr>
                <w:rFonts w:hint="eastAsia"/>
                <w:kern w:val="2"/>
                <w:sz w:val="21"/>
              </w:rPr>
            </w:pPr>
            <w:r>
              <w:rPr>
                <w:rFonts w:hint="eastAsia"/>
                <w:kern w:val="2"/>
                <w:sz w:val="21"/>
              </w:rPr>
              <w:t>投标人信用信息事项</w:t>
            </w:r>
          </w:p>
        </w:tc>
        <w:tc>
          <w:tcPr>
            <w:tcW w:w="6682" w:type="dxa"/>
            <w:tcBorders>
              <w:top w:val="single" w:color="auto" w:sz="4" w:space="0"/>
              <w:bottom w:val="single" w:color="auto" w:sz="4" w:space="0"/>
            </w:tcBorders>
            <w:noWrap w:val="0"/>
            <w:vAlign w:val="center"/>
          </w:tcPr>
          <w:p>
            <w:pPr>
              <w:ind w:firstLine="420" w:firstLineChars="200"/>
              <w:rPr>
                <w:rFonts w:hint="eastAsia"/>
                <w:kern w:val="2"/>
                <w:sz w:val="21"/>
              </w:rPr>
            </w:pPr>
            <w:r>
              <w:rPr>
                <w:rFonts w:hint="eastAsia"/>
                <w:kern w:val="2"/>
                <w:sz w:val="21"/>
              </w:rPr>
              <w:t>1、查询渠道：信用中国（网址：http://www.creditchina.gov.cn）、中国政府采购网(网址：http://www.ccgp.gov.cn）。</w:t>
            </w:r>
          </w:p>
          <w:p>
            <w:pPr>
              <w:ind w:firstLine="420" w:firstLineChars="200"/>
              <w:rPr>
                <w:rFonts w:hint="eastAsia"/>
                <w:kern w:val="2"/>
                <w:sz w:val="21"/>
              </w:rPr>
            </w:pPr>
            <w:r>
              <w:rPr>
                <w:rFonts w:hint="eastAsia"/>
                <w:kern w:val="2"/>
                <w:sz w:val="21"/>
              </w:rPr>
              <w:t>2、截止时点：开标后评标前。</w:t>
            </w:r>
          </w:p>
          <w:p>
            <w:pPr>
              <w:ind w:firstLine="420" w:firstLineChars="200"/>
              <w:rPr>
                <w:rFonts w:hint="eastAsia"/>
                <w:kern w:val="2"/>
                <w:sz w:val="21"/>
              </w:rPr>
            </w:pPr>
            <w:r>
              <w:rPr>
                <w:rFonts w:hint="eastAsia"/>
                <w:kern w:val="2"/>
                <w:sz w:val="21"/>
              </w:rPr>
              <w:t>3、信用信息查询记录和证据留存的具体方式：由采购组织机构在规定查询时间内打印信用信息查询记录并归入项目档案。</w:t>
            </w:r>
          </w:p>
          <w:p>
            <w:pPr>
              <w:ind w:firstLine="420" w:firstLineChars="200"/>
              <w:rPr>
                <w:rFonts w:hint="eastAsia"/>
                <w:kern w:val="2"/>
                <w:sz w:val="21"/>
              </w:rPr>
            </w:pPr>
            <w:r>
              <w:rPr>
                <w:rFonts w:hint="eastAsia"/>
                <w:kern w:val="2"/>
                <w:sz w:val="21"/>
              </w:rPr>
              <w:t>4、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jc w:val="center"/>
        </w:trPr>
        <w:tc>
          <w:tcPr>
            <w:tcW w:w="648" w:type="dxa"/>
            <w:tcBorders>
              <w:top w:val="single" w:color="auto" w:sz="4" w:space="0"/>
            </w:tcBorders>
            <w:noWrap w:val="0"/>
            <w:vAlign w:val="center"/>
          </w:tcPr>
          <w:p>
            <w:pPr>
              <w:jc w:val="center"/>
              <w:rPr>
                <w:rFonts w:hint="eastAsia"/>
                <w:kern w:val="2"/>
                <w:sz w:val="21"/>
              </w:rPr>
            </w:pPr>
            <w:r>
              <w:rPr>
                <w:rFonts w:hint="eastAsia"/>
                <w:kern w:val="2"/>
                <w:sz w:val="21"/>
              </w:rPr>
              <w:t>24</w:t>
            </w:r>
          </w:p>
        </w:tc>
        <w:tc>
          <w:tcPr>
            <w:tcW w:w="1800" w:type="dxa"/>
            <w:tcBorders>
              <w:top w:val="single" w:color="auto" w:sz="4" w:space="0"/>
            </w:tcBorders>
            <w:noWrap w:val="0"/>
            <w:vAlign w:val="center"/>
          </w:tcPr>
          <w:p>
            <w:pPr>
              <w:jc w:val="center"/>
              <w:rPr>
                <w:kern w:val="2"/>
                <w:sz w:val="21"/>
              </w:rPr>
            </w:pPr>
            <w:r>
              <w:rPr>
                <w:rFonts w:hint="eastAsia"/>
                <w:kern w:val="2"/>
                <w:sz w:val="21"/>
              </w:rPr>
              <w:t>金融支持</w:t>
            </w:r>
          </w:p>
        </w:tc>
        <w:tc>
          <w:tcPr>
            <w:tcW w:w="6682" w:type="dxa"/>
            <w:tcBorders>
              <w:top w:val="single" w:color="auto" w:sz="4" w:space="0"/>
            </w:tcBorders>
            <w:noWrap w:val="0"/>
            <w:vAlign w:val="top"/>
          </w:tcPr>
          <w:p>
            <w:pPr>
              <w:ind w:firstLine="420" w:firstLineChars="200"/>
              <w:rPr>
                <w:kern w:val="2"/>
                <w:sz w:val="21"/>
              </w:rPr>
            </w:pPr>
            <w:r>
              <w:rPr>
                <w:rFonts w:hint="eastAsia"/>
                <w:kern w:val="2"/>
                <w:sz w:val="21"/>
              </w:rPr>
              <w:t>为支持和促进中小企业发展，进一步发挥政府采购政策功能，浙江省财政厅出台浙财采监〔2020〕3 号文件，企业若有融资意向，可登陆政采云平台融资服务（https://jinrong.zcygov.cn/），查看相应融资政策文件及各相关银行服务方案。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jc w:val="center"/>
        </w:trPr>
        <w:tc>
          <w:tcPr>
            <w:tcW w:w="648" w:type="dxa"/>
            <w:tcBorders>
              <w:top w:val="single" w:color="auto" w:sz="4" w:space="0"/>
            </w:tcBorders>
            <w:noWrap w:val="0"/>
            <w:vAlign w:val="center"/>
          </w:tcPr>
          <w:p>
            <w:pPr>
              <w:jc w:val="center"/>
              <w:rPr>
                <w:rFonts w:hint="eastAsia"/>
                <w:kern w:val="2"/>
                <w:sz w:val="21"/>
              </w:rPr>
            </w:pPr>
            <w:r>
              <w:rPr>
                <w:rFonts w:hint="eastAsia"/>
                <w:kern w:val="2"/>
                <w:sz w:val="21"/>
              </w:rPr>
              <w:t>25</w:t>
            </w:r>
          </w:p>
        </w:tc>
        <w:tc>
          <w:tcPr>
            <w:tcW w:w="1800" w:type="dxa"/>
            <w:tcBorders>
              <w:top w:val="single" w:color="auto" w:sz="4" w:space="0"/>
            </w:tcBorders>
            <w:noWrap w:val="0"/>
            <w:vAlign w:val="center"/>
          </w:tcPr>
          <w:p>
            <w:pPr>
              <w:jc w:val="center"/>
              <w:rPr>
                <w:rFonts w:hint="eastAsia"/>
                <w:kern w:val="2"/>
                <w:sz w:val="21"/>
              </w:rPr>
            </w:pPr>
            <w:r>
              <w:rPr>
                <w:rFonts w:hint="eastAsia"/>
                <w:kern w:val="2"/>
                <w:sz w:val="21"/>
              </w:rPr>
              <w:t>商品包装和快递包装要求</w:t>
            </w:r>
          </w:p>
        </w:tc>
        <w:tc>
          <w:tcPr>
            <w:tcW w:w="6682" w:type="dxa"/>
            <w:tcBorders>
              <w:top w:val="single" w:color="auto" w:sz="4" w:space="0"/>
            </w:tcBorders>
            <w:noWrap w:val="0"/>
            <w:vAlign w:val="top"/>
          </w:tcPr>
          <w:p>
            <w:pPr>
              <w:ind w:firstLine="422" w:firstLineChars="200"/>
              <w:rPr>
                <w:rFonts w:hint="eastAsia"/>
                <w:b/>
                <w:kern w:val="2"/>
                <w:sz w:val="21"/>
              </w:rPr>
            </w:pPr>
            <w:r>
              <w:rPr>
                <w:rFonts w:hint="eastAsia"/>
                <w:b/>
                <w:kern w:val="2"/>
                <w:sz w:val="21"/>
              </w:rPr>
              <w:t>本次项目采购所涉及的商品包装和快递包装要求均应符合《关于印发《商品包装政府采购需求标准（试行）》、 《快递包装政府采购需求标准（试行）》的通知》（财办库〔2020〕123号）文件要求，必要时由采购人在履约验收环节根据实际情况要求供应商出具检测报告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356" w:hRule="atLeast"/>
          <w:jc w:val="center"/>
        </w:trPr>
        <w:tc>
          <w:tcPr>
            <w:tcW w:w="648" w:type="dxa"/>
            <w:vMerge w:val="restart"/>
            <w:tcBorders>
              <w:top w:val="single" w:color="auto" w:sz="4" w:space="0"/>
            </w:tcBorders>
            <w:noWrap w:val="0"/>
            <w:vAlign w:val="center"/>
          </w:tcPr>
          <w:p>
            <w:pPr>
              <w:jc w:val="center"/>
              <w:rPr>
                <w:rFonts w:hint="eastAsia"/>
                <w:kern w:val="2"/>
                <w:sz w:val="21"/>
              </w:rPr>
            </w:pPr>
            <w:r>
              <w:rPr>
                <w:rFonts w:hint="eastAsia"/>
                <w:kern w:val="2"/>
                <w:sz w:val="21"/>
              </w:rPr>
              <w:t>2</w:t>
            </w:r>
            <w:r>
              <w:rPr>
                <w:kern w:val="2"/>
                <w:sz w:val="21"/>
              </w:rPr>
              <w:t>6</w:t>
            </w:r>
          </w:p>
        </w:tc>
        <w:tc>
          <w:tcPr>
            <w:tcW w:w="1800" w:type="dxa"/>
            <w:vMerge w:val="restart"/>
            <w:tcBorders>
              <w:top w:val="single" w:color="auto" w:sz="4" w:space="0"/>
            </w:tcBorders>
            <w:noWrap w:val="0"/>
            <w:vAlign w:val="center"/>
          </w:tcPr>
          <w:p>
            <w:pPr>
              <w:jc w:val="center"/>
              <w:rPr>
                <w:rFonts w:hint="eastAsia"/>
                <w:kern w:val="2"/>
                <w:sz w:val="21"/>
              </w:rPr>
            </w:pPr>
            <w:r>
              <w:rPr>
                <w:rFonts w:hint="eastAsia"/>
              </w:rPr>
              <w:t>预付款</w:t>
            </w:r>
          </w:p>
        </w:tc>
        <w:tc>
          <w:tcPr>
            <w:tcW w:w="6682" w:type="dxa"/>
            <w:tcBorders>
              <w:top w:val="single" w:color="auto" w:sz="4" w:space="0"/>
            </w:tcBorders>
            <w:noWrap w:val="0"/>
            <w:vAlign w:val="center"/>
          </w:tcPr>
          <w:p>
            <w:pPr>
              <w:ind w:firstLine="420" w:firstLineChars="200"/>
              <w:rPr>
                <w:rFonts w:hint="eastAsia"/>
                <w:b/>
                <w:kern w:val="2"/>
                <w:sz w:val="21"/>
              </w:rPr>
            </w:pPr>
            <w:r>
              <w:rPr>
                <w:rFonts w:hint="eastAsia"/>
                <w:sz w:val="21"/>
              </w:rPr>
              <w:t>本项目</w:t>
            </w:r>
            <w:r>
              <w:rPr>
                <w:rFonts w:hint="eastAsia"/>
                <w:sz w:val="21"/>
                <w:u w:val="single"/>
              </w:rPr>
              <w:sym w:font="Wingdings 2" w:char="F052"/>
            </w:r>
            <w:r>
              <w:rPr>
                <w:rFonts w:hint="eastAsia"/>
                <w:sz w:val="21"/>
                <w:u w:val="single"/>
              </w:rPr>
              <w:t xml:space="preserve">是 □否 </w:t>
            </w:r>
            <w:r>
              <w:rPr>
                <w:rFonts w:hint="eastAsia"/>
                <w:sz w:val="21"/>
              </w:rPr>
              <w:t>涉及预付款，预付款比例为</w:t>
            </w:r>
            <w:r>
              <w:rPr>
                <w:rFonts w:hint="eastAsia"/>
                <w:sz w:val="21"/>
                <w:u w:val="single"/>
              </w:rPr>
              <w:t xml:space="preserve"> 20  </w:t>
            </w:r>
            <w:r>
              <w:rPr>
                <w:rFonts w:hint="eastAsia"/>
                <w:sz w:val="21"/>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081" w:hRule="atLeast"/>
          <w:jc w:val="center"/>
        </w:trPr>
        <w:tc>
          <w:tcPr>
            <w:tcW w:w="648" w:type="dxa"/>
            <w:vMerge w:val="continue"/>
            <w:noWrap w:val="0"/>
            <w:vAlign w:val="center"/>
          </w:tcPr>
          <w:p>
            <w:pPr>
              <w:jc w:val="center"/>
              <w:rPr>
                <w:rFonts w:hint="eastAsia"/>
                <w:kern w:val="2"/>
                <w:sz w:val="21"/>
              </w:rPr>
            </w:pPr>
          </w:p>
        </w:tc>
        <w:tc>
          <w:tcPr>
            <w:tcW w:w="1800" w:type="dxa"/>
            <w:vMerge w:val="continue"/>
            <w:noWrap w:val="0"/>
            <w:vAlign w:val="center"/>
          </w:tcPr>
          <w:p>
            <w:pPr>
              <w:jc w:val="center"/>
              <w:rPr>
                <w:rFonts w:hint="eastAsia"/>
                <w:kern w:val="2"/>
                <w:sz w:val="21"/>
              </w:rPr>
            </w:pPr>
          </w:p>
        </w:tc>
        <w:tc>
          <w:tcPr>
            <w:tcW w:w="6682" w:type="dxa"/>
            <w:tcBorders>
              <w:top w:val="single" w:color="auto" w:sz="4" w:space="0"/>
            </w:tcBorders>
            <w:noWrap w:val="0"/>
            <w:vAlign w:val="center"/>
          </w:tcPr>
          <w:p>
            <w:pPr>
              <w:ind w:firstLine="420" w:firstLineChars="200"/>
              <w:rPr>
                <w:rFonts w:hint="eastAsia"/>
                <w:kern w:val="2"/>
                <w:sz w:val="21"/>
              </w:rPr>
            </w:pPr>
            <w:r>
              <w:rPr>
                <w:rFonts w:hint="eastAsia"/>
                <w:kern w:val="2"/>
                <w:sz w:val="21"/>
              </w:rPr>
              <w:t>根据《浙江省财政厅关于进一步发挥政府采购政策功能全力推动经济稳进提质的通知》[浙财采监〔2022）3号]文件第二条第五点关于“进一步提高政府采购预付款比例”的规定：</w:t>
            </w:r>
          </w:p>
          <w:p>
            <w:pPr>
              <w:ind w:firstLine="420" w:firstLineChars="200"/>
              <w:rPr>
                <w:rFonts w:hint="eastAsia"/>
                <w:kern w:val="2"/>
                <w:sz w:val="21"/>
              </w:rPr>
            </w:pPr>
            <w:r>
              <w:rPr>
                <w:rFonts w:hint="eastAsia"/>
                <w:kern w:val="2"/>
                <w:sz w:val="21"/>
              </w:rPr>
              <w:t>1、采购单位应当在政府采购合同中约定预付款；</w:t>
            </w:r>
          </w:p>
          <w:p>
            <w:pPr>
              <w:ind w:firstLine="420" w:firstLineChars="200"/>
              <w:rPr>
                <w:rFonts w:hint="eastAsia"/>
                <w:kern w:val="2"/>
                <w:sz w:val="21"/>
              </w:rPr>
            </w:pPr>
            <w:r>
              <w:rPr>
                <w:rFonts w:hint="eastAsia"/>
                <w:kern w:val="2"/>
                <w:sz w:val="21"/>
              </w:rPr>
              <w:t>2、项目涉及中小企业合同预付款的，合同签订后，采购人可以根据项目特点、供应商诚信等因素要求中标人提交银行、保险公司等金融机构出具的预付款保函或其他担保措施，采购人在合同生效以及具备实施条件后7个工作日内向中标人支付40%-70%的合同款作为预付款（项目为分年安排预算的，预付款按年度计划支付资金额的上述比例执行）；项目如以人工投入为主，采购人在合同生效以及具备实施条件后7个工作日内向中标人支付20%-70%的合同款作为预付款。</w:t>
            </w:r>
          </w:p>
          <w:p>
            <w:pPr>
              <w:ind w:firstLine="420" w:firstLineChars="200"/>
              <w:rPr>
                <w:rFonts w:hint="eastAsia"/>
                <w:kern w:val="2"/>
                <w:sz w:val="21"/>
              </w:rPr>
            </w:pPr>
            <w:r>
              <w:rPr>
                <w:rFonts w:hint="eastAsia"/>
                <w:kern w:val="2"/>
                <w:sz w:val="21"/>
              </w:rPr>
              <w:t>3、本项目涉及投标人为大型企业，或者以人工投入为主且实行按月定期结算支付款项的，预付款可低于上述比例或者不约定预付款（相应字样应在合同中体现）。</w:t>
            </w:r>
          </w:p>
          <w:p>
            <w:pPr>
              <w:ind w:firstLine="420" w:firstLineChars="200"/>
              <w:rPr>
                <w:rFonts w:hint="eastAsia"/>
                <w:kern w:val="2"/>
                <w:sz w:val="21"/>
              </w:rPr>
            </w:pPr>
            <w:r>
              <w:rPr>
                <w:rFonts w:hint="eastAsia"/>
                <w:kern w:val="2"/>
                <w:sz w:val="21"/>
              </w:rPr>
              <w:t>4、在签订合同时，中标人明确表示无需预付款或者主动要求降低预付款比例的，应提交相应申请函经采购人确认后，可不适用前述规定。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2</w:t>
            </w:r>
            <w:r>
              <w:rPr>
                <w:kern w:val="2"/>
                <w:sz w:val="21"/>
              </w:rPr>
              <w:t>7</w:t>
            </w:r>
          </w:p>
        </w:tc>
        <w:tc>
          <w:tcPr>
            <w:tcW w:w="1800" w:type="dxa"/>
            <w:noWrap w:val="0"/>
            <w:vAlign w:val="center"/>
          </w:tcPr>
          <w:p>
            <w:pPr>
              <w:jc w:val="center"/>
              <w:rPr>
                <w:rFonts w:hint="eastAsia"/>
                <w:kern w:val="2"/>
                <w:sz w:val="21"/>
              </w:rPr>
            </w:pPr>
            <w:r>
              <w:rPr>
                <w:rFonts w:hint="eastAsia"/>
                <w:kern w:val="2"/>
                <w:sz w:val="21"/>
              </w:rPr>
              <w:t>招标代理费</w:t>
            </w:r>
          </w:p>
        </w:tc>
        <w:tc>
          <w:tcPr>
            <w:tcW w:w="6682" w:type="dxa"/>
            <w:noWrap w:val="0"/>
            <w:vAlign w:val="center"/>
          </w:tcPr>
          <w:p>
            <w:pPr>
              <w:autoSpaceDN w:val="0"/>
              <w:spacing w:line="340" w:lineRule="exact"/>
              <w:ind w:firstLine="420" w:firstLineChars="200"/>
              <w:rPr>
                <w:snapToGrid w:val="0"/>
                <w:sz w:val="21"/>
                <w:szCs w:val="24"/>
              </w:rPr>
            </w:pPr>
            <w:r>
              <w:rPr>
                <w:rFonts w:hint="eastAsia"/>
                <w:snapToGrid w:val="0"/>
                <w:sz w:val="21"/>
                <w:szCs w:val="24"/>
              </w:rPr>
              <w:t>招标代理服务费由成交供应商支付，按下列服务招标计算方式计取。</w:t>
            </w:r>
          </w:p>
          <w:tbl>
            <w:tblPr>
              <w:tblStyle w:val="34"/>
              <w:tblW w:w="0" w:type="auto"/>
              <w:jc w:val="center"/>
              <w:tblCellSpacing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3110"/>
              <w:gridCol w:w="1008"/>
              <w:gridCol w:w="1008"/>
              <w:gridCol w:w="977"/>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30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服务类型 中标金额（万元）</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widowControl/>
                    <w:spacing w:before="100" w:beforeAutospacing="1" w:after="100" w:afterAutospacing="1"/>
                    <w:jc w:val="center"/>
                    <w:rPr>
                      <w:sz w:val="21"/>
                    </w:rPr>
                  </w:pPr>
                  <w:r>
                    <w:rPr>
                      <w:rFonts w:hint="eastAsia"/>
                      <w:sz w:val="21"/>
                    </w:rPr>
                    <w:t>货物招标</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服务招标</w:t>
                  </w:r>
                </w:p>
              </w:tc>
              <w:tc>
                <w:tcPr>
                  <w:tcW w:w="977"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工程招标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100以下</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1.5％</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1.5％</w:t>
                  </w:r>
                </w:p>
              </w:tc>
              <w:tc>
                <w:tcPr>
                  <w:tcW w:w="977"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1.0％</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100—500</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1.1％</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0.8％</w:t>
                  </w:r>
                </w:p>
              </w:tc>
              <w:tc>
                <w:tcPr>
                  <w:tcW w:w="977"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0.7％</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500—1000</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0.8％</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0.45％</w:t>
                  </w:r>
                </w:p>
              </w:tc>
              <w:tc>
                <w:tcPr>
                  <w:tcW w:w="977"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0.55％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1000—5000</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0.5％</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0.25％</w:t>
                  </w:r>
                </w:p>
              </w:tc>
              <w:tc>
                <w:tcPr>
                  <w:tcW w:w="977"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0.35％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5000—10000</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0.25％</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0.1％</w:t>
                  </w:r>
                </w:p>
              </w:tc>
              <w:tc>
                <w:tcPr>
                  <w:tcW w:w="977"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0.2％</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10000——100000</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0.05％</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0.05％</w:t>
                  </w:r>
                </w:p>
              </w:tc>
              <w:tc>
                <w:tcPr>
                  <w:tcW w:w="977"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0.05％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10" w:hRule="atLeast"/>
                <w:tblCellSpacing w:w="0" w:type="dxa"/>
                <w:jc w:val="center"/>
              </w:trPr>
              <w:tc>
                <w:tcPr>
                  <w:tcW w:w="3110"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1000000以上</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0.01％</w:t>
                  </w:r>
                </w:p>
              </w:tc>
              <w:tc>
                <w:tcPr>
                  <w:tcW w:w="1008"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0.01％</w:t>
                  </w:r>
                </w:p>
              </w:tc>
              <w:tc>
                <w:tcPr>
                  <w:tcW w:w="977" w:type="dxa"/>
                  <w:tcBorders>
                    <w:top w:val="outset" w:color="auto" w:sz="6" w:space="0"/>
                    <w:left w:val="outset" w:color="auto" w:sz="6" w:space="0"/>
                    <w:bottom w:val="outset" w:color="auto" w:sz="6" w:space="0"/>
                    <w:right w:val="outset" w:color="auto" w:sz="6" w:space="0"/>
                  </w:tcBorders>
                  <w:noWrap w:val="0"/>
                  <w:vAlign w:val="center"/>
                </w:tcPr>
                <w:p>
                  <w:pPr>
                    <w:jc w:val="center"/>
                    <w:rPr>
                      <w:kern w:val="2"/>
                      <w:sz w:val="21"/>
                      <w:szCs w:val="24"/>
                    </w:rPr>
                  </w:pPr>
                  <w:r>
                    <w:rPr>
                      <w:rFonts w:hint="eastAsia"/>
                      <w:kern w:val="2"/>
                      <w:sz w:val="21"/>
                      <w:szCs w:val="24"/>
                    </w:rPr>
                    <w:t>0.01％</w:t>
                  </w:r>
                </w:p>
              </w:tc>
            </w:tr>
          </w:tbl>
          <w:p>
            <w:pPr>
              <w:ind w:firstLine="420" w:firstLineChars="200"/>
              <w:rPr>
                <w:rFonts w:hint="eastAsia"/>
                <w:b/>
                <w:color w:val="000000"/>
              </w:rPr>
            </w:pPr>
            <w:r>
              <w:rPr>
                <w:rFonts w:hint="eastAsia"/>
                <w:snapToGrid w:val="0"/>
                <w:sz w:val="21"/>
                <w:szCs w:val="24"/>
              </w:rPr>
              <w:t>结算方式及时间为：在领取中标通知书前由成交供应商一次性向采购代理机构付清。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567" w:hRule="atLeast"/>
          <w:jc w:val="center"/>
        </w:trPr>
        <w:tc>
          <w:tcPr>
            <w:tcW w:w="648" w:type="dxa"/>
            <w:noWrap w:val="0"/>
            <w:vAlign w:val="center"/>
          </w:tcPr>
          <w:p>
            <w:pPr>
              <w:jc w:val="center"/>
              <w:rPr>
                <w:rFonts w:hint="eastAsia"/>
                <w:kern w:val="2"/>
                <w:sz w:val="21"/>
              </w:rPr>
            </w:pPr>
            <w:r>
              <w:rPr>
                <w:rFonts w:hint="eastAsia"/>
                <w:kern w:val="2"/>
                <w:sz w:val="21"/>
              </w:rPr>
              <w:t>2</w:t>
            </w:r>
            <w:r>
              <w:rPr>
                <w:kern w:val="2"/>
                <w:sz w:val="21"/>
              </w:rPr>
              <w:t>8</w:t>
            </w:r>
          </w:p>
        </w:tc>
        <w:tc>
          <w:tcPr>
            <w:tcW w:w="1800" w:type="dxa"/>
            <w:noWrap w:val="0"/>
            <w:vAlign w:val="center"/>
          </w:tcPr>
          <w:p>
            <w:pPr>
              <w:jc w:val="center"/>
              <w:rPr>
                <w:rFonts w:hint="eastAsia"/>
                <w:kern w:val="2"/>
                <w:sz w:val="21"/>
              </w:rPr>
            </w:pPr>
            <w:r>
              <w:rPr>
                <w:rFonts w:hint="eastAsia"/>
                <w:kern w:val="2"/>
                <w:sz w:val="21"/>
              </w:rPr>
              <w:t>其他</w:t>
            </w:r>
          </w:p>
        </w:tc>
        <w:tc>
          <w:tcPr>
            <w:tcW w:w="6682" w:type="dxa"/>
            <w:noWrap w:val="0"/>
            <w:vAlign w:val="center"/>
          </w:tcPr>
          <w:p>
            <w:pPr>
              <w:ind w:firstLine="422" w:firstLineChars="200"/>
              <w:rPr>
                <w:b/>
                <w:kern w:val="2"/>
                <w:sz w:val="21"/>
              </w:rPr>
            </w:pPr>
            <w:r>
              <w:rPr>
                <w:rFonts w:hint="eastAsia"/>
                <w:b/>
                <w:kern w:val="2"/>
                <w:sz w:val="21"/>
              </w:rPr>
              <w:t>1、本招标文件要求提供的身份证复印件皆需提供正反面，否则按不提供处理。</w:t>
            </w:r>
          </w:p>
          <w:p>
            <w:pPr>
              <w:ind w:firstLine="422" w:firstLineChars="200"/>
              <w:rPr>
                <w:rFonts w:hint="eastAsia"/>
                <w:b/>
                <w:kern w:val="2"/>
                <w:sz w:val="21"/>
              </w:rPr>
            </w:pPr>
            <w:r>
              <w:rPr>
                <w:rFonts w:hint="eastAsia"/>
                <w:b/>
                <w:kern w:val="2"/>
                <w:sz w:val="21"/>
              </w:rPr>
              <w:t>2、本项目货物如涉及柴油动力移动源，柴油动力移动源应当符合低排放要求。</w:t>
            </w:r>
          </w:p>
        </w:tc>
      </w:tr>
    </w:tbl>
    <w:p>
      <w:pPr>
        <w:pStyle w:val="80"/>
        <w:spacing w:before="0"/>
        <w:ind w:firstLine="420"/>
        <w:rPr>
          <w:rFonts w:hint="eastAsia" w:ascii="宋体" w:hAnsi="宋体" w:cs="宋体"/>
          <w:sz w:val="21"/>
          <w:szCs w:val="21"/>
        </w:rPr>
      </w:pPr>
      <w:r>
        <w:rPr>
          <w:rFonts w:hint="eastAsia" w:ascii="宋体" w:hAnsi="宋体" w:cs="宋体"/>
          <w:sz w:val="21"/>
          <w:szCs w:val="21"/>
        </w:rPr>
        <w:t>注：以上内容如有变化将另行通知。如通知其中某一内容发生变化，其余未提及的将不作变动。</w:t>
      </w:r>
    </w:p>
    <w:p>
      <w:pPr>
        <w:spacing w:line="360" w:lineRule="auto"/>
        <w:jc w:val="center"/>
        <w:outlineLvl w:val="0"/>
        <w:rPr>
          <w:rFonts w:hint="eastAsia"/>
          <w:bCs/>
          <w:sz w:val="32"/>
        </w:rPr>
      </w:pPr>
      <w:bookmarkStart w:id="20" w:name="_Toc121294569"/>
      <w:r>
        <w:rPr>
          <w:rFonts w:hint="eastAsia"/>
          <w:b/>
          <w:sz w:val="36"/>
          <w:szCs w:val="20"/>
        </w:rPr>
        <w:t>一、总则</w:t>
      </w:r>
      <w:bookmarkEnd w:id="15"/>
      <w:bookmarkEnd w:id="20"/>
    </w:p>
    <w:p>
      <w:pPr>
        <w:pStyle w:val="17"/>
        <w:numPr>
          <w:ilvl w:val="0"/>
          <w:numId w:val="13"/>
        </w:numPr>
        <w:spacing w:line="360" w:lineRule="auto"/>
        <w:ind w:firstLine="482" w:firstLineChars="200"/>
        <w:rPr>
          <w:rFonts w:hint="eastAsia" w:hAnsi="宋体" w:cs="宋体"/>
          <w:b/>
          <w:sz w:val="24"/>
          <w:szCs w:val="24"/>
        </w:rPr>
      </w:pPr>
      <w:bookmarkStart w:id="21" w:name="_Hlt74714665"/>
      <w:bookmarkEnd w:id="21"/>
      <w:bookmarkStart w:id="22" w:name="_Hlt74730295"/>
      <w:bookmarkEnd w:id="22"/>
      <w:bookmarkStart w:id="23" w:name="_Toc91899872"/>
      <w:bookmarkStart w:id="24" w:name="_Hlt74730112"/>
      <w:bookmarkStart w:id="25" w:name="_Hlt74730208"/>
      <w:r>
        <w:rPr>
          <w:rFonts w:hint="eastAsia" w:hAnsi="宋体" w:cs="宋体"/>
          <w:b/>
          <w:sz w:val="24"/>
          <w:szCs w:val="24"/>
        </w:rPr>
        <w:t>项目说明</w:t>
      </w:r>
      <w:bookmarkEnd w:id="23"/>
    </w:p>
    <w:p>
      <w:pPr>
        <w:pStyle w:val="80"/>
        <w:numPr>
          <w:ilvl w:val="0"/>
          <w:numId w:val="14"/>
        </w:numPr>
        <w:tabs>
          <w:tab w:val="left" w:pos="0"/>
        </w:tabs>
        <w:spacing w:before="0"/>
        <w:ind w:firstLine="480"/>
        <w:rPr>
          <w:rFonts w:hint="eastAsia" w:ascii="宋体" w:hAnsi="宋体" w:cs="宋体"/>
          <w:szCs w:val="24"/>
        </w:rPr>
      </w:pPr>
      <w:r>
        <w:rPr>
          <w:rFonts w:hint="eastAsia" w:ascii="宋体" w:hAnsi="宋体" w:cs="宋体"/>
          <w:szCs w:val="24"/>
        </w:rPr>
        <w:t>项目说明见前附表所述。投标人一旦参与本次招标活动，即被视为接受了本招标文件的所有内容，如有任何异议，均已在法定时间内提出。</w:t>
      </w:r>
    </w:p>
    <w:p>
      <w:pPr>
        <w:pStyle w:val="80"/>
        <w:numPr>
          <w:ilvl w:val="0"/>
          <w:numId w:val="14"/>
        </w:numPr>
        <w:tabs>
          <w:tab w:val="left" w:pos="0"/>
        </w:tabs>
        <w:spacing w:before="0"/>
        <w:ind w:firstLine="480"/>
        <w:rPr>
          <w:rFonts w:hint="eastAsia" w:ascii="宋体" w:hAnsi="宋体" w:cs="宋体"/>
          <w:szCs w:val="24"/>
        </w:rPr>
      </w:pPr>
      <w:r>
        <w:rPr>
          <w:rFonts w:hint="eastAsia" w:ascii="宋体" w:hAnsi="宋体" w:cs="宋体"/>
          <w:szCs w:val="24"/>
        </w:rPr>
        <w:t>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w:t>
      </w:r>
      <w:r>
        <w:rPr>
          <w:rFonts w:hint="eastAsia" w:ascii="宋体" w:hAnsi="宋体" w:cs="宋体"/>
          <w:szCs w:val="24"/>
          <w:lang w:val="zh-CN"/>
        </w:rPr>
        <w:t>供应商</w:t>
      </w:r>
      <w:r>
        <w:rPr>
          <w:rFonts w:hint="eastAsia" w:ascii="宋体" w:hAnsi="宋体" w:cs="宋体"/>
          <w:szCs w:val="24"/>
        </w:rPr>
        <w:t>应承担相应后果，</w:t>
      </w:r>
      <w:r>
        <w:rPr>
          <w:rFonts w:hint="eastAsia" w:ascii="宋体" w:hAnsi="宋体" w:cs="宋体"/>
          <w:szCs w:val="24"/>
          <w:lang w:val="zh-CN"/>
        </w:rPr>
        <w:t>并负责赔偿。</w:t>
      </w:r>
      <w:r>
        <w:rPr>
          <w:rFonts w:hint="eastAsia" w:ascii="宋体" w:hAnsi="宋体" w:cs="宋体"/>
          <w:szCs w:val="24"/>
        </w:rPr>
        <w:t>供应商为执行本项目合同而提供的技术资料等归采购人所有。</w:t>
      </w:r>
    </w:p>
    <w:p>
      <w:pPr>
        <w:snapToGrid w:val="0"/>
        <w:spacing w:line="440" w:lineRule="exact"/>
        <w:ind w:firstLine="480" w:firstLineChars="200"/>
        <w:jc w:val="left"/>
        <w:rPr>
          <w:rFonts w:hint="eastAsia"/>
          <w:sz w:val="24"/>
        </w:rPr>
      </w:pPr>
      <w:bookmarkStart w:id="26" w:name="_Toc91899873"/>
      <w:r>
        <w:rPr>
          <w:rFonts w:hint="eastAsia"/>
          <w:sz w:val="24"/>
        </w:rPr>
        <w:t>1.3本招标文件所称公章是指单位法定名称章或者冠以单位法定名称的电子公章。</w:t>
      </w:r>
    </w:p>
    <w:p>
      <w:pPr>
        <w:snapToGrid w:val="0"/>
        <w:spacing w:line="440" w:lineRule="exact"/>
        <w:ind w:firstLine="480" w:firstLineChars="200"/>
        <w:jc w:val="left"/>
        <w:rPr>
          <w:rFonts w:hint="eastAsia"/>
          <w:sz w:val="24"/>
        </w:rPr>
      </w:pPr>
      <w:r>
        <w:rPr>
          <w:rFonts w:hint="eastAsia"/>
          <w:sz w:val="24"/>
        </w:rPr>
        <w:t>1.4公开招标数额标准以上的采购项目，投标截止后投标人不足3家或者通过资格审查或符合性审查的投标人不足3家的，除采购任务取消情形外，按照以下方式处理：</w:t>
      </w:r>
    </w:p>
    <w:p>
      <w:pPr>
        <w:pStyle w:val="80"/>
        <w:numPr>
          <w:ilvl w:val="0"/>
          <w:numId w:val="15"/>
        </w:numPr>
        <w:spacing w:before="0"/>
        <w:ind w:firstLine="480"/>
        <w:rPr>
          <w:rFonts w:hint="eastAsia" w:ascii="宋体" w:hAnsi="宋体" w:cs="宋体"/>
          <w:szCs w:val="24"/>
        </w:rPr>
      </w:pPr>
      <w:r>
        <w:rPr>
          <w:rFonts w:hint="eastAsia" w:ascii="宋体" w:hAnsi="宋体" w:cs="宋体"/>
          <w:szCs w:val="24"/>
        </w:rPr>
        <w:t>招标文件存在不合理条款或者招标程序不符合规定的，采购人、采购代理机构改正后依法重新招标；</w:t>
      </w:r>
    </w:p>
    <w:p>
      <w:pPr>
        <w:pStyle w:val="80"/>
        <w:numPr>
          <w:ilvl w:val="0"/>
          <w:numId w:val="15"/>
        </w:numPr>
        <w:spacing w:before="0"/>
        <w:ind w:firstLine="480"/>
        <w:rPr>
          <w:rFonts w:hint="eastAsia" w:ascii="宋体" w:hAnsi="宋体" w:cs="宋体"/>
          <w:szCs w:val="24"/>
        </w:rPr>
      </w:pPr>
      <w:r>
        <w:rPr>
          <w:rFonts w:hint="eastAsia" w:ascii="宋体" w:hAnsi="宋体" w:cs="宋体"/>
          <w:szCs w:val="24"/>
        </w:rPr>
        <w:t>招标文件没有不合理条款、招标程序符合规定，需要采用其他采购方式采购的，采购人应当依法报财政部门批准。</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采购方式</w:t>
      </w:r>
      <w:bookmarkEnd w:id="26"/>
    </w:p>
    <w:p>
      <w:pPr>
        <w:tabs>
          <w:tab w:val="left" w:pos="3780"/>
        </w:tabs>
        <w:spacing w:line="360" w:lineRule="auto"/>
        <w:ind w:firstLine="480" w:firstLineChars="200"/>
        <w:rPr>
          <w:rFonts w:hint="eastAsia"/>
          <w:sz w:val="24"/>
        </w:rPr>
      </w:pPr>
      <w:r>
        <w:rPr>
          <w:rFonts w:hint="eastAsia"/>
          <w:sz w:val="24"/>
        </w:rPr>
        <w:t>公开招标。</w:t>
      </w:r>
      <w:bookmarkEnd w:id="24"/>
      <w:bookmarkEnd w:id="25"/>
      <w:bookmarkStart w:id="27" w:name="_Hlt74388212"/>
      <w:bookmarkEnd w:id="27"/>
      <w:bookmarkStart w:id="28" w:name="_Hlt68516771"/>
      <w:bookmarkEnd w:id="28"/>
    </w:p>
    <w:p>
      <w:pPr>
        <w:pStyle w:val="17"/>
        <w:numPr>
          <w:ilvl w:val="0"/>
          <w:numId w:val="13"/>
        </w:numPr>
        <w:spacing w:line="360" w:lineRule="auto"/>
        <w:ind w:firstLine="482" w:firstLineChars="200"/>
        <w:rPr>
          <w:rFonts w:hint="eastAsia" w:hAnsi="宋体" w:cs="宋体"/>
          <w:b/>
          <w:sz w:val="24"/>
          <w:szCs w:val="24"/>
        </w:rPr>
      </w:pPr>
      <w:bookmarkStart w:id="29" w:name="_Toc91899877"/>
      <w:bookmarkStart w:id="30" w:name="_Hlt74730303"/>
      <w:r>
        <w:rPr>
          <w:rFonts w:hint="eastAsia" w:hAnsi="宋体" w:cs="宋体"/>
          <w:b/>
          <w:sz w:val="24"/>
          <w:szCs w:val="24"/>
        </w:rPr>
        <w:t>投标费用</w:t>
      </w:r>
      <w:bookmarkEnd w:id="29"/>
    </w:p>
    <w:bookmarkEnd w:id="30"/>
    <w:p>
      <w:pPr>
        <w:autoSpaceDE w:val="0"/>
        <w:autoSpaceDN w:val="0"/>
        <w:spacing w:line="360" w:lineRule="auto"/>
        <w:ind w:firstLine="523" w:firstLineChars="218"/>
        <w:rPr>
          <w:rFonts w:hint="eastAsia"/>
          <w:sz w:val="24"/>
          <w:lang w:val="zh-CN"/>
        </w:rPr>
      </w:pPr>
      <w:r>
        <w:rPr>
          <w:rFonts w:hint="eastAsia"/>
          <w:sz w:val="24"/>
        </w:rPr>
        <w:t>投标人需自行承担涉及投标的一切费用（招标文件有其他相反规定除外）。</w:t>
      </w:r>
    </w:p>
    <w:p>
      <w:pPr>
        <w:spacing w:line="360" w:lineRule="auto"/>
        <w:jc w:val="center"/>
        <w:rPr>
          <w:rFonts w:hint="eastAsia"/>
          <w:b/>
          <w:sz w:val="24"/>
        </w:rPr>
      </w:pPr>
      <w:bookmarkStart w:id="31" w:name="_Hlt75236290"/>
      <w:bookmarkEnd w:id="31"/>
      <w:bookmarkStart w:id="32" w:name="_Hlt68072990"/>
      <w:bookmarkEnd w:id="32"/>
      <w:bookmarkStart w:id="33" w:name="_Hlt74729768"/>
      <w:bookmarkEnd w:id="33"/>
      <w:bookmarkStart w:id="34" w:name="_Hlt68057669"/>
      <w:bookmarkEnd w:id="34"/>
      <w:bookmarkStart w:id="35" w:name="_Hlt74707468"/>
      <w:bookmarkEnd w:id="35"/>
      <w:bookmarkStart w:id="36" w:name="_Toc91899879"/>
    </w:p>
    <w:p>
      <w:pPr>
        <w:spacing w:line="360" w:lineRule="auto"/>
        <w:jc w:val="center"/>
        <w:outlineLvl w:val="0"/>
        <w:rPr>
          <w:rFonts w:hint="eastAsia"/>
          <w:bCs/>
          <w:sz w:val="32"/>
        </w:rPr>
      </w:pPr>
      <w:bookmarkStart w:id="37" w:name="_Toc121294570"/>
      <w:r>
        <w:rPr>
          <w:rFonts w:hint="eastAsia"/>
          <w:b/>
          <w:sz w:val="36"/>
          <w:szCs w:val="20"/>
        </w:rPr>
        <w:t>二、招标文件</w:t>
      </w:r>
      <w:bookmarkEnd w:id="36"/>
      <w:bookmarkEnd w:id="37"/>
    </w:p>
    <w:p>
      <w:pPr>
        <w:pStyle w:val="17"/>
        <w:numPr>
          <w:ilvl w:val="0"/>
          <w:numId w:val="13"/>
        </w:numPr>
        <w:spacing w:line="360" w:lineRule="auto"/>
        <w:ind w:firstLine="482" w:firstLineChars="200"/>
        <w:rPr>
          <w:rFonts w:hint="eastAsia" w:hAnsi="宋体" w:cs="宋体"/>
          <w:b/>
          <w:sz w:val="24"/>
          <w:szCs w:val="24"/>
        </w:rPr>
      </w:pPr>
      <w:bookmarkStart w:id="38" w:name="_Toc91899880"/>
      <w:bookmarkStart w:id="39" w:name="_Hlt74730307"/>
      <w:r>
        <w:rPr>
          <w:rFonts w:hint="eastAsia" w:hAnsi="宋体" w:cs="宋体"/>
          <w:b/>
          <w:sz w:val="24"/>
          <w:szCs w:val="24"/>
        </w:rPr>
        <w:t>招标文件的构成</w:t>
      </w:r>
      <w:bookmarkEnd w:id="38"/>
    </w:p>
    <w:bookmarkEnd w:id="39"/>
    <w:p>
      <w:pPr>
        <w:pStyle w:val="80"/>
        <w:numPr>
          <w:ilvl w:val="0"/>
          <w:numId w:val="16"/>
        </w:numPr>
        <w:spacing w:before="0"/>
        <w:ind w:firstLine="480"/>
        <w:rPr>
          <w:rFonts w:hint="eastAsia" w:ascii="宋体" w:hAnsi="宋体" w:cs="宋体"/>
          <w:szCs w:val="24"/>
        </w:rPr>
      </w:pPr>
      <w:r>
        <w:rPr>
          <w:rFonts w:hint="eastAsia" w:ascii="宋体" w:hAnsi="宋体" w:cs="宋体"/>
          <w:szCs w:val="24"/>
        </w:rPr>
        <w:t>招标文件包括下列文件及附件</w:t>
      </w:r>
    </w:p>
    <w:p>
      <w:pPr>
        <w:pStyle w:val="80"/>
        <w:numPr>
          <w:ilvl w:val="0"/>
          <w:numId w:val="17"/>
        </w:numPr>
        <w:spacing w:before="0"/>
        <w:ind w:firstLine="480"/>
        <w:rPr>
          <w:rFonts w:hint="eastAsia" w:ascii="宋体" w:hAnsi="宋体" w:cs="宋体"/>
          <w:szCs w:val="24"/>
        </w:rPr>
      </w:pPr>
      <w:r>
        <w:rPr>
          <w:rFonts w:hint="eastAsia" w:ascii="宋体" w:hAnsi="宋体" w:cs="宋体"/>
          <w:szCs w:val="24"/>
        </w:rPr>
        <w:t>第一部分 招标公告</w:t>
      </w:r>
    </w:p>
    <w:p>
      <w:pPr>
        <w:pStyle w:val="80"/>
        <w:numPr>
          <w:ilvl w:val="0"/>
          <w:numId w:val="17"/>
        </w:numPr>
        <w:spacing w:before="0"/>
        <w:ind w:firstLine="480"/>
        <w:rPr>
          <w:rFonts w:hint="eastAsia" w:ascii="宋体" w:hAnsi="宋体" w:cs="宋体"/>
          <w:szCs w:val="24"/>
        </w:rPr>
      </w:pPr>
      <w:r>
        <w:rPr>
          <w:rFonts w:hint="eastAsia" w:ascii="宋体" w:hAnsi="宋体" w:cs="宋体"/>
          <w:szCs w:val="24"/>
        </w:rPr>
        <w:t>第二部分 投标须知</w:t>
      </w:r>
    </w:p>
    <w:p>
      <w:pPr>
        <w:pStyle w:val="80"/>
        <w:numPr>
          <w:ilvl w:val="0"/>
          <w:numId w:val="17"/>
        </w:numPr>
        <w:spacing w:before="0"/>
        <w:ind w:firstLine="480"/>
        <w:rPr>
          <w:rFonts w:hint="eastAsia" w:ascii="宋体" w:hAnsi="宋体" w:cs="宋体"/>
          <w:szCs w:val="24"/>
        </w:rPr>
      </w:pPr>
      <w:r>
        <w:rPr>
          <w:rFonts w:hint="eastAsia" w:ascii="宋体" w:hAnsi="宋体" w:cs="宋体"/>
          <w:szCs w:val="24"/>
        </w:rPr>
        <w:t>第三部分 评标办法及评分标准</w:t>
      </w:r>
    </w:p>
    <w:p>
      <w:pPr>
        <w:pStyle w:val="80"/>
        <w:numPr>
          <w:ilvl w:val="0"/>
          <w:numId w:val="17"/>
        </w:numPr>
        <w:spacing w:before="0"/>
        <w:ind w:firstLine="480"/>
        <w:rPr>
          <w:rFonts w:hint="eastAsia" w:ascii="宋体" w:hAnsi="宋体" w:cs="宋体"/>
          <w:szCs w:val="24"/>
        </w:rPr>
      </w:pPr>
      <w:r>
        <w:rPr>
          <w:rFonts w:hint="eastAsia" w:ascii="宋体" w:hAnsi="宋体" w:cs="宋体"/>
          <w:szCs w:val="24"/>
        </w:rPr>
        <w:t>第四部分 采购需求</w:t>
      </w:r>
    </w:p>
    <w:p>
      <w:pPr>
        <w:pStyle w:val="80"/>
        <w:numPr>
          <w:ilvl w:val="0"/>
          <w:numId w:val="17"/>
        </w:numPr>
        <w:spacing w:before="0"/>
        <w:ind w:firstLine="480"/>
        <w:rPr>
          <w:rFonts w:hint="eastAsia" w:ascii="宋体" w:hAnsi="宋体" w:cs="宋体"/>
          <w:szCs w:val="24"/>
        </w:rPr>
      </w:pPr>
      <w:r>
        <w:rPr>
          <w:rFonts w:hint="eastAsia" w:ascii="宋体" w:hAnsi="宋体" w:cs="宋体"/>
          <w:szCs w:val="24"/>
        </w:rPr>
        <w:t>第五部分 采购合同的一般和特殊条款</w:t>
      </w:r>
    </w:p>
    <w:p>
      <w:pPr>
        <w:pStyle w:val="80"/>
        <w:numPr>
          <w:ilvl w:val="0"/>
          <w:numId w:val="17"/>
        </w:numPr>
        <w:spacing w:before="0"/>
        <w:ind w:firstLine="480"/>
        <w:rPr>
          <w:rFonts w:hint="eastAsia" w:ascii="宋体" w:hAnsi="宋体" w:cs="宋体"/>
          <w:szCs w:val="24"/>
        </w:rPr>
      </w:pPr>
      <w:r>
        <w:rPr>
          <w:rFonts w:hint="eastAsia" w:ascii="宋体" w:hAnsi="宋体" w:cs="宋体"/>
          <w:szCs w:val="24"/>
        </w:rPr>
        <w:t>第六部分 应提交的有关格式范例</w:t>
      </w:r>
    </w:p>
    <w:p>
      <w:pPr>
        <w:pStyle w:val="80"/>
        <w:numPr>
          <w:ilvl w:val="0"/>
          <w:numId w:val="16"/>
        </w:numPr>
        <w:spacing w:before="0"/>
        <w:ind w:firstLine="480"/>
        <w:rPr>
          <w:rFonts w:hint="eastAsia" w:ascii="宋体" w:hAnsi="宋体" w:cs="宋体"/>
          <w:szCs w:val="24"/>
        </w:rPr>
      </w:pPr>
      <w:r>
        <w:rPr>
          <w:rFonts w:hint="eastAsia" w:ascii="宋体" w:hAnsi="宋体" w:cs="宋体"/>
          <w:szCs w:val="24"/>
        </w:rPr>
        <w:t>投标人应认真审阅招标文件中所有的内容，包括编制和提交采购响应文件须知、评标办法及评分标准、项目技术规范和服务要求、采购合同的一般和特殊条款、应提交的有关格式范例等。</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招标文件的解释</w:t>
      </w:r>
    </w:p>
    <w:p>
      <w:pPr>
        <w:pStyle w:val="80"/>
        <w:numPr>
          <w:ilvl w:val="0"/>
          <w:numId w:val="18"/>
        </w:numPr>
        <w:spacing w:before="0"/>
        <w:ind w:firstLine="480"/>
        <w:rPr>
          <w:rFonts w:hint="eastAsia" w:ascii="宋体" w:hAnsi="宋体" w:cs="宋体"/>
          <w:szCs w:val="24"/>
        </w:rPr>
      </w:pPr>
      <w:r>
        <w:rPr>
          <w:rFonts w:hint="eastAsia" w:ascii="宋体" w:hAnsi="宋体" w:cs="宋体"/>
          <w:szCs w:val="24"/>
        </w:rPr>
        <w:t>已获取招标文件的潜在投标人，若有问题需要澄清，应于投标截止时间前，以书面形式向采购代理机构提出，采购代理机构与采购人研究后，对认为有必要回答的问题，将通过招标公告发布网站通知所有招标文件收受人。</w:t>
      </w:r>
    </w:p>
    <w:p>
      <w:pPr>
        <w:pStyle w:val="80"/>
        <w:numPr>
          <w:ilvl w:val="0"/>
          <w:numId w:val="18"/>
        </w:numPr>
        <w:spacing w:before="0"/>
        <w:ind w:firstLine="480"/>
        <w:rPr>
          <w:rFonts w:hint="eastAsia" w:ascii="宋体" w:hAnsi="宋体" w:cs="宋体"/>
          <w:szCs w:val="24"/>
        </w:rPr>
      </w:pPr>
      <w:r>
        <w:rPr>
          <w:rFonts w:hint="eastAsia" w:ascii="宋体" w:hAnsi="宋体" w:cs="宋体"/>
          <w:szCs w:val="24"/>
        </w:rPr>
        <w:t>采购代理机构如对已发出的招标文件进行必要澄清或者修改的，将在发布招标公告的网站上发布更正公告，同时视情况延长投标截止时间和开标时间。该澄清或者修改的内容为招标文件的组成部分。</w:t>
      </w:r>
    </w:p>
    <w:p>
      <w:pPr>
        <w:pStyle w:val="80"/>
        <w:numPr>
          <w:ilvl w:val="0"/>
          <w:numId w:val="18"/>
        </w:numPr>
        <w:spacing w:before="0"/>
        <w:ind w:firstLine="480"/>
        <w:rPr>
          <w:rFonts w:hint="eastAsia" w:ascii="宋体" w:hAnsi="宋体" w:cs="宋体"/>
          <w:szCs w:val="24"/>
        </w:rPr>
      </w:pPr>
      <w:r>
        <w:rPr>
          <w:rFonts w:hint="eastAsia" w:ascii="宋体" w:hAnsi="宋体" w:cs="宋体"/>
          <w:szCs w:val="24"/>
        </w:rPr>
        <w:t>不论采购代理机构向投标人发送的资料文件，还是投标人提出的问题，均采用书面形式。</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招标文件的修改、澄清</w:t>
      </w:r>
    </w:p>
    <w:p>
      <w:pPr>
        <w:pStyle w:val="80"/>
        <w:numPr>
          <w:ilvl w:val="0"/>
          <w:numId w:val="19"/>
        </w:numPr>
        <w:spacing w:before="0"/>
        <w:ind w:firstLine="480"/>
        <w:rPr>
          <w:rFonts w:hint="eastAsia" w:ascii="宋体" w:hAnsi="宋体" w:cs="宋体"/>
          <w:szCs w:val="24"/>
        </w:rPr>
      </w:pPr>
      <w:r>
        <w:rPr>
          <w:rFonts w:hint="eastAsia" w:ascii="宋体" w:hAnsi="宋体" w:cs="宋体"/>
          <w:szCs w:val="24"/>
        </w:rPr>
        <w:t>从招标文件发出至投标截止时间前，采购代理机构可能会以补充通知的方式修改招标文件。补充通知作为招标文件的组成部分，各潜在投标人应自行在公告发布网站查看。若有必要，采购代理机构将酌情延长递交投标文件的截止日期。</w:t>
      </w:r>
    </w:p>
    <w:p>
      <w:pPr>
        <w:pStyle w:val="80"/>
        <w:numPr>
          <w:ilvl w:val="0"/>
          <w:numId w:val="19"/>
        </w:numPr>
        <w:spacing w:before="0"/>
        <w:ind w:firstLine="480"/>
        <w:rPr>
          <w:rFonts w:hint="eastAsia" w:ascii="宋体" w:hAnsi="宋体" w:cs="宋体"/>
          <w:szCs w:val="24"/>
        </w:rPr>
      </w:pPr>
      <w:r>
        <w:rPr>
          <w:rFonts w:hint="eastAsia" w:ascii="宋体" w:hAnsi="宋体" w:cs="宋体"/>
          <w:szCs w:val="24"/>
        </w:rPr>
        <w:t>对投标文件中含义不明、表述不一致或有明显计算错误等内容，评标委员会将对投标人进行询标，并要求投标人作电子澄清（询标由专家在政采云系统上发起询标函，投标人在澄清处在规定时间内进行答复）；投标人的电子澄清，应由法定代表人进行电子签章（也可由法定代表人或授权代表签字扫描后上传），作为投标文件的补充部分，但澄清的内容不得改变投标文件的实质性内容。</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投标报价</w:t>
      </w:r>
    </w:p>
    <w:p>
      <w:pPr>
        <w:pStyle w:val="80"/>
        <w:numPr>
          <w:ilvl w:val="0"/>
          <w:numId w:val="20"/>
        </w:numPr>
        <w:spacing w:before="0"/>
        <w:ind w:firstLine="480"/>
        <w:rPr>
          <w:rFonts w:hint="eastAsia" w:ascii="宋体" w:hAnsi="宋体" w:cs="宋体"/>
          <w:szCs w:val="24"/>
        </w:rPr>
      </w:pPr>
      <w:r>
        <w:rPr>
          <w:rFonts w:hint="eastAsia" w:ascii="宋体" w:hAnsi="宋体" w:cs="宋体"/>
          <w:szCs w:val="24"/>
        </w:rPr>
        <w:t>投标报价应包含项目所需全部货物、服务，不得缺漏，是履行合同的最终价格（含货款、标准附件、备品备件、专用工具、配套服务、软硬件配置、接口费、检测、包装、运输、装卸、保险、移机、校准、税金、货到就位以及安装、调试、培训、保修、招标代理服务费等一切税金和费用），如有漏报，视同已包含在其投标报价中。</w:t>
      </w:r>
    </w:p>
    <w:p>
      <w:pPr>
        <w:pStyle w:val="80"/>
        <w:numPr>
          <w:ilvl w:val="0"/>
          <w:numId w:val="20"/>
        </w:numPr>
        <w:spacing w:before="0"/>
        <w:ind w:firstLine="480"/>
        <w:rPr>
          <w:rFonts w:hint="eastAsia" w:ascii="宋体" w:hAnsi="宋体" w:cs="宋体"/>
          <w:szCs w:val="24"/>
        </w:rPr>
      </w:pPr>
      <w:r>
        <w:rPr>
          <w:rFonts w:hint="eastAsia" w:ascii="宋体" w:hAnsi="宋体" w:cs="宋体"/>
          <w:szCs w:val="24"/>
        </w:rPr>
        <w:t>其它费用处理</w:t>
      </w:r>
    </w:p>
    <w:p>
      <w:pPr>
        <w:pStyle w:val="80"/>
        <w:tabs>
          <w:tab w:val="left" w:pos="0"/>
        </w:tabs>
        <w:spacing w:before="0"/>
        <w:ind w:left="400" w:leftChars="200" w:firstLine="0" w:firstLineChars="0"/>
        <w:rPr>
          <w:rFonts w:hint="eastAsia" w:ascii="宋体" w:hAnsi="宋体" w:cs="宋体"/>
          <w:szCs w:val="24"/>
        </w:rPr>
      </w:pPr>
      <w:r>
        <w:rPr>
          <w:rFonts w:hint="eastAsia" w:ascii="宋体" w:hAnsi="宋体" w:cs="宋体"/>
          <w:szCs w:val="24"/>
        </w:rPr>
        <w:t>招标文件未列明，而投标人认为必需的费用也需列入报价。</w:t>
      </w:r>
    </w:p>
    <w:p>
      <w:pPr>
        <w:pStyle w:val="80"/>
        <w:numPr>
          <w:ilvl w:val="0"/>
          <w:numId w:val="20"/>
        </w:numPr>
        <w:spacing w:before="0"/>
        <w:ind w:firstLine="480"/>
        <w:rPr>
          <w:rFonts w:hint="eastAsia" w:ascii="宋体" w:hAnsi="宋体" w:cs="宋体"/>
          <w:szCs w:val="24"/>
        </w:rPr>
      </w:pPr>
      <w:r>
        <w:rPr>
          <w:rFonts w:hint="eastAsia" w:ascii="宋体" w:hAnsi="宋体" w:cs="宋体"/>
          <w:szCs w:val="24"/>
        </w:rPr>
        <w:t>投标货币</w:t>
      </w:r>
    </w:p>
    <w:p>
      <w:pPr>
        <w:pStyle w:val="80"/>
        <w:snapToGrid w:val="0"/>
        <w:spacing w:before="0" w:line="500" w:lineRule="exact"/>
        <w:ind w:firstLine="480"/>
        <w:rPr>
          <w:rFonts w:hint="eastAsia" w:ascii="宋体" w:hAnsi="宋体" w:cs="宋体"/>
          <w:szCs w:val="24"/>
        </w:rPr>
      </w:pPr>
      <w:r>
        <w:rPr>
          <w:rFonts w:hint="eastAsia" w:ascii="宋体" w:hAnsi="宋体" w:cs="宋体"/>
          <w:szCs w:val="24"/>
        </w:rPr>
        <w:t>投标文件中价格全部采用人民币报价。报价应是唯一的, 采购代理机构将不接受有选择的报价。</w:t>
      </w:r>
    </w:p>
    <w:p>
      <w:pPr>
        <w:pStyle w:val="13"/>
        <w:snapToGrid w:val="0"/>
        <w:ind w:firstLine="480" w:firstLineChars="200"/>
        <w:rPr>
          <w:rFonts w:hint="eastAsia" w:hAnsi="宋体" w:cs="宋体"/>
          <w:szCs w:val="24"/>
        </w:rPr>
      </w:pPr>
    </w:p>
    <w:p>
      <w:pPr>
        <w:spacing w:line="360" w:lineRule="auto"/>
        <w:jc w:val="center"/>
        <w:outlineLvl w:val="0"/>
        <w:rPr>
          <w:rFonts w:hint="eastAsia"/>
          <w:bCs/>
          <w:sz w:val="32"/>
        </w:rPr>
      </w:pPr>
      <w:bookmarkStart w:id="40" w:name="_Hlt75236011"/>
      <w:bookmarkEnd w:id="40"/>
      <w:bookmarkStart w:id="41" w:name="_Toc91899884"/>
      <w:bookmarkStart w:id="42" w:name="_Toc121294571"/>
      <w:r>
        <w:rPr>
          <w:rFonts w:hint="eastAsia"/>
          <w:b/>
          <w:sz w:val="36"/>
          <w:szCs w:val="20"/>
        </w:rPr>
        <w:t>三、投标文件的编制</w:t>
      </w:r>
      <w:bookmarkEnd w:id="41"/>
      <w:bookmarkEnd w:id="42"/>
    </w:p>
    <w:p>
      <w:pPr>
        <w:pStyle w:val="17"/>
        <w:numPr>
          <w:ilvl w:val="0"/>
          <w:numId w:val="13"/>
        </w:numPr>
        <w:spacing w:line="360" w:lineRule="auto"/>
        <w:ind w:firstLine="482" w:firstLineChars="200"/>
        <w:rPr>
          <w:rFonts w:hint="eastAsia" w:hAnsi="宋体" w:cs="宋体"/>
          <w:b/>
          <w:sz w:val="24"/>
          <w:szCs w:val="24"/>
        </w:rPr>
      </w:pPr>
      <w:bookmarkStart w:id="43" w:name="_Toc86216991"/>
      <w:bookmarkStart w:id="44" w:name="_Toc91899892"/>
      <w:r>
        <w:rPr>
          <w:rFonts w:hint="eastAsia" w:hAnsi="宋体" w:cs="宋体"/>
          <w:b/>
          <w:sz w:val="24"/>
          <w:szCs w:val="24"/>
        </w:rPr>
        <w:t>投标文件的语言</w:t>
      </w:r>
    </w:p>
    <w:p>
      <w:pPr>
        <w:pStyle w:val="80"/>
        <w:tabs>
          <w:tab w:val="left" w:pos="0"/>
        </w:tabs>
        <w:spacing w:before="0"/>
        <w:ind w:firstLine="480"/>
        <w:rPr>
          <w:rFonts w:hint="eastAsia" w:ascii="宋体" w:hAnsi="宋体" w:cs="宋体"/>
          <w:szCs w:val="24"/>
          <w:lang w:val="zh-CN"/>
        </w:rPr>
      </w:pPr>
      <w:r>
        <w:rPr>
          <w:rFonts w:hint="eastAsia" w:ascii="宋体" w:hAnsi="宋体" w:cs="宋体"/>
          <w:szCs w:val="24"/>
        </w:rPr>
        <w:t>投标文件及投标人与采购有关的来往通知、函件和文件均应使用中文。</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投标文件的组成</w:t>
      </w:r>
    </w:p>
    <w:p>
      <w:pPr>
        <w:pStyle w:val="80"/>
        <w:tabs>
          <w:tab w:val="left" w:pos="0"/>
        </w:tabs>
        <w:spacing w:before="0"/>
        <w:ind w:firstLine="480"/>
        <w:rPr>
          <w:rFonts w:hint="eastAsia" w:ascii="宋体" w:hAnsi="宋体" w:cs="宋体"/>
          <w:szCs w:val="24"/>
        </w:rPr>
      </w:pPr>
      <w:r>
        <w:rPr>
          <w:rFonts w:hint="eastAsia" w:ascii="宋体" w:hAnsi="宋体" w:cs="宋体"/>
          <w:szCs w:val="24"/>
        </w:rPr>
        <w:t>投标文件应当包括以下主要内容：资格文件、商务技术文件、报价文件。</w:t>
      </w:r>
    </w:p>
    <w:p>
      <w:pPr>
        <w:pStyle w:val="80"/>
        <w:numPr>
          <w:ilvl w:val="0"/>
          <w:numId w:val="21"/>
        </w:numPr>
        <w:spacing w:before="0"/>
        <w:ind w:firstLine="480"/>
        <w:rPr>
          <w:rFonts w:hint="eastAsia" w:ascii="宋体" w:hAnsi="宋体" w:cs="宋体"/>
          <w:szCs w:val="24"/>
        </w:rPr>
      </w:pPr>
      <w:r>
        <w:rPr>
          <w:rFonts w:hint="eastAsia" w:ascii="宋体" w:hAnsi="宋体" w:cs="宋体"/>
          <w:szCs w:val="24"/>
        </w:rPr>
        <w:t>资格文件包括以下内容：</w:t>
      </w:r>
    </w:p>
    <w:p>
      <w:pPr>
        <w:pStyle w:val="80"/>
        <w:numPr>
          <w:ilvl w:val="0"/>
          <w:numId w:val="22"/>
        </w:numPr>
        <w:spacing w:before="0"/>
        <w:ind w:firstLine="480"/>
        <w:rPr>
          <w:rFonts w:hint="eastAsia" w:ascii="宋体" w:hAnsi="宋体" w:cs="宋体"/>
          <w:szCs w:val="24"/>
        </w:rPr>
      </w:pPr>
      <w:r>
        <w:rPr>
          <w:rFonts w:hint="eastAsia" w:ascii="宋体" w:hAnsi="宋体" w:cs="宋体"/>
          <w:szCs w:val="24"/>
        </w:rPr>
        <w:t>法定代表人授权书（格式见附件）；如法定代表人直接参加投标并对相应文件签字的（签字是指线下签字扫描后上传或者线上进行电子签章），只需提供其身份证复印件，否则则应提供授权代表身份证复印件；</w:t>
      </w:r>
    </w:p>
    <w:p>
      <w:pPr>
        <w:pStyle w:val="80"/>
        <w:numPr>
          <w:ilvl w:val="0"/>
          <w:numId w:val="22"/>
        </w:numPr>
        <w:spacing w:before="0"/>
        <w:ind w:firstLine="480"/>
        <w:rPr>
          <w:rFonts w:hint="eastAsia" w:ascii="宋体" w:hAnsi="宋体" w:cs="宋体"/>
          <w:szCs w:val="24"/>
        </w:rPr>
      </w:pPr>
      <w:r>
        <w:rPr>
          <w:rFonts w:hint="eastAsia" w:ascii="宋体" w:hAnsi="宋体" w:cs="宋体"/>
          <w:szCs w:val="24"/>
        </w:rPr>
        <w:t>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事业单位的，则提供有效的《事业单位法人证书》副本复印件并加盖单位公章</w:t>
      </w:r>
    </w:p>
    <w:p>
      <w:pPr>
        <w:pStyle w:val="80"/>
        <w:snapToGrid w:val="0"/>
        <w:spacing w:before="0" w:line="500" w:lineRule="exact"/>
        <w:ind w:firstLine="480"/>
        <w:rPr>
          <w:rFonts w:hint="eastAsia" w:ascii="宋体" w:hAnsi="宋体" w:cs="宋体"/>
          <w:szCs w:val="24"/>
        </w:rPr>
      </w:pPr>
      <w:r>
        <w:rPr>
          <w:rFonts w:hint="eastAsia" w:ascii="宋体" w:hAnsi="宋体" w:cs="宋体"/>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80"/>
        <w:numPr>
          <w:ilvl w:val="0"/>
          <w:numId w:val="22"/>
        </w:numPr>
        <w:spacing w:before="0"/>
        <w:ind w:firstLine="480"/>
        <w:rPr>
          <w:rFonts w:hint="eastAsia" w:ascii="宋体" w:hAnsi="宋体" w:cs="宋体"/>
          <w:szCs w:val="24"/>
        </w:rPr>
      </w:pPr>
      <w:r>
        <w:rPr>
          <w:rFonts w:hint="eastAsia" w:ascii="宋体" w:hAnsi="宋体" w:cs="宋体"/>
          <w:szCs w:val="24"/>
        </w:rPr>
        <w:t>具有履行合同所必需的产品和专业技术能力的承诺函；</w:t>
      </w:r>
    </w:p>
    <w:p>
      <w:pPr>
        <w:pStyle w:val="80"/>
        <w:numPr>
          <w:ilvl w:val="0"/>
          <w:numId w:val="22"/>
        </w:numPr>
        <w:spacing w:before="0"/>
        <w:ind w:firstLine="480"/>
        <w:rPr>
          <w:rFonts w:hint="eastAsia" w:ascii="宋体" w:hAnsi="宋体" w:cs="宋体"/>
          <w:szCs w:val="24"/>
        </w:rPr>
      </w:pPr>
      <w:r>
        <w:rPr>
          <w:rFonts w:hint="eastAsia" w:ascii="宋体" w:hAnsi="宋体" w:cs="宋体"/>
          <w:szCs w:val="24"/>
        </w:rPr>
        <w:t>投标人承诺函（格式见附件）；</w:t>
      </w:r>
    </w:p>
    <w:p>
      <w:pPr>
        <w:pStyle w:val="80"/>
        <w:numPr>
          <w:ilvl w:val="0"/>
          <w:numId w:val="22"/>
        </w:numPr>
        <w:spacing w:before="0"/>
        <w:ind w:firstLine="480"/>
        <w:rPr>
          <w:rFonts w:hint="eastAsia" w:ascii="宋体" w:hAnsi="宋体" w:cs="宋体"/>
          <w:szCs w:val="24"/>
        </w:rPr>
      </w:pPr>
      <w:r>
        <w:rPr>
          <w:rFonts w:hint="eastAsia" w:ascii="宋体" w:hAnsi="宋体" w:cs="宋体"/>
          <w:szCs w:val="24"/>
        </w:rPr>
        <w:t>中小企业声明函（格式见附件）；</w:t>
      </w:r>
    </w:p>
    <w:p>
      <w:pPr>
        <w:pStyle w:val="80"/>
        <w:numPr>
          <w:ilvl w:val="0"/>
          <w:numId w:val="22"/>
        </w:numPr>
        <w:spacing w:before="0"/>
        <w:ind w:firstLine="480"/>
        <w:rPr>
          <w:rFonts w:hint="eastAsia" w:ascii="宋体" w:hAnsi="宋体" w:cs="宋体"/>
          <w:color w:val="000000"/>
          <w:szCs w:val="24"/>
        </w:rPr>
      </w:pPr>
      <w:r>
        <w:rPr>
          <w:rFonts w:hint="eastAsia" w:ascii="宋体" w:hAnsi="宋体" w:cs="宋体"/>
          <w:color w:val="000000"/>
          <w:szCs w:val="24"/>
        </w:rPr>
        <w:t>提供联合体或分包协议（格式见附件）；</w:t>
      </w:r>
    </w:p>
    <w:p>
      <w:pPr>
        <w:pStyle w:val="80"/>
        <w:numPr>
          <w:ilvl w:val="0"/>
          <w:numId w:val="22"/>
        </w:numPr>
        <w:spacing w:before="0"/>
        <w:ind w:firstLine="480"/>
        <w:rPr>
          <w:rFonts w:hint="eastAsia" w:ascii="宋体" w:hAnsi="宋体" w:cs="宋体"/>
          <w:szCs w:val="24"/>
        </w:rPr>
      </w:pPr>
      <w:r>
        <w:rPr>
          <w:rFonts w:hint="eastAsia" w:ascii="宋体" w:hAnsi="宋体" w:cs="宋体"/>
          <w:szCs w:val="24"/>
        </w:rPr>
        <w:t>残疾人福利性单位声明函（如有）（格式见附件）；</w:t>
      </w:r>
    </w:p>
    <w:p>
      <w:pPr>
        <w:pStyle w:val="80"/>
        <w:numPr>
          <w:ilvl w:val="0"/>
          <w:numId w:val="22"/>
        </w:numPr>
        <w:spacing w:before="0"/>
        <w:ind w:firstLine="480"/>
        <w:rPr>
          <w:rFonts w:hint="eastAsia" w:ascii="宋体" w:hAnsi="宋体" w:cs="宋体"/>
          <w:szCs w:val="24"/>
        </w:rPr>
      </w:pPr>
      <w:r>
        <w:rPr>
          <w:rFonts w:hint="eastAsia" w:ascii="宋体" w:hAnsi="宋体" w:cs="宋体"/>
          <w:szCs w:val="24"/>
        </w:rPr>
        <w:t>监狱企业证明文件（如有）（格式见附件）；</w:t>
      </w:r>
    </w:p>
    <w:p>
      <w:pPr>
        <w:pStyle w:val="80"/>
        <w:numPr>
          <w:ilvl w:val="0"/>
          <w:numId w:val="21"/>
        </w:numPr>
        <w:spacing w:before="0"/>
        <w:ind w:firstLine="480"/>
        <w:rPr>
          <w:rFonts w:hint="eastAsia" w:ascii="宋体" w:hAnsi="宋体" w:cs="宋体"/>
          <w:color w:val="000000"/>
          <w:szCs w:val="24"/>
        </w:rPr>
      </w:pPr>
      <w:r>
        <w:rPr>
          <w:rFonts w:hint="eastAsia" w:ascii="宋体" w:hAnsi="宋体" w:cs="宋体"/>
          <w:color w:val="000000"/>
          <w:szCs w:val="24"/>
        </w:rPr>
        <w:t>商务技术文件，本次招标需要投标人提供以下项所列的技术文件：</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评分对应表（格式见附件，主要用于评委对应评分内容）</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投标人商务技术文件中资信分自评表（格式见附件）；</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投标项目明细清单（含货物、服务等）（格式见附件）；</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技术响应及建议表（格式见附件）；</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商务响应表（格式见附件）；</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技术参数（根据评分细则提供）；</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套餐内容（根据评分细则提供）；</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备品备件（根据评分细则提供）；</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技术功能转换（根据评分细则提供）；</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售后服务（根据评分细则提供）；</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1"/>
        </w:rPr>
        <w:t>企业业绩</w:t>
      </w:r>
      <w:r>
        <w:rPr>
          <w:rFonts w:hint="eastAsia" w:ascii="宋体" w:hAnsi="宋体" w:cs="宋体"/>
          <w:color w:val="000000"/>
          <w:szCs w:val="24"/>
        </w:rPr>
        <w:t>（根据评分细则提供）；</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1"/>
        </w:rPr>
        <w:t>企业证书</w:t>
      </w:r>
      <w:r>
        <w:rPr>
          <w:rFonts w:hint="eastAsia" w:ascii="宋体" w:hAnsi="宋体" w:cs="宋体"/>
          <w:color w:val="000000"/>
          <w:szCs w:val="24"/>
        </w:rPr>
        <w:t>（根据评分细则提供）；</w:t>
      </w:r>
    </w:p>
    <w:p>
      <w:pPr>
        <w:pStyle w:val="80"/>
        <w:numPr>
          <w:ilvl w:val="0"/>
          <w:numId w:val="23"/>
        </w:numPr>
        <w:spacing w:before="0"/>
        <w:ind w:firstLine="480"/>
        <w:rPr>
          <w:rFonts w:hint="eastAsia" w:ascii="宋体" w:hAnsi="宋体" w:cs="宋体"/>
          <w:color w:val="000000"/>
          <w:szCs w:val="24"/>
        </w:rPr>
      </w:pPr>
      <w:r>
        <w:rPr>
          <w:rFonts w:hint="eastAsia" w:ascii="宋体" w:hAnsi="宋体" w:cs="宋体"/>
          <w:color w:val="000000"/>
          <w:szCs w:val="24"/>
        </w:rPr>
        <w:t xml:space="preserve">投标方认为需要的其他文件资料。 </w:t>
      </w:r>
    </w:p>
    <w:p>
      <w:pPr>
        <w:pStyle w:val="80"/>
        <w:tabs>
          <w:tab w:val="left" w:pos="0"/>
        </w:tabs>
        <w:spacing w:before="0"/>
        <w:ind w:firstLine="480"/>
        <w:rPr>
          <w:rFonts w:hint="eastAsia" w:ascii="宋体" w:hAnsi="宋体" w:cs="宋体"/>
          <w:color w:val="000000"/>
          <w:szCs w:val="24"/>
        </w:rPr>
      </w:pPr>
      <w:r>
        <w:rPr>
          <w:rFonts w:hint="eastAsia" w:ascii="宋体" w:hAnsi="宋体" w:cs="宋体"/>
          <w:color w:val="000000"/>
          <w:szCs w:val="24"/>
        </w:rPr>
        <w:t>注：以上内容应与评标办法中内容具有一致性。</w:t>
      </w:r>
    </w:p>
    <w:p>
      <w:pPr>
        <w:pStyle w:val="80"/>
        <w:tabs>
          <w:tab w:val="left" w:pos="0"/>
        </w:tabs>
        <w:spacing w:before="0"/>
        <w:ind w:firstLine="480"/>
        <w:rPr>
          <w:rFonts w:hint="eastAsia" w:ascii="宋体" w:hAnsi="宋体" w:cs="宋体"/>
          <w:szCs w:val="24"/>
        </w:rPr>
      </w:pPr>
      <w:r>
        <w:rPr>
          <w:rFonts w:hint="eastAsia" w:ascii="宋体" w:hAnsi="宋体" w:cs="宋体"/>
          <w:szCs w:val="24"/>
        </w:rPr>
        <w:t>如果本项目涉及硬件设备采购，还需提供相关设备完整配置方案（设备名称、品牌、规格型号、数量、主要技术参数等），提供主要投标产品的技术参数证明材料（如官网截图、产品彩页、原厂技术说明等），明确表示该项指标所涉及的软硬件是标准配置还是选择配置。</w:t>
      </w:r>
    </w:p>
    <w:p>
      <w:pPr>
        <w:pStyle w:val="80"/>
        <w:tabs>
          <w:tab w:val="left" w:pos="0"/>
        </w:tabs>
        <w:spacing w:before="0"/>
        <w:ind w:firstLine="480"/>
        <w:rPr>
          <w:rFonts w:hint="eastAsia" w:ascii="宋体" w:hAnsi="宋体" w:cs="宋体"/>
          <w:szCs w:val="24"/>
        </w:rPr>
      </w:pPr>
      <w:r>
        <w:rPr>
          <w:rFonts w:hint="eastAsia" w:ascii="宋体" w:hAnsi="宋体" w:cs="宋体"/>
          <w:szCs w:val="24"/>
        </w:rPr>
        <w:t>投标人在投标文件中应对项目技术规范和服务要求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投标。</w:t>
      </w:r>
      <w:r>
        <w:rPr>
          <w:rFonts w:hint="eastAsia" w:ascii="宋体" w:hAnsi="宋体" w:cs="宋体"/>
          <w:b/>
          <w:bCs/>
          <w:szCs w:val="24"/>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pPr>
        <w:pStyle w:val="80"/>
        <w:numPr>
          <w:ilvl w:val="0"/>
          <w:numId w:val="21"/>
        </w:numPr>
        <w:spacing w:before="0"/>
        <w:ind w:firstLine="480"/>
        <w:rPr>
          <w:rFonts w:hint="eastAsia" w:ascii="宋体" w:hAnsi="宋体" w:cs="宋体"/>
          <w:szCs w:val="24"/>
        </w:rPr>
      </w:pPr>
      <w:r>
        <w:rPr>
          <w:rFonts w:hint="eastAsia" w:ascii="宋体" w:hAnsi="宋体" w:cs="宋体"/>
          <w:szCs w:val="24"/>
        </w:rPr>
        <w:t>报价文件包括以下内容：</w:t>
      </w:r>
    </w:p>
    <w:p>
      <w:pPr>
        <w:pStyle w:val="80"/>
        <w:numPr>
          <w:ilvl w:val="0"/>
          <w:numId w:val="24"/>
        </w:numPr>
        <w:spacing w:before="0"/>
        <w:ind w:firstLine="480"/>
        <w:rPr>
          <w:rFonts w:hint="eastAsia" w:ascii="宋体" w:hAnsi="宋体" w:cs="宋体"/>
          <w:szCs w:val="24"/>
        </w:rPr>
      </w:pPr>
      <w:r>
        <w:rPr>
          <w:rFonts w:hint="eastAsia" w:ascii="宋体" w:hAnsi="宋体" w:cs="宋体"/>
          <w:szCs w:val="24"/>
        </w:rPr>
        <w:t>投标函（格式见附件）；</w:t>
      </w:r>
    </w:p>
    <w:p>
      <w:pPr>
        <w:pStyle w:val="80"/>
        <w:numPr>
          <w:ilvl w:val="0"/>
          <w:numId w:val="24"/>
        </w:numPr>
        <w:spacing w:before="0"/>
        <w:ind w:firstLine="480"/>
        <w:rPr>
          <w:rFonts w:hint="eastAsia" w:ascii="宋体" w:hAnsi="宋体" w:cs="宋体"/>
          <w:szCs w:val="24"/>
        </w:rPr>
      </w:pPr>
      <w:r>
        <w:rPr>
          <w:rFonts w:hint="eastAsia" w:ascii="宋体" w:hAnsi="宋体" w:cs="宋体"/>
          <w:szCs w:val="24"/>
        </w:rPr>
        <w:t>开标一览表（格式见附件）；</w:t>
      </w:r>
    </w:p>
    <w:p>
      <w:pPr>
        <w:pStyle w:val="80"/>
        <w:numPr>
          <w:ilvl w:val="0"/>
          <w:numId w:val="24"/>
        </w:numPr>
        <w:spacing w:before="0"/>
        <w:ind w:firstLine="480"/>
        <w:rPr>
          <w:rFonts w:hint="eastAsia" w:ascii="宋体" w:hAnsi="宋体" w:cs="宋体"/>
          <w:szCs w:val="24"/>
        </w:rPr>
      </w:pPr>
      <w:r>
        <w:rPr>
          <w:rFonts w:hint="eastAsia" w:ascii="宋体" w:hAnsi="宋体" w:cs="宋体"/>
          <w:szCs w:val="24"/>
        </w:rPr>
        <w:t>投标报价明细表（格式见附件）；</w:t>
      </w:r>
    </w:p>
    <w:p>
      <w:pPr>
        <w:pStyle w:val="17"/>
        <w:numPr>
          <w:ilvl w:val="0"/>
          <w:numId w:val="13"/>
        </w:numPr>
        <w:spacing w:line="360" w:lineRule="auto"/>
        <w:ind w:firstLine="482" w:firstLineChars="200"/>
        <w:rPr>
          <w:rFonts w:hint="eastAsia" w:hAnsi="宋体" w:cs="宋体"/>
          <w:b/>
          <w:sz w:val="24"/>
          <w:szCs w:val="24"/>
        </w:rPr>
      </w:pPr>
      <w:bookmarkStart w:id="45" w:name="_Toc91899887"/>
      <w:r>
        <w:rPr>
          <w:rFonts w:hint="eastAsia" w:hAnsi="宋体" w:cs="宋体"/>
          <w:b/>
          <w:sz w:val="24"/>
          <w:szCs w:val="24"/>
        </w:rPr>
        <w:t>投标有效期</w:t>
      </w:r>
    </w:p>
    <w:p>
      <w:pPr>
        <w:pStyle w:val="80"/>
        <w:numPr>
          <w:ilvl w:val="0"/>
          <w:numId w:val="25"/>
        </w:numPr>
        <w:spacing w:before="0"/>
        <w:ind w:firstLine="480"/>
        <w:rPr>
          <w:rFonts w:hint="eastAsia" w:ascii="宋体" w:hAnsi="宋体" w:cs="宋体"/>
          <w:color w:val="000000"/>
          <w:szCs w:val="24"/>
        </w:rPr>
      </w:pPr>
      <w:r>
        <w:rPr>
          <w:rFonts w:hint="eastAsia" w:ascii="宋体" w:hAnsi="宋体" w:cs="宋体"/>
          <w:color w:val="000000"/>
        </w:rPr>
        <w:t>投标文件未在投标截止时间前完成传输的或者未按时解密的，视为放弃投标；投标文件解密失败后未提供备份文件或者备份文件也出现异常情况无法进行评审的，亦视为放弃投标。</w:t>
      </w:r>
    </w:p>
    <w:p>
      <w:pPr>
        <w:pStyle w:val="80"/>
        <w:numPr>
          <w:ilvl w:val="0"/>
          <w:numId w:val="25"/>
        </w:numPr>
        <w:spacing w:before="0"/>
        <w:ind w:firstLine="480"/>
        <w:rPr>
          <w:rFonts w:hint="eastAsia" w:ascii="宋体" w:hAnsi="宋体" w:cs="宋体"/>
          <w:szCs w:val="24"/>
        </w:rPr>
      </w:pPr>
      <w:r>
        <w:rPr>
          <w:rFonts w:hint="eastAsia" w:ascii="宋体" w:hAnsi="宋体" w:cs="宋体"/>
          <w:color w:val="000000"/>
          <w:szCs w:val="24"/>
        </w:rPr>
        <w:t>投标文件上传后，自投标截止日期起，在前附表所列的投标有效期内</w:t>
      </w:r>
      <w:r>
        <w:rPr>
          <w:rFonts w:hint="eastAsia" w:ascii="宋体" w:hAnsi="宋体" w:cs="宋体"/>
          <w:szCs w:val="24"/>
        </w:rPr>
        <w:t>有效。</w:t>
      </w:r>
    </w:p>
    <w:p>
      <w:pPr>
        <w:pStyle w:val="80"/>
        <w:numPr>
          <w:ilvl w:val="0"/>
          <w:numId w:val="25"/>
        </w:numPr>
        <w:spacing w:before="0"/>
        <w:ind w:firstLine="480"/>
        <w:rPr>
          <w:rFonts w:hint="eastAsia" w:ascii="宋体" w:hAnsi="宋体" w:cs="宋体"/>
          <w:szCs w:val="24"/>
        </w:rPr>
      </w:pPr>
      <w:r>
        <w:rPr>
          <w:rFonts w:hint="eastAsia" w:ascii="宋体" w:hAnsi="宋体" w:cs="宋体"/>
          <w:szCs w:val="24"/>
        </w:rPr>
        <w:t>在原定投标有效期满之前，如果出现特殊情况，采购代理机构可以以书面形式通知投标人延长投标有效期。</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投标人如有下列情况之一者列入不良行为记录：</w:t>
      </w:r>
    </w:p>
    <w:p>
      <w:pPr>
        <w:pStyle w:val="80"/>
        <w:numPr>
          <w:ilvl w:val="0"/>
          <w:numId w:val="26"/>
        </w:numPr>
        <w:spacing w:before="0"/>
        <w:ind w:firstLine="480"/>
        <w:rPr>
          <w:rFonts w:hint="eastAsia" w:ascii="宋体" w:hAnsi="宋体" w:cs="宋体"/>
          <w:szCs w:val="24"/>
        </w:rPr>
      </w:pPr>
      <w:r>
        <w:rPr>
          <w:rFonts w:hint="eastAsia" w:ascii="宋体" w:hAnsi="宋体" w:cs="宋体"/>
          <w:szCs w:val="24"/>
        </w:rPr>
        <w:t>投标人在投标有效期内撤回投标的；</w:t>
      </w:r>
    </w:p>
    <w:p>
      <w:pPr>
        <w:pStyle w:val="80"/>
        <w:numPr>
          <w:ilvl w:val="0"/>
          <w:numId w:val="26"/>
        </w:numPr>
        <w:spacing w:before="0"/>
        <w:ind w:firstLine="480"/>
        <w:rPr>
          <w:rFonts w:hint="eastAsia" w:ascii="宋体" w:hAnsi="宋体" w:cs="宋体"/>
          <w:szCs w:val="24"/>
        </w:rPr>
      </w:pPr>
      <w:r>
        <w:rPr>
          <w:rFonts w:hint="eastAsia" w:ascii="宋体" w:hAnsi="宋体" w:cs="宋体"/>
          <w:szCs w:val="24"/>
        </w:rPr>
        <w:t>中标人或中标候选人放弃中标或中标候选人资格的；</w:t>
      </w:r>
    </w:p>
    <w:p>
      <w:pPr>
        <w:pStyle w:val="80"/>
        <w:numPr>
          <w:ilvl w:val="0"/>
          <w:numId w:val="26"/>
        </w:numPr>
        <w:spacing w:before="0"/>
        <w:ind w:firstLine="480"/>
        <w:rPr>
          <w:rFonts w:hint="eastAsia" w:ascii="宋体" w:hAnsi="宋体" w:cs="宋体"/>
          <w:szCs w:val="24"/>
        </w:rPr>
      </w:pPr>
      <w:r>
        <w:rPr>
          <w:rFonts w:hint="eastAsia" w:ascii="宋体" w:hAnsi="宋体" w:cs="宋体"/>
          <w:szCs w:val="24"/>
        </w:rPr>
        <w:t>擅自修改或拒绝接受已经确认的条款；</w:t>
      </w:r>
    </w:p>
    <w:p>
      <w:pPr>
        <w:pStyle w:val="80"/>
        <w:numPr>
          <w:ilvl w:val="0"/>
          <w:numId w:val="26"/>
        </w:numPr>
        <w:spacing w:before="0"/>
        <w:ind w:firstLine="480"/>
        <w:rPr>
          <w:rFonts w:hint="eastAsia" w:ascii="宋体" w:hAnsi="宋体" w:cs="宋体"/>
          <w:szCs w:val="24"/>
        </w:rPr>
      </w:pPr>
      <w:r>
        <w:rPr>
          <w:rFonts w:hint="eastAsia" w:ascii="宋体" w:hAnsi="宋体" w:cs="宋体"/>
          <w:szCs w:val="24"/>
        </w:rPr>
        <w:t>中标人未按规定与采购人签订合同；</w:t>
      </w:r>
    </w:p>
    <w:p>
      <w:pPr>
        <w:pStyle w:val="80"/>
        <w:numPr>
          <w:ilvl w:val="0"/>
          <w:numId w:val="26"/>
        </w:numPr>
        <w:spacing w:before="0"/>
        <w:ind w:firstLine="480"/>
        <w:rPr>
          <w:rFonts w:hint="eastAsia" w:ascii="宋体" w:hAnsi="宋体" w:cs="宋体"/>
          <w:szCs w:val="24"/>
        </w:rPr>
      </w:pPr>
      <w:r>
        <w:rPr>
          <w:rFonts w:hint="eastAsia" w:ascii="宋体" w:hAnsi="宋体" w:cs="宋体"/>
          <w:szCs w:val="24"/>
        </w:rPr>
        <w:t>未按规定提供履约保证金；</w:t>
      </w:r>
    </w:p>
    <w:p>
      <w:pPr>
        <w:pStyle w:val="80"/>
        <w:numPr>
          <w:ilvl w:val="0"/>
          <w:numId w:val="26"/>
        </w:numPr>
        <w:spacing w:before="0"/>
        <w:ind w:firstLine="480"/>
        <w:rPr>
          <w:rFonts w:hint="eastAsia" w:ascii="宋体" w:hAnsi="宋体" w:cs="宋体"/>
          <w:szCs w:val="24"/>
        </w:rPr>
      </w:pPr>
      <w:r>
        <w:rPr>
          <w:rFonts w:hint="eastAsia" w:ascii="宋体" w:hAnsi="宋体" w:cs="宋体"/>
          <w:szCs w:val="24"/>
        </w:rPr>
        <w:t>投标人采取提供虚假资料等不正当手段的；</w:t>
      </w:r>
    </w:p>
    <w:p>
      <w:pPr>
        <w:pStyle w:val="80"/>
        <w:numPr>
          <w:ilvl w:val="0"/>
          <w:numId w:val="26"/>
        </w:numPr>
        <w:spacing w:before="0"/>
        <w:ind w:firstLine="480"/>
        <w:rPr>
          <w:rFonts w:hint="eastAsia" w:ascii="宋体" w:hAnsi="宋体" w:cs="宋体"/>
          <w:color w:val="000000"/>
          <w:szCs w:val="24"/>
        </w:rPr>
      </w:pPr>
      <w:r>
        <w:rPr>
          <w:rFonts w:hint="eastAsia" w:ascii="宋体" w:hAnsi="宋体" w:cs="宋体"/>
          <w:color w:val="000000"/>
          <w:szCs w:val="24"/>
        </w:rPr>
        <w:t>投标人在投标过程中串通投标的。</w:t>
      </w:r>
    </w:p>
    <w:p>
      <w:pPr>
        <w:pStyle w:val="17"/>
        <w:numPr>
          <w:ilvl w:val="0"/>
          <w:numId w:val="13"/>
        </w:numPr>
        <w:spacing w:line="360" w:lineRule="auto"/>
        <w:ind w:firstLine="482" w:firstLineChars="200"/>
        <w:rPr>
          <w:rFonts w:hint="eastAsia" w:hAnsi="宋体" w:cs="宋体"/>
          <w:b/>
          <w:color w:val="000000"/>
          <w:sz w:val="24"/>
          <w:szCs w:val="24"/>
        </w:rPr>
      </w:pPr>
      <w:r>
        <w:rPr>
          <w:rFonts w:hint="eastAsia" w:hAnsi="宋体" w:cs="宋体"/>
          <w:b/>
          <w:color w:val="000000"/>
          <w:sz w:val="24"/>
          <w:szCs w:val="24"/>
        </w:rPr>
        <w:t>投标文件的编制和签署</w:t>
      </w:r>
    </w:p>
    <w:bookmarkEnd w:id="45"/>
    <w:p>
      <w:pPr>
        <w:pStyle w:val="80"/>
        <w:numPr>
          <w:ilvl w:val="0"/>
          <w:numId w:val="27"/>
        </w:numPr>
        <w:spacing w:before="0"/>
        <w:ind w:firstLine="480"/>
        <w:rPr>
          <w:rFonts w:hint="eastAsia" w:ascii="宋体" w:hAnsi="宋体" w:cs="宋体"/>
          <w:color w:val="000000"/>
          <w:szCs w:val="24"/>
        </w:rPr>
      </w:pPr>
      <w:r>
        <w:rPr>
          <w:rFonts w:hint="eastAsia" w:ascii="宋体" w:hAnsi="宋体" w:cs="宋体"/>
          <w:color w:val="000000"/>
        </w:rPr>
        <w:t>按招标文件9.1条、9.2条、9.3条要求提供的各种文件，投标文件分为资格文件、商务技术文件和报价文件三部分。</w:t>
      </w:r>
    </w:p>
    <w:p>
      <w:pPr>
        <w:pStyle w:val="80"/>
        <w:numPr>
          <w:ilvl w:val="0"/>
          <w:numId w:val="27"/>
        </w:numPr>
        <w:spacing w:before="0"/>
        <w:ind w:firstLine="480"/>
        <w:rPr>
          <w:rFonts w:hint="eastAsia" w:ascii="宋体" w:hAnsi="宋体" w:cs="宋体"/>
          <w:color w:val="000000"/>
          <w:szCs w:val="24"/>
        </w:rPr>
      </w:pPr>
      <w:r>
        <w:rPr>
          <w:rFonts w:hint="eastAsia" w:ascii="宋体" w:hAnsi="宋体" w:cs="宋体"/>
          <w:color w:val="000000"/>
          <w:szCs w:val="24"/>
        </w:rPr>
        <w:t>投标文件须按附件格式要求进行电子签章，投标人应写全称。（电子投标文件中所须加盖公章部分均应采用电子签章）</w:t>
      </w:r>
    </w:p>
    <w:p>
      <w:pPr>
        <w:pStyle w:val="80"/>
        <w:numPr>
          <w:ilvl w:val="0"/>
          <w:numId w:val="27"/>
        </w:numPr>
        <w:spacing w:before="0"/>
        <w:ind w:firstLine="480"/>
        <w:rPr>
          <w:rFonts w:hint="eastAsia" w:ascii="宋体" w:hAnsi="宋体" w:cs="宋体"/>
          <w:color w:val="000000"/>
          <w:szCs w:val="24"/>
        </w:rPr>
      </w:pPr>
      <w:r>
        <w:rPr>
          <w:rFonts w:hint="eastAsia" w:ascii="宋体" w:hAnsi="宋体" w:cs="宋体"/>
          <w:color w:val="000000"/>
          <w:szCs w:val="24"/>
        </w:rPr>
        <w:t>全套投标文件应无涂改和行间插字，除非这些删改是根据采购代理机构要求进行，或者是投标人造成的必须修改的错误。所修改处应由法定代表人或其授权代表签字盖章予以确认。</w:t>
      </w:r>
    </w:p>
    <w:p>
      <w:pPr>
        <w:pStyle w:val="80"/>
        <w:numPr>
          <w:ilvl w:val="0"/>
          <w:numId w:val="27"/>
        </w:numPr>
        <w:spacing w:before="0"/>
        <w:ind w:firstLine="480"/>
        <w:rPr>
          <w:rFonts w:hint="eastAsia" w:ascii="宋体" w:hAnsi="宋体" w:cs="宋体"/>
          <w:color w:val="000000"/>
          <w:szCs w:val="24"/>
        </w:rPr>
      </w:pPr>
      <w:r>
        <w:rPr>
          <w:rFonts w:hint="eastAsia" w:ascii="宋体" w:hAnsi="宋体" w:cs="宋体"/>
          <w:color w:val="000000"/>
          <w:szCs w:val="24"/>
        </w:rPr>
        <w:t>由于字迹模糊或表达不清引起的后果由投标人负责。</w:t>
      </w:r>
    </w:p>
    <w:p>
      <w:pPr>
        <w:pStyle w:val="17"/>
        <w:numPr>
          <w:ilvl w:val="0"/>
          <w:numId w:val="13"/>
        </w:numPr>
        <w:spacing w:line="360" w:lineRule="auto"/>
        <w:ind w:firstLine="482" w:firstLineChars="200"/>
        <w:rPr>
          <w:rFonts w:hint="eastAsia" w:hAnsi="宋体" w:cs="宋体"/>
          <w:b/>
          <w:color w:val="000000"/>
          <w:sz w:val="24"/>
          <w:szCs w:val="24"/>
        </w:rPr>
      </w:pPr>
      <w:r>
        <w:rPr>
          <w:rFonts w:hint="eastAsia" w:hAnsi="宋体" w:cs="宋体"/>
          <w:b/>
          <w:color w:val="000000"/>
          <w:sz w:val="24"/>
          <w:szCs w:val="24"/>
        </w:rPr>
        <w:t xml:space="preserve"> 投标文件的形式</w:t>
      </w:r>
    </w:p>
    <w:p>
      <w:pPr>
        <w:autoSpaceDE w:val="0"/>
        <w:autoSpaceDN w:val="0"/>
        <w:spacing w:line="360" w:lineRule="auto"/>
        <w:ind w:firstLine="480" w:firstLineChars="200"/>
        <w:textAlignment w:val="bottom"/>
        <w:rPr>
          <w:rFonts w:hint="eastAsia"/>
          <w:color w:val="000000"/>
          <w:sz w:val="24"/>
        </w:rPr>
      </w:pPr>
      <w:r>
        <w:rPr>
          <w:rFonts w:hint="eastAsia"/>
          <w:color w:val="000000"/>
          <w:sz w:val="24"/>
        </w:rPr>
        <w:t xml:space="preserve">投标文件为电子投标文件，电子投标文件按“政采云供应商项目采购-电子招投标操作指南”及本招标文件要求制作、加密传输。 </w:t>
      </w:r>
    </w:p>
    <w:p>
      <w:pPr>
        <w:spacing w:line="360" w:lineRule="auto"/>
        <w:jc w:val="center"/>
        <w:rPr>
          <w:rFonts w:hint="eastAsia"/>
          <w:b/>
          <w:sz w:val="24"/>
        </w:rPr>
      </w:pPr>
    </w:p>
    <w:p>
      <w:pPr>
        <w:spacing w:line="360" w:lineRule="auto"/>
        <w:jc w:val="center"/>
        <w:outlineLvl w:val="0"/>
        <w:rPr>
          <w:rFonts w:hint="eastAsia"/>
          <w:bCs/>
          <w:sz w:val="32"/>
        </w:rPr>
      </w:pPr>
      <w:bookmarkStart w:id="46" w:name="_Toc121294572"/>
      <w:r>
        <w:rPr>
          <w:rFonts w:hint="eastAsia"/>
          <w:b/>
          <w:sz w:val="36"/>
          <w:szCs w:val="20"/>
        </w:rPr>
        <w:t>四、投标文件的递交</w:t>
      </w:r>
      <w:bookmarkEnd w:id="43"/>
      <w:bookmarkEnd w:id="46"/>
    </w:p>
    <w:bookmarkEnd w:id="44"/>
    <w:p>
      <w:pPr>
        <w:pStyle w:val="17"/>
        <w:numPr>
          <w:ilvl w:val="0"/>
          <w:numId w:val="13"/>
        </w:numPr>
        <w:spacing w:line="360" w:lineRule="auto"/>
        <w:ind w:firstLine="482" w:firstLineChars="200"/>
        <w:rPr>
          <w:rFonts w:hint="eastAsia" w:hAnsi="宋体" w:cs="宋体"/>
          <w:b/>
          <w:color w:val="000000"/>
          <w:sz w:val="24"/>
          <w:szCs w:val="24"/>
        </w:rPr>
      </w:pPr>
      <w:bookmarkStart w:id="47" w:name="第三部分"/>
      <w:bookmarkStart w:id="48" w:name="_Toc164416483"/>
      <w:r>
        <w:rPr>
          <w:rFonts w:hint="eastAsia" w:hAnsi="宋体" w:cs="宋体"/>
          <w:b/>
          <w:color w:val="000000"/>
          <w:sz w:val="24"/>
          <w:szCs w:val="24"/>
        </w:rPr>
        <w:t>投标截止期</w:t>
      </w:r>
    </w:p>
    <w:p>
      <w:pPr>
        <w:pStyle w:val="80"/>
        <w:numPr>
          <w:ilvl w:val="0"/>
          <w:numId w:val="28"/>
        </w:numPr>
        <w:spacing w:before="0"/>
        <w:ind w:firstLine="480"/>
        <w:rPr>
          <w:rFonts w:hint="eastAsia" w:ascii="宋体" w:hAnsi="宋体" w:cs="宋体"/>
          <w:color w:val="000000"/>
          <w:szCs w:val="24"/>
        </w:rPr>
      </w:pPr>
      <w:r>
        <w:rPr>
          <w:rFonts w:hint="eastAsia" w:ascii="宋体" w:hAnsi="宋体" w:cs="宋体"/>
          <w:color w:val="000000"/>
        </w:rPr>
        <w:t>投标文件必须在规定的投标截止时间前在政采云系统内完成传输，以纸质、电报、电话、传真形式的投标概不接受。为应对投标文件解密失败等异常情况，投标人可指派授权代表在投标截止时间之前到达开标地点提交备份文件。</w:t>
      </w:r>
    </w:p>
    <w:p>
      <w:pPr>
        <w:pStyle w:val="80"/>
        <w:numPr>
          <w:ilvl w:val="0"/>
          <w:numId w:val="28"/>
        </w:numPr>
        <w:spacing w:before="0"/>
        <w:ind w:firstLine="480"/>
        <w:rPr>
          <w:rFonts w:hint="eastAsia" w:ascii="宋体" w:hAnsi="宋体" w:cs="宋体"/>
          <w:color w:val="000000"/>
        </w:rPr>
      </w:pPr>
      <w:r>
        <w:rPr>
          <w:rFonts w:hint="eastAsia" w:ascii="宋体" w:hAnsi="宋体" w:cs="宋体"/>
          <w:color w:val="000000"/>
        </w:rPr>
        <w:t>采购人因故推迟投标截止时间，将以公告形式通知。在这种情况下，采购人和投标人的权利和义务将受到新的截止时间的约束。</w:t>
      </w:r>
    </w:p>
    <w:p>
      <w:pPr>
        <w:pStyle w:val="17"/>
        <w:numPr>
          <w:ilvl w:val="0"/>
          <w:numId w:val="13"/>
        </w:numPr>
        <w:spacing w:line="360" w:lineRule="auto"/>
        <w:ind w:firstLine="482" w:firstLineChars="200"/>
        <w:rPr>
          <w:rFonts w:hint="eastAsia" w:hAnsi="宋体" w:cs="宋体"/>
          <w:b/>
          <w:color w:val="000000"/>
          <w:sz w:val="24"/>
          <w:szCs w:val="24"/>
        </w:rPr>
      </w:pPr>
      <w:r>
        <w:rPr>
          <w:rFonts w:hint="eastAsia" w:hAnsi="宋体" w:cs="宋体"/>
          <w:b/>
          <w:color w:val="000000"/>
          <w:sz w:val="24"/>
          <w:szCs w:val="24"/>
        </w:rPr>
        <w:t>投标文件的修改、撤销</w:t>
      </w:r>
    </w:p>
    <w:p>
      <w:pPr>
        <w:pStyle w:val="17"/>
        <w:spacing w:line="360" w:lineRule="auto"/>
        <w:ind w:firstLine="480" w:firstLineChars="200"/>
        <w:rPr>
          <w:rFonts w:hint="eastAsia" w:hAnsi="宋体" w:cs="宋体"/>
          <w:color w:val="000000"/>
          <w:sz w:val="24"/>
        </w:rPr>
      </w:pPr>
      <w:r>
        <w:rPr>
          <w:rFonts w:hint="eastAsia" w:hAnsi="宋体" w:cs="宋体"/>
          <w:color w:val="000000"/>
          <w:sz w:val="24"/>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pPr>
        <w:spacing w:line="360" w:lineRule="auto"/>
        <w:jc w:val="center"/>
        <w:rPr>
          <w:rFonts w:hint="eastAsia"/>
          <w:b/>
          <w:sz w:val="24"/>
        </w:rPr>
      </w:pPr>
      <w:bookmarkStart w:id="49" w:name="_Toc91899897"/>
    </w:p>
    <w:p>
      <w:pPr>
        <w:spacing w:line="360" w:lineRule="auto"/>
        <w:jc w:val="center"/>
        <w:outlineLvl w:val="0"/>
        <w:rPr>
          <w:rFonts w:hint="eastAsia"/>
          <w:b/>
          <w:sz w:val="36"/>
          <w:szCs w:val="20"/>
        </w:rPr>
      </w:pPr>
      <w:bookmarkStart w:id="50" w:name="_Toc121294573"/>
      <w:r>
        <w:rPr>
          <w:rFonts w:hint="eastAsia"/>
          <w:b/>
          <w:sz w:val="36"/>
          <w:szCs w:val="20"/>
        </w:rPr>
        <w:t>五、开标</w:t>
      </w:r>
      <w:bookmarkEnd w:id="49"/>
      <w:bookmarkEnd w:id="50"/>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开标</w:t>
      </w:r>
    </w:p>
    <w:p>
      <w:pPr>
        <w:pStyle w:val="17"/>
        <w:numPr>
          <w:ilvl w:val="0"/>
          <w:numId w:val="29"/>
        </w:numPr>
        <w:spacing w:line="360" w:lineRule="auto"/>
        <w:ind w:firstLine="480" w:firstLineChars="200"/>
        <w:rPr>
          <w:rFonts w:hint="eastAsia" w:hAnsi="宋体" w:cs="宋体"/>
          <w:color w:val="000000"/>
          <w:sz w:val="24"/>
        </w:rPr>
      </w:pPr>
      <w:r>
        <w:rPr>
          <w:rFonts w:hint="eastAsia" w:hAnsi="宋体" w:cs="宋体"/>
          <w:color w:val="000000"/>
          <w:sz w:val="24"/>
        </w:rPr>
        <w:t>在投标截止时间前按规定提交投标文件的投标人在三家（含）以上的，由采购人或采购代理机构组织进行开标。</w:t>
      </w:r>
    </w:p>
    <w:p>
      <w:pPr>
        <w:pStyle w:val="17"/>
        <w:numPr>
          <w:ilvl w:val="0"/>
          <w:numId w:val="29"/>
        </w:numPr>
        <w:spacing w:line="360" w:lineRule="auto"/>
        <w:ind w:firstLine="482" w:firstLineChars="200"/>
        <w:rPr>
          <w:color w:val="000000"/>
          <w:sz w:val="24"/>
          <w:szCs w:val="24"/>
        </w:rPr>
      </w:pPr>
      <w:r>
        <w:rPr>
          <w:rFonts w:hint="eastAsia" w:hAnsi="宋体" w:cs="宋体"/>
          <w:b/>
          <w:bCs/>
          <w:color w:val="000000"/>
          <w:sz w:val="24"/>
        </w:rPr>
        <w:t>投标人登录政采云平台，用“项目采购-开标评标”功能对电子投标文件进行在线解密。在线解密电子投标文件时间为开标时间起30分钟内。若电子投标文件解密失败，则由采购代理机构工作人员上传投标人提供的备份文件。</w:t>
      </w:r>
      <w:r>
        <w:rPr>
          <w:rFonts w:hint="eastAsia" w:hAnsi="宋体" w:cs="宋体"/>
          <w:color w:val="000000"/>
          <w:sz w:val="24"/>
          <w:szCs w:val="24"/>
        </w:rPr>
        <w:t>备份文件（后缀名为.bfbs）须存储在U盘中，与上传的电子投标文件一致，用信封进行密封并盖章，由授权代表在投标截止时间前递交至开标地点。</w:t>
      </w:r>
    </w:p>
    <w:p>
      <w:pPr>
        <w:pStyle w:val="17"/>
        <w:numPr>
          <w:ilvl w:val="0"/>
          <w:numId w:val="29"/>
        </w:numPr>
        <w:spacing w:line="360" w:lineRule="auto"/>
        <w:ind w:firstLine="480" w:firstLineChars="200"/>
        <w:rPr>
          <w:rFonts w:hint="eastAsia" w:hAnsi="宋体" w:cs="宋体"/>
          <w:color w:val="000000"/>
          <w:sz w:val="24"/>
        </w:rPr>
      </w:pPr>
      <w:r>
        <w:rPr>
          <w:rFonts w:hint="eastAsia" w:hAnsi="宋体" w:cs="宋体"/>
          <w:color w:val="000000"/>
          <w:sz w:val="24"/>
        </w:rPr>
        <w:t>采购人按招标文件规定的时间、地点公开开标。开标仪式由采购人或采购代理机构主持及有关人员参加。</w:t>
      </w:r>
    </w:p>
    <w:p>
      <w:pPr>
        <w:pStyle w:val="80"/>
        <w:numPr>
          <w:ilvl w:val="0"/>
          <w:numId w:val="29"/>
        </w:numPr>
        <w:spacing w:before="0"/>
        <w:ind w:firstLine="480"/>
        <w:rPr>
          <w:rFonts w:hint="eastAsia" w:ascii="宋体" w:hAnsi="宋体" w:cs="宋体"/>
          <w:color w:val="000000"/>
          <w:szCs w:val="24"/>
        </w:rPr>
      </w:pPr>
      <w:r>
        <w:rPr>
          <w:rFonts w:hint="eastAsia" w:ascii="宋体" w:hAnsi="宋体" w:cs="宋体"/>
          <w:color w:val="000000"/>
          <w:szCs w:val="24"/>
        </w:rPr>
        <w:t>本项目为电子投标项目，投标人一般不需要参加现场投标和开标，若投标人需要指派授权代表递交备份文件，则授权代表应随身携带法定代表人授权书原件于投标截止时间前到达开标地点递交备份文件。</w:t>
      </w:r>
      <w:r>
        <w:rPr>
          <w:rFonts w:hint="eastAsia"/>
          <w:color w:val="000000"/>
        </w:rPr>
        <w:t xml:space="preserve"> 若电子投标文件正常解锁，</w:t>
      </w:r>
      <w:r>
        <w:rPr>
          <w:rFonts w:hint="eastAsia" w:ascii="宋体" w:hAnsi="宋体" w:cs="宋体"/>
          <w:color w:val="000000"/>
        </w:rPr>
        <w:t>则U盘退还给供应商；若解锁失败，则由采购代理机构将U盘中的备份文件上传，该U盘将由采购代理机构保存。</w:t>
      </w:r>
    </w:p>
    <w:p>
      <w:pPr>
        <w:pStyle w:val="80"/>
        <w:numPr>
          <w:ilvl w:val="0"/>
          <w:numId w:val="29"/>
        </w:numPr>
        <w:spacing w:before="0"/>
        <w:ind w:firstLine="480"/>
        <w:rPr>
          <w:rFonts w:hint="eastAsia" w:ascii="宋体" w:hAnsi="宋体" w:cs="宋体"/>
          <w:color w:val="000000"/>
          <w:szCs w:val="24"/>
        </w:rPr>
      </w:pPr>
      <w:r>
        <w:rPr>
          <w:rFonts w:hint="eastAsia" w:ascii="宋体" w:hAnsi="宋体" w:cs="宋体"/>
          <w:color w:val="000000"/>
          <w:szCs w:val="24"/>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spacing w:line="360" w:lineRule="auto"/>
        <w:jc w:val="center"/>
        <w:rPr>
          <w:rFonts w:hint="eastAsia"/>
          <w:b/>
          <w:sz w:val="24"/>
        </w:rPr>
      </w:pPr>
    </w:p>
    <w:p>
      <w:pPr>
        <w:spacing w:line="360" w:lineRule="auto"/>
        <w:jc w:val="center"/>
        <w:outlineLvl w:val="0"/>
        <w:rPr>
          <w:rFonts w:hint="eastAsia"/>
          <w:bCs/>
          <w:sz w:val="32"/>
        </w:rPr>
      </w:pPr>
      <w:bookmarkStart w:id="51" w:name="_Toc121294574"/>
      <w:r>
        <w:rPr>
          <w:rFonts w:hint="eastAsia"/>
          <w:b/>
          <w:sz w:val="36"/>
          <w:szCs w:val="20"/>
        </w:rPr>
        <w:t>六、资格审查</w:t>
      </w:r>
      <w:bookmarkEnd w:id="51"/>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资格审查</w:t>
      </w:r>
    </w:p>
    <w:p>
      <w:pPr>
        <w:pStyle w:val="80"/>
        <w:numPr>
          <w:ilvl w:val="0"/>
          <w:numId w:val="30"/>
        </w:numPr>
        <w:spacing w:before="0"/>
        <w:ind w:firstLine="480"/>
        <w:rPr>
          <w:rFonts w:hint="eastAsia" w:ascii="宋体" w:hAnsi="宋体" w:cs="宋体"/>
          <w:szCs w:val="24"/>
        </w:rPr>
      </w:pPr>
      <w:bookmarkStart w:id="52" w:name="_Hlt75236101"/>
      <w:bookmarkEnd w:id="52"/>
      <w:bookmarkStart w:id="53" w:name="_Toc91899902"/>
      <w:r>
        <w:rPr>
          <w:rFonts w:hint="eastAsia" w:ascii="宋体" w:hAnsi="宋体" w:cs="宋体"/>
          <w:szCs w:val="24"/>
        </w:rPr>
        <w:t>开标后，采购人或采购代理机构将依法对投标人的资格进行审查；</w:t>
      </w:r>
    </w:p>
    <w:p>
      <w:pPr>
        <w:pStyle w:val="80"/>
        <w:numPr>
          <w:ilvl w:val="0"/>
          <w:numId w:val="30"/>
        </w:numPr>
        <w:spacing w:before="0"/>
        <w:ind w:firstLine="480"/>
        <w:rPr>
          <w:rFonts w:hint="eastAsia" w:ascii="宋体" w:hAnsi="宋体" w:cs="宋体"/>
          <w:szCs w:val="24"/>
        </w:rPr>
      </w:pPr>
      <w:r>
        <w:rPr>
          <w:rFonts w:hint="eastAsia" w:ascii="宋体" w:hAnsi="宋体" w:cs="宋体"/>
          <w:szCs w:val="24"/>
        </w:rPr>
        <w:t>采购人或采购代理机构依据法律法规和招标文件的规定，对投标人的基本资格条件、特定资格条件进行审查。</w:t>
      </w:r>
    </w:p>
    <w:p>
      <w:pPr>
        <w:pStyle w:val="80"/>
        <w:numPr>
          <w:ilvl w:val="0"/>
          <w:numId w:val="30"/>
        </w:numPr>
        <w:spacing w:before="0"/>
        <w:ind w:firstLine="480"/>
        <w:rPr>
          <w:rFonts w:hint="eastAsia" w:ascii="宋体" w:hAnsi="宋体" w:cs="宋体"/>
          <w:szCs w:val="24"/>
        </w:rPr>
      </w:pPr>
      <w:r>
        <w:rPr>
          <w:rFonts w:hint="eastAsia" w:ascii="宋体" w:hAnsi="宋体" w:cs="宋体"/>
          <w:szCs w:val="24"/>
        </w:rPr>
        <w:t>采购人或采购代理机构将通过“信用中国”网站(www.creditchina.gov.cn)、中国政府采购网(</w:t>
      </w:r>
      <w:r>
        <w:rPr>
          <w:rFonts w:hint="eastAsia" w:ascii="宋体" w:hAnsi="宋体" w:cs="宋体"/>
          <w:szCs w:val="24"/>
        </w:rPr>
        <w:fldChar w:fldCharType="begin"/>
      </w:r>
      <w:r>
        <w:rPr>
          <w:rFonts w:hint="eastAsia" w:ascii="宋体" w:hAnsi="宋体" w:cs="宋体"/>
          <w:szCs w:val="24"/>
        </w:rPr>
        <w:instrText xml:space="preserve"> HYPERLINK "http://www.ccgp.gov.cn" </w:instrText>
      </w:r>
      <w:r>
        <w:rPr>
          <w:rFonts w:hint="eastAsia" w:ascii="宋体" w:hAnsi="宋体" w:cs="宋体"/>
          <w:szCs w:val="24"/>
        </w:rPr>
        <w:fldChar w:fldCharType="separate"/>
      </w:r>
      <w:r>
        <w:rPr>
          <w:rFonts w:hint="eastAsia" w:ascii="宋体" w:hAnsi="宋体" w:cs="宋体"/>
          <w:szCs w:val="24"/>
        </w:rPr>
        <w:t>www.ccgp.gov.cn</w:t>
      </w:r>
      <w:r>
        <w:rPr>
          <w:rFonts w:hint="eastAsia" w:ascii="宋体" w:hAnsi="宋体" w:cs="宋体"/>
          <w:szCs w:val="24"/>
        </w:rPr>
        <w:fldChar w:fldCharType="end"/>
      </w:r>
      <w:r>
        <w:rPr>
          <w:rFonts w:hint="eastAsia" w:ascii="宋体" w:hAnsi="宋体" w:cs="宋体"/>
          <w:szCs w:val="24"/>
        </w:rPr>
        <w:t>)渠道查询投标人开标后评标前的信用记录，经查询投标人列入失信被执行人名单、重大税收违法案件当事人名单、政府采购严重违法失信行为记录名单的，其投标无效；</w:t>
      </w:r>
    </w:p>
    <w:p>
      <w:pPr>
        <w:pStyle w:val="80"/>
        <w:numPr>
          <w:ilvl w:val="0"/>
          <w:numId w:val="30"/>
        </w:numPr>
        <w:spacing w:before="0"/>
        <w:ind w:firstLine="480"/>
        <w:rPr>
          <w:rFonts w:hint="eastAsia" w:ascii="宋体" w:hAnsi="宋体" w:cs="宋体"/>
          <w:szCs w:val="24"/>
        </w:rPr>
      </w:pPr>
      <w:r>
        <w:rPr>
          <w:rFonts w:hint="eastAsia" w:ascii="宋体" w:hAnsi="宋体" w:cs="宋体"/>
          <w:szCs w:val="24"/>
        </w:rPr>
        <w:t>采购人或采购代理机构出具《投标人资格审查意见表》，投标人未按照招标文件要求提供与基本资格条件、特定资格条件相应的有效资格证明材料的，视为投标人不具备招标文件中规定的资格要求，其投标无效。</w:t>
      </w:r>
    </w:p>
    <w:p>
      <w:pPr>
        <w:spacing w:line="360" w:lineRule="auto"/>
        <w:jc w:val="center"/>
        <w:rPr>
          <w:rFonts w:hint="eastAsia"/>
          <w:b/>
          <w:sz w:val="24"/>
        </w:rPr>
      </w:pPr>
    </w:p>
    <w:p>
      <w:pPr>
        <w:spacing w:line="360" w:lineRule="auto"/>
        <w:jc w:val="center"/>
        <w:outlineLvl w:val="0"/>
        <w:rPr>
          <w:rFonts w:hint="eastAsia"/>
          <w:bCs/>
          <w:sz w:val="32"/>
        </w:rPr>
      </w:pPr>
      <w:bookmarkStart w:id="54" w:name="_Toc121294575"/>
      <w:r>
        <w:rPr>
          <w:rFonts w:hint="eastAsia"/>
          <w:b/>
          <w:sz w:val="36"/>
          <w:szCs w:val="20"/>
        </w:rPr>
        <w:t>七、评标</w:t>
      </w:r>
      <w:bookmarkEnd w:id="53"/>
      <w:bookmarkEnd w:id="54"/>
    </w:p>
    <w:p>
      <w:pPr>
        <w:pStyle w:val="17"/>
        <w:numPr>
          <w:ilvl w:val="0"/>
          <w:numId w:val="13"/>
        </w:numPr>
        <w:spacing w:line="360" w:lineRule="auto"/>
        <w:ind w:firstLine="482" w:firstLineChars="200"/>
        <w:rPr>
          <w:rFonts w:hint="eastAsia" w:hAnsi="宋体" w:cs="宋体"/>
          <w:b/>
          <w:color w:val="000000"/>
          <w:sz w:val="24"/>
          <w:szCs w:val="24"/>
        </w:rPr>
      </w:pPr>
      <w:bookmarkStart w:id="55" w:name="_Toc91899903"/>
      <w:r>
        <w:rPr>
          <w:rFonts w:hint="eastAsia" w:hAnsi="宋体" w:cs="宋体"/>
          <w:b/>
          <w:color w:val="000000"/>
          <w:sz w:val="24"/>
          <w:szCs w:val="24"/>
        </w:rPr>
        <w:t>评标原则</w:t>
      </w:r>
    </w:p>
    <w:p>
      <w:pPr>
        <w:pStyle w:val="80"/>
        <w:numPr>
          <w:ilvl w:val="0"/>
          <w:numId w:val="31"/>
        </w:numPr>
        <w:spacing w:before="0"/>
        <w:ind w:firstLine="480"/>
        <w:rPr>
          <w:rFonts w:hint="eastAsia" w:ascii="宋体" w:hAnsi="宋体" w:cs="宋体"/>
          <w:color w:val="000000"/>
          <w:szCs w:val="24"/>
        </w:rPr>
      </w:pPr>
      <w:r>
        <w:rPr>
          <w:rFonts w:hint="eastAsia" w:ascii="宋体" w:hAnsi="宋体" w:cs="宋体"/>
          <w:color w:val="000000"/>
          <w:szCs w:val="24"/>
        </w:rPr>
        <w:t>竞争优选；</w:t>
      </w:r>
    </w:p>
    <w:p>
      <w:pPr>
        <w:pStyle w:val="80"/>
        <w:numPr>
          <w:ilvl w:val="0"/>
          <w:numId w:val="31"/>
        </w:numPr>
        <w:spacing w:before="0"/>
        <w:ind w:firstLine="480"/>
        <w:rPr>
          <w:rFonts w:hint="eastAsia" w:ascii="宋体" w:hAnsi="宋体" w:cs="宋体"/>
          <w:color w:val="000000"/>
          <w:szCs w:val="24"/>
        </w:rPr>
      </w:pPr>
      <w:r>
        <w:rPr>
          <w:rFonts w:hint="eastAsia" w:ascii="宋体" w:hAnsi="宋体" w:cs="宋体"/>
          <w:color w:val="000000"/>
          <w:szCs w:val="24"/>
          <w:lang w:val="zh-CN"/>
        </w:rPr>
        <w:t>坚持公开</w:t>
      </w:r>
      <w:r>
        <w:rPr>
          <w:rFonts w:hint="eastAsia" w:ascii="宋体" w:hAnsi="宋体" w:cs="宋体"/>
          <w:color w:val="000000"/>
          <w:szCs w:val="24"/>
        </w:rPr>
        <w:t>、公平、公正、科学合理</w:t>
      </w:r>
      <w:r>
        <w:rPr>
          <w:rFonts w:hint="eastAsia" w:ascii="宋体" w:hAnsi="宋体" w:cs="宋体"/>
          <w:color w:val="000000"/>
          <w:szCs w:val="24"/>
          <w:lang w:val="zh-CN"/>
        </w:rPr>
        <w:t>的原则；</w:t>
      </w:r>
    </w:p>
    <w:p>
      <w:pPr>
        <w:pStyle w:val="80"/>
        <w:numPr>
          <w:ilvl w:val="0"/>
          <w:numId w:val="31"/>
        </w:numPr>
        <w:spacing w:before="0"/>
        <w:ind w:firstLine="480"/>
        <w:rPr>
          <w:rFonts w:hint="eastAsia" w:ascii="宋体" w:hAnsi="宋体" w:cs="宋体"/>
          <w:color w:val="000000"/>
          <w:szCs w:val="24"/>
          <w:lang w:val="zh-CN"/>
        </w:rPr>
      </w:pPr>
      <w:r>
        <w:rPr>
          <w:rFonts w:hint="eastAsia" w:ascii="宋体" w:hAnsi="宋体" w:cs="宋体"/>
          <w:color w:val="000000"/>
          <w:szCs w:val="24"/>
        </w:rPr>
        <w:t>价格合理，方案、产品先进可行；</w:t>
      </w:r>
    </w:p>
    <w:p>
      <w:pPr>
        <w:pStyle w:val="80"/>
        <w:numPr>
          <w:ilvl w:val="0"/>
          <w:numId w:val="31"/>
        </w:numPr>
        <w:spacing w:before="0"/>
        <w:ind w:firstLine="480"/>
        <w:rPr>
          <w:rFonts w:hint="eastAsia" w:ascii="宋体" w:hAnsi="宋体" w:cs="宋体"/>
          <w:color w:val="000000"/>
          <w:szCs w:val="24"/>
          <w:lang w:val="zh-CN"/>
        </w:rPr>
      </w:pPr>
      <w:r>
        <w:rPr>
          <w:rFonts w:hint="eastAsia" w:ascii="宋体" w:hAnsi="宋体" w:cs="宋体"/>
          <w:color w:val="000000"/>
          <w:szCs w:val="24"/>
          <w:lang w:val="zh-CN"/>
        </w:rPr>
        <w:t>反对不正当竞争。</w:t>
      </w:r>
    </w:p>
    <w:p>
      <w:pPr>
        <w:pStyle w:val="17"/>
        <w:numPr>
          <w:ilvl w:val="0"/>
          <w:numId w:val="13"/>
        </w:numPr>
        <w:spacing w:line="360" w:lineRule="auto"/>
        <w:ind w:firstLine="482" w:firstLineChars="200"/>
        <w:rPr>
          <w:rFonts w:hint="eastAsia" w:hAnsi="宋体" w:cs="宋体"/>
          <w:b/>
          <w:color w:val="000000"/>
          <w:sz w:val="24"/>
          <w:szCs w:val="24"/>
        </w:rPr>
      </w:pPr>
      <w:r>
        <w:rPr>
          <w:rFonts w:hint="eastAsia" w:hAnsi="宋体" w:cs="宋体"/>
          <w:b/>
          <w:color w:val="000000"/>
          <w:sz w:val="24"/>
          <w:szCs w:val="24"/>
        </w:rPr>
        <w:t>评标组织</w:t>
      </w:r>
    </w:p>
    <w:p>
      <w:pPr>
        <w:pStyle w:val="80"/>
        <w:numPr>
          <w:ilvl w:val="0"/>
          <w:numId w:val="32"/>
        </w:numPr>
        <w:spacing w:before="0"/>
        <w:ind w:firstLine="480"/>
        <w:rPr>
          <w:rFonts w:hint="eastAsia" w:ascii="宋体" w:hAnsi="宋体" w:cs="宋体"/>
          <w:color w:val="000000"/>
          <w:szCs w:val="24"/>
          <w:lang w:val="zh-CN"/>
        </w:rPr>
      </w:pPr>
      <w:r>
        <w:rPr>
          <w:rFonts w:hint="eastAsia" w:ascii="宋体" w:hAnsi="宋体" w:cs="宋体"/>
          <w:color w:val="000000"/>
          <w:szCs w:val="24"/>
          <w:lang w:val="zh-CN"/>
        </w:rPr>
        <w:t>评标委员会由采购人代表和评审专家组成，成员人数应当为5人以上单数，其中评审专家不得少于成员总数的三分之二；</w:t>
      </w:r>
    </w:p>
    <w:p>
      <w:pPr>
        <w:pStyle w:val="80"/>
        <w:numPr>
          <w:ilvl w:val="0"/>
          <w:numId w:val="32"/>
        </w:numPr>
        <w:spacing w:before="0"/>
        <w:ind w:firstLine="480"/>
        <w:rPr>
          <w:rFonts w:hint="eastAsia" w:ascii="宋体" w:hAnsi="宋体" w:cs="宋体"/>
          <w:color w:val="000000"/>
          <w:szCs w:val="24"/>
          <w:lang w:val="zh-CN"/>
        </w:rPr>
      </w:pPr>
      <w:r>
        <w:rPr>
          <w:rFonts w:hint="eastAsia" w:ascii="宋体" w:hAnsi="宋体" w:cs="宋体"/>
          <w:color w:val="000000"/>
          <w:szCs w:val="24"/>
          <w:lang w:val="zh-CN"/>
        </w:rPr>
        <w:t>评标工作由评标委员会负责，并推选产生的组长主持。</w:t>
      </w:r>
    </w:p>
    <w:p>
      <w:pPr>
        <w:pStyle w:val="80"/>
        <w:numPr>
          <w:ilvl w:val="0"/>
          <w:numId w:val="32"/>
        </w:numPr>
        <w:spacing w:before="0"/>
        <w:ind w:firstLine="480"/>
        <w:rPr>
          <w:rFonts w:hint="eastAsia" w:ascii="宋体" w:hAnsi="宋体" w:cs="宋体"/>
          <w:color w:val="000000"/>
          <w:szCs w:val="24"/>
          <w:lang w:val="zh-CN"/>
        </w:rPr>
      </w:pPr>
      <w:r>
        <w:rPr>
          <w:rFonts w:hint="eastAsia" w:ascii="宋体" w:hAnsi="宋体" w:cs="宋体"/>
          <w:color w:val="000000"/>
          <w:szCs w:val="24"/>
          <w:lang w:val="zh-CN"/>
        </w:rPr>
        <w:t>本次评标为在线评标。</w:t>
      </w:r>
    </w:p>
    <w:p>
      <w:pPr>
        <w:pStyle w:val="17"/>
        <w:numPr>
          <w:ilvl w:val="0"/>
          <w:numId w:val="13"/>
        </w:numPr>
        <w:spacing w:line="360" w:lineRule="auto"/>
        <w:ind w:firstLine="482" w:firstLineChars="200"/>
        <w:rPr>
          <w:rFonts w:hint="eastAsia" w:hAnsi="宋体" w:cs="宋体"/>
          <w:b/>
          <w:color w:val="000000"/>
          <w:sz w:val="24"/>
          <w:szCs w:val="24"/>
        </w:rPr>
      </w:pPr>
      <w:r>
        <w:rPr>
          <w:rFonts w:hint="eastAsia" w:hAnsi="宋体" w:cs="宋体"/>
          <w:b/>
          <w:color w:val="000000"/>
          <w:sz w:val="24"/>
          <w:szCs w:val="24"/>
        </w:rPr>
        <w:t>评标办法</w:t>
      </w:r>
    </w:p>
    <w:p>
      <w:pPr>
        <w:spacing w:line="360" w:lineRule="auto"/>
        <w:ind w:firstLine="467" w:firstLineChars="194"/>
        <w:rPr>
          <w:rFonts w:hint="eastAsia"/>
          <w:b/>
          <w:color w:val="000000"/>
          <w:sz w:val="24"/>
          <w:szCs w:val="20"/>
        </w:rPr>
      </w:pPr>
      <w:r>
        <w:rPr>
          <w:rFonts w:hint="eastAsia"/>
          <w:b/>
          <w:color w:val="000000"/>
          <w:sz w:val="24"/>
          <w:szCs w:val="20"/>
        </w:rPr>
        <w:t>本项目评标办法是综合评分法，具体评标内容及评分标准等详见招标文件第三部分。</w:t>
      </w:r>
    </w:p>
    <w:p>
      <w:pPr>
        <w:pStyle w:val="17"/>
        <w:numPr>
          <w:ilvl w:val="0"/>
          <w:numId w:val="13"/>
        </w:numPr>
        <w:spacing w:line="360" w:lineRule="auto"/>
        <w:ind w:firstLine="482" w:firstLineChars="200"/>
        <w:rPr>
          <w:rFonts w:hint="eastAsia" w:hAnsi="宋体" w:cs="宋体"/>
          <w:b/>
          <w:color w:val="000000"/>
          <w:sz w:val="24"/>
          <w:szCs w:val="24"/>
        </w:rPr>
      </w:pPr>
      <w:r>
        <w:rPr>
          <w:rFonts w:hint="eastAsia" w:hAnsi="宋体" w:cs="宋体"/>
          <w:b/>
          <w:color w:val="000000"/>
          <w:sz w:val="24"/>
          <w:szCs w:val="24"/>
        </w:rPr>
        <w:t>投标文件符合性审查</w:t>
      </w:r>
    </w:p>
    <w:p>
      <w:pPr>
        <w:pStyle w:val="80"/>
        <w:numPr>
          <w:ilvl w:val="0"/>
          <w:numId w:val="33"/>
        </w:numPr>
        <w:spacing w:before="0"/>
        <w:ind w:firstLine="480"/>
        <w:rPr>
          <w:rFonts w:hint="eastAsia" w:ascii="宋体" w:hAnsi="宋体" w:cs="宋体"/>
          <w:color w:val="000000"/>
          <w:szCs w:val="24"/>
          <w:lang w:val="zh-CN"/>
        </w:rPr>
      </w:pPr>
      <w:r>
        <w:rPr>
          <w:rFonts w:hint="eastAsia" w:ascii="宋体" w:hAnsi="宋体" w:cs="宋体"/>
          <w:color w:val="000000"/>
          <w:szCs w:val="24"/>
          <w:lang w:val="zh-CN"/>
        </w:rPr>
        <w:t>投标文件符合性审查：评标委员会依据招标文件的规定，从投标文件的有效性、完整性和对招标文件的响应程度进行审查，以确定是否对招标文件的要求作出实质性响应。</w:t>
      </w:r>
    </w:p>
    <w:p>
      <w:pPr>
        <w:pStyle w:val="80"/>
        <w:numPr>
          <w:ilvl w:val="0"/>
          <w:numId w:val="33"/>
        </w:numPr>
        <w:spacing w:before="0"/>
        <w:ind w:firstLine="480"/>
        <w:rPr>
          <w:rFonts w:hint="eastAsia" w:ascii="宋体" w:hAnsi="宋体" w:cs="宋体"/>
          <w:color w:val="000000"/>
          <w:szCs w:val="24"/>
          <w:lang w:val="zh-CN"/>
        </w:rPr>
      </w:pPr>
      <w:r>
        <w:rPr>
          <w:rFonts w:hint="eastAsia" w:ascii="宋体" w:hAnsi="宋体" w:cs="宋体"/>
          <w:color w:val="000000"/>
          <w:szCs w:val="24"/>
          <w:lang w:val="zh-CN"/>
        </w:rPr>
        <w:t>实质性响应的投标应该是与招标文件要求的主要条款相符，没有重大偏离或保留的投标。所谓重大偏离或保留是指影响合同的内容、项目建设质量，或者在实质上与招标文件不一致，而且限制了合同中采购人的权利或投标人的义务，纠正这些偏离或保留将会对其他实质性响应要求的投标人的竞争地位产生不公正的影响。评标委员会决定投标文件的响应性只根据投标文件本身的内容，而不寻求外部证据。</w:t>
      </w:r>
    </w:p>
    <w:p>
      <w:pPr>
        <w:pStyle w:val="80"/>
        <w:numPr>
          <w:ilvl w:val="0"/>
          <w:numId w:val="33"/>
        </w:numPr>
        <w:spacing w:before="0"/>
        <w:ind w:firstLine="480"/>
        <w:rPr>
          <w:rFonts w:hint="eastAsia" w:ascii="宋体" w:hAnsi="宋体" w:cs="宋体"/>
          <w:szCs w:val="24"/>
          <w:lang w:val="zh-CN"/>
        </w:rPr>
      </w:pPr>
      <w:r>
        <w:rPr>
          <w:rFonts w:hint="eastAsia" w:ascii="宋体" w:hAnsi="宋体" w:cs="宋体"/>
          <w:color w:val="000000"/>
          <w:szCs w:val="24"/>
          <w:lang w:val="zh-CN"/>
        </w:rPr>
        <w:t>如果投标文件没有实质上响应招标文件的要求，评标委员会将判定</w:t>
      </w:r>
      <w:r>
        <w:rPr>
          <w:rFonts w:hint="eastAsia" w:ascii="宋体" w:hAnsi="宋体" w:cs="宋体"/>
          <w:szCs w:val="24"/>
          <w:lang w:val="zh-CN"/>
        </w:rPr>
        <w:t xml:space="preserve">无效投标，投标人不得通过修改或撤销不合要求的偏离或保留而使其投标成为实质性响应的投标。 </w:t>
      </w:r>
    </w:p>
    <w:p>
      <w:pPr>
        <w:pStyle w:val="80"/>
        <w:numPr>
          <w:ilvl w:val="0"/>
          <w:numId w:val="33"/>
        </w:numPr>
        <w:spacing w:before="0"/>
        <w:ind w:firstLine="480"/>
        <w:rPr>
          <w:rFonts w:hint="eastAsia" w:ascii="宋体" w:hAnsi="宋体" w:cs="宋体"/>
          <w:szCs w:val="24"/>
          <w:lang w:val="zh-CN"/>
        </w:rPr>
      </w:pPr>
      <w:r>
        <w:rPr>
          <w:rFonts w:hint="eastAsia" w:ascii="宋体" w:hAnsi="宋体" w:cs="宋体"/>
          <w:szCs w:val="24"/>
          <w:lang w:val="zh-CN"/>
        </w:rPr>
        <w:t>即按《评分标准》确定的标准，以经审查合格的投标文件进行资信、技术和商务评估，并综合进行比较与评价。根据《浙江省政府采购活动现场组织管理办法》的通知（浙财采监{2015}13号）规定，“对明显畸高、畸低的评分（其总评分偏离平均分30%以上的），评审小组组长应提醒相关评审人员进行复核或书面说明理由，评审人员拒绝说明的，由现场监督员据实记录；评审人员的评审、修改记录应保留原件，随项目其他资料一并存档。”</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修正原则</w:t>
      </w:r>
    </w:p>
    <w:p>
      <w:pPr>
        <w:pStyle w:val="80"/>
        <w:spacing w:before="0"/>
        <w:ind w:left="400" w:leftChars="200" w:firstLine="0" w:firstLineChars="0"/>
        <w:rPr>
          <w:rFonts w:hint="eastAsia" w:ascii="宋体" w:hAnsi="宋体" w:cs="宋体"/>
          <w:szCs w:val="24"/>
          <w:lang w:val="zh-CN"/>
        </w:rPr>
      </w:pPr>
      <w:r>
        <w:rPr>
          <w:rFonts w:hint="eastAsia" w:ascii="宋体" w:hAnsi="宋体" w:cs="宋体"/>
          <w:szCs w:val="24"/>
          <w:lang w:val="zh-CN"/>
        </w:rPr>
        <w:t>投标文件报价出现前后不一致的，按照下列规定修正：</w:t>
      </w:r>
    </w:p>
    <w:p>
      <w:pPr>
        <w:pStyle w:val="80"/>
        <w:numPr>
          <w:ilvl w:val="0"/>
          <w:numId w:val="34"/>
        </w:numPr>
        <w:spacing w:before="0"/>
        <w:ind w:firstLine="480"/>
        <w:rPr>
          <w:rFonts w:hint="eastAsia" w:ascii="宋体" w:hAnsi="宋体" w:cs="宋体"/>
          <w:szCs w:val="24"/>
          <w:lang w:val="zh-CN"/>
        </w:rPr>
      </w:pPr>
      <w:r>
        <w:rPr>
          <w:rFonts w:hint="eastAsia" w:ascii="宋体" w:hAnsi="宋体" w:cs="宋体"/>
          <w:szCs w:val="24"/>
          <w:lang w:val="zh-CN"/>
        </w:rPr>
        <w:t>投标文件中投标（开标）一览表内容与投标文件中相应内容不一致的，以投标（开标）一览表为准；</w:t>
      </w:r>
    </w:p>
    <w:p>
      <w:pPr>
        <w:pStyle w:val="80"/>
        <w:numPr>
          <w:ilvl w:val="0"/>
          <w:numId w:val="34"/>
        </w:numPr>
        <w:spacing w:before="0"/>
        <w:ind w:firstLine="480"/>
        <w:rPr>
          <w:rFonts w:hint="eastAsia" w:ascii="宋体" w:hAnsi="宋体" w:cs="宋体"/>
          <w:szCs w:val="24"/>
          <w:lang w:val="zh-CN"/>
        </w:rPr>
      </w:pPr>
      <w:r>
        <w:rPr>
          <w:rFonts w:hint="eastAsia" w:ascii="宋体" w:hAnsi="宋体" w:cs="宋体"/>
          <w:szCs w:val="24"/>
          <w:lang w:val="zh-CN"/>
        </w:rPr>
        <w:t>大写金额和小写金额不一致的，以大写金额为准；</w:t>
      </w:r>
    </w:p>
    <w:p>
      <w:pPr>
        <w:pStyle w:val="80"/>
        <w:numPr>
          <w:ilvl w:val="0"/>
          <w:numId w:val="34"/>
        </w:numPr>
        <w:spacing w:before="0"/>
        <w:ind w:firstLine="480"/>
        <w:rPr>
          <w:rFonts w:hint="eastAsia" w:ascii="宋体" w:hAnsi="宋体" w:cs="宋体"/>
          <w:szCs w:val="24"/>
          <w:lang w:val="zh-CN"/>
        </w:rPr>
      </w:pPr>
      <w:r>
        <w:rPr>
          <w:rFonts w:hint="eastAsia" w:ascii="宋体" w:hAnsi="宋体" w:cs="宋体"/>
          <w:szCs w:val="24"/>
          <w:lang w:val="zh-CN"/>
        </w:rPr>
        <w:t>单价金额小数点或者百分比有明显错位的，以投标（开标）一览表的总价为准，并修改单价；</w:t>
      </w:r>
    </w:p>
    <w:p>
      <w:pPr>
        <w:pStyle w:val="80"/>
        <w:numPr>
          <w:ilvl w:val="0"/>
          <w:numId w:val="34"/>
        </w:numPr>
        <w:spacing w:before="0"/>
        <w:ind w:firstLine="480"/>
        <w:rPr>
          <w:rFonts w:hint="eastAsia" w:ascii="宋体" w:hAnsi="宋体" w:cs="宋体"/>
          <w:szCs w:val="24"/>
          <w:lang w:val="zh-CN"/>
        </w:rPr>
      </w:pPr>
      <w:r>
        <w:rPr>
          <w:rFonts w:hint="eastAsia" w:ascii="宋体" w:hAnsi="宋体" w:cs="宋体"/>
          <w:szCs w:val="24"/>
          <w:lang w:val="zh-CN"/>
        </w:rPr>
        <w:t>总价金额与按单价汇总金额不一致的，以单价金额计算结果为准。</w:t>
      </w:r>
    </w:p>
    <w:p>
      <w:pPr>
        <w:pStyle w:val="80"/>
        <w:spacing w:before="0"/>
        <w:ind w:firstLine="480"/>
        <w:rPr>
          <w:rFonts w:hint="eastAsia" w:ascii="宋体" w:hAnsi="宋体" w:cs="宋体"/>
          <w:szCs w:val="24"/>
          <w:lang w:val="zh-CN"/>
        </w:rPr>
      </w:pPr>
      <w:r>
        <w:rPr>
          <w:rFonts w:hint="eastAsia" w:ascii="宋体" w:hAnsi="宋体" w:cs="宋体"/>
          <w:szCs w:val="24"/>
          <w:lang w:val="zh-CN"/>
        </w:rPr>
        <w:t>同时出现两种以上不一致的，按照前款规定的顺序修正。修正后的报价按照财政部公布第87号令 《政府采购产品和服务招标投标管理办法》第五十一条第二款的规定经投标人确认后产生约束力，投标人不确认的，其投标无效。</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投标文件的澄清</w:t>
      </w:r>
    </w:p>
    <w:p>
      <w:pPr>
        <w:pStyle w:val="80"/>
        <w:numPr>
          <w:ilvl w:val="0"/>
          <w:numId w:val="35"/>
        </w:numPr>
        <w:tabs>
          <w:tab w:val="left" w:pos="0"/>
        </w:tabs>
        <w:spacing w:before="0"/>
        <w:ind w:left="0" w:firstLine="480"/>
        <w:rPr>
          <w:rFonts w:hint="eastAsia" w:ascii="宋体" w:hAnsi="宋体" w:cs="宋体"/>
          <w:color w:val="000000"/>
          <w:szCs w:val="24"/>
          <w:lang w:val="zh-CN"/>
        </w:rPr>
      </w:pPr>
      <w:r>
        <w:rPr>
          <w:rFonts w:hint="eastAsia" w:ascii="宋体" w:hAnsi="宋体" w:cs="宋体"/>
          <w:color w:val="000000"/>
          <w:szCs w:val="24"/>
          <w:lang w:val="zh-CN"/>
        </w:rPr>
        <w:t>评审中因投标文件含义不明、表述不一致或有明显计算错误等内容需要供应商作出澄清、说明或者补正的，评标委员会和供应商应当通过政采云平台交换数据电文，给予供应商提交澄清说明或补正的时间不少于半小时，供应商已经明确表示澄清说明或补正完毕的除外。</w:t>
      </w:r>
    </w:p>
    <w:p>
      <w:pPr>
        <w:pStyle w:val="80"/>
        <w:numPr>
          <w:ilvl w:val="0"/>
          <w:numId w:val="35"/>
        </w:numPr>
        <w:tabs>
          <w:tab w:val="left" w:pos="0"/>
        </w:tabs>
        <w:spacing w:before="0"/>
        <w:ind w:left="0" w:firstLine="480"/>
        <w:rPr>
          <w:rFonts w:hint="eastAsia" w:ascii="宋体" w:hAnsi="宋体" w:cs="宋体"/>
          <w:color w:val="000000"/>
          <w:szCs w:val="24"/>
          <w:lang w:val="zh-CN"/>
        </w:rPr>
      </w:pPr>
      <w:r>
        <w:rPr>
          <w:rFonts w:hint="eastAsia" w:ascii="宋体" w:hAnsi="宋体" w:cs="宋体"/>
          <w:color w:val="000000"/>
          <w:szCs w:val="24"/>
          <w:lang w:val="zh-CN"/>
        </w:rPr>
        <w:t>供应商通过政采云平台交换的数据电文必须进行电子签章。</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无效投标</w:t>
      </w:r>
    </w:p>
    <w:p>
      <w:pPr>
        <w:spacing w:line="360" w:lineRule="auto"/>
        <w:ind w:firstLine="480" w:firstLineChars="200"/>
        <w:rPr>
          <w:rFonts w:hint="eastAsia"/>
          <w:color w:val="000000"/>
          <w:sz w:val="24"/>
        </w:rPr>
      </w:pPr>
      <w:r>
        <w:rPr>
          <w:rFonts w:hint="eastAsia"/>
          <w:color w:val="000000"/>
          <w:sz w:val="24"/>
        </w:rPr>
        <w:t>经过审查，凡不符合有关规定，不响应招标文件的实质性条款，存在以下重大偏离之一的，经评标委员会认定，将因未通过资格性或符合性审查而被作为无效投标处理：</w:t>
      </w:r>
    </w:p>
    <w:p>
      <w:pPr>
        <w:numPr>
          <w:ilvl w:val="0"/>
          <w:numId w:val="36"/>
        </w:numPr>
        <w:spacing w:line="360" w:lineRule="auto"/>
        <w:ind w:firstLine="482" w:firstLineChars="200"/>
        <w:rPr>
          <w:rFonts w:hint="eastAsia"/>
          <w:b/>
          <w:bCs/>
          <w:color w:val="000000"/>
          <w:sz w:val="24"/>
        </w:rPr>
      </w:pPr>
      <w:r>
        <w:rPr>
          <w:rFonts w:hint="eastAsia"/>
          <w:b/>
          <w:bCs/>
          <w:color w:val="000000"/>
          <w:sz w:val="24"/>
        </w:rPr>
        <w:t>未按照招标文件规定要求签署、盖章的；</w:t>
      </w:r>
    </w:p>
    <w:p>
      <w:pPr>
        <w:numPr>
          <w:ilvl w:val="0"/>
          <w:numId w:val="36"/>
        </w:numPr>
        <w:spacing w:line="360" w:lineRule="auto"/>
        <w:ind w:firstLine="482" w:firstLineChars="200"/>
        <w:rPr>
          <w:rFonts w:hint="eastAsia"/>
          <w:b/>
          <w:bCs/>
          <w:color w:val="000000"/>
          <w:sz w:val="24"/>
        </w:rPr>
      </w:pPr>
      <w:r>
        <w:rPr>
          <w:rFonts w:hint="eastAsia"/>
          <w:b/>
          <w:bCs/>
          <w:color w:val="000000"/>
          <w:sz w:val="24"/>
        </w:rPr>
        <w:t xml:space="preserve">《法定代表人授权书》填写不全、错误、未加盖投标人公章（公章和签字或盖章缺一不可）； </w:t>
      </w:r>
    </w:p>
    <w:p>
      <w:pPr>
        <w:numPr>
          <w:ilvl w:val="0"/>
          <w:numId w:val="36"/>
        </w:numPr>
        <w:spacing w:line="360" w:lineRule="auto"/>
        <w:ind w:firstLine="482" w:firstLineChars="200"/>
        <w:rPr>
          <w:rFonts w:hint="eastAsia"/>
          <w:b/>
          <w:bCs/>
          <w:color w:val="000000"/>
          <w:sz w:val="24"/>
        </w:rPr>
      </w:pPr>
      <w:r>
        <w:rPr>
          <w:rFonts w:hint="eastAsia"/>
          <w:b/>
          <w:bCs/>
          <w:color w:val="000000"/>
          <w:sz w:val="24"/>
        </w:rPr>
        <w:t>个体工商户的身份证明与营业执照不一致的；</w:t>
      </w:r>
    </w:p>
    <w:p>
      <w:pPr>
        <w:numPr>
          <w:ilvl w:val="0"/>
          <w:numId w:val="36"/>
        </w:numPr>
        <w:spacing w:line="360" w:lineRule="auto"/>
        <w:ind w:firstLine="482" w:firstLineChars="200"/>
        <w:rPr>
          <w:rFonts w:hint="eastAsia"/>
          <w:b/>
          <w:bCs/>
          <w:color w:val="000000"/>
          <w:sz w:val="24"/>
        </w:rPr>
      </w:pPr>
      <w:r>
        <w:rPr>
          <w:rFonts w:hint="eastAsia"/>
          <w:b/>
          <w:bCs/>
          <w:color w:val="000000"/>
          <w:sz w:val="24"/>
        </w:rPr>
        <w:t>投标文件中的投标函未加盖投标人的企业公章或填写不全的；</w:t>
      </w:r>
    </w:p>
    <w:p>
      <w:pPr>
        <w:numPr>
          <w:ilvl w:val="0"/>
          <w:numId w:val="36"/>
        </w:numPr>
        <w:spacing w:line="360" w:lineRule="auto"/>
        <w:ind w:firstLine="482" w:firstLineChars="200"/>
        <w:rPr>
          <w:rFonts w:hint="eastAsia"/>
          <w:b/>
          <w:bCs/>
          <w:color w:val="000000"/>
          <w:sz w:val="24"/>
        </w:rPr>
      </w:pPr>
      <w:r>
        <w:rPr>
          <w:rFonts w:hint="eastAsia"/>
          <w:b/>
          <w:bCs/>
          <w:color w:val="000000"/>
          <w:sz w:val="24"/>
        </w:rPr>
        <w:t>报价一经涂改，未在涂改处加盖投标单位公章或者未经法定代表人或其授权代表签字或盖章的；</w:t>
      </w:r>
    </w:p>
    <w:p>
      <w:pPr>
        <w:numPr>
          <w:ilvl w:val="0"/>
          <w:numId w:val="36"/>
        </w:numPr>
        <w:spacing w:line="360" w:lineRule="auto"/>
        <w:ind w:firstLine="482" w:firstLineChars="200"/>
        <w:rPr>
          <w:rFonts w:hint="eastAsia"/>
          <w:b/>
          <w:bCs/>
          <w:color w:val="000000"/>
          <w:sz w:val="24"/>
        </w:rPr>
      </w:pPr>
      <w:r>
        <w:rPr>
          <w:rFonts w:hint="eastAsia"/>
          <w:b/>
          <w:bCs/>
          <w:color w:val="000000"/>
          <w:sz w:val="24"/>
        </w:rPr>
        <w:t>因未按规定的格式填写，内容不全或主要实质性内容字迹模糊辨认不清,经评标委员会认定为无法评审的；</w:t>
      </w:r>
    </w:p>
    <w:p>
      <w:pPr>
        <w:numPr>
          <w:ilvl w:val="0"/>
          <w:numId w:val="36"/>
        </w:numPr>
        <w:spacing w:line="360" w:lineRule="auto"/>
        <w:ind w:firstLine="482" w:firstLineChars="200"/>
        <w:rPr>
          <w:rFonts w:hint="eastAsia"/>
          <w:b/>
          <w:bCs/>
          <w:color w:val="000000"/>
          <w:sz w:val="24"/>
        </w:rPr>
      </w:pPr>
      <w:r>
        <w:rPr>
          <w:rFonts w:hint="eastAsia"/>
          <w:b/>
          <w:bCs/>
          <w:color w:val="000000"/>
          <w:sz w:val="24"/>
        </w:rPr>
        <w:t>出现同一标的物或本次招标产品(服务)内的主要产品(重要组成部分)出现技术、商务描述不一致或前后描述不一致，经评标委员会认定后为无法评审的；</w:t>
      </w:r>
    </w:p>
    <w:p>
      <w:pPr>
        <w:numPr>
          <w:ilvl w:val="0"/>
          <w:numId w:val="36"/>
        </w:numPr>
        <w:spacing w:line="360" w:lineRule="auto"/>
        <w:ind w:firstLine="482" w:firstLineChars="200"/>
        <w:rPr>
          <w:rFonts w:hint="eastAsia"/>
          <w:b/>
          <w:bCs/>
          <w:color w:val="000000"/>
          <w:sz w:val="24"/>
        </w:rPr>
      </w:pPr>
      <w:r>
        <w:rPr>
          <w:rFonts w:hint="eastAsia"/>
          <w:b/>
          <w:bCs/>
          <w:color w:val="000000"/>
          <w:sz w:val="24"/>
        </w:rPr>
        <w:t>投标详细配置清单响应表不真实填写或弄虚作假的；改变招标文件提供的清单中的计量单位、工程数量；</w:t>
      </w:r>
    </w:p>
    <w:p>
      <w:pPr>
        <w:numPr>
          <w:ilvl w:val="0"/>
          <w:numId w:val="36"/>
        </w:numPr>
        <w:spacing w:line="360" w:lineRule="auto"/>
        <w:ind w:firstLine="482" w:firstLineChars="200"/>
        <w:rPr>
          <w:rFonts w:hint="eastAsia"/>
          <w:b/>
          <w:bCs/>
          <w:color w:val="000000"/>
          <w:sz w:val="24"/>
        </w:rPr>
      </w:pPr>
      <w:r>
        <w:rPr>
          <w:rFonts w:hint="eastAsia"/>
          <w:b/>
          <w:bCs/>
          <w:color w:val="000000"/>
          <w:sz w:val="24"/>
        </w:rPr>
        <w:t>对招标产品技术规格未详细应答，致使其技术文件无法评审的；</w:t>
      </w:r>
    </w:p>
    <w:p>
      <w:pPr>
        <w:numPr>
          <w:ilvl w:val="0"/>
          <w:numId w:val="36"/>
        </w:numPr>
        <w:spacing w:line="360" w:lineRule="auto"/>
        <w:ind w:firstLine="482" w:firstLineChars="200"/>
        <w:rPr>
          <w:rFonts w:hint="eastAsia"/>
          <w:b/>
          <w:bCs/>
          <w:sz w:val="24"/>
        </w:rPr>
      </w:pPr>
      <w:r>
        <w:rPr>
          <w:rFonts w:hint="eastAsia"/>
          <w:b/>
          <w:bCs/>
          <w:color w:val="000000"/>
          <w:sz w:val="24"/>
        </w:rPr>
        <w:t>投标文件有招标方不能接受的条件；</w:t>
      </w:r>
    </w:p>
    <w:p>
      <w:pPr>
        <w:numPr>
          <w:ilvl w:val="0"/>
          <w:numId w:val="36"/>
        </w:numPr>
        <w:spacing w:line="360" w:lineRule="auto"/>
        <w:ind w:firstLine="482" w:firstLineChars="200"/>
        <w:rPr>
          <w:rFonts w:hint="eastAsia"/>
          <w:b/>
          <w:bCs/>
          <w:sz w:val="24"/>
        </w:rPr>
      </w:pPr>
      <w:r>
        <w:rPr>
          <w:rFonts w:hint="eastAsia"/>
          <w:b/>
          <w:bCs/>
          <w:sz w:val="24"/>
        </w:rPr>
        <w:t>评标委员会认为投标人的报价明显低于其他通过符合性审查投标人的报价（投标报价低于其他通过符合性审查投标人的报价平均价的30%及以上的），有可能影响产品质量或者不能诚信履约的，应当要求其在评标现场合理的时间内通过政采云平台提供线上说明，必要时提交相关证明材料。投标人不能证明其报价合理性的，评标委员会应当将其作为无效投标处理。（证明材料需包含货物本身成本、人工费用、运输、税收、技术经济指标等说明；合理时间是指在1小时内。若投标人拟低价投标的（至少可以最高限价为参照），可事先作好书面说明或提供相关证明材料以备用。</w:t>
      </w:r>
    </w:p>
    <w:p>
      <w:pPr>
        <w:numPr>
          <w:ilvl w:val="0"/>
          <w:numId w:val="36"/>
        </w:numPr>
        <w:spacing w:line="360" w:lineRule="auto"/>
        <w:ind w:firstLine="482" w:firstLineChars="200"/>
        <w:rPr>
          <w:rFonts w:hint="eastAsia"/>
          <w:b/>
          <w:bCs/>
          <w:sz w:val="24"/>
        </w:rPr>
      </w:pPr>
      <w:r>
        <w:rPr>
          <w:rFonts w:hint="eastAsia"/>
          <w:b/>
          <w:bCs/>
          <w:sz w:val="24"/>
        </w:rPr>
        <w:t>投标报价超过预算金额或最高限价的；</w:t>
      </w:r>
    </w:p>
    <w:p>
      <w:pPr>
        <w:numPr>
          <w:ilvl w:val="0"/>
          <w:numId w:val="36"/>
        </w:numPr>
        <w:spacing w:line="360" w:lineRule="auto"/>
        <w:ind w:firstLine="482" w:firstLineChars="200"/>
        <w:rPr>
          <w:rFonts w:hint="eastAsia"/>
          <w:b/>
          <w:bCs/>
          <w:color w:val="000000"/>
          <w:sz w:val="24"/>
        </w:rPr>
      </w:pPr>
      <w:r>
        <w:rPr>
          <w:rFonts w:hint="eastAsia"/>
          <w:b/>
          <w:bCs/>
          <w:sz w:val="24"/>
        </w:rPr>
        <w:t>投标文件“商务技术文件资料”部分中出现《</w:t>
      </w:r>
      <w:r>
        <w:rPr>
          <w:rFonts w:hint="eastAsia"/>
          <w:b/>
          <w:bCs/>
          <w:color w:val="000000"/>
          <w:sz w:val="24"/>
        </w:rPr>
        <w:t>开标一览表》或《投标报价明细表》相关内容的；</w:t>
      </w:r>
    </w:p>
    <w:p>
      <w:pPr>
        <w:numPr>
          <w:ilvl w:val="0"/>
          <w:numId w:val="36"/>
        </w:numPr>
        <w:spacing w:line="360" w:lineRule="auto"/>
        <w:ind w:firstLine="482" w:firstLineChars="200"/>
        <w:rPr>
          <w:rFonts w:hint="eastAsia"/>
          <w:b/>
          <w:bCs/>
          <w:color w:val="000000"/>
          <w:sz w:val="24"/>
        </w:rPr>
      </w:pPr>
      <w:r>
        <w:rPr>
          <w:rFonts w:hint="eastAsia"/>
          <w:b/>
          <w:bCs/>
          <w:color w:val="000000"/>
          <w:sz w:val="24"/>
        </w:rPr>
        <w:t>评标委员会认定有重大偏差或实质性不响应招标文件要求的，即“★”的关键性指标及技术参数要求负偏离或缺漏；</w:t>
      </w:r>
    </w:p>
    <w:p>
      <w:pPr>
        <w:numPr>
          <w:ilvl w:val="0"/>
          <w:numId w:val="36"/>
        </w:numPr>
        <w:spacing w:line="360" w:lineRule="auto"/>
        <w:ind w:firstLine="482" w:firstLineChars="200"/>
        <w:rPr>
          <w:rFonts w:hint="eastAsia"/>
          <w:b/>
          <w:bCs/>
          <w:color w:val="000000"/>
          <w:sz w:val="24"/>
        </w:rPr>
      </w:pPr>
      <w:r>
        <w:rPr>
          <w:rFonts w:hint="eastAsia"/>
          <w:b/>
          <w:bCs/>
          <w:color w:val="000000"/>
          <w:sz w:val="24"/>
        </w:rPr>
        <w:t>投标人拒绝按招标文件规定的修正原则对投标文件进行修改的；</w:t>
      </w:r>
    </w:p>
    <w:p>
      <w:pPr>
        <w:numPr>
          <w:ilvl w:val="0"/>
          <w:numId w:val="36"/>
        </w:numPr>
        <w:spacing w:line="360" w:lineRule="auto"/>
        <w:ind w:firstLine="482" w:firstLineChars="200"/>
        <w:rPr>
          <w:rFonts w:hint="eastAsia"/>
          <w:b/>
          <w:bCs/>
          <w:color w:val="000000"/>
          <w:sz w:val="24"/>
        </w:rPr>
      </w:pPr>
      <w:r>
        <w:rPr>
          <w:rFonts w:hint="eastAsia"/>
          <w:b/>
          <w:bCs/>
          <w:color w:val="000000"/>
          <w:sz w:val="24"/>
        </w:rPr>
        <w:t>有下列情形之一的，视为投标人串通投标，其投标无效：</w:t>
      </w:r>
    </w:p>
    <w:p>
      <w:pPr>
        <w:numPr>
          <w:ilvl w:val="0"/>
          <w:numId w:val="37"/>
        </w:numPr>
        <w:spacing w:line="360" w:lineRule="auto"/>
        <w:ind w:firstLine="482" w:firstLineChars="200"/>
        <w:rPr>
          <w:rFonts w:hint="eastAsia"/>
          <w:b/>
          <w:bCs/>
          <w:color w:val="000000"/>
          <w:sz w:val="24"/>
        </w:rPr>
      </w:pPr>
      <w:r>
        <w:rPr>
          <w:rFonts w:hint="eastAsia"/>
          <w:b/>
          <w:bCs/>
          <w:color w:val="000000"/>
          <w:sz w:val="24"/>
        </w:rPr>
        <w:t>不同投标人的投标文件由同一单位或者个人编制；</w:t>
      </w:r>
    </w:p>
    <w:p>
      <w:pPr>
        <w:numPr>
          <w:ilvl w:val="0"/>
          <w:numId w:val="37"/>
        </w:numPr>
        <w:spacing w:line="360" w:lineRule="auto"/>
        <w:ind w:firstLine="482" w:firstLineChars="200"/>
        <w:rPr>
          <w:rFonts w:hint="eastAsia"/>
          <w:b/>
          <w:bCs/>
          <w:color w:val="000000"/>
          <w:sz w:val="24"/>
        </w:rPr>
      </w:pPr>
      <w:r>
        <w:rPr>
          <w:rFonts w:hint="eastAsia"/>
          <w:b/>
          <w:bCs/>
          <w:color w:val="000000"/>
          <w:sz w:val="24"/>
        </w:rPr>
        <w:t>不同投标人委托同一单位或者个人办理投标事宜；</w:t>
      </w:r>
    </w:p>
    <w:p>
      <w:pPr>
        <w:numPr>
          <w:ilvl w:val="0"/>
          <w:numId w:val="37"/>
        </w:numPr>
        <w:spacing w:line="360" w:lineRule="auto"/>
        <w:ind w:firstLine="482" w:firstLineChars="200"/>
        <w:rPr>
          <w:rFonts w:hint="eastAsia"/>
          <w:b/>
          <w:bCs/>
          <w:color w:val="000000"/>
          <w:sz w:val="24"/>
        </w:rPr>
      </w:pPr>
      <w:r>
        <w:rPr>
          <w:rFonts w:hint="eastAsia"/>
          <w:b/>
          <w:bCs/>
          <w:color w:val="000000"/>
          <w:sz w:val="24"/>
        </w:rPr>
        <w:t>不同投标人的投标文件载明的项目管理成员或者联系人员为同一人；</w:t>
      </w:r>
    </w:p>
    <w:p>
      <w:pPr>
        <w:numPr>
          <w:ilvl w:val="0"/>
          <w:numId w:val="37"/>
        </w:numPr>
        <w:spacing w:line="360" w:lineRule="auto"/>
        <w:ind w:firstLine="482" w:firstLineChars="200"/>
        <w:rPr>
          <w:rFonts w:hint="eastAsia"/>
          <w:b/>
          <w:bCs/>
          <w:color w:val="000000"/>
          <w:sz w:val="24"/>
        </w:rPr>
      </w:pPr>
      <w:r>
        <w:rPr>
          <w:rFonts w:hint="eastAsia"/>
          <w:b/>
          <w:bCs/>
          <w:color w:val="000000"/>
          <w:sz w:val="24"/>
        </w:rPr>
        <w:t>不同投标人的投标文件异常一致或者投标报价呈规律性差异；</w:t>
      </w:r>
    </w:p>
    <w:p>
      <w:pPr>
        <w:numPr>
          <w:ilvl w:val="0"/>
          <w:numId w:val="37"/>
        </w:numPr>
        <w:spacing w:line="360" w:lineRule="auto"/>
        <w:ind w:firstLine="482" w:firstLineChars="200"/>
        <w:rPr>
          <w:rFonts w:hint="eastAsia"/>
          <w:b/>
          <w:bCs/>
          <w:color w:val="000000"/>
          <w:sz w:val="24"/>
        </w:rPr>
      </w:pPr>
      <w:r>
        <w:rPr>
          <w:rFonts w:hint="eastAsia"/>
          <w:b/>
          <w:bCs/>
          <w:color w:val="000000"/>
          <w:sz w:val="24"/>
        </w:rPr>
        <w:t>不同投标人提供的投标文件出自同一终端设备的，或在相同Internet主机分配地址（相同IP地址）报名或网上投标的，且经询标澄清投标人无令人信服的理由和可靠证据证明其合理性的，经评标委员会半数以上成员确认有串通投标嫌疑的。</w:t>
      </w:r>
    </w:p>
    <w:p>
      <w:pPr>
        <w:spacing w:line="360" w:lineRule="auto"/>
        <w:ind w:firstLine="482" w:firstLineChars="200"/>
        <w:rPr>
          <w:b/>
          <w:color w:val="000000"/>
          <w:sz w:val="24"/>
          <w:szCs w:val="24"/>
        </w:rPr>
      </w:pPr>
      <w:r>
        <w:rPr>
          <w:rFonts w:hint="eastAsia"/>
          <w:b/>
          <w:color w:val="000000"/>
          <w:sz w:val="24"/>
          <w:szCs w:val="24"/>
        </w:rPr>
        <w:t>24.18  员工工资标准低于上虞区最低工资标准的。</w:t>
      </w:r>
    </w:p>
    <w:p>
      <w:pPr>
        <w:pStyle w:val="17"/>
        <w:numPr>
          <w:ilvl w:val="0"/>
          <w:numId w:val="13"/>
        </w:numPr>
        <w:spacing w:line="360" w:lineRule="auto"/>
        <w:ind w:firstLine="482" w:firstLineChars="200"/>
        <w:rPr>
          <w:rFonts w:hint="eastAsia" w:hAnsi="宋体" w:cs="宋体"/>
          <w:b/>
          <w:color w:val="000000"/>
          <w:sz w:val="24"/>
          <w:szCs w:val="24"/>
        </w:rPr>
      </w:pPr>
      <w:r>
        <w:rPr>
          <w:rFonts w:hint="eastAsia" w:hAnsi="宋体" w:cs="宋体"/>
          <w:b/>
          <w:color w:val="000000"/>
          <w:sz w:val="24"/>
          <w:szCs w:val="24"/>
        </w:rPr>
        <w:t>废标</w:t>
      </w:r>
    </w:p>
    <w:p>
      <w:pPr>
        <w:spacing w:line="360" w:lineRule="auto"/>
        <w:ind w:firstLine="480" w:firstLineChars="200"/>
        <w:rPr>
          <w:rFonts w:hint="eastAsia"/>
          <w:color w:val="000000"/>
          <w:sz w:val="24"/>
        </w:rPr>
      </w:pPr>
      <w:r>
        <w:rPr>
          <w:rFonts w:hint="eastAsia"/>
          <w:color w:val="000000"/>
          <w:sz w:val="24"/>
        </w:rPr>
        <w:t>根据《中华人民共和国政府采购法》第三十六条之规定，在采购中，出现下列情形之一的，应予废标：</w:t>
      </w:r>
    </w:p>
    <w:p>
      <w:pPr>
        <w:pStyle w:val="80"/>
        <w:numPr>
          <w:ilvl w:val="0"/>
          <w:numId w:val="38"/>
        </w:numPr>
        <w:spacing w:before="0"/>
        <w:ind w:firstLine="480"/>
        <w:rPr>
          <w:rFonts w:hint="eastAsia" w:ascii="宋体" w:hAnsi="宋体" w:cs="宋体"/>
          <w:color w:val="000000"/>
          <w:szCs w:val="24"/>
          <w:lang w:val="zh-CN"/>
        </w:rPr>
      </w:pPr>
      <w:r>
        <w:rPr>
          <w:rFonts w:hint="eastAsia" w:ascii="宋体" w:hAnsi="宋体" w:cs="宋体"/>
          <w:color w:val="000000"/>
          <w:szCs w:val="24"/>
          <w:lang w:val="zh-CN"/>
        </w:rPr>
        <w:t>符合专业条件的供应商或者对招标文件作实质响应的供应商不足3家的；</w:t>
      </w:r>
    </w:p>
    <w:p>
      <w:pPr>
        <w:pStyle w:val="80"/>
        <w:numPr>
          <w:ilvl w:val="0"/>
          <w:numId w:val="38"/>
        </w:numPr>
        <w:spacing w:before="0"/>
        <w:ind w:firstLine="480"/>
        <w:rPr>
          <w:rFonts w:hint="eastAsia" w:ascii="宋体" w:hAnsi="宋体" w:cs="宋体"/>
          <w:color w:val="000000"/>
          <w:szCs w:val="24"/>
          <w:lang w:val="zh-CN"/>
        </w:rPr>
      </w:pPr>
      <w:r>
        <w:rPr>
          <w:rFonts w:hint="eastAsia" w:ascii="宋体" w:hAnsi="宋体" w:cs="宋体"/>
          <w:color w:val="000000"/>
          <w:szCs w:val="24"/>
          <w:lang w:val="zh-CN"/>
        </w:rPr>
        <w:t>出现影响采购公正的违法、违规行为的；</w:t>
      </w:r>
    </w:p>
    <w:p>
      <w:pPr>
        <w:pStyle w:val="80"/>
        <w:numPr>
          <w:ilvl w:val="0"/>
          <w:numId w:val="38"/>
        </w:numPr>
        <w:spacing w:before="0"/>
        <w:ind w:firstLine="480"/>
        <w:rPr>
          <w:rFonts w:hint="eastAsia" w:ascii="宋体" w:hAnsi="宋体" w:cs="宋体"/>
          <w:color w:val="000000"/>
          <w:szCs w:val="24"/>
          <w:lang w:val="zh-CN"/>
        </w:rPr>
      </w:pPr>
      <w:r>
        <w:rPr>
          <w:rFonts w:hint="eastAsia" w:ascii="宋体" w:hAnsi="宋体" w:cs="宋体"/>
          <w:color w:val="000000"/>
          <w:szCs w:val="24"/>
          <w:lang w:val="zh-CN"/>
        </w:rPr>
        <w:t>投标人的报价均超过了采购预算，采购人不能支付的；</w:t>
      </w:r>
    </w:p>
    <w:p>
      <w:pPr>
        <w:pStyle w:val="80"/>
        <w:numPr>
          <w:ilvl w:val="0"/>
          <w:numId w:val="38"/>
        </w:numPr>
        <w:spacing w:before="0"/>
        <w:ind w:firstLine="480"/>
        <w:rPr>
          <w:rFonts w:hint="eastAsia" w:ascii="宋体" w:hAnsi="宋体" w:cs="宋体"/>
          <w:color w:val="000000"/>
          <w:szCs w:val="24"/>
          <w:lang w:val="zh-CN"/>
        </w:rPr>
      </w:pPr>
      <w:r>
        <w:rPr>
          <w:rFonts w:hint="eastAsia" w:ascii="宋体" w:hAnsi="宋体" w:cs="宋体"/>
          <w:color w:val="000000"/>
          <w:szCs w:val="24"/>
          <w:lang w:val="zh-CN"/>
        </w:rPr>
        <w:t>因重大变故，采购任务取消的。</w:t>
      </w:r>
    </w:p>
    <w:p>
      <w:pPr>
        <w:spacing w:line="360" w:lineRule="auto"/>
        <w:ind w:firstLine="480" w:firstLineChars="200"/>
        <w:rPr>
          <w:rFonts w:hint="eastAsia"/>
          <w:color w:val="000000"/>
          <w:sz w:val="24"/>
        </w:rPr>
      </w:pPr>
      <w:r>
        <w:rPr>
          <w:rFonts w:hint="eastAsia"/>
          <w:color w:val="000000"/>
          <w:sz w:val="24"/>
        </w:rPr>
        <w:t>废标后，采购代理机构应当将废标理由通知所有投标人。</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bCs/>
          <w:sz w:val="24"/>
          <w:szCs w:val="24"/>
          <w:lang w:val="zh-CN"/>
        </w:rPr>
        <w:t>中止电子交易活动和</w:t>
      </w:r>
      <w:r>
        <w:rPr>
          <w:rFonts w:hint="eastAsia" w:hAnsi="宋体" w:cs="宋体"/>
          <w:b/>
          <w:sz w:val="24"/>
          <w:szCs w:val="24"/>
        </w:rPr>
        <w:t>重新组织采购</w:t>
      </w:r>
    </w:p>
    <w:p>
      <w:pPr>
        <w:pStyle w:val="80"/>
        <w:tabs>
          <w:tab w:val="left" w:pos="0"/>
        </w:tabs>
        <w:spacing w:before="0"/>
        <w:ind w:firstLine="480"/>
        <w:rPr>
          <w:rFonts w:hint="eastAsia" w:ascii="宋体" w:hAnsi="宋体" w:cs="宋体"/>
          <w:szCs w:val="24"/>
          <w:lang w:val="zh-CN"/>
        </w:rPr>
      </w:pPr>
      <w:r>
        <w:rPr>
          <w:rFonts w:hint="eastAsia" w:ascii="宋体" w:hAnsi="宋体" w:cs="宋体"/>
          <w:szCs w:val="24"/>
        </w:rPr>
        <w:t>26.1</w:t>
      </w:r>
      <w:r>
        <w:rPr>
          <w:rFonts w:hint="eastAsia" w:ascii="宋体" w:hAnsi="宋体" w:cs="宋体"/>
          <w:szCs w:val="24"/>
          <w:lang w:val="zh-CN"/>
        </w:rPr>
        <w:t>采购过程中出现以下情形，导致电子交易平台无法正常运行，或者无法保证电子交易的公平、公正和安全时，采购组织机构可中止电子交易活动：</w:t>
      </w:r>
    </w:p>
    <w:p>
      <w:pPr>
        <w:numPr>
          <w:ilvl w:val="0"/>
          <w:numId w:val="39"/>
        </w:numPr>
        <w:tabs>
          <w:tab w:val="left" w:pos="0"/>
        </w:tabs>
        <w:spacing w:line="360" w:lineRule="auto"/>
        <w:ind w:firstLine="480" w:firstLineChars="200"/>
        <w:rPr>
          <w:rFonts w:hint="eastAsia"/>
          <w:sz w:val="24"/>
        </w:rPr>
      </w:pPr>
      <w:r>
        <w:rPr>
          <w:rFonts w:hint="eastAsia"/>
          <w:sz w:val="24"/>
        </w:rPr>
        <w:t xml:space="preserve">电子交易平台发生故障而无法登录访问的； </w:t>
      </w:r>
    </w:p>
    <w:p>
      <w:pPr>
        <w:numPr>
          <w:ilvl w:val="0"/>
          <w:numId w:val="39"/>
        </w:numPr>
        <w:tabs>
          <w:tab w:val="left" w:pos="0"/>
        </w:tabs>
        <w:spacing w:line="360" w:lineRule="auto"/>
        <w:ind w:firstLine="480" w:firstLineChars="200"/>
        <w:rPr>
          <w:rFonts w:hint="eastAsia"/>
          <w:sz w:val="24"/>
        </w:rPr>
      </w:pPr>
      <w:r>
        <w:rPr>
          <w:rFonts w:hint="eastAsia"/>
          <w:sz w:val="24"/>
        </w:rPr>
        <w:t>电子交易平台应用或数据库出现错误，不能进行正常操作的；</w:t>
      </w:r>
    </w:p>
    <w:p>
      <w:pPr>
        <w:numPr>
          <w:ilvl w:val="0"/>
          <w:numId w:val="39"/>
        </w:numPr>
        <w:tabs>
          <w:tab w:val="left" w:pos="0"/>
        </w:tabs>
        <w:spacing w:line="360" w:lineRule="auto"/>
        <w:ind w:firstLine="480" w:firstLineChars="200"/>
        <w:rPr>
          <w:rFonts w:hint="eastAsia"/>
          <w:sz w:val="24"/>
        </w:rPr>
      </w:pPr>
      <w:r>
        <w:rPr>
          <w:rFonts w:hint="eastAsia"/>
          <w:sz w:val="24"/>
        </w:rPr>
        <w:t>电子交易平台发现严重安全漏洞，有潜在泄密危险的；</w:t>
      </w:r>
    </w:p>
    <w:p>
      <w:pPr>
        <w:numPr>
          <w:ilvl w:val="0"/>
          <w:numId w:val="39"/>
        </w:numPr>
        <w:tabs>
          <w:tab w:val="left" w:pos="0"/>
        </w:tabs>
        <w:spacing w:line="360" w:lineRule="auto"/>
        <w:ind w:firstLine="480" w:firstLineChars="200"/>
        <w:rPr>
          <w:rFonts w:hint="eastAsia"/>
          <w:sz w:val="24"/>
        </w:rPr>
      </w:pPr>
      <w:r>
        <w:rPr>
          <w:rFonts w:hint="eastAsia"/>
          <w:sz w:val="24"/>
        </w:rPr>
        <w:t xml:space="preserve">病毒发作导致不能进行正常操作的； </w:t>
      </w:r>
    </w:p>
    <w:p>
      <w:pPr>
        <w:numPr>
          <w:ilvl w:val="0"/>
          <w:numId w:val="39"/>
        </w:numPr>
        <w:tabs>
          <w:tab w:val="left" w:pos="0"/>
        </w:tabs>
        <w:spacing w:line="360" w:lineRule="auto"/>
        <w:ind w:firstLine="480" w:firstLineChars="200"/>
        <w:rPr>
          <w:rFonts w:hint="eastAsia"/>
          <w:sz w:val="24"/>
        </w:rPr>
      </w:pPr>
      <w:r>
        <w:rPr>
          <w:rFonts w:hint="eastAsia"/>
          <w:sz w:val="24"/>
        </w:rPr>
        <w:t>其他无法保证电子交易的公平、公正和安全的情况。</w:t>
      </w:r>
    </w:p>
    <w:p>
      <w:pPr>
        <w:pStyle w:val="80"/>
        <w:tabs>
          <w:tab w:val="left" w:pos="0"/>
        </w:tabs>
        <w:spacing w:before="0"/>
        <w:ind w:firstLine="480"/>
        <w:rPr>
          <w:rFonts w:hint="eastAsia" w:ascii="宋体" w:hAnsi="宋体" w:cs="宋体"/>
          <w:szCs w:val="24"/>
        </w:rPr>
      </w:pPr>
      <w:r>
        <w:rPr>
          <w:rFonts w:hint="eastAsia" w:ascii="宋体" w:hAnsi="宋体" w:cs="宋体"/>
          <w:szCs w:val="24"/>
        </w:rPr>
        <w:t>26.2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17"/>
        <w:numPr>
          <w:ilvl w:val="0"/>
          <w:numId w:val="13"/>
        </w:numPr>
        <w:spacing w:line="360" w:lineRule="auto"/>
        <w:ind w:firstLine="482" w:firstLineChars="200"/>
        <w:rPr>
          <w:rFonts w:hint="eastAsia" w:hAnsi="宋体" w:cs="宋体"/>
          <w:b/>
          <w:sz w:val="24"/>
          <w:szCs w:val="24"/>
        </w:rPr>
      </w:pPr>
      <w:r>
        <w:rPr>
          <w:rFonts w:hint="eastAsia" w:hAnsi="宋体" w:cs="宋体"/>
          <w:b/>
          <w:sz w:val="24"/>
          <w:szCs w:val="24"/>
        </w:rPr>
        <w:t>保密及其它注意事项</w:t>
      </w:r>
    </w:p>
    <w:p>
      <w:pPr>
        <w:pStyle w:val="80"/>
        <w:numPr>
          <w:ilvl w:val="0"/>
          <w:numId w:val="40"/>
        </w:numPr>
        <w:tabs>
          <w:tab w:val="left" w:pos="0"/>
        </w:tabs>
        <w:spacing w:before="0"/>
        <w:ind w:left="0" w:firstLine="480"/>
        <w:rPr>
          <w:rFonts w:hint="eastAsia" w:ascii="宋体" w:hAnsi="宋体" w:cs="宋体"/>
          <w:szCs w:val="24"/>
        </w:rPr>
      </w:pPr>
      <w:r>
        <w:rPr>
          <w:rFonts w:hint="eastAsia" w:ascii="宋体" w:hAnsi="宋体" w:cs="宋体"/>
          <w:szCs w:val="24"/>
        </w:rPr>
        <w:t>评标是招标工作的重要环节，评标工作由评标委员会独立进行。评标委员会将遵照评标原则，公正、平等地对待所有投标人；</w:t>
      </w:r>
    </w:p>
    <w:p>
      <w:pPr>
        <w:pStyle w:val="80"/>
        <w:numPr>
          <w:ilvl w:val="0"/>
          <w:numId w:val="40"/>
        </w:numPr>
        <w:tabs>
          <w:tab w:val="left" w:pos="0"/>
        </w:tabs>
        <w:spacing w:before="0"/>
        <w:ind w:left="0" w:firstLine="480"/>
        <w:rPr>
          <w:rFonts w:hint="eastAsia" w:ascii="宋体" w:hAnsi="宋体" w:cs="宋体"/>
          <w:szCs w:val="24"/>
        </w:rPr>
      </w:pPr>
      <w:r>
        <w:rPr>
          <w:rFonts w:hint="eastAsia" w:ascii="宋体" w:hAnsi="宋体" w:cs="宋体"/>
          <w:szCs w:val="24"/>
        </w:rPr>
        <w:t>在开标、投标期间，投标人不得向评委询问评标情况，不得进行旨在影响评标结果的活动。采购人不得在中标人确定前，与投标人就投标价格、投标方案等实质性内容进行谈判；</w:t>
      </w:r>
    </w:p>
    <w:p>
      <w:pPr>
        <w:pStyle w:val="80"/>
        <w:numPr>
          <w:ilvl w:val="0"/>
          <w:numId w:val="40"/>
        </w:numPr>
        <w:tabs>
          <w:tab w:val="left" w:pos="0"/>
        </w:tabs>
        <w:spacing w:before="0"/>
        <w:ind w:left="0" w:firstLine="480"/>
        <w:rPr>
          <w:rFonts w:hint="eastAsia" w:ascii="宋体" w:hAnsi="宋体" w:cs="宋体"/>
          <w:szCs w:val="24"/>
        </w:rPr>
      </w:pPr>
      <w:r>
        <w:rPr>
          <w:rFonts w:hint="eastAsia" w:ascii="宋体" w:hAnsi="宋体" w:cs="宋体"/>
          <w:szCs w:val="24"/>
        </w:rPr>
        <w:t>为保证定标的公正性，在评标过程中，评委不得与投标人私下交换意见。在招标工作结束后，凡与评标情况有接触的任何人，不得也不应将评标情况扩散出评委人员之外；</w:t>
      </w:r>
    </w:p>
    <w:p>
      <w:pPr>
        <w:pStyle w:val="80"/>
        <w:numPr>
          <w:ilvl w:val="0"/>
          <w:numId w:val="40"/>
        </w:numPr>
        <w:tabs>
          <w:tab w:val="left" w:pos="0"/>
        </w:tabs>
        <w:spacing w:before="0"/>
        <w:ind w:left="0" w:firstLine="480"/>
        <w:rPr>
          <w:rFonts w:hint="eastAsia" w:ascii="宋体" w:hAnsi="宋体" w:cs="宋体"/>
          <w:szCs w:val="24"/>
        </w:rPr>
      </w:pPr>
      <w:r>
        <w:rPr>
          <w:rFonts w:hint="eastAsia" w:ascii="宋体" w:hAnsi="宋体" w:cs="宋体"/>
          <w:szCs w:val="24"/>
        </w:rPr>
        <w:t>投标人相互之间，或与采购人相互不得串通投标，不得排挤其他投标人的公平竞争，损害采购人或者其他投标人的合法权益；</w:t>
      </w:r>
    </w:p>
    <w:p>
      <w:pPr>
        <w:pStyle w:val="80"/>
        <w:numPr>
          <w:ilvl w:val="0"/>
          <w:numId w:val="40"/>
        </w:numPr>
        <w:tabs>
          <w:tab w:val="left" w:pos="0"/>
        </w:tabs>
        <w:spacing w:before="0"/>
        <w:ind w:left="0" w:firstLine="480"/>
        <w:rPr>
          <w:rFonts w:hint="eastAsia" w:ascii="宋体" w:hAnsi="宋体" w:cs="宋体"/>
          <w:szCs w:val="24"/>
        </w:rPr>
      </w:pPr>
      <w:r>
        <w:rPr>
          <w:rFonts w:hint="eastAsia" w:ascii="宋体" w:hAnsi="宋体" w:cs="宋体"/>
          <w:szCs w:val="24"/>
        </w:rPr>
        <w:t>评标委员会不向投标人解释未中标的原因；</w:t>
      </w:r>
    </w:p>
    <w:p>
      <w:pPr>
        <w:pStyle w:val="80"/>
        <w:numPr>
          <w:ilvl w:val="0"/>
          <w:numId w:val="40"/>
        </w:numPr>
        <w:tabs>
          <w:tab w:val="left" w:pos="0"/>
        </w:tabs>
        <w:spacing w:before="0"/>
        <w:ind w:left="0" w:firstLine="480"/>
        <w:rPr>
          <w:rFonts w:hint="eastAsia" w:ascii="宋体" w:hAnsi="宋体" w:cs="宋体"/>
          <w:szCs w:val="24"/>
        </w:rPr>
      </w:pPr>
      <w:r>
        <w:rPr>
          <w:rFonts w:hint="eastAsia" w:ascii="宋体" w:hAnsi="宋体" w:cs="宋体"/>
          <w:szCs w:val="24"/>
        </w:rPr>
        <w:t>特别说明：政采云公司如对电子化开标及评审程序有调整的，按调整后的程序操作。</w:t>
      </w:r>
    </w:p>
    <w:p>
      <w:pPr>
        <w:spacing w:line="360" w:lineRule="auto"/>
        <w:jc w:val="center"/>
        <w:rPr>
          <w:rFonts w:hint="eastAsia"/>
          <w:b/>
          <w:sz w:val="24"/>
        </w:rPr>
      </w:pPr>
    </w:p>
    <w:p>
      <w:pPr>
        <w:spacing w:line="360" w:lineRule="auto"/>
        <w:jc w:val="center"/>
        <w:outlineLvl w:val="0"/>
        <w:rPr>
          <w:rFonts w:hint="eastAsia"/>
          <w:b/>
          <w:sz w:val="36"/>
          <w:szCs w:val="20"/>
        </w:rPr>
      </w:pPr>
      <w:bookmarkStart w:id="56" w:name="_Toc121294576"/>
      <w:r>
        <w:rPr>
          <w:rFonts w:hint="eastAsia"/>
          <w:b/>
          <w:sz w:val="36"/>
          <w:szCs w:val="20"/>
        </w:rPr>
        <w:t>八、定 标</w:t>
      </w:r>
      <w:bookmarkEnd w:id="56"/>
    </w:p>
    <w:p>
      <w:pPr>
        <w:pStyle w:val="80"/>
        <w:tabs>
          <w:tab w:val="left" w:pos="0"/>
        </w:tabs>
        <w:spacing w:before="0"/>
        <w:ind w:firstLine="480"/>
        <w:rPr>
          <w:rFonts w:hint="eastAsia" w:ascii="宋体" w:hAnsi="宋体" w:cs="宋体"/>
          <w:szCs w:val="24"/>
        </w:rPr>
      </w:pPr>
      <w:r>
        <w:rPr>
          <w:rFonts w:hint="eastAsia" w:ascii="宋体" w:hAnsi="宋体" w:cs="宋体"/>
          <w:szCs w:val="24"/>
        </w:rPr>
        <w:t>28.1项目由评标委员会根据第三章《评标办法与评分标准》规定提出中标候选人排序。</w:t>
      </w:r>
    </w:p>
    <w:p>
      <w:pPr>
        <w:pStyle w:val="80"/>
        <w:tabs>
          <w:tab w:val="left" w:pos="0"/>
        </w:tabs>
        <w:spacing w:before="0"/>
        <w:ind w:firstLine="480"/>
        <w:rPr>
          <w:rFonts w:hint="eastAsia" w:ascii="宋体" w:hAnsi="宋体" w:cs="宋体"/>
          <w:szCs w:val="24"/>
        </w:rPr>
      </w:pPr>
      <w:r>
        <w:rPr>
          <w:rFonts w:hint="eastAsia" w:ascii="宋体" w:hAnsi="宋体" w:cs="宋体"/>
          <w:szCs w:val="24"/>
        </w:rPr>
        <w:t>28.2采购代理机构应当在评标结束后2个工作日内将评标报告送采购人。</w:t>
      </w:r>
    </w:p>
    <w:p>
      <w:pPr>
        <w:pStyle w:val="80"/>
        <w:tabs>
          <w:tab w:val="left" w:pos="0"/>
        </w:tabs>
        <w:spacing w:before="0"/>
        <w:ind w:firstLine="480"/>
        <w:rPr>
          <w:rFonts w:hint="eastAsia" w:ascii="宋体" w:hAnsi="宋体" w:cs="宋体"/>
          <w:szCs w:val="24"/>
        </w:rPr>
      </w:pPr>
      <w:r>
        <w:rPr>
          <w:rFonts w:hint="eastAsia" w:ascii="宋体" w:hAnsi="宋体" w:cs="宋体"/>
          <w:szCs w:val="24"/>
        </w:rPr>
        <w:t>28.3采购人应当自收到评标报告之日起5个工作日内，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p>
    <w:p>
      <w:pPr>
        <w:pStyle w:val="80"/>
        <w:tabs>
          <w:tab w:val="left" w:pos="0"/>
        </w:tabs>
        <w:spacing w:before="0"/>
        <w:ind w:firstLine="480"/>
        <w:rPr>
          <w:rFonts w:hint="eastAsia" w:ascii="宋体" w:hAnsi="宋体" w:cs="宋体"/>
          <w:szCs w:val="24"/>
        </w:rPr>
      </w:pPr>
      <w:r>
        <w:rPr>
          <w:rFonts w:hint="eastAsia" w:ascii="宋体" w:hAnsi="宋体" w:cs="宋体"/>
          <w:szCs w:val="24"/>
        </w:rPr>
        <w:t>28.4采购人或者采购代理机构应当自中标人确定之日起2个工作日内，在发布招标公告的网站上公告中标结果，公告期限为1个工作日。在公告中标结果的同时，采购人或者采购代理机构应当向中标人发出中标通知书；</w:t>
      </w:r>
    </w:p>
    <w:p>
      <w:pPr>
        <w:pStyle w:val="80"/>
        <w:tabs>
          <w:tab w:val="left" w:pos="0"/>
        </w:tabs>
        <w:spacing w:before="0"/>
        <w:ind w:firstLine="480"/>
        <w:rPr>
          <w:rFonts w:hint="eastAsia" w:ascii="宋体" w:hAnsi="宋体" w:cs="宋体"/>
          <w:szCs w:val="24"/>
        </w:rPr>
      </w:pPr>
      <w:r>
        <w:rPr>
          <w:rFonts w:hint="eastAsia" w:ascii="宋体" w:hAnsi="宋体" w:cs="宋体"/>
          <w:szCs w:val="24"/>
        </w:rPr>
        <w:t>28.5中标人应携带介绍信自行前往采购代理机构领取中标通知书。</w:t>
      </w:r>
    </w:p>
    <w:p>
      <w:pPr>
        <w:pStyle w:val="80"/>
        <w:tabs>
          <w:tab w:val="left" w:pos="0"/>
        </w:tabs>
        <w:spacing w:before="0"/>
        <w:ind w:firstLine="480"/>
        <w:rPr>
          <w:rFonts w:hint="eastAsia" w:ascii="宋体" w:hAnsi="宋体" w:cs="宋体"/>
          <w:b/>
        </w:rPr>
      </w:pPr>
      <w:r>
        <w:rPr>
          <w:rFonts w:hint="eastAsia" w:ascii="宋体" w:hAnsi="宋体" w:cs="宋体"/>
          <w:szCs w:val="24"/>
        </w:rPr>
        <w:t>28.6中标通知书发出后，采购人不得违法改变中标结果，中标人无正当理由不得放弃中标。</w:t>
      </w:r>
    </w:p>
    <w:p>
      <w:pPr>
        <w:spacing w:line="360" w:lineRule="auto"/>
        <w:jc w:val="center"/>
        <w:outlineLvl w:val="0"/>
        <w:rPr>
          <w:rFonts w:hint="eastAsia"/>
          <w:bCs/>
          <w:sz w:val="32"/>
        </w:rPr>
      </w:pPr>
      <w:bookmarkStart w:id="57" w:name="_Toc121294577"/>
      <w:r>
        <w:rPr>
          <w:rFonts w:hint="eastAsia"/>
          <w:b/>
          <w:sz w:val="36"/>
          <w:szCs w:val="20"/>
        </w:rPr>
        <w:t>九、合同签订及其他</w:t>
      </w:r>
      <w:bookmarkEnd w:id="57"/>
    </w:p>
    <w:p>
      <w:pPr>
        <w:pStyle w:val="80"/>
        <w:tabs>
          <w:tab w:val="left" w:pos="0"/>
        </w:tabs>
        <w:spacing w:before="0" w:line="336" w:lineRule="auto"/>
        <w:ind w:firstLine="480"/>
        <w:rPr>
          <w:rFonts w:hint="eastAsia" w:ascii="宋体" w:hAnsi="宋体" w:cs="宋体"/>
          <w:szCs w:val="24"/>
        </w:rPr>
      </w:pPr>
      <w:r>
        <w:rPr>
          <w:rFonts w:hint="eastAsia" w:ascii="宋体" w:hAnsi="宋体" w:cs="宋体"/>
          <w:szCs w:val="24"/>
        </w:rPr>
        <w:t>29.1 采购人应当自中标通知书发出之日起30日内，按照招标文件和中标人投标文件的规定，与中标人签订书面合同。所签订的合同不得对招标文件确定的事项和中标人投标文件作实质性修改。</w:t>
      </w:r>
    </w:p>
    <w:p>
      <w:pPr>
        <w:pStyle w:val="80"/>
        <w:tabs>
          <w:tab w:val="left" w:pos="0"/>
        </w:tabs>
        <w:spacing w:before="0" w:line="336" w:lineRule="auto"/>
        <w:ind w:firstLine="480"/>
        <w:rPr>
          <w:rFonts w:hint="eastAsia" w:ascii="宋体" w:hAnsi="宋体" w:cs="宋体"/>
          <w:szCs w:val="24"/>
        </w:rPr>
      </w:pPr>
      <w:r>
        <w:rPr>
          <w:rFonts w:hint="eastAsia" w:ascii="宋体" w:hAnsi="宋体" w:cs="宋体"/>
          <w:szCs w:val="24"/>
        </w:rPr>
        <w:t>29.2 中标或者成交供应商拒绝与采购人签订合同的，采购人可以按照评审报告推荐的中标或者成交候选人名单排序，确定下一候选人为中标或者成交供应商，也可以重新开展政府采购活动。</w:t>
      </w:r>
    </w:p>
    <w:p>
      <w:pPr>
        <w:pStyle w:val="17"/>
        <w:spacing w:line="336" w:lineRule="auto"/>
        <w:ind w:left="400" w:leftChars="200"/>
        <w:rPr>
          <w:rFonts w:hint="eastAsia" w:hAnsi="宋体" w:cs="宋体"/>
          <w:b/>
          <w:sz w:val="24"/>
          <w:szCs w:val="24"/>
        </w:rPr>
      </w:pPr>
      <w:r>
        <w:rPr>
          <w:rFonts w:hint="eastAsia" w:hAnsi="宋体" w:cs="宋体"/>
          <w:b/>
          <w:sz w:val="24"/>
          <w:szCs w:val="24"/>
        </w:rPr>
        <w:t>30.履约保证金</w:t>
      </w:r>
    </w:p>
    <w:p>
      <w:pPr>
        <w:pStyle w:val="80"/>
        <w:tabs>
          <w:tab w:val="left" w:pos="0"/>
        </w:tabs>
        <w:spacing w:before="0" w:line="336" w:lineRule="auto"/>
        <w:ind w:firstLine="480"/>
        <w:rPr>
          <w:rFonts w:hint="eastAsia" w:ascii="宋体" w:hAnsi="宋体" w:cs="宋体"/>
          <w:color w:val="000000"/>
          <w:szCs w:val="24"/>
        </w:rPr>
      </w:pPr>
      <w:r>
        <w:rPr>
          <w:rFonts w:hint="eastAsia" w:ascii="宋体" w:hAnsi="宋体" w:cs="宋体"/>
          <w:color w:val="000000"/>
          <w:szCs w:val="24"/>
        </w:rPr>
        <w:t>本项目不收取履约保证金。</w:t>
      </w:r>
    </w:p>
    <w:p>
      <w:pPr>
        <w:pStyle w:val="17"/>
        <w:spacing w:line="336" w:lineRule="auto"/>
        <w:ind w:left="400" w:leftChars="200"/>
        <w:rPr>
          <w:rFonts w:hint="eastAsia" w:hAnsi="宋体" w:cs="宋体"/>
          <w:b/>
          <w:sz w:val="24"/>
          <w:szCs w:val="24"/>
        </w:rPr>
      </w:pPr>
      <w:r>
        <w:rPr>
          <w:rFonts w:hint="eastAsia" w:hAnsi="宋体" w:cs="宋体"/>
          <w:b/>
          <w:sz w:val="24"/>
          <w:szCs w:val="24"/>
        </w:rPr>
        <w:t>31.验收</w:t>
      </w:r>
    </w:p>
    <w:p>
      <w:pPr>
        <w:pStyle w:val="80"/>
        <w:tabs>
          <w:tab w:val="left" w:pos="0"/>
        </w:tabs>
        <w:spacing w:before="0" w:line="336" w:lineRule="auto"/>
        <w:ind w:firstLine="480"/>
        <w:rPr>
          <w:rFonts w:hint="eastAsia" w:ascii="宋体" w:hAnsi="宋体" w:cs="宋体"/>
          <w:szCs w:val="24"/>
        </w:rPr>
      </w:pPr>
      <w:r>
        <w:rPr>
          <w:rFonts w:hint="eastAsia" w:ascii="宋体" w:hAnsi="宋体" w:cs="宋体"/>
          <w:szCs w:val="24"/>
        </w:rPr>
        <w:t>31.1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pStyle w:val="80"/>
        <w:tabs>
          <w:tab w:val="left" w:pos="0"/>
        </w:tabs>
        <w:spacing w:before="0" w:line="336" w:lineRule="auto"/>
        <w:ind w:firstLine="480"/>
        <w:rPr>
          <w:rFonts w:hint="eastAsia" w:ascii="宋体" w:hAnsi="宋体" w:cs="宋体"/>
          <w:szCs w:val="24"/>
        </w:rPr>
      </w:pPr>
      <w:r>
        <w:rPr>
          <w:rFonts w:hint="eastAsia" w:ascii="宋体" w:hAnsi="宋体" w:cs="宋体"/>
          <w:szCs w:val="24"/>
        </w:rPr>
        <w:t>31.2采购人应当及时对采购项目进行验收，采购人可以邀请参加本项目的其他投标人或者第三方机构参与验收，参与验收的投标人或者第三方机构的意见作为验收书的参考资料一并存档。</w:t>
      </w:r>
    </w:p>
    <w:p>
      <w:pPr>
        <w:pStyle w:val="80"/>
        <w:tabs>
          <w:tab w:val="left" w:pos="0"/>
        </w:tabs>
        <w:spacing w:before="0" w:line="336" w:lineRule="auto"/>
        <w:ind w:firstLine="480"/>
        <w:rPr>
          <w:rFonts w:hint="eastAsia" w:ascii="宋体" w:hAnsi="宋体" w:cs="宋体"/>
          <w:szCs w:val="24"/>
        </w:rPr>
      </w:pPr>
      <w:r>
        <w:rPr>
          <w:rFonts w:hint="eastAsia" w:ascii="宋体" w:hAnsi="宋体" w:cs="宋体"/>
          <w:szCs w:val="24"/>
        </w:rPr>
        <w:t>31.3采购人负责加强对中标人的履约管理，并按照采购合同约定，及时向中标人支付采购资金。对于中标人违反采购合同约定的行为，采购人应当及时处理，依法追究其违约责任。</w:t>
      </w:r>
    </w:p>
    <w:p>
      <w:pPr>
        <w:pStyle w:val="17"/>
        <w:spacing w:line="336" w:lineRule="auto"/>
        <w:ind w:left="400" w:leftChars="200"/>
        <w:rPr>
          <w:rFonts w:hint="eastAsia" w:hAnsi="宋体" w:cs="宋体"/>
          <w:b/>
          <w:sz w:val="24"/>
          <w:szCs w:val="24"/>
        </w:rPr>
      </w:pPr>
      <w:r>
        <w:rPr>
          <w:rFonts w:hint="eastAsia" w:hAnsi="宋体" w:cs="宋体"/>
          <w:b/>
          <w:sz w:val="24"/>
          <w:szCs w:val="24"/>
        </w:rPr>
        <w:t>32.货款结算方式</w:t>
      </w:r>
    </w:p>
    <w:p>
      <w:pPr>
        <w:tabs>
          <w:tab w:val="left" w:pos="0"/>
        </w:tabs>
        <w:spacing w:line="336" w:lineRule="auto"/>
        <w:ind w:firstLine="480"/>
        <w:rPr>
          <w:rFonts w:hint="eastAsia"/>
          <w:sz w:val="24"/>
        </w:rPr>
      </w:pPr>
      <w:r>
        <w:rPr>
          <w:rFonts w:hint="eastAsia"/>
          <w:sz w:val="24"/>
        </w:rPr>
        <w:t>付款方式：采购人与中标人依照招标文件规定的付款方式进行项目款项的支付。</w:t>
      </w:r>
    </w:p>
    <w:p>
      <w:pPr>
        <w:pStyle w:val="17"/>
        <w:spacing w:line="336" w:lineRule="auto"/>
        <w:ind w:left="400" w:leftChars="200"/>
        <w:rPr>
          <w:rFonts w:hint="eastAsia" w:hAnsi="宋体" w:cs="宋体"/>
          <w:b/>
          <w:sz w:val="24"/>
          <w:szCs w:val="24"/>
        </w:rPr>
      </w:pPr>
      <w:r>
        <w:rPr>
          <w:rFonts w:hint="eastAsia" w:hAnsi="宋体" w:cs="宋体"/>
          <w:b/>
          <w:sz w:val="24"/>
          <w:szCs w:val="24"/>
        </w:rPr>
        <w:t>33.售后服务考核</w:t>
      </w:r>
    </w:p>
    <w:p>
      <w:pPr>
        <w:tabs>
          <w:tab w:val="left" w:pos="0"/>
        </w:tabs>
        <w:spacing w:line="336" w:lineRule="auto"/>
        <w:ind w:firstLine="480"/>
        <w:rPr>
          <w:rFonts w:hint="eastAsia"/>
          <w:sz w:val="24"/>
        </w:rPr>
      </w:pPr>
      <w:r>
        <w:rPr>
          <w:rFonts w:hint="eastAsia"/>
          <w:sz w:val="24"/>
        </w:rPr>
        <w:t>采购代理机构将配合政府采购监管部门不定期对合同的履约情况进行检查，发现弄虚作假，偷工减料，以次充好，达不到国家、行业有关标准和技术文件规定的，一经查实，由政府采购监督管理部门给予相应处罚。</w:t>
      </w:r>
    </w:p>
    <w:p>
      <w:pPr>
        <w:spacing w:line="336" w:lineRule="auto"/>
        <w:jc w:val="center"/>
        <w:rPr>
          <w:rFonts w:hint="eastAsia"/>
          <w:b/>
          <w:sz w:val="24"/>
        </w:rPr>
      </w:pPr>
    </w:p>
    <w:p>
      <w:pPr>
        <w:spacing w:line="336" w:lineRule="auto"/>
        <w:jc w:val="center"/>
        <w:outlineLvl w:val="0"/>
        <w:rPr>
          <w:rFonts w:hint="eastAsia"/>
          <w:b/>
          <w:sz w:val="36"/>
          <w:szCs w:val="20"/>
        </w:rPr>
      </w:pPr>
      <w:bookmarkStart w:id="58" w:name="_Toc121294578"/>
      <w:r>
        <w:rPr>
          <w:rFonts w:hint="eastAsia"/>
          <w:b/>
          <w:sz w:val="36"/>
          <w:szCs w:val="20"/>
        </w:rPr>
        <w:t>十、质疑与投诉</w:t>
      </w:r>
      <w:bookmarkEnd w:id="58"/>
    </w:p>
    <w:p>
      <w:pPr>
        <w:tabs>
          <w:tab w:val="left" w:pos="0"/>
        </w:tabs>
        <w:spacing w:line="336" w:lineRule="auto"/>
        <w:ind w:firstLine="480"/>
        <w:rPr>
          <w:rFonts w:hint="eastAsia"/>
          <w:sz w:val="24"/>
        </w:rPr>
      </w:pPr>
      <w:r>
        <w:rPr>
          <w:rFonts w:hint="eastAsia"/>
          <w:sz w:val="24"/>
        </w:rPr>
        <w:t>根据《政府采购质疑和投诉办法》(中华人民共和国财政部令第94号)的规定，政府采购供应商可以依法提起质疑和投诉。</w:t>
      </w:r>
    </w:p>
    <w:p>
      <w:pPr>
        <w:pStyle w:val="17"/>
        <w:spacing w:line="336" w:lineRule="auto"/>
        <w:ind w:left="400" w:leftChars="200"/>
        <w:rPr>
          <w:rFonts w:hint="eastAsia" w:hAnsi="宋体" w:cs="宋体"/>
          <w:b/>
          <w:sz w:val="24"/>
          <w:szCs w:val="24"/>
          <w:lang w:val="zh-CN"/>
        </w:rPr>
      </w:pPr>
      <w:r>
        <w:rPr>
          <w:rFonts w:hint="eastAsia" w:hAnsi="宋体" w:cs="宋体"/>
          <w:b/>
          <w:sz w:val="24"/>
          <w:szCs w:val="24"/>
        </w:rPr>
        <w:t>34.</w:t>
      </w:r>
      <w:r>
        <w:rPr>
          <w:rFonts w:hint="eastAsia" w:hAnsi="宋体" w:cs="宋体"/>
          <w:b/>
          <w:sz w:val="24"/>
          <w:szCs w:val="24"/>
          <w:lang w:val="zh-CN"/>
        </w:rPr>
        <w:t>供应商询问</w:t>
      </w:r>
    </w:p>
    <w:p>
      <w:pPr>
        <w:pStyle w:val="17"/>
        <w:spacing w:line="336" w:lineRule="auto"/>
        <w:ind w:firstLine="480" w:firstLineChars="200"/>
        <w:rPr>
          <w:rFonts w:hint="eastAsia" w:hAnsi="宋体" w:cs="宋体"/>
          <w:sz w:val="24"/>
        </w:rPr>
      </w:pPr>
      <w:r>
        <w:rPr>
          <w:rFonts w:hint="eastAsia" w:hAnsi="宋体" w:cs="宋体"/>
          <w:sz w:val="24"/>
        </w:rPr>
        <w:t>供应商对政府采购活动事项有疑问的，可以向采购代理机构提出询问，采购代理机构将对供应商依法提出的询问作出答复，但答复的内容不得涉及商业秘密。</w:t>
      </w:r>
    </w:p>
    <w:p>
      <w:pPr>
        <w:pStyle w:val="17"/>
        <w:spacing w:line="336" w:lineRule="auto"/>
        <w:ind w:left="400" w:leftChars="200"/>
        <w:rPr>
          <w:rFonts w:hint="eastAsia" w:hAnsi="宋体" w:cs="宋体"/>
          <w:b/>
          <w:sz w:val="24"/>
          <w:szCs w:val="24"/>
          <w:lang w:val="zh-CN"/>
        </w:rPr>
      </w:pPr>
      <w:r>
        <w:rPr>
          <w:rFonts w:hint="eastAsia" w:hAnsi="宋体" w:cs="宋体"/>
          <w:b/>
          <w:sz w:val="24"/>
          <w:szCs w:val="24"/>
        </w:rPr>
        <w:t>35.</w:t>
      </w:r>
      <w:r>
        <w:rPr>
          <w:rFonts w:hint="eastAsia" w:hAnsi="宋体" w:cs="宋体"/>
          <w:b/>
          <w:sz w:val="24"/>
          <w:szCs w:val="24"/>
          <w:lang w:val="zh-CN"/>
        </w:rPr>
        <w:t>供应商质疑</w:t>
      </w:r>
    </w:p>
    <w:p>
      <w:pPr>
        <w:pStyle w:val="80"/>
        <w:tabs>
          <w:tab w:val="left" w:pos="0"/>
        </w:tabs>
        <w:spacing w:before="0" w:line="336" w:lineRule="auto"/>
        <w:ind w:firstLine="480"/>
        <w:rPr>
          <w:rFonts w:hint="eastAsia" w:ascii="宋体" w:hAnsi="宋体" w:cs="宋体"/>
          <w:szCs w:val="24"/>
        </w:rPr>
      </w:pPr>
      <w:r>
        <w:rPr>
          <w:rFonts w:hint="eastAsia" w:ascii="宋体" w:hAnsi="宋体" w:cs="宋体"/>
          <w:szCs w:val="24"/>
        </w:rPr>
        <w:t>35.1供应商认为采购文件、采购过程和成交结果使自己的权益受到损害的，可以在知道或者应知其权益受到损害之日起七个工作日内，以书面形式向采购代理机构提出质疑，否则，采购代理机构不予受理：</w:t>
      </w:r>
    </w:p>
    <w:p>
      <w:pPr>
        <w:pStyle w:val="17"/>
        <w:spacing w:line="336" w:lineRule="auto"/>
        <w:ind w:firstLine="480" w:firstLineChars="200"/>
        <w:rPr>
          <w:rFonts w:hint="eastAsia" w:hAnsi="宋体" w:cs="宋体"/>
          <w:sz w:val="24"/>
        </w:rPr>
      </w:pPr>
      <w:r>
        <w:rPr>
          <w:rFonts w:hint="eastAsia" w:hAnsi="宋体" w:cs="宋体"/>
          <w:sz w:val="24"/>
        </w:rPr>
        <w:t>供应商认为采购文件使自己的权益受到损害的，可以自收到采购文件之日（发售截止日之后收到采购文件的，以发售截止日为准）或者采购文件公告期限届满之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hAnsi="宋体" w:cs="宋体"/>
          <w:b/>
          <w:sz w:val="24"/>
        </w:rPr>
        <w:t>供应商在法定质疑期内应一次性提出针对同一采购程序环节的质疑，否则质疑将不予受理。</w:t>
      </w:r>
    </w:p>
    <w:p>
      <w:pPr>
        <w:pStyle w:val="80"/>
        <w:tabs>
          <w:tab w:val="left" w:pos="0"/>
        </w:tabs>
        <w:spacing w:before="0" w:line="336" w:lineRule="auto"/>
        <w:ind w:left="400" w:leftChars="200" w:firstLine="0" w:firstLineChars="0"/>
        <w:rPr>
          <w:rFonts w:hint="eastAsia" w:ascii="宋体" w:hAnsi="宋体" w:cs="宋体"/>
          <w:szCs w:val="24"/>
        </w:rPr>
      </w:pPr>
      <w:r>
        <w:rPr>
          <w:rFonts w:hint="eastAsia" w:ascii="宋体" w:hAnsi="宋体" w:cs="宋体"/>
          <w:szCs w:val="24"/>
        </w:rPr>
        <w:t>35.2供应商提交的质疑书需一式三份，由法定代表人签字（或盖章）并加盖单位公章。质疑书至少应包括下列主要内容：</w:t>
      </w:r>
    </w:p>
    <w:p>
      <w:pPr>
        <w:pStyle w:val="17"/>
        <w:numPr>
          <w:ilvl w:val="0"/>
          <w:numId w:val="41"/>
        </w:numPr>
        <w:spacing w:line="336" w:lineRule="auto"/>
        <w:ind w:firstLine="480" w:firstLineChars="200"/>
        <w:rPr>
          <w:rFonts w:hint="eastAsia" w:hAnsi="宋体" w:cs="宋体"/>
          <w:sz w:val="24"/>
        </w:rPr>
      </w:pPr>
      <w:r>
        <w:rPr>
          <w:rFonts w:hint="eastAsia" w:hAnsi="宋体" w:cs="宋体"/>
          <w:sz w:val="24"/>
        </w:rPr>
        <w:t>质疑人的名称、地址、邮政编码、联系人、联系电话，以及被质疑人名称及联系方式；</w:t>
      </w:r>
    </w:p>
    <w:p>
      <w:pPr>
        <w:pStyle w:val="17"/>
        <w:numPr>
          <w:ilvl w:val="0"/>
          <w:numId w:val="41"/>
        </w:numPr>
        <w:spacing w:line="336" w:lineRule="auto"/>
        <w:ind w:firstLine="480" w:firstLineChars="200"/>
        <w:rPr>
          <w:rFonts w:hint="eastAsia" w:hAnsi="宋体" w:cs="宋体"/>
          <w:sz w:val="24"/>
        </w:rPr>
      </w:pPr>
      <w:r>
        <w:rPr>
          <w:rFonts w:hint="eastAsia" w:hAnsi="宋体" w:cs="宋体"/>
          <w:sz w:val="24"/>
        </w:rPr>
        <w:t>被质疑采购项目名称、编号及采购内容；</w:t>
      </w:r>
    </w:p>
    <w:p>
      <w:pPr>
        <w:pStyle w:val="17"/>
        <w:numPr>
          <w:ilvl w:val="0"/>
          <w:numId w:val="41"/>
        </w:numPr>
        <w:spacing w:line="336" w:lineRule="auto"/>
        <w:ind w:firstLine="480" w:firstLineChars="200"/>
        <w:rPr>
          <w:rFonts w:hint="eastAsia" w:hAnsi="宋体" w:cs="宋体"/>
          <w:sz w:val="24"/>
        </w:rPr>
      </w:pPr>
      <w:r>
        <w:rPr>
          <w:rFonts w:hint="eastAsia" w:hAnsi="宋体" w:cs="宋体"/>
          <w:sz w:val="24"/>
        </w:rPr>
        <w:t>具体的质疑事项及事实依据；</w:t>
      </w:r>
    </w:p>
    <w:p>
      <w:pPr>
        <w:pStyle w:val="17"/>
        <w:numPr>
          <w:ilvl w:val="0"/>
          <w:numId w:val="41"/>
        </w:numPr>
        <w:spacing w:line="336" w:lineRule="auto"/>
        <w:ind w:firstLine="480" w:firstLineChars="200"/>
        <w:rPr>
          <w:rFonts w:hint="eastAsia" w:hAnsi="宋体" w:cs="宋体"/>
          <w:sz w:val="24"/>
        </w:rPr>
      </w:pPr>
      <w:r>
        <w:rPr>
          <w:rFonts w:hint="eastAsia" w:hAnsi="宋体" w:cs="宋体"/>
          <w:sz w:val="24"/>
        </w:rPr>
        <w:t>认为自己合法权益受到损害或可能受到损害的相关证据材料；</w:t>
      </w:r>
    </w:p>
    <w:p>
      <w:pPr>
        <w:pStyle w:val="17"/>
        <w:numPr>
          <w:ilvl w:val="0"/>
          <w:numId w:val="41"/>
        </w:numPr>
        <w:spacing w:line="336" w:lineRule="auto"/>
        <w:ind w:firstLine="480" w:firstLineChars="200"/>
        <w:rPr>
          <w:rFonts w:hint="eastAsia" w:hAnsi="宋体" w:cs="宋体"/>
          <w:sz w:val="24"/>
        </w:rPr>
      </w:pPr>
      <w:r>
        <w:rPr>
          <w:rFonts w:hint="eastAsia" w:hAnsi="宋体" w:cs="宋体"/>
          <w:sz w:val="24"/>
        </w:rPr>
        <w:t>提出质疑的日期。</w:t>
      </w:r>
    </w:p>
    <w:p>
      <w:pPr>
        <w:pStyle w:val="17"/>
        <w:spacing w:line="336" w:lineRule="auto"/>
        <w:ind w:firstLine="482" w:firstLineChars="200"/>
        <w:rPr>
          <w:rFonts w:hint="eastAsia" w:hAnsi="宋体" w:cs="宋体"/>
          <w:b/>
          <w:sz w:val="24"/>
        </w:rPr>
      </w:pPr>
      <w:r>
        <w:rPr>
          <w:rFonts w:hint="eastAsia" w:hAnsi="宋体" w:cs="宋体"/>
          <w:b/>
          <w:sz w:val="24"/>
        </w:rPr>
        <w:t>未按上述内容填写的质疑书将不予受理。</w:t>
      </w:r>
    </w:p>
    <w:p>
      <w:pPr>
        <w:pStyle w:val="80"/>
        <w:tabs>
          <w:tab w:val="left" w:pos="0"/>
        </w:tabs>
        <w:spacing w:before="0" w:line="336" w:lineRule="auto"/>
        <w:ind w:firstLine="480"/>
        <w:rPr>
          <w:rFonts w:hint="eastAsia" w:ascii="宋体" w:hAnsi="宋体" w:cs="宋体"/>
          <w:szCs w:val="24"/>
        </w:rPr>
      </w:pPr>
      <w:r>
        <w:rPr>
          <w:rFonts w:hint="eastAsia" w:ascii="宋体" w:hAnsi="宋体" w:cs="宋体"/>
          <w:szCs w:val="24"/>
        </w:rPr>
        <w:t>35.3采购代理机构应当在收到供应商的书面质疑后七个工作日内作出答复，并以书面形式通知质疑供应商和其他与质疑处理结果有利害关系的政府采购当事人，但答复的内容不得涉及商业秘密。</w:t>
      </w:r>
    </w:p>
    <w:p>
      <w:pPr>
        <w:pStyle w:val="80"/>
        <w:tabs>
          <w:tab w:val="left" w:pos="0"/>
        </w:tabs>
        <w:spacing w:before="0" w:line="336" w:lineRule="auto"/>
        <w:ind w:firstLine="480"/>
        <w:rPr>
          <w:rFonts w:hint="eastAsia" w:ascii="宋体" w:hAnsi="宋体" w:cs="宋体"/>
          <w:szCs w:val="24"/>
        </w:rPr>
      </w:pPr>
      <w:r>
        <w:rPr>
          <w:rFonts w:hint="eastAsia" w:ascii="宋体" w:hAnsi="宋体" w:cs="宋体"/>
          <w:szCs w:val="24"/>
        </w:rPr>
        <w:t>35.4询问或者质疑事项可能影响采购结果的，采购人应当暂停签订合同，已经签订合同的，应当中止履行合同。</w:t>
      </w:r>
    </w:p>
    <w:p>
      <w:pPr>
        <w:pStyle w:val="17"/>
        <w:spacing w:line="336" w:lineRule="auto"/>
        <w:ind w:left="400" w:leftChars="200"/>
        <w:rPr>
          <w:rFonts w:hint="eastAsia" w:hAnsi="宋体" w:cs="宋体"/>
          <w:b/>
          <w:sz w:val="24"/>
          <w:szCs w:val="24"/>
          <w:lang w:val="zh-CN"/>
        </w:rPr>
      </w:pPr>
      <w:r>
        <w:rPr>
          <w:rFonts w:hint="eastAsia" w:hAnsi="宋体" w:cs="宋体"/>
          <w:b/>
          <w:sz w:val="24"/>
          <w:szCs w:val="24"/>
        </w:rPr>
        <w:t>36</w:t>
      </w:r>
      <w:r>
        <w:rPr>
          <w:rFonts w:hint="eastAsia" w:hAnsi="宋体" w:cs="宋体"/>
          <w:b/>
          <w:sz w:val="24"/>
          <w:szCs w:val="24"/>
          <w:lang w:val="zh-CN"/>
        </w:rPr>
        <w:t>供应商投诉</w:t>
      </w:r>
    </w:p>
    <w:p>
      <w:pPr>
        <w:pStyle w:val="80"/>
        <w:tabs>
          <w:tab w:val="left" w:pos="0"/>
        </w:tabs>
        <w:spacing w:before="0" w:line="336" w:lineRule="auto"/>
        <w:ind w:firstLine="480"/>
        <w:rPr>
          <w:rFonts w:hint="eastAsia" w:ascii="宋体" w:hAnsi="宋体" w:cs="宋体"/>
          <w:szCs w:val="24"/>
        </w:rPr>
      </w:pPr>
      <w:r>
        <w:rPr>
          <w:rFonts w:hint="eastAsia" w:ascii="宋体" w:hAnsi="宋体" w:cs="宋体"/>
          <w:szCs w:val="24"/>
        </w:rPr>
        <w:t>36.1供应商质疑、投诉应当有明确的请求和必要的证明材料，供应商投诉的事项不得超出已质疑事项的范围，不符合上述要求的投诉将不予受理。</w:t>
      </w:r>
    </w:p>
    <w:p>
      <w:pPr>
        <w:pStyle w:val="80"/>
        <w:tabs>
          <w:tab w:val="left" w:pos="0"/>
        </w:tabs>
        <w:spacing w:before="0" w:line="336" w:lineRule="auto"/>
        <w:ind w:firstLine="480"/>
        <w:rPr>
          <w:rFonts w:hint="eastAsia" w:ascii="宋体" w:hAnsi="宋体" w:cs="宋体"/>
          <w:b/>
        </w:rPr>
      </w:pPr>
      <w:r>
        <w:rPr>
          <w:rFonts w:hint="eastAsia" w:ascii="宋体" w:hAnsi="宋体" w:cs="宋体"/>
          <w:szCs w:val="24"/>
        </w:rPr>
        <w:t>36.2质疑供应商对采购代理机构的答复不满意或者采购代理机构未在规定的时间内作出答复的，可以在答复期满后十五个工作日内向同级政府采购监督管理部门提出投诉。</w:t>
      </w:r>
    </w:p>
    <w:bookmarkEnd w:id="55"/>
    <w:p>
      <w:pPr>
        <w:spacing w:line="360" w:lineRule="auto"/>
        <w:jc w:val="center"/>
        <w:outlineLvl w:val="0"/>
        <w:rPr>
          <w:rFonts w:hint="eastAsia"/>
          <w:b/>
          <w:sz w:val="36"/>
          <w:szCs w:val="20"/>
        </w:rPr>
      </w:pPr>
      <w:bookmarkStart w:id="59" w:name="_Toc121294579"/>
    </w:p>
    <w:p>
      <w:pPr>
        <w:spacing w:line="360" w:lineRule="auto"/>
        <w:jc w:val="center"/>
        <w:outlineLvl w:val="0"/>
        <w:rPr>
          <w:rFonts w:hint="eastAsia"/>
          <w:b/>
          <w:sz w:val="36"/>
          <w:szCs w:val="36"/>
        </w:rPr>
      </w:pPr>
      <w:r>
        <w:rPr>
          <w:rFonts w:hint="eastAsia"/>
          <w:b/>
          <w:sz w:val="36"/>
          <w:szCs w:val="20"/>
        </w:rPr>
        <w:t xml:space="preserve">第三部分  </w:t>
      </w:r>
      <w:bookmarkEnd w:id="47"/>
      <w:bookmarkEnd w:id="48"/>
      <w:bookmarkStart w:id="60" w:name="_Toc184312108"/>
      <w:bookmarkEnd w:id="60"/>
      <w:bookmarkStart w:id="61" w:name="_Toc184308106"/>
      <w:bookmarkEnd w:id="61"/>
      <w:bookmarkStart w:id="62" w:name="_Toc184310308"/>
      <w:bookmarkEnd w:id="62"/>
      <w:bookmarkStart w:id="63" w:name="_Toc184308067"/>
      <w:bookmarkEnd w:id="63"/>
      <w:bookmarkStart w:id="64" w:name="_Toc184314459"/>
      <w:bookmarkEnd w:id="64"/>
      <w:bookmarkStart w:id="65" w:name="_Toc184314476"/>
      <w:bookmarkEnd w:id="65"/>
      <w:bookmarkStart w:id="66" w:name="_Toc184310286"/>
      <w:bookmarkEnd w:id="66"/>
      <w:bookmarkStart w:id="67" w:name="_Toc184308070"/>
      <w:bookmarkEnd w:id="67"/>
      <w:bookmarkStart w:id="68" w:name="_Toc184308082"/>
      <w:bookmarkEnd w:id="68"/>
      <w:bookmarkStart w:id="69" w:name="_Toc184310304"/>
      <w:bookmarkEnd w:id="69"/>
      <w:bookmarkStart w:id="70" w:name="_Toc184312077"/>
      <w:bookmarkEnd w:id="70"/>
      <w:bookmarkStart w:id="71" w:name="_Toc184308073"/>
      <w:bookmarkEnd w:id="71"/>
      <w:bookmarkStart w:id="72" w:name="_Toc184313293"/>
      <w:bookmarkEnd w:id="72"/>
      <w:bookmarkStart w:id="73" w:name="_Toc184313294"/>
      <w:bookmarkEnd w:id="73"/>
      <w:bookmarkStart w:id="74" w:name="_Toc184312113"/>
      <w:bookmarkEnd w:id="74"/>
      <w:bookmarkStart w:id="75" w:name="_Toc184308086"/>
      <w:bookmarkEnd w:id="75"/>
      <w:bookmarkStart w:id="76" w:name="_Toc184313300"/>
      <w:bookmarkEnd w:id="76"/>
      <w:bookmarkStart w:id="77" w:name="_Toc184314478"/>
      <w:bookmarkEnd w:id="77"/>
      <w:bookmarkStart w:id="78" w:name="_Toc184313238"/>
      <w:bookmarkEnd w:id="78"/>
      <w:bookmarkStart w:id="79" w:name="_Toc184308042"/>
      <w:bookmarkEnd w:id="79"/>
      <w:bookmarkStart w:id="80" w:name="_Toc184314454"/>
      <w:bookmarkEnd w:id="80"/>
      <w:bookmarkStart w:id="81" w:name="_Toc184313248"/>
      <w:bookmarkEnd w:id="81"/>
      <w:bookmarkStart w:id="82" w:name="_Toc184308074"/>
      <w:bookmarkEnd w:id="82"/>
      <w:bookmarkStart w:id="83" w:name="_Toc184312097"/>
      <w:bookmarkEnd w:id="83"/>
      <w:bookmarkStart w:id="84" w:name="_Toc184308081"/>
      <w:bookmarkEnd w:id="84"/>
      <w:bookmarkStart w:id="85" w:name="_Toc184308059"/>
      <w:bookmarkEnd w:id="85"/>
      <w:bookmarkStart w:id="86" w:name="_Toc184308085"/>
      <w:bookmarkEnd w:id="86"/>
      <w:bookmarkStart w:id="87" w:name="_Toc184313291"/>
      <w:bookmarkEnd w:id="87"/>
      <w:bookmarkStart w:id="88" w:name="_Toc184314415"/>
      <w:bookmarkEnd w:id="88"/>
      <w:bookmarkStart w:id="89" w:name="_Toc184310316"/>
      <w:bookmarkEnd w:id="89"/>
      <w:bookmarkStart w:id="90" w:name="_Toc184312104"/>
      <w:bookmarkEnd w:id="90"/>
      <w:bookmarkStart w:id="91" w:name="_Toc184313284"/>
      <w:bookmarkEnd w:id="91"/>
      <w:bookmarkStart w:id="92" w:name="_Toc184312100"/>
      <w:bookmarkEnd w:id="92"/>
      <w:bookmarkStart w:id="93" w:name="_Toc184308054"/>
      <w:bookmarkEnd w:id="93"/>
      <w:bookmarkStart w:id="94" w:name="_Toc184310278"/>
      <w:bookmarkEnd w:id="94"/>
      <w:bookmarkStart w:id="95" w:name="_Toc184313242"/>
      <w:bookmarkEnd w:id="95"/>
      <w:bookmarkStart w:id="96" w:name="_Toc184312076"/>
      <w:bookmarkEnd w:id="96"/>
      <w:bookmarkStart w:id="97" w:name="_Toc184308080"/>
      <w:bookmarkEnd w:id="97"/>
      <w:bookmarkStart w:id="98" w:name="_Toc184312138"/>
      <w:bookmarkEnd w:id="98"/>
      <w:bookmarkStart w:id="99" w:name="_Toc184308060"/>
      <w:bookmarkEnd w:id="99"/>
      <w:bookmarkStart w:id="100" w:name="_Toc184308096"/>
      <w:bookmarkEnd w:id="100"/>
      <w:bookmarkStart w:id="101" w:name="_Toc184310341"/>
      <w:bookmarkEnd w:id="101"/>
      <w:bookmarkStart w:id="102" w:name="_Toc184314433"/>
      <w:bookmarkEnd w:id="102"/>
      <w:bookmarkStart w:id="103" w:name="_Toc184313310"/>
      <w:bookmarkEnd w:id="103"/>
      <w:bookmarkStart w:id="104" w:name="_Toc184308063"/>
      <w:bookmarkEnd w:id="104"/>
      <w:bookmarkStart w:id="105" w:name="_Toc184314461"/>
      <w:bookmarkEnd w:id="105"/>
      <w:bookmarkStart w:id="106" w:name="_Toc184314473"/>
      <w:bookmarkEnd w:id="106"/>
      <w:bookmarkStart w:id="107" w:name="_Toc184308079"/>
      <w:bookmarkEnd w:id="107"/>
      <w:bookmarkStart w:id="108" w:name="_Toc184313308"/>
      <w:bookmarkEnd w:id="108"/>
      <w:bookmarkStart w:id="109" w:name="_Toc184310285"/>
      <w:bookmarkEnd w:id="109"/>
      <w:bookmarkStart w:id="110" w:name="_Toc184310312"/>
      <w:bookmarkEnd w:id="110"/>
      <w:bookmarkStart w:id="111" w:name="_Toc184314453"/>
      <w:bookmarkEnd w:id="111"/>
      <w:bookmarkStart w:id="112" w:name="_Toc184312105"/>
      <w:bookmarkEnd w:id="112"/>
      <w:bookmarkStart w:id="113" w:name="_Toc184314435"/>
      <w:bookmarkEnd w:id="113"/>
      <w:bookmarkStart w:id="114" w:name="_Toc184312128"/>
      <w:bookmarkEnd w:id="114"/>
      <w:bookmarkStart w:id="115" w:name="_Toc184314468"/>
      <w:bookmarkEnd w:id="115"/>
      <w:bookmarkStart w:id="116" w:name="_Toc184313266"/>
      <w:bookmarkEnd w:id="116"/>
      <w:bookmarkStart w:id="117" w:name="_Toc184314411"/>
      <w:bookmarkEnd w:id="117"/>
      <w:bookmarkStart w:id="118" w:name="_Toc184313264"/>
      <w:bookmarkEnd w:id="118"/>
      <w:bookmarkStart w:id="119" w:name="_Toc184312087"/>
      <w:bookmarkEnd w:id="119"/>
      <w:bookmarkStart w:id="120" w:name="_Toc184310315"/>
      <w:bookmarkEnd w:id="120"/>
      <w:bookmarkStart w:id="121" w:name="_Toc184308099"/>
      <w:bookmarkEnd w:id="121"/>
      <w:bookmarkStart w:id="122" w:name="_Toc184313297"/>
      <w:bookmarkEnd w:id="122"/>
      <w:bookmarkStart w:id="123" w:name="_Toc184314414"/>
      <w:bookmarkEnd w:id="123"/>
      <w:bookmarkStart w:id="124" w:name="_Toc184310284"/>
      <w:bookmarkEnd w:id="124"/>
      <w:bookmarkStart w:id="125" w:name="_Toc184314448"/>
      <w:bookmarkEnd w:id="125"/>
      <w:bookmarkStart w:id="126" w:name="_Toc184314472"/>
      <w:bookmarkEnd w:id="126"/>
      <w:bookmarkStart w:id="127" w:name="_Toc184310291"/>
      <w:bookmarkEnd w:id="127"/>
      <w:bookmarkStart w:id="128" w:name="_Toc184314429"/>
      <w:bookmarkEnd w:id="128"/>
      <w:bookmarkStart w:id="129" w:name="_Toc184312134"/>
      <w:bookmarkEnd w:id="129"/>
      <w:bookmarkStart w:id="130" w:name="_Toc184312088"/>
      <w:bookmarkEnd w:id="130"/>
      <w:bookmarkStart w:id="131" w:name="_Toc184312084"/>
      <w:bookmarkEnd w:id="131"/>
      <w:bookmarkStart w:id="132" w:name="_Toc184312085"/>
      <w:bookmarkEnd w:id="132"/>
      <w:bookmarkStart w:id="133" w:name="_Toc184313258"/>
      <w:bookmarkEnd w:id="133"/>
      <w:bookmarkStart w:id="134" w:name="_Toc184313265"/>
      <w:bookmarkEnd w:id="134"/>
      <w:bookmarkStart w:id="135" w:name="_Toc184310337"/>
      <w:bookmarkEnd w:id="135"/>
      <w:bookmarkStart w:id="136" w:name="_Toc184312137"/>
      <w:bookmarkEnd w:id="136"/>
      <w:bookmarkStart w:id="137" w:name="_Toc184308068"/>
      <w:bookmarkEnd w:id="137"/>
      <w:bookmarkStart w:id="138" w:name="_Toc184314410"/>
      <w:bookmarkEnd w:id="138"/>
      <w:bookmarkStart w:id="139" w:name="_Toc184310327"/>
      <w:bookmarkEnd w:id="139"/>
      <w:bookmarkStart w:id="140" w:name="_Toc184312126"/>
      <w:bookmarkEnd w:id="140"/>
      <w:bookmarkStart w:id="141" w:name="_Toc184308091"/>
      <w:bookmarkEnd w:id="141"/>
      <w:bookmarkStart w:id="142" w:name="_Toc184312083"/>
      <w:bookmarkEnd w:id="142"/>
      <w:bookmarkStart w:id="143" w:name="_Toc184312091"/>
      <w:bookmarkEnd w:id="143"/>
      <w:bookmarkStart w:id="144" w:name="_Toc184313292"/>
      <w:bookmarkEnd w:id="144"/>
      <w:bookmarkStart w:id="145" w:name="_Toc184312090"/>
      <w:bookmarkEnd w:id="145"/>
      <w:bookmarkStart w:id="146" w:name="_Toc184313245"/>
      <w:bookmarkEnd w:id="146"/>
      <w:bookmarkStart w:id="147" w:name="_Toc184310338"/>
      <w:bookmarkEnd w:id="147"/>
      <w:bookmarkStart w:id="148" w:name="_Toc184308075"/>
      <w:bookmarkEnd w:id="148"/>
      <w:bookmarkStart w:id="149" w:name="_Toc184312122"/>
      <w:bookmarkEnd w:id="149"/>
      <w:bookmarkStart w:id="150" w:name="_Toc184313268"/>
      <w:bookmarkEnd w:id="150"/>
      <w:bookmarkStart w:id="151" w:name="_Toc184310274"/>
      <w:bookmarkEnd w:id="151"/>
      <w:bookmarkStart w:id="152" w:name="_Toc184310302"/>
      <w:bookmarkEnd w:id="152"/>
      <w:bookmarkStart w:id="153" w:name="_Toc184313267"/>
      <w:bookmarkEnd w:id="153"/>
      <w:bookmarkStart w:id="154" w:name="_Toc184314425"/>
      <w:bookmarkEnd w:id="154"/>
      <w:bookmarkStart w:id="155" w:name="_Toc184314416"/>
      <w:bookmarkEnd w:id="155"/>
      <w:bookmarkStart w:id="156" w:name="_Toc184313254"/>
      <w:bookmarkEnd w:id="156"/>
      <w:bookmarkStart w:id="157" w:name="_Toc184313286"/>
      <w:bookmarkEnd w:id="157"/>
      <w:bookmarkStart w:id="158" w:name="_Toc184314419"/>
      <w:bookmarkEnd w:id="158"/>
      <w:bookmarkStart w:id="159" w:name="_Toc184312131"/>
      <w:bookmarkEnd w:id="159"/>
      <w:bookmarkStart w:id="160" w:name="_Toc184308058"/>
      <w:bookmarkEnd w:id="160"/>
      <w:bookmarkStart w:id="161" w:name="_Toc184314426"/>
      <w:bookmarkEnd w:id="161"/>
      <w:bookmarkStart w:id="162" w:name="_Toc184310319"/>
      <w:bookmarkEnd w:id="162"/>
      <w:bookmarkStart w:id="163" w:name="_Toc184310329"/>
      <w:bookmarkEnd w:id="163"/>
      <w:bookmarkStart w:id="164" w:name="_Toc184313302"/>
      <w:bookmarkEnd w:id="164"/>
      <w:bookmarkStart w:id="165" w:name="_Toc184312136"/>
      <w:bookmarkEnd w:id="165"/>
      <w:bookmarkStart w:id="166" w:name="_Toc184314470"/>
      <w:bookmarkEnd w:id="166"/>
      <w:bookmarkStart w:id="167" w:name="_Toc184314456"/>
      <w:bookmarkEnd w:id="167"/>
      <w:bookmarkStart w:id="168" w:name="_Toc184314447"/>
      <w:bookmarkEnd w:id="168"/>
      <w:bookmarkStart w:id="169" w:name="_Toc184308069"/>
      <w:bookmarkEnd w:id="169"/>
      <w:bookmarkStart w:id="170" w:name="_Toc184314469"/>
      <w:bookmarkEnd w:id="170"/>
      <w:bookmarkStart w:id="171" w:name="_Toc184313279"/>
      <w:bookmarkEnd w:id="171"/>
      <w:bookmarkStart w:id="172" w:name="_Toc184313301"/>
      <w:bookmarkEnd w:id="172"/>
      <w:bookmarkStart w:id="173" w:name="_Toc184312109"/>
      <w:bookmarkEnd w:id="173"/>
      <w:bookmarkStart w:id="174" w:name="_Toc184308078"/>
      <w:bookmarkEnd w:id="174"/>
      <w:bookmarkStart w:id="175" w:name="_Toc184313244"/>
      <w:bookmarkEnd w:id="175"/>
      <w:bookmarkStart w:id="176" w:name="_Toc184308052"/>
      <w:bookmarkEnd w:id="176"/>
      <w:bookmarkStart w:id="177" w:name="_Toc184312068"/>
      <w:bookmarkEnd w:id="177"/>
      <w:bookmarkStart w:id="178" w:name="_Toc184310340"/>
      <w:bookmarkEnd w:id="178"/>
      <w:bookmarkStart w:id="179" w:name="_Toc184308094"/>
      <w:bookmarkEnd w:id="179"/>
      <w:bookmarkStart w:id="180" w:name="_Toc184308103"/>
      <w:bookmarkEnd w:id="180"/>
      <w:bookmarkStart w:id="181" w:name="_Toc184314412"/>
      <w:bookmarkEnd w:id="181"/>
      <w:bookmarkStart w:id="182" w:name="_Toc184308043"/>
      <w:bookmarkEnd w:id="182"/>
      <w:bookmarkStart w:id="183" w:name="_Toc184310332"/>
      <w:bookmarkEnd w:id="183"/>
      <w:bookmarkStart w:id="184" w:name="_Toc184312112"/>
      <w:bookmarkEnd w:id="184"/>
      <w:bookmarkStart w:id="185" w:name="_Toc184314475"/>
      <w:bookmarkEnd w:id="185"/>
      <w:bookmarkStart w:id="186" w:name="_Toc184312127"/>
      <w:bookmarkEnd w:id="186"/>
      <w:bookmarkStart w:id="187" w:name="_Toc184313240"/>
      <w:bookmarkEnd w:id="187"/>
      <w:bookmarkStart w:id="188" w:name="_Toc184313252"/>
      <w:bookmarkEnd w:id="188"/>
      <w:bookmarkStart w:id="189" w:name="_Toc184310277"/>
      <w:bookmarkEnd w:id="189"/>
      <w:bookmarkStart w:id="190" w:name="_Toc184312132"/>
      <w:bookmarkEnd w:id="190"/>
      <w:bookmarkStart w:id="191" w:name="_Toc184310272"/>
      <w:bookmarkEnd w:id="191"/>
      <w:bookmarkStart w:id="192" w:name="_Toc184313306"/>
      <w:bookmarkEnd w:id="192"/>
      <w:bookmarkStart w:id="193" w:name="_Toc184312073"/>
      <w:bookmarkEnd w:id="193"/>
      <w:bookmarkStart w:id="194" w:name="_Toc184314417"/>
      <w:bookmarkEnd w:id="194"/>
      <w:bookmarkStart w:id="195" w:name="_Toc184313250"/>
      <w:bookmarkEnd w:id="195"/>
      <w:bookmarkStart w:id="196" w:name="_Toc184312115"/>
      <w:bookmarkEnd w:id="196"/>
      <w:bookmarkStart w:id="197" w:name="_Toc184310331"/>
      <w:bookmarkEnd w:id="197"/>
      <w:bookmarkStart w:id="198" w:name="_Toc184312079"/>
      <w:bookmarkEnd w:id="198"/>
      <w:bookmarkStart w:id="199" w:name="_Toc184308066"/>
      <w:bookmarkEnd w:id="199"/>
      <w:bookmarkStart w:id="200" w:name="_Toc184308095"/>
      <w:bookmarkEnd w:id="200"/>
      <w:bookmarkStart w:id="201" w:name="_Toc184310297"/>
      <w:bookmarkEnd w:id="201"/>
      <w:bookmarkStart w:id="202" w:name="_Toc184312120"/>
      <w:bookmarkEnd w:id="202"/>
      <w:bookmarkStart w:id="203" w:name="_Toc184308044"/>
      <w:bookmarkEnd w:id="203"/>
      <w:bookmarkStart w:id="204" w:name="_Toc184312135"/>
      <w:bookmarkEnd w:id="204"/>
      <w:bookmarkStart w:id="205" w:name="_Toc184313271"/>
      <w:bookmarkEnd w:id="205"/>
      <w:bookmarkStart w:id="206" w:name="_Toc184308038"/>
      <w:bookmarkEnd w:id="206"/>
      <w:bookmarkStart w:id="207" w:name="_Toc184312139"/>
      <w:bookmarkEnd w:id="207"/>
      <w:bookmarkStart w:id="208" w:name="_Toc184314482"/>
      <w:bookmarkEnd w:id="208"/>
      <w:bookmarkStart w:id="209" w:name="_Toc184312080"/>
      <w:bookmarkEnd w:id="209"/>
      <w:bookmarkStart w:id="210" w:name="_Toc184313309"/>
      <w:bookmarkEnd w:id="210"/>
      <w:bookmarkStart w:id="211" w:name="_Toc184313257"/>
      <w:bookmarkEnd w:id="211"/>
      <w:bookmarkStart w:id="212" w:name="_Toc184313273"/>
      <w:bookmarkEnd w:id="212"/>
      <w:bookmarkStart w:id="213" w:name="_Toc184310292"/>
      <w:bookmarkEnd w:id="213"/>
      <w:bookmarkStart w:id="214" w:name="_Toc184314427"/>
      <w:bookmarkEnd w:id="214"/>
      <w:bookmarkStart w:id="215" w:name="_Toc184310301"/>
      <w:bookmarkEnd w:id="215"/>
      <w:bookmarkStart w:id="216" w:name="_Toc184312096"/>
      <w:bookmarkEnd w:id="216"/>
      <w:bookmarkStart w:id="217" w:name="_Toc184314439"/>
      <w:bookmarkEnd w:id="217"/>
      <w:bookmarkStart w:id="218" w:name="_Toc184310300"/>
      <w:bookmarkEnd w:id="218"/>
      <w:bookmarkStart w:id="219" w:name="_Toc184314434"/>
      <w:bookmarkEnd w:id="219"/>
      <w:bookmarkStart w:id="220" w:name="_Toc184313299"/>
      <w:bookmarkEnd w:id="220"/>
      <w:bookmarkStart w:id="221" w:name="_Toc184308062"/>
      <w:bookmarkEnd w:id="221"/>
      <w:bookmarkStart w:id="222" w:name="_Toc184310313"/>
      <w:bookmarkEnd w:id="222"/>
      <w:bookmarkStart w:id="223" w:name="_Toc184313261"/>
      <w:bookmarkEnd w:id="223"/>
      <w:bookmarkStart w:id="224" w:name="_Toc184310275"/>
      <w:bookmarkEnd w:id="224"/>
      <w:bookmarkStart w:id="225" w:name="_Toc184313304"/>
      <w:bookmarkEnd w:id="225"/>
      <w:bookmarkStart w:id="226" w:name="_Toc184313283"/>
      <w:bookmarkEnd w:id="226"/>
      <w:bookmarkStart w:id="227" w:name="_Toc184314424"/>
      <w:bookmarkEnd w:id="227"/>
      <w:bookmarkStart w:id="228" w:name="_Toc184310298"/>
      <w:bookmarkEnd w:id="228"/>
      <w:bookmarkStart w:id="229" w:name="_Toc184314450"/>
      <w:bookmarkEnd w:id="229"/>
      <w:bookmarkStart w:id="230" w:name="_Toc184310321"/>
      <w:bookmarkEnd w:id="230"/>
      <w:bookmarkStart w:id="231" w:name="_Toc184312081"/>
      <w:bookmarkEnd w:id="231"/>
      <w:bookmarkStart w:id="232" w:name="_Toc184310323"/>
      <w:bookmarkEnd w:id="232"/>
      <w:bookmarkStart w:id="233" w:name="_Toc184310320"/>
      <w:bookmarkEnd w:id="233"/>
      <w:bookmarkStart w:id="234" w:name="_Toc184313290"/>
      <w:bookmarkEnd w:id="234"/>
      <w:bookmarkStart w:id="235" w:name="_Toc184308049"/>
      <w:bookmarkEnd w:id="235"/>
      <w:bookmarkStart w:id="236" w:name="_Toc184308041"/>
      <w:bookmarkEnd w:id="236"/>
      <w:bookmarkStart w:id="237" w:name="_Toc184310334"/>
      <w:bookmarkEnd w:id="237"/>
      <w:bookmarkStart w:id="238" w:name="_Toc184313282"/>
      <w:bookmarkEnd w:id="238"/>
      <w:bookmarkStart w:id="239" w:name="_Toc184312121"/>
      <w:bookmarkEnd w:id="239"/>
      <w:bookmarkStart w:id="240" w:name="_Toc184308051"/>
      <w:bookmarkEnd w:id="240"/>
      <w:bookmarkStart w:id="241" w:name="_Toc184308098"/>
      <w:bookmarkEnd w:id="241"/>
      <w:bookmarkStart w:id="242" w:name="_Toc184313246"/>
      <w:bookmarkEnd w:id="242"/>
      <w:bookmarkStart w:id="243" w:name="_Toc184312107"/>
      <w:bookmarkEnd w:id="243"/>
      <w:bookmarkStart w:id="244" w:name="_Toc184313275"/>
      <w:bookmarkEnd w:id="244"/>
      <w:bookmarkStart w:id="245" w:name="_Toc184312101"/>
      <w:bookmarkEnd w:id="245"/>
      <w:bookmarkStart w:id="246" w:name="_Toc184314444"/>
      <w:bookmarkEnd w:id="246"/>
      <w:bookmarkStart w:id="247" w:name="_Toc184310333"/>
      <w:bookmarkEnd w:id="247"/>
      <w:bookmarkStart w:id="248" w:name="_Toc184310287"/>
      <w:bookmarkEnd w:id="248"/>
      <w:bookmarkStart w:id="249" w:name="_Toc184314440"/>
      <w:bookmarkEnd w:id="249"/>
      <w:bookmarkStart w:id="250" w:name="_Toc184310281"/>
      <w:bookmarkEnd w:id="250"/>
      <w:bookmarkStart w:id="251" w:name="_Toc184310311"/>
      <w:bookmarkEnd w:id="251"/>
      <w:bookmarkStart w:id="252" w:name="_Toc184310303"/>
      <w:bookmarkEnd w:id="252"/>
      <w:bookmarkStart w:id="253" w:name="_Toc184314458"/>
      <w:bookmarkEnd w:id="253"/>
      <w:bookmarkStart w:id="254" w:name="_Toc184312072"/>
      <w:bookmarkEnd w:id="254"/>
      <w:bookmarkStart w:id="255" w:name="_Toc184313277"/>
      <w:bookmarkEnd w:id="255"/>
      <w:bookmarkStart w:id="256" w:name="_Toc184312086"/>
      <w:bookmarkEnd w:id="256"/>
      <w:bookmarkStart w:id="257" w:name="_Toc184312114"/>
      <w:bookmarkEnd w:id="257"/>
      <w:bookmarkStart w:id="258" w:name="_Toc184314423"/>
      <w:bookmarkEnd w:id="258"/>
      <w:bookmarkStart w:id="259" w:name="_Toc184312124"/>
      <w:bookmarkEnd w:id="259"/>
      <w:bookmarkStart w:id="260" w:name="_Toc184308076"/>
      <w:bookmarkEnd w:id="260"/>
      <w:bookmarkStart w:id="261" w:name="_Toc184314451"/>
      <w:bookmarkEnd w:id="261"/>
      <w:bookmarkStart w:id="262" w:name="_Toc184313295"/>
      <w:bookmarkEnd w:id="262"/>
      <w:bookmarkStart w:id="263" w:name="_Toc184310279"/>
      <w:bookmarkEnd w:id="263"/>
      <w:bookmarkStart w:id="264" w:name="_Toc184310318"/>
      <w:bookmarkEnd w:id="264"/>
      <w:bookmarkStart w:id="265" w:name="_Toc184312103"/>
      <w:bookmarkEnd w:id="265"/>
      <w:bookmarkStart w:id="266" w:name="_Toc184308065"/>
      <w:bookmarkEnd w:id="266"/>
      <w:bookmarkStart w:id="267" w:name="_Toc184312130"/>
      <w:bookmarkEnd w:id="267"/>
      <w:bookmarkStart w:id="268" w:name="_Toc184313278"/>
      <w:bookmarkEnd w:id="268"/>
      <w:bookmarkStart w:id="269" w:name="_Toc184308093"/>
      <w:bookmarkEnd w:id="269"/>
      <w:bookmarkStart w:id="270" w:name="_Toc184310290"/>
      <w:bookmarkEnd w:id="270"/>
      <w:bookmarkStart w:id="271" w:name="_Toc184312071"/>
      <w:bookmarkEnd w:id="271"/>
      <w:bookmarkStart w:id="272" w:name="_Toc184308077"/>
      <w:bookmarkEnd w:id="272"/>
      <w:bookmarkStart w:id="273" w:name="_Toc184308048"/>
      <w:bookmarkEnd w:id="273"/>
      <w:bookmarkStart w:id="274" w:name="_Toc184314467"/>
      <w:bookmarkEnd w:id="274"/>
      <w:bookmarkStart w:id="275" w:name="_Toc184312070"/>
      <w:bookmarkEnd w:id="275"/>
      <w:bookmarkStart w:id="276" w:name="_Toc184313256"/>
      <w:bookmarkEnd w:id="276"/>
      <w:bookmarkStart w:id="277" w:name="_Toc184308064"/>
      <w:bookmarkEnd w:id="277"/>
      <w:bookmarkStart w:id="278" w:name="_Toc184310299"/>
      <w:bookmarkEnd w:id="278"/>
      <w:bookmarkStart w:id="279" w:name="_Toc184308045"/>
      <w:bookmarkEnd w:id="279"/>
      <w:bookmarkStart w:id="280" w:name="_Toc184314446"/>
      <w:bookmarkEnd w:id="280"/>
      <w:bookmarkStart w:id="281" w:name="_Toc184312123"/>
      <w:bookmarkEnd w:id="281"/>
      <w:bookmarkStart w:id="282" w:name="_Toc184314464"/>
      <w:bookmarkEnd w:id="282"/>
      <w:bookmarkStart w:id="283" w:name="_Toc184313276"/>
      <w:bookmarkEnd w:id="283"/>
      <w:bookmarkStart w:id="284" w:name="_Toc184314418"/>
      <w:bookmarkEnd w:id="284"/>
      <w:bookmarkStart w:id="285" w:name="_Toc184312129"/>
      <w:bookmarkEnd w:id="285"/>
      <w:bookmarkStart w:id="286" w:name="_Toc184312119"/>
      <w:bookmarkEnd w:id="286"/>
      <w:bookmarkStart w:id="287" w:name="_Toc184314436"/>
      <w:bookmarkEnd w:id="287"/>
      <w:bookmarkStart w:id="288" w:name="_Toc184308056"/>
      <w:bookmarkEnd w:id="288"/>
      <w:bookmarkStart w:id="289" w:name="_Toc184308105"/>
      <w:bookmarkEnd w:id="289"/>
      <w:bookmarkStart w:id="290" w:name="_Toc184308053"/>
      <w:bookmarkEnd w:id="290"/>
      <w:bookmarkStart w:id="291" w:name="_Toc184313269"/>
      <w:bookmarkEnd w:id="291"/>
      <w:bookmarkStart w:id="292" w:name="_Toc184308101"/>
      <w:bookmarkEnd w:id="292"/>
      <w:bookmarkStart w:id="293" w:name="_Toc184314466"/>
      <w:bookmarkEnd w:id="293"/>
      <w:bookmarkStart w:id="294" w:name="_Toc184310326"/>
      <w:bookmarkEnd w:id="294"/>
      <w:bookmarkStart w:id="295" w:name="_Toc184313298"/>
      <w:bookmarkEnd w:id="295"/>
      <w:bookmarkStart w:id="296" w:name="_Toc184314460"/>
      <w:bookmarkEnd w:id="296"/>
      <w:bookmarkStart w:id="297" w:name="_Toc184308083"/>
      <w:bookmarkEnd w:id="297"/>
      <w:bookmarkStart w:id="298" w:name="_Toc184314474"/>
      <w:bookmarkEnd w:id="298"/>
      <w:bookmarkStart w:id="299" w:name="_Toc184314449"/>
      <w:bookmarkEnd w:id="299"/>
      <w:bookmarkStart w:id="300" w:name="_Toc184310305"/>
      <w:bookmarkEnd w:id="300"/>
      <w:bookmarkStart w:id="301" w:name="_Toc184314445"/>
      <w:bookmarkEnd w:id="301"/>
      <w:bookmarkStart w:id="302" w:name="_Toc184313305"/>
      <w:bookmarkEnd w:id="302"/>
      <w:bookmarkStart w:id="303" w:name="_Toc184313303"/>
      <w:bookmarkEnd w:id="303"/>
      <w:bookmarkStart w:id="304" w:name="_Toc184308092"/>
      <w:bookmarkEnd w:id="304"/>
      <w:bookmarkStart w:id="305" w:name="_Toc184313296"/>
      <w:bookmarkEnd w:id="305"/>
      <w:bookmarkStart w:id="306" w:name="_Toc184308057"/>
      <w:bookmarkEnd w:id="306"/>
      <w:bookmarkStart w:id="307" w:name="_Toc184314431"/>
      <w:bookmarkEnd w:id="307"/>
      <w:bookmarkStart w:id="308" w:name="_Toc184308104"/>
      <w:bookmarkEnd w:id="308"/>
      <w:bookmarkStart w:id="309" w:name="_Toc184314437"/>
      <w:bookmarkEnd w:id="309"/>
      <w:bookmarkStart w:id="310" w:name="_Toc184308097"/>
      <w:bookmarkEnd w:id="310"/>
      <w:bookmarkStart w:id="311" w:name="_Toc184314421"/>
      <w:bookmarkEnd w:id="311"/>
      <w:bookmarkStart w:id="312" w:name="_Toc184312093"/>
      <w:bookmarkEnd w:id="312"/>
      <w:bookmarkStart w:id="313" w:name="_Toc184314471"/>
      <w:bookmarkEnd w:id="313"/>
      <w:bookmarkStart w:id="314" w:name="_Toc184310288"/>
      <w:bookmarkEnd w:id="314"/>
      <w:bookmarkStart w:id="315" w:name="_Toc184310282"/>
      <w:bookmarkEnd w:id="315"/>
      <w:bookmarkStart w:id="316" w:name="_Toc184313288"/>
      <w:bookmarkEnd w:id="316"/>
      <w:bookmarkStart w:id="317" w:name="_Toc184312074"/>
      <w:bookmarkEnd w:id="317"/>
      <w:bookmarkStart w:id="318" w:name="_Toc184312089"/>
      <w:bookmarkEnd w:id="318"/>
      <w:bookmarkStart w:id="319" w:name="_Toc184308050"/>
      <w:bookmarkEnd w:id="319"/>
      <w:bookmarkStart w:id="320" w:name="_Toc184313262"/>
      <w:bookmarkEnd w:id="320"/>
      <w:bookmarkStart w:id="321" w:name="_Toc184313263"/>
      <w:bookmarkEnd w:id="321"/>
      <w:bookmarkStart w:id="322" w:name="_Toc184310339"/>
      <w:bookmarkEnd w:id="322"/>
      <w:bookmarkStart w:id="323" w:name="_Toc184310324"/>
      <w:bookmarkEnd w:id="323"/>
      <w:bookmarkStart w:id="324" w:name="_Toc184310294"/>
      <w:bookmarkEnd w:id="324"/>
      <w:bookmarkStart w:id="325" w:name="_Toc184310293"/>
      <w:bookmarkEnd w:id="325"/>
      <w:bookmarkStart w:id="326" w:name="_Toc184314442"/>
      <w:bookmarkEnd w:id="326"/>
      <w:bookmarkStart w:id="327" w:name="_Toc184313241"/>
      <w:bookmarkEnd w:id="327"/>
      <w:bookmarkStart w:id="328" w:name="_Toc184310336"/>
      <w:bookmarkEnd w:id="328"/>
      <w:bookmarkStart w:id="329" w:name="_Toc184314480"/>
      <w:bookmarkEnd w:id="329"/>
      <w:bookmarkStart w:id="330" w:name="_Toc184313280"/>
      <w:bookmarkEnd w:id="330"/>
      <w:bookmarkStart w:id="331" w:name="_Toc184312092"/>
      <w:bookmarkEnd w:id="331"/>
      <w:bookmarkStart w:id="332" w:name="_Toc184310289"/>
      <w:bookmarkEnd w:id="332"/>
      <w:bookmarkStart w:id="333" w:name="_Toc184314455"/>
      <w:bookmarkEnd w:id="333"/>
      <w:bookmarkStart w:id="334" w:name="_Toc184310295"/>
      <w:bookmarkEnd w:id="334"/>
      <w:bookmarkStart w:id="335" w:name="_Toc184313270"/>
      <w:bookmarkEnd w:id="335"/>
      <w:bookmarkStart w:id="336" w:name="_Toc184310310"/>
      <w:bookmarkEnd w:id="336"/>
      <w:bookmarkStart w:id="337" w:name="_Toc184308040"/>
      <w:bookmarkEnd w:id="337"/>
      <w:bookmarkStart w:id="338" w:name="_Toc184313247"/>
      <w:bookmarkEnd w:id="338"/>
      <w:bookmarkStart w:id="339" w:name="_Toc184312106"/>
      <w:bookmarkEnd w:id="339"/>
      <w:bookmarkStart w:id="340" w:name="_Toc184314420"/>
      <w:bookmarkEnd w:id="340"/>
      <w:bookmarkStart w:id="341" w:name="_Toc184314428"/>
      <w:bookmarkEnd w:id="341"/>
      <w:bookmarkStart w:id="342" w:name="_Toc184313272"/>
      <w:bookmarkEnd w:id="342"/>
      <w:bookmarkStart w:id="343" w:name="_Toc184308047"/>
      <w:bookmarkEnd w:id="343"/>
      <w:bookmarkStart w:id="344" w:name="_Toc184312117"/>
      <w:bookmarkEnd w:id="344"/>
      <w:bookmarkStart w:id="345" w:name="_Toc184314432"/>
      <w:bookmarkEnd w:id="345"/>
      <w:bookmarkStart w:id="346" w:name="_Toc184312125"/>
      <w:bookmarkEnd w:id="346"/>
      <w:bookmarkStart w:id="347" w:name="_Toc184308102"/>
      <w:bookmarkEnd w:id="347"/>
      <w:bookmarkStart w:id="348" w:name="_Toc184314443"/>
      <w:bookmarkEnd w:id="348"/>
      <w:bookmarkStart w:id="349" w:name="_Toc184313287"/>
      <w:bookmarkEnd w:id="349"/>
      <w:bookmarkStart w:id="350" w:name="_Toc184310283"/>
      <w:bookmarkEnd w:id="350"/>
      <w:bookmarkStart w:id="351" w:name="_Toc184312078"/>
      <w:bookmarkEnd w:id="351"/>
      <w:bookmarkStart w:id="352" w:name="_Toc184313289"/>
      <w:bookmarkEnd w:id="352"/>
      <w:bookmarkStart w:id="353" w:name="_Toc184310342"/>
      <w:bookmarkEnd w:id="353"/>
      <w:bookmarkStart w:id="354" w:name="_Toc184312099"/>
      <w:bookmarkEnd w:id="354"/>
      <w:bookmarkStart w:id="355" w:name="_Toc184310335"/>
      <w:bookmarkEnd w:id="355"/>
      <w:bookmarkStart w:id="356" w:name="_Toc184308100"/>
      <w:bookmarkEnd w:id="356"/>
      <w:bookmarkStart w:id="357" w:name="_Toc184312111"/>
      <w:bookmarkEnd w:id="357"/>
      <w:bookmarkStart w:id="358" w:name="_Toc184308088"/>
      <w:bookmarkEnd w:id="358"/>
      <w:bookmarkStart w:id="359" w:name="_Toc184308037"/>
      <w:bookmarkEnd w:id="359"/>
      <w:bookmarkStart w:id="360" w:name="_Toc184314430"/>
      <w:bookmarkEnd w:id="360"/>
      <w:bookmarkStart w:id="361" w:name="_Toc184310317"/>
      <w:bookmarkEnd w:id="361"/>
      <w:bookmarkStart w:id="362" w:name="_Toc184310309"/>
      <w:bookmarkEnd w:id="362"/>
      <w:bookmarkStart w:id="363" w:name="_Toc184310322"/>
      <w:bookmarkEnd w:id="363"/>
      <w:bookmarkStart w:id="364" w:name="_Toc184314413"/>
      <w:bookmarkEnd w:id="364"/>
      <w:bookmarkStart w:id="365" w:name="_Toc184308055"/>
      <w:bookmarkEnd w:id="365"/>
      <w:bookmarkStart w:id="366" w:name="_Toc184310330"/>
      <w:bookmarkEnd w:id="366"/>
      <w:bookmarkStart w:id="367" w:name="_Toc184314477"/>
      <w:bookmarkEnd w:id="367"/>
      <w:bookmarkStart w:id="368" w:name="_Toc184313255"/>
      <w:bookmarkEnd w:id="368"/>
      <w:bookmarkStart w:id="369" w:name="_Toc184312075"/>
      <w:bookmarkEnd w:id="369"/>
      <w:bookmarkStart w:id="370" w:name="_Toc184308108"/>
      <w:bookmarkEnd w:id="370"/>
      <w:bookmarkStart w:id="371" w:name="_Toc184308107"/>
      <w:bookmarkEnd w:id="371"/>
      <w:bookmarkStart w:id="372" w:name="_Toc184313281"/>
      <w:bookmarkEnd w:id="372"/>
      <w:bookmarkStart w:id="373" w:name="_Toc184310328"/>
      <w:bookmarkEnd w:id="373"/>
      <w:bookmarkStart w:id="374" w:name="_Toc184308046"/>
      <w:bookmarkEnd w:id="374"/>
      <w:bookmarkStart w:id="375" w:name="_Toc184314441"/>
      <w:bookmarkEnd w:id="375"/>
      <w:bookmarkStart w:id="376" w:name="_Toc184312094"/>
      <w:bookmarkEnd w:id="376"/>
      <w:bookmarkStart w:id="377" w:name="_Toc184313259"/>
      <w:bookmarkEnd w:id="377"/>
      <w:bookmarkStart w:id="378" w:name="_Toc184310344"/>
      <w:bookmarkEnd w:id="378"/>
      <w:bookmarkStart w:id="379" w:name="_Toc184310307"/>
      <w:bookmarkEnd w:id="379"/>
      <w:bookmarkStart w:id="380" w:name="_Toc184308036"/>
      <w:bookmarkEnd w:id="380"/>
      <w:bookmarkStart w:id="381" w:name="_Toc184310296"/>
      <w:bookmarkEnd w:id="381"/>
      <w:bookmarkStart w:id="382" w:name="_Toc184308039"/>
      <w:bookmarkEnd w:id="382"/>
      <w:bookmarkStart w:id="383" w:name="_Toc184312102"/>
      <w:bookmarkEnd w:id="383"/>
      <w:bookmarkStart w:id="384" w:name="_Toc184312133"/>
      <w:bookmarkEnd w:id="384"/>
      <w:bookmarkStart w:id="385" w:name="_Toc184312118"/>
      <w:bookmarkEnd w:id="385"/>
      <w:bookmarkStart w:id="386" w:name="_Toc184308061"/>
      <w:bookmarkEnd w:id="386"/>
      <w:bookmarkStart w:id="387" w:name="_Toc184308089"/>
      <w:bookmarkEnd w:id="387"/>
      <w:bookmarkStart w:id="388" w:name="_Toc184310280"/>
      <w:bookmarkEnd w:id="388"/>
      <w:bookmarkStart w:id="389" w:name="_Toc184313249"/>
      <w:bookmarkEnd w:id="389"/>
      <w:bookmarkStart w:id="390" w:name="_Toc184313260"/>
      <w:bookmarkEnd w:id="390"/>
      <w:bookmarkStart w:id="391" w:name="_Toc184313243"/>
      <w:bookmarkEnd w:id="391"/>
      <w:bookmarkStart w:id="392" w:name="_Toc184308090"/>
      <w:bookmarkEnd w:id="392"/>
      <w:bookmarkStart w:id="393" w:name="_Toc184313253"/>
      <w:bookmarkEnd w:id="393"/>
      <w:bookmarkStart w:id="394" w:name="_Toc184310306"/>
      <w:bookmarkEnd w:id="394"/>
      <w:bookmarkStart w:id="395" w:name="_Toc184314462"/>
      <w:bookmarkEnd w:id="395"/>
      <w:bookmarkStart w:id="396" w:name="_Toc184313307"/>
      <w:bookmarkEnd w:id="396"/>
      <w:bookmarkStart w:id="397" w:name="_Toc184310325"/>
      <w:bookmarkEnd w:id="397"/>
      <w:bookmarkStart w:id="398" w:name="_Toc184314422"/>
      <w:bookmarkEnd w:id="398"/>
      <w:bookmarkStart w:id="399" w:name="_Toc184313251"/>
      <w:bookmarkEnd w:id="399"/>
      <w:bookmarkStart w:id="400" w:name="_Toc184310314"/>
      <w:bookmarkEnd w:id="400"/>
      <w:bookmarkStart w:id="401" w:name="_Toc184308084"/>
      <w:bookmarkEnd w:id="401"/>
      <w:bookmarkStart w:id="402" w:name="_Toc184308087"/>
      <w:bookmarkEnd w:id="402"/>
      <w:bookmarkStart w:id="403" w:name="_Toc184314457"/>
      <w:bookmarkEnd w:id="403"/>
      <w:bookmarkStart w:id="404" w:name="_Toc184314463"/>
      <w:bookmarkEnd w:id="404"/>
      <w:bookmarkStart w:id="405" w:name="_Toc184312067"/>
      <w:bookmarkEnd w:id="405"/>
      <w:bookmarkStart w:id="406" w:name="_Toc184310276"/>
      <w:bookmarkEnd w:id="406"/>
      <w:bookmarkStart w:id="407" w:name="_Toc184314438"/>
      <w:bookmarkEnd w:id="407"/>
      <w:bookmarkStart w:id="408" w:name="_Toc184312110"/>
      <w:bookmarkEnd w:id="408"/>
      <w:bookmarkStart w:id="409" w:name="_Toc184310343"/>
      <w:bookmarkEnd w:id="409"/>
      <w:bookmarkStart w:id="410" w:name="_Toc184313285"/>
      <w:bookmarkEnd w:id="410"/>
      <w:bookmarkStart w:id="411" w:name="_Toc184308071"/>
      <w:bookmarkEnd w:id="411"/>
      <w:bookmarkStart w:id="412" w:name="_Toc184314465"/>
      <w:bookmarkEnd w:id="412"/>
      <w:bookmarkStart w:id="413" w:name="_Toc184308072"/>
      <w:bookmarkEnd w:id="413"/>
      <w:bookmarkStart w:id="414" w:name="_Toc184312069"/>
      <w:bookmarkEnd w:id="414"/>
      <w:bookmarkStart w:id="415" w:name="_Toc184313274"/>
      <w:bookmarkEnd w:id="415"/>
      <w:bookmarkStart w:id="416" w:name="_Toc184312116"/>
      <w:bookmarkEnd w:id="416"/>
      <w:bookmarkStart w:id="417" w:name="_Toc184314481"/>
      <w:bookmarkEnd w:id="417"/>
      <w:bookmarkStart w:id="418" w:name="_Toc184312098"/>
      <w:bookmarkEnd w:id="418"/>
      <w:bookmarkStart w:id="419" w:name="_Toc184312082"/>
      <w:bookmarkEnd w:id="419"/>
      <w:bookmarkStart w:id="420" w:name="_Toc184312095"/>
      <w:bookmarkEnd w:id="420"/>
      <w:bookmarkStart w:id="421" w:name="_Toc184313239"/>
      <w:bookmarkEnd w:id="421"/>
      <w:bookmarkStart w:id="422" w:name="_Toc184310273"/>
      <w:bookmarkEnd w:id="422"/>
      <w:bookmarkStart w:id="423" w:name="_Toc184314452"/>
      <w:bookmarkEnd w:id="423"/>
      <w:bookmarkStart w:id="424" w:name="_Toc184314479"/>
      <w:bookmarkEnd w:id="424"/>
      <w:bookmarkStart w:id="425" w:name="第四部分"/>
      <w:r>
        <w:rPr>
          <w:rFonts w:hint="eastAsia"/>
          <w:b/>
          <w:sz w:val="36"/>
          <w:szCs w:val="20"/>
        </w:rPr>
        <w:t>评标办法及评分标准</w:t>
      </w:r>
      <w:bookmarkEnd w:id="59"/>
    </w:p>
    <w:p>
      <w:pPr>
        <w:spacing w:line="360" w:lineRule="auto"/>
        <w:jc w:val="center"/>
        <w:outlineLvl w:val="0"/>
        <w:rPr>
          <w:rFonts w:hint="eastAsia"/>
          <w:bCs/>
        </w:rPr>
      </w:pPr>
      <w:bookmarkStart w:id="426" w:name="_Toc1764"/>
      <w:bookmarkStart w:id="427" w:name="_Toc121294580"/>
      <w:r>
        <w:rPr>
          <w:rFonts w:hint="eastAsia"/>
          <w:b/>
          <w:sz w:val="36"/>
          <w:szCs w:val="20"/>
        </w:rPr>
        <w:t>第一章　评标办法</w:t>
      </w:r>
      <w:bookmarkEnd w:id="426"/>
      <w:bookmarkEnd w:id="427"/>
    </w:p>
    <w:p>
      <w:pPr>
        <w:spacing w:line="360" w:lineRule="auto"/>
        <w:ind w:firstLine="482" w:firstLineChars="200"/>
        <w:rPr>
          <w:rFonts w:hint="eastAsia"/>
          <w:b/>
          <w:bCs/>
          <w:sz w:val="24"/>
        </w:rPr>
      </w:pPr>
      <w:r>
        <w:rPr>
          <w:rFonts w:hint="eastAsia"/>
          <w:b/>
          <w:bCs/>
          <w:sz w:val="24"/>
        </w:rPr>
        <w:t>一、本次招标将按下列</w:t>
      </w:r>
      <w:r>
        <w:rPr>
          <w:rFonts w:hint="eastAsia"/>
          <w:b/>
          <w:bCs/>
          <w:color w:val="FF0000"/>
          <w:sz w:val="24"/>
        </w:rPr>
        <w:t>第</w:t>
      </w:r>
      <w:r>
        <w:rPr>
          <w:rFonts w:hint="eastAsia"/>
          <w:b/>
          <w:bCs/>
          <w:color w:val="FF0000"/>
          <w:sz w:val="24"/>
          <w:u w:val="single"/>
        </w:rPr>
        <w:t xml:space="preserve"> 1</w:t>
      </w:r>
      <w:r>
        <w:rPr>
          <w:b/>
          <w:bCs/>
          <w:color w:val="FF0000"/>
          <w:sz w:val="24"/>
          <w:u w:val="single"/>
        </w:rPr>
        <w:t xml:space="preserve"> </w:t>
      </w:r>
      <w:r>
        <w:rPr>
          <w:rFonts w:hint="eastAsia"/>
          <w:b/>
          <w:bCs/>
          <w:color w:val="FF0000"/>
          <w:sz w:val="24"/>
        </w:rPr>
        <w:t>种</w:t>
      </w:r>
      <w:r>
        <w:rPr>
          <w:rFonts w:hint="eastAsia"/>
          <w:b/>
          <w:bCs/>
          <w:sz w:val="24"/>
        </w:rPr>
        <w:t>评标办法进行评标：</w:t>
      </w:r>
    </w:p>
    <w:p>
      <w:pPr>
        <w:spacing w:line="360" w:lineRule="auto"/>
        <w:ind w:firstLine="480" w:firstLineChars="200"/>
        <w:rPr>
          <w:rFonts w:hint="eastAsia"/>
          <w:sz w:val="24"/>
        </w:rPr>
      </w:pPr>
      <w:r>
        <w:rPr>
          <w:rFonts w:hint="eastAsia"/>
          <w:sz w:val="24"/>
        </w:rPr>
        <w:t>1、综合评分法。即在最大限度地满足招标文件实质性要求的前提下，按照《评分标准》规定的评分因素对各投标人的投标文件进行综合评审，以技术分、资信分、商务分总得分最高的投标人作为中标候选人。如最高总得分相同的，以报价低者作为中标候选人。如最高总得分且报价相同的，以技术指标优者作为中标候选人；无法确定技术指标优劣的，则抽签确定中标候选人。</w:t>
      </w:r>
    </w:p>
    <w:p>
      <w:pPr>
        <w:spacing w:line="360" w:lineRule="auto"/>
        <w:ind w:firstLine="482" w:firstLineChars="200"/>
        <w:rPr>
          <w:rFonts w:hint="eastAsia"/>
          <w:b/>
          <w:bCs/>
          <w:sz w:val="24"/>
        </w:rPr>
      </w:pPr>
      <w:r>
        <w:rPr>
          <w:rFonts w:hint="eastAsia"/>
          <w:b/>
          <w:bCs/>
          <w:sz w:val="24"/>
        </w:rPr>
        <w:t>二、本次评标将在通过资格性和符合性审查的合格投标人中，按下列规定确定入围投标人，并进行商务标评标(其他投标人则不开启商务标)：</w:t>
      </w:r>
    </w:p>
    <w:p>
      <w:pPr>
        <w:spacing w:line="360" w:lineRule="auto"/>
        <w:ind w:firstLine="480" w:firstLineChars="200"/>
        <w:rPr>
          <w:rFonts w:hint="eastAsia"/>
          <w:sz w:val="24"/>
        </w:rPr>
      </w:pPr>
      <w:r>
        <w:rPr>
          <w:rFonts w:hint="eastAsia"/>
          <w:sz w:val="24"/>
        </w:rPr>
        <w:t>1、合格者入围法:除被拒绝投标或被取消投标资格的投标人外，其他合格的投标人均入围。</w:t>
      </w:r>
    </w:p>
    <w:p>
      <w:pPr>
        <w:spacing w:line="360" w:lineRule="auto"/>
        <w:ind w:firstLine="480" w:firstLineChars="200"/>
        <w:rPr>
          <w:rFonts w:hint="eastAsia"/>
          <w:sz w:val="24"/>
        </w:rPr>
      </w:pPr>
      <w:r>
        <w:rPr>
          <w:rFonts w:hint="eastAsia"/>
          <w:sz w:val="24"/>
        </w:rPr>
        <w:t>本次评标采用百分制计分，计算时四舍五入保留到小数点后两位</w:t>
      </w:r>
    </w:p>
    <w:p>
      <w:pPr>
        <w:spacing w:line="360" w:lineRule="auto"/>
        <w:ind w:firstLine="482" w:firstLineChars="200"/>
        <w:rPr>
          <w:rFonts w:hint="eastAsia"/>
          <w:b/>
          <w:bCs/>
          <w:sz w:val="24"/>
        </w:rPr>
      </w:pPr>
      <w:r>
        <w:rPr>
          <w:rFonts w:hint="eastAsia"/>
          <w:b/>
          <w:bCs/>
          <w:sz w:val="24"/>
        </w:rPr>
        <w:t>3、核心产品界定</w:t>
      </w:r>
    </w:p>
    <w:p>
      <w:pPr>
        <w:spacing w:line="360" w:lineRule="auto"/>
        <w:ind w:firstLine="482" w:firstLineChars="200"/>
        <w:rPr>
          <w:rFonts w:hint="eastAsia"/>
          <w:b/>
          <w:bCs/>
          <w:sz w:val="24"/>
        </w:rPr>
      </w:pPr>
      <w:r>
        <w:rPr>
          <w:rFonts w:hint="eastAsia"/>
          <w:b/>
          <w:bCs/>
          <w:sz w:val="24"/>
        </w:rPr>
        <w:t>3.1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spacing w:line="360" w:lineRule="auto"/>
        <w:ind w:firstLine="482" w:firstLineChars="200"/>
        <w:rPr>
          <w:rFonts w:hint="eastAsia"/>
          <w:b/>
          <w:bCs/>
          <w:sz w:val="24"/>
        </w:rPr>
      </w:pPr>
      <w:r>
        <w:rPr>
          <w:rFonts w:hint="eastAsia"/>
          <w:b/>
          <w:bCs/>
          <w:sz w:val="24"/>
        </w:rPr>
        <w:t>3.2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360" w:lineRule="auto"/>
        <w:ind w:firstLine="482" w:firstLineChars="200"/>
        <w:rPr>
          <w:rFonts w:hint="eastAsia"/>
          <w:b/>
          <w:bCs/>
          <w:sz w:val="24"/>
        </w:rPr>
      </w:pPr>
      <w:r>
        <w:rPr>
          <w:rFonts w:hint="eastAsia"/>
          <w:b/>
          <w:bCs/>
          <w:sz w:val="24"/>
        </w:rPr>
        <w:t>3.3非单一产品采购项目，采购人应当根据采购项目技术构成、产品价格比重等合理确定核心产品，并在招标文件中载明。多家投标人提供的核心产品品牌相同的，按前两款规定处理。</w:t>
      </w:r>
    </w:p>
    <w:p>
      <w:pPr>
        <w:spacing w:line="312" w:lineRule="auto"/>
        <w:ind w:firstLine="482" w:firstLineChars="200"/>
        <w:rPr>
          <w:rFonts w:hint="eastAsia"/>
          <w:b/>
          <w:bCs/>
          <w:sz w:val="24"/>
        </w:rPr>
      </w:pPr>
      <w:r>
        <w:rPr>
          <w:rFonts w:hint="eastAsia"/>
          <w:b/>
          <w:bCs/>
          <w:sz w:val="24"/>
        </w:rPr>
        <w:t>本次招标的核心产品是</w:t>
      </w:r>
      <w:r>
        <w:rPr>
          <w:rFonts w:hint="eastAsia"/>
          <w:b/>
          <w:bCs/>
          <w:sz w:val="24"/>
          <w:u w:val="single"/>
        </w:rPr>
        <w:t xml:space="preserve">　 </w:t>
      </w:r>
      <w:r>
        <w:rPr>
          <w:rFonts w:hint="eastAsia"/>
          <w:b/>
          <w:bCs/>
          <w:color w:val="000000"/>
          <w:sz w:val="24"/>
          <w:u w:val="single"/>
        </w:rPr>
        <w:t xml:space="preserve"> **专用APN链路 </w:t>
      </w:r>
      <w:r>
        <w:rPr>
          <w:rFonts w:hint="eastAsia"/>
          <w:b/>
          <w:bCs/>
          <w:sz w:val="24"/>
          <w:u w:val="single"/>
        </w:rPr>
        <w:t xml:space="preserve">  </w:t>
      </w:r>
      <w:r>
        <w:rPr>
          <w:rFonts w:hint="eastAsia"/>
          <w:b/>
          <w:bCs/>
          <w:sz w:val="24"/>
        </w:rPr>
        <w:t>共</w:t>
      </w:r>
      <w:r>
        <w:rPr>
          <w:rFonts w:hint="eastAsia"/>
          <w:b/>
          <w:bCs/>
          <w:sz w:val="24"/>
          <w:u w:val="single"/>
        </w:rPr>
        <w:t>　1　</w:t>
      </w:r>
      <w:r>
        <w:rPr>
          <w:rFonts w:hint="eastAsia"/>
          <w:b/>
          <w:bCs/>
          <w:sz w:val="24"/>
        </w:rPr>
        <w:t xml:space="preserve">种； </w:t>
      </w:r>
    </w:p>
    <w:p>
      <w:pPr>
        <w:spacing w:line="360" w:lineRule="auto"/>
        <w:jc w:val="center"/>
        <w:outlineLvl w:val="0"/>
        <w:rPr>
          <w:rFonts w:hint="eastAsia"/>
          <w:b/>
          <w:sz w:val="36"/>
          <w:szCs w:val="20"/>
        </w:rPr>
      </w:pPr>
      <w:r>
        <w:rPr>
          <w:rFonts w:hint="eastAsia"/>
          <w:b/>
          <w:sz w:val="36"/>
          <w:szCs w:val="20"/>
        </w:rPr>
        <w:t>第二章　评分标准</w:t>
      </w:r>
    </w:p>
    <w:p>
      <w:pPr>
        <w:spacing w:line="312" w:lineRule="auto"/>
        <w:ind w:firstLine="482" w:firstLineChars="200"/>
        <w:rPr>
          <w:rFonts w:hint="eastAsia"/>
          <w:b/>
          <w:bCs/>
          <w:sz w:val="24"/>
        </w:rPr>
      </w:pPr>
      <w:r>
        <w:rPr>
          <w:rFonts w:hint="eastAsia"/>
          <w:b/>
          <w:bCs/>
          <w:sz w:val="24"/>
        </w:rPr>
        <w:t>一、报价文件评分标准（</w:t>
      </w:r>
      <w:r>
        <w:rPr>
          <w:b/>
          <w:bCs/>
          <w:sz w:val="24"/>
        </w:rPr>
        <w:t>4</w:t>
      </w:r>
      <w:r>
        <w:rPr>
          <w:rFonts w:hint="eastAsia"/>
          <w:b/>
          <w:bCs/>
          <w:sz w:val="24"/>
        </w:rPr>
        <w:t>0分）</w:t>
      </w:r>
    </w:p>
    <w:p>
      <w:pPr>
        <w:spacing w:line="312" w:lineRule="auto"/>
        <w:ind w:firstLine="480" w:firstLineChars="200"/>
        <w:rPr>
          <w:rFonts w:hint="eastAsia"/>
          <w:sz w:val="24"/>
        </w:rPr>
      </w:pPr>
      <w:r>
        <w:rPr>
          <w:rFonts w:hint="eastAsia"/>
          <w:sz w:val="24"/>
        </w:rPr>
        <w:t>报价文件主要是对投标人的有效报价进行评议，其评分标准及分值设置规则如下：</w:t>
      </w:r>
    </w:p>
    <w:p>
      <w:pPr>
        <w:spacing w:line="312" w:lineRule="auto"/>
        <w:ind w:firstLine="480" w:firstLineChars="200"/>
        <w:rPr>
          <w:rFonts w:hint="eastAsia"/>
          <w:sz w:val="24"/>
        </w:rPr>
      </w:pPr>
      <w:r>
        <w:rPr>
          <w:rFonts w:hint="eastAsia"/>
          <w:sz w:val="24"/>
        </w:rPr>
        <w:t>1、本次招标最高限价规定如下：</w:t>
      </w:r>
    </w:p>
    <w:p>
      <w:pPr>
        <w:spacing w:line="312" w:lineRule="auto"/>
        <w:ind w:firstLine="480" w:firstLineChars="200"/>
        <w:rPr>
          <w:rFonts w:hint="eastAsia"/>
          <w:b/>
          <w:sz w:val="24"/>
        </w:rPr>
      </w:pPr>
      <w:r>
        <w:rPr>
          <w:rFonts w:hint="eastAsia"/>
          <w:sz w:val="24"/>
        </w:rPr>
        <w:t>投标报价的最高限价</w:t>
      </w:r>
      <w:r>
        <w:rPr>
          <w:rFonts w:hint="eastAsia"/>
          <w:b/>
          <w:sz w:val="24"/>
        </w:rPr>
        <w:t>为人民币</w:t>
      </w:r>
      <w:r>
        <w:rPr>
          <w:b/>
          <w:sz w:val="24"/>
          <w:u w:val="single"/>
        </w:rPr>
        <w:fldChar w:fldCharType="begin"/>
      </w:r>
      <w:r>
        <w:rPr>
          <w:b/>
          <w:sz w:val="24"/>
          <w:u w:val="single"/>
        </w:rPr>
        <w:instrText xml:space="preserve"> </w:instrText>
      </w:r>
      <w:r>
        <w:rPr>
          <w:rFonts w:hint="eastAsia"/>
          <w:b/>
          <w:sz w:val="24"/>
          <w:u w:val="single"/>
        </w:rPr>
        <w:instrText xml:space="preserve">= 5500000 \* CHINESENUM2</w:instrText>
      </w:r>
      <w:r>
        <w:rPr>
          <w:b/>
          <w:sz w:val="24"/>
          <w:u w:val="single"/>
        </w:rPr>
        <w:instrText xml:space="preserve"> </w:instrText>
      </w:r>
      <w:r>
        <w:rPr>
          <w:b/>
          <w:sz w:val="24"/>
          <w:u w:val="single"/>
        </w:rPr>
        <w:fldChar w:fldCharType="separate"/>
      </w:r>
      <w:r>
        <w:rPr>
          <w:rFonts w:hint="eastAsia"/>
          <w:b/>
          <w:sz w:val="24"/>
          <w:u w:val="single"/>
        </w:rPr>
        <w:t>陆佰</w:t>
      </w:r>
      <w:r>
        <w:rPr>
          <w:rFonts w:hint="eastAsia"/>
          <w:b/>
          <w:sz w:val="24"/>
          <w:u w:val="single"/>
          <w:lang/>
        </w:rPr>
        <w:t>万</w:t>
      </w:r>
      <w:r>
        <w:rPr>
          <w:b/>
          <w:sz w:val="24"/>
          <w:u w:val="single"/>
        </w:rPr>
        <w:fldChar w:fldCharType="end"/>
      </w:r>
      <w:r>
        <w:rPr>
          <w:rFonts w:hint="eastAsia"/>
          <w:b/>
          <w:sz w:val="24"/>
        </w:rPr>
        <w:fldChar w:fldCharType="begin"/>
      </w:r>
      <w:r>
        <w:rPr>
          <w:rFonts w:hint="eastAsia"/>
          <w:b/>
          <w:sz w:val="24"/>
        </w:rPr>
        <w:instrText xml:space="preserve"> = 1750000 \* CHINESENUM4 \* MERGEFORMAT </w:instrText>
      </w:r>
      <w:r>
        <w:rPr>
          <w:rFonts w:hint="eastAsia"/>
          <w:b/>
          <w:sz w:val="24"/>
        </w:rPr>
        <w:fldChar w:fldCharType="separate"/>
      </w:r>
      <w:r>
        <w:rPr>
          <w:rFonts w:hint="eastAsia"/>
          <w:b/>
          <w:sz w:val="24"/>
        </w:rPr>
        <w:t>元整</w:t>
      </w:r>
      <w:r>
        <w:rPr>
          <w:rFonts w:hint="eastAsia"/>
          <w:b/>
          <w:sz w:val="24"/>
        </w:rPr>
        <w:fldChar w:fldCharType="end"/>
      </w:r>
      <w:r>
        <w:rPr>
          <w:rFonts w:hint="eastAsia"/>
          <w:b/>
          <w:sz w:val="24"/>
        </w:rPr>
        <w:t>（小写</w:t>
      </w:r>
      <w:r>
        <w:rPr>
          <w:rFonts w:hint="eastAsia"/>
          <w:b/>
          <w:sz w:val="24"/>
          <w:u w:val="single"/>
        </w:rPr>
        <w:t>6000000.</w:t>
      </w:r>
      <w:r>
        <w:rPr>
          <w:b/>
          <w:sz w:val="24"/>
          <w:u w:val="single"/>
        </w:rPr>
        <w:t>00</w:t>
      </w:r>
      <w:r>
        <w:rPr>
          <w:rFonts w:hint="eastAsia"/>
          <w:b/>
          <w:sz w:val="24"/>
          <w:u w:val="single"/>
        </w:rPr>
        <w:t xml:space="preserve"> </w:t>
      </w:r>
      <w:r>
        <w:rPr>
          <w:rFonts w:hint="eastAsia"/>
          <w:b/>
          <w:sz w:val="24"/>
        </w:rPr>
        <w:t>元）。</w:t>
      </w:r>
    </w:p>
    <w:p>
      <w:pPr>
        <w:spacing w:line="312" w:lineRule="auto"/>
        <w:ind w:firstLine="482" w:firstLineChars="200"/>
        <w:jc w:val="left"/>
        <w:rPr>
          <w:rFonts w:hint="eastAsia"/>
          <w:b/>
          <w:sz w:val="24"/>
        </w:rPr>
      </w:pPr>
      <w:r>
        <w:rPr>
          <w:rFonts w:hint="eastAsia"/>
          <w:b/>
          <w:sz w:val="24"/>
        </w:rPr>
        <w:t>最高限价由采购人根据市场价格的调查设定，并且不高于本项目财政预算。</w:t>
      </w:r>
    </w:p>
    <w:p>
      <w:pPr>
        <w:spacing w:line="312" w:lineRule="auto"/>
        <w:ind w:firstLine="480" w:firstLineChars="200"/>
        <w:rPr>
          <w:rFonts w:hint="eastAsia"/>
          <w:sz w:val="24"/>
        </w:rPr>
      </w:pPr>
      <w:r>
        <w:rPr>
          <w:rFonts w:hint="eastAsia"/>
          <w:sz w:val="24"/>
        </w:rPr>
        <w:t>2、投标人的报价在最高限价内的，为有效报价。</w:t>
      </w:r>
    </w:p>
    <w:p>
      <w:pPr>
        <w:spacing w:line="312" w:lineRule="auto"/>
        <w:ind w:firstLine="480" w:firstLineChars="200"/>
        <w:rPr>
          <w:rFonts w:hint="eastAsia"/>
          <w:sz w:val="24"/>
        </w:rPr>
      </w:pPr>
      <w:r>
        <w:rPr>
          <w:rFonts w:hint="eastAsia"/>
          <w:sz w:val="24"/>
        </w:rPr>
        <w:t>3、本次评标设有最佳报价。最佳报价确定方式：根据所有入围投标人有效报价中的最低报价作为最佳报价。</w:t>
      </w:r>
    </w:p>
    <w:p>
      <w:pPr>
        <w:spacing w:line="312" w:lineRule="auto"/>
        <w:ind w:firstLine="480" w:firstLineChars="200"/>
        <w:rPr>
          <w:rFonts w:hint="eastAsia"/>
          <w:sz w:val="24"/>
        </w:rPr>
      </w:pPr>
      <w:r>
        <w:rPr>
          <w:rFonts w:hint="eastAsia"/>
          <w:sz w:val="24"/>
        </w:rPr>
        <w:t>4、最佳报价者的报价分为满分，其他投标人的有效报价与最佳报价相比，按下列方法计算其报价分：</w:t>
      </w:r>
    </w:p>
    <w:p>
      <w:pPr>
        <w:spacing w:line="312" w:lineRule="auto"/>
        <w:ind w:firstLine="480" w:firstLineChars="200"/>
        <w:rPr>
          <w:rFonts w:hint="eastAsia"/>
          <w:sz w:val="24"/>
        </w:rPr>
      </w:pPr>
      <w:r>
        <w:rPr>
          <w:rFonts w:hint="eastAsia"/>
          <w:sz w:val="24"/>
        </w:rPr>
        <w:t>投标价格分=(最佳报价/投标报价)*价格权值*100。</w:t>
      </w:r>
    </w:p>
    <w:p>
      <w:pPr>
        <w:spacing w:line="312" w:lineRule="auto"/>
        <w:ind w:firstLine="480" w:firstLineChars="200"/>
        <w:rPr>
          <w:rFonts w:hint="eastAsia"/>
          <w:sz w:val="24"/>
        </w:rPr>
      </w:pPr>
      <w:r>
        <w:rPr>
          <w:rFonts w:hint="eastAsia"/>
          <w:sz w:val="24"/>
        </w:rPr>
        <w:t>5、当投标（开标）一览表与投标报价明细表报价不一致时，以投标（开标）一览表为准，报价明细表报价予以修正并由授权代表签字确认，拒绝修正或确认的，则做无效标处理。</w:t>
      </w:r>
    </w:p>
    <w:p>
      <w:pPr>
        <w:spacing w:line="312" w:lineRule="auto"/>
        <w:ind w:firstLine="480" w:firstLineChars="200"/>
        <w:rPr>
          <w:rFonts w:hint="eastAsia"/>
          <w:sz w:val="24"/>
        </w:rPr>
      </w:pPr>
      <w:r>
        <w:rPr>
          <w:rFonts w:hint="eastAsia"/>
          <w:sz w:val="24"/>
        </w:rPr>
        <w:t>6、投标文件只允许有一个报价，投标报价应按招标文件中相关附表格式填报，该投标报价应与明细报价汇总相等，且不允许出现报价优惠、赠送等字样（明细出现“0”元，视同赠送）,如出现则做</w:t>
      </w:r>
      <w:r>
        <w:rPr>
          <w:rFonts w:hint="eastAsia"/>
          <w:b/>
          <w:bCs/>
          <w:sz w:val="24"/>
        </w:rPr>
        <w:t>无效投标</w:t>
      </w:r>
      <w:r>
        <w:rPr>
          <w:rFonts w:hint="eastAsia"/>
          <w:sz w:val="24"/>
        </w:rPr>
        <w:t>处理。</w:t>
      </w:r>
    </w:p>
    <w:p>
      <w:pPr>
        <w:autoSpaceDE w:val="0"/>
        <w:autoSpaceDN w:val="0"/>
        <w:spacing w:line="312" w:lineRule="auto"/>
        <w:ind w:firstLine="482"/>
        <w:rPr>
          <w:rFonts w:hint="eastAsia" w:cs="仿宋_GB2312"/>
          <w:sz w:val="24"/>
        </w:rPr>
      </w:pPr>
      <w:r>
        <w:rPr>
          <w:rFonts w:hint="eastAsia"/>
          <w:sz w:val="24"/>
        </w:rPr>
        <w:t>7、</w:t>
      </w:r>
      <w:r>
        <w:rPr>
          <w:rFonts w:hint="eastAsia" w:cs="仿宋_GB2312"/>
          <w:b/>
          <w:sz w:val="24"/>
        </w:rPr>
        <w:t>投标价格的合理性</w:t>
      </w:r>
      <w:r>
        <w:rPr>
          <w:rFonts w:hint="eastAsia" w:cs="仿宋_GB2312"/>
          <w:sz w:val="24"/>
        </w:rPr>
        <w:t>：</w:t>
      </w:r>
      <w:r>
        <w:rPr>
          <w:rFonts w:ascii="Arial" w:hAnsi="Arial" w:cs="Arial"/>
          <w:sz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auto"/>
        <w:ind w:firstLine="480" w:firstLineChars="200"/>
        <w:rPr>
          <w:rFonts w:hint="eastAsia" w:cs="Times New Roman"/>
          <w:kern w:val="2"/>
          <w:sz w:val="24"/>
        </w:rPr>
      </w:pPr>
      <w:r>
        <w:rPr>
          <w:rFonts w:hint="eastAsia"/>
          <w:sz w:val="24"/>
        </w:rPr>
        <w:t xml:space="preserve">8、价格扣除： </w:t>
      </w:r>
      <w:r>
        <w:rPr>
          <w:rFonts w:hint="eastAsia" w:cs="Times New Roman"/>
          <w:kern w:val="2"/>
          <w:sz w:val="24"/>
        </w:rPr>
        <w:t>根据工信部等部委发布的《关于印发中小企业划型标准规定的通知》（工信部联企业〔2011〕300号），根据具体品目确定相应标准。符合上述条件的中小微型企业应按照招标文件的格式要求提供《中小企业声明函》及其相关的充分的证明材料。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firstLine="480" w:firstLineChars="200"/>
        <w:rPr>
          <w:kern w:val="2"/>
          <w:sz w:val="24"/>
          <w:szCs w:val="24"/>
        </w:rPr>
      </w:pPr>
      <w:r>
        <w:rPr>
          <w:rFonts w:hint="eastAsia"/>
          <w:kern w:val="2"/>
          <w:sz w:val="24"/>
          <w:szCs w:val="24"/>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微企业报价按10%-20%给予扣除，用扣除后的价格参加评审；对于联合协议或者分包意向协议约定小微企业的合同份额占到合同总金额30%以上的，采购单位、采购代理机构应结合项目实际，对联合体或者大中型企业的报价按4%—6%给予扣除，用扣除后的价格参加评审。（中标价及合同价仍以其投标报价为准）</w:t>
      </w:r>
    </w:p>
    <w:p>
      <w:pPr>
        <w:spacing w:line="312" w:lineRule="auto"/>
        <w:ind w:firstLine="480" w:firstLineChars="200"/>
        <w:rPr>
          <w:rFonts w:hint="eastAsia"/>
          <w:sz w:val="24"/>
        </w:rPr>
      </w:pPr>
      <w:r>
        <w:rPr>
          <w:rFonts w:hint="eastAsia" w:cs="Times New Roman"/>
          <w:kern w:val="2"/>
          <w:sz w:val="24"/>
        </w:rPr>
        <w:t>组成联合体或者接受分包的小微企业与联合体内其他企业、分包企业之间存在直接控股、管理关系的，不享受价格扣除优惠政策。联合体各方均为小型、微型企业的，联合体视同为小型、微型企业。</w:t>
      </w:r>
    </w:p>
    <w:p>
      <w:pPr>
        <w:spacing w:line="360" w:lineRule="auto"/>
        <w:ind w:firstLine="482" w:firstLineChars="200"/>
        <w:rPr>
          <w:rFonts w:hint="eastAsia"/>
          <w:b/>
          <w:bCs/>
          <w:sz w:val="24"/>
        </w:rPr>
      </w:pPr>
      <w:r>
        <w:rPr>
          <w:rFonts w:hint="eastAsia"/>
          <w:b/>
          <w:bCs/>
          <w:sz w:val="24"/>
        </w:rPr>
        <w:t>二、商务技术文件评标内容及标准（60分）</w:t>
      </w:r>
    </w:p>
    <w:p>
      <w:pPr>
        <w:spacing w:line="360" w:lineRule="auto"/>
        <w:ind w:firstLine="482" w:firstLineChars="200"/>
        <w:rPr>
          <w:rFonts w:hint="eastAsia"/>
          <w:b/>
          <w:bCs/>
          <w:sz w:val="24"/>
        </w:rPr>
      </w:pPr>
      <w:r>
        <w:rPr>
          <w:rFonts w:hint="eastAsia"/>
          <w:b/>
          <w:bCs/>
          <w:sz w:val="24"/>
        </w:rPr>
        <w:t>1、评分细则</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
        <w:gridCol w:w="1086"/>
        <w:gridCol w:w="5750"/>
        <w:gridCol w:w="10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19" w:hRule="atLeast"/>
          <w:jc w:val="center"/>
        </w:trPr>
        <w:tc>
          <w:tcPr>
            <w:tcW w:w="1974" w:type="dxa"/>
            <w:gridSpan w:val="2"/>
            <w:tcBorders>
              <w:top w:val="single" w:color="auto" w:sz="4" w:space="0"/>
              <w:left w:val="single" w:color="auto" w:sz="4" w:space="0"/>
              <w:bottom w:val="single" w:color="auto" w:sz="4" w:space="0"/>
              <w:right w:val="single" w:color="auto" w:sz="4" w:space="0"/>
            </w:tcBorders>
            <w:noWrap w:val="0"/>
            <w:vAlign w:val="center"/>
          </w:tcPr>
          <w:p>
            <w:pPr>
              <w:adjustRightInd w:val="0"/>
              <w:spacing w:before="156" w:beforeLines="50" w:line="360" w:lineRule="auto"/>
              <w:jc w:val="center"/>
              <w:rPr>
                <w:rFonts w:hint="eastAsia"/>
                <w:color w:val="000000"/>
                <w:sz w:val="21"/>
              </w:rPr>
            </w:pPr>
            <w:r>
              <w:rPr>
                <w:rFonts w:hint="eastAsia"/>
                <w:color w:val="000000"/>
                <w:sz w:val="21"/>
              </w:rPr>
              <w:t>评分项目</w:t>
            </w:r>
          </w:p>
        </w:tc>
        <w:tc>
          <w:tcPr>
            <w:tcW w:w="5750" w:type="dxa"/>
            <w:tcBorders>
              <w:top w:val="single" w:color="auto" w:sz="4" w:space="0"/>
              <w:left w:val="single" w:color="auto" w:sz="4" w:space="0"/>
              <w:bottom w:val="single" w:color="auto" w:sz="4" w:space="0"/>
              <w:right w:val="single" w:color="auto" w:sz="4" w:space="0"/>
            </w:tcBorders>
            <w:noWrap w:val="0"/>
            <w:vAlign w:val="center"/>
          </w:tcPr>
          <w:p>
            <w:pPr>
              <w:adjustRightInd w:val="0"/>
              <w:spacing w:before="156" w:beforeLines="50" w:line="360" w:lineRule="auto"/>
              <w:jc w:val="center"/>
              <w:rPr>
                <w:rFonts w:hint="eastAsia"/>
                <w:color w:val="000000"/>
                <w:sz w:val="21"/>
              </w:rPr>
            </w:pPr>
            <w:r>
              <w:rPr>
                <w:rFonts w:hint="eastAsia"/>
                <w:color w:val="000000"/>
                <w:sz w:val="21"/>
              </w:rPr>
              <w:t>评标要点及说明</w:t>
            </w:r>
          </w:p>
        </w:tc>
        <w:tc>
          <w:tcPr>
            <w:tcW w:w="1003" w:type="dxa"/>
            <w:tcBorders>
              <w:top w:val="single" w:color="auto" w:sz="4" w:space="0"/>
              <w:left w:val="single" w:color="auto" w:sz="4" w:space="0"/>
              <w:bottom w:val="single" w:color="auto" w:sz="4" w:space="0"/>
              <w:right w:val="single" w:color="auto" w:sz="4" w:space="0"/>
            </w:tcBorders>
            <w:noWrap w:val="0"/>
            <w:vAlign w:val="center"/>
          </w:tcPr>
          <w:p>
            <w:pPr>
              <w:adjustRightInd w:val="0"/>
              <w:spacing w:before="156" w:beforeLines="50" w:line="360" w:lineRule="auto"/>
              <w:jc w:val="center"/>
              <w:rPr>
                <w:rFonts w:hint="eastAsia"/>
                <w:color w:val="000000"/>
                <w:sz w:val="21"/>
              </w:rPr>
            </w:pPr>
            <w:r>
              <w:rPr>
                <w:rFonts w:hint="eastAsia"/>
                <w:color w:val="000000"/>
                <w:sz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61" w:hRule="atLeast"/>
          <w:jc w:val="center"/>
        </w:trPr>
        <w:tc>
          <w:tcPr>
            <w:tcW w:w="1974" w:type="dxa"/>
            <w:gridSpan w:val="2"/>
            <w:vMerge w:val="restart"/>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技术参数</w:t>
            </w:r>
          </w:p>
          <w:p>
            <w:pPr>
              <w:spacing w:line="360" w:lineRule="auto"/>
              <w:jc w:val="center"/>
              <w:rPr>
                <w:rFonts w:hint="eastAsia"/>
                <w:color w:val="000000"/>
                <w:sz w:val="21"/>
              </w:rPr>
            </w:pPr>
            <w:r>
              <w:rPr>
                <w:rFonts w:hint="eastAsia"/>
                <w:color w:val="000000"/>
                <w:sz w:val="21"/>
              </w:rPr>
              <w:t>（40）</w:t>
            </w:r>
          </w:p>
        </w:tc>
        <w:tc>
          <w:tcPr>
            <w:tcW w:w="5750" w:type="dxa"/>
            <w:tcBorders>
              <w:top w:val="single" w:color="auto" w:sz="4" w:space="0"/>
              <w:left w:val="single" w:color="auto" w:sz="4" w:space="0"/>
              <w:bottom w:val="single" w:color="auto" w:sz="4" w:space="0"/>
              <w:right w:val="single" w:color="auto" w:sz="4" w:space="0"/>
            </w:tcBorders>
            <w:noWrap w:val="0"/>
            <w:vAlign w:val="center"/>
          </w:tcPr>
          <w:p>
            <w:pPr>
              <w:spacing w:line="264" w:lineRule="auto"/>
              <w:ind w:firstLine="420" w:firstLineChars="200"/>
              <w:jc w:val="left"/>
              <w:rPr>
                <w:color w:val="000000"/>
                <w:sz w:val="21"/>
              </w:rPr>
            </w:pPr>
            <w:r>
              <w:rPr>
                <w:rFonts w:hint="eastAsia"/>
                <w:color w:val="000000"/>
                <w:sz w:val="21"/>
              </w:rPr>
              <w:t>技术指标：投标软、硬件产品的功能、性能与需求的吻合程度；根据招标文件硬软件详细参数和要求，投标产品的基本功能、技术指标与需求的吻合程度和偏差情况（包括所投标软硬件产品的品牌、规格型号、详细配置、主要技术参数、随机软件等），</w:t>
            </w:r>
            <w:r>
              <w:rPr>
                <w:rFonts w:hint="eastAsia" w:ascii="Times New Roman" w:hAnsi="Times New Roman" w:cs="Times New Roman"/>
                <w:color w:val="000000"/>
                <w:kern w:val="2"/>
                <w:sz w:val="21"/>
                <w:szCs w:val="24"/>
              </w:rPr>
              <w:t>完全满足招标文件技术参数配置要求得30分</w:t>
            </w:r>
            <w:r>
              <w:rPr>
                <w:rFonts w:hint="eastAsia"/>
                <w:color w:val="000000"/>
                <w:sz w:val="21"/>
              </w:rPr>
              <w:t xml:space="preserve">； </w:t>
            </w:r>
            <w:r>
              <w:rPr>
                <w:rFonts w:hint="eastAsia" w:ascii="Times New Roman" w:hAnsi="Times New Roman" w:cs="Times New Roman"/>
                <w:color w:val="000000"/>
                <w:kern w:val="2"/>
                <w:sz w:val="21"/>
                <w:szCs w:val="24"/>
              </w:rPr>
              <w:t>技术指标含“▲”为重要性指标为5项，每满足一项得6分，最高得30分。</w:t>
            </w:r>
          </w:p>
          <w:p>
            <w:pPr>
              <w:spacing w:line="264" w:lineRule="auto"/>
              <w:ind w:firstLine="420" w:firstLineChars="200"/>
              <w:jc w:val="left"/>
              <w:rPr>
                <w:rFonts w:hint="eastAsia"/>
                <w:color w:val="000000"/>
                <w:sz w:val="21"/>
              </w:rPr>
            </w:pPr>
            <w:r>
              <w:rPr>
                <w:rFonts w:hint="eastAsia"/>
                <w:color w:val="000000"/>
                <w:sz w:val="21"/>
              </w:rPr>
              <w:t xml:space="preserve">（注：技术要求及参数需在技术偏离表中按“规格参数要求”顺序逐条列出，关键性指标与重要性指标必须提供要求的相关佐证材料，偏离表内响应内容为空头或仅拷贝黏贴响应均不得分。）   </w:t>
            </w:r>
          </w:p>
        </w:tc>
        <w:tc>
          <w:tcPr>
            <w:tcW w:w="100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16" w:hRule="atLeast"/>
          <w:jc w:val="center"/>
        </w:trPr>
        <w:tc>
          <w:tcPr>
            <w:tcW w:w="1974" w:type="dxa"/>
            <w:gridSpan w:val="2"/>
            <w:vMerge w:val="continue"/>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p>
        </w:tc>
        <w:tc>
          <w:tcPr>
            <w:tcW w:w="575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20" w:firstLineChars="200"/>
              <w:jc w:val="left"/>
              <w:rPr>
                <w:rFonts w:hint="eastAsia"/>
                <w:color w:val="000000"/>
                <w:sz w:val="21"/>
              </w:rPr>
            </w:pPr>
            <w:r>
              <w:rPr>
                <w:rFonts w:hint="eastAsia"/>
                <w:color w:val="000000"/>
                <w:sz w:val="21"/>
              </w:rPr>
              <w:t>非关键性技术参数完全满足招标文件技术参数配置要求得10分；</w:t>
            </w:r>
          </w:p>
          <w:p>
            <w:pPr>
              <w:spacing w:line="288" w:lineRule="auto"/>
              <w:ind w:firstLine="420" w:firstLineChars="200"/>
              <w:jc w:val="left"/>
              <w:rPr>
                <w:rFonts w:hint="eastAsia"/>
                <w:color w:val="000000"/>
                <w:sz w:val="21"/>
              </w:rPr>
            </w:pPr>
            <w:r>
              <w:rPr>
                <w:rFonts w:hint="eastAsia"/>
                <w:color w:val="000000"/>
                <w:sz w:val="21"/>
              </w:rPr>
              <w:t>非关键性性指标，</w:t>
            </w:r>
            <w:r>
              <w:rPr>
                <w:color w:val="000000"/>
                <w:sz w:val="21"/>
              </w:rPr>
              <w:t>技术参数要求条款响应得分=（供应商满足技术参数要求条款的数量÷技术参数要求条款的总数量）×</w:t>
            </w:r>
            <w:r>
              <w:rPr>
                <w:rFonts w:hint="eastAsia"/>
                <w:color w:val="000000"/>
                <w:sz w:val="21"/>
              </w:rPr>
              <w:t>10</w:t>
            </w:r>
            <w:r>
              <w:rPr>
                <w:color w:val="000000"/>
                <w:sz w:val="21"/>
              </w:rPr>
              <w:t>分</w:t>
            </w:r>
            <w:r>
              <w:rPr>
                <w:rFonts w:hint="eastAsia"/>
                <w:color w:val="000000"/>
                <w:sz w:val="21"/>
              </w:rPr>
              <w:t>。（如遇到小数情况，保留一位小数）</w:t>
            </w:r>
          </w:p>
        </w:tc>
        <w:tc>
          <w:tcPr>
            <w:tcW w:w="100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16" w:hRule="atLeast"/>
          <w:jc w:val="center"/>
        </w:trPr>
        <w:tc>
          <w:tcPr>
            <w:tcW w:w="1974" w:type="dxa"/>
            <w:gridSpan w:val="2"/>
            <w:vMerge w:val="restart"/>
            <w:tcBorders>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套餐内容（5分）</w:t>
            </w:r>
          </w:p>
        </w:tc>
        <w:tc>
          <w:tcPr>
            <w:tcW w:w="5750" w:type="dxa"/>
            <w:tcBorders>
              <w:top w:val="single" w:color="auto" w:sz="4" w:space="0"/>
              <w:left w:val="single" w:color="auto" w:sz="4" w:space="0"/>
              <w:right w:val="single" w:color="auto" w:sz="4" w:space="0"/>
            </w:tcBorders>
            <w:noWrap w:val="0"/>
            <w:vAlign w:val="center"/>
          </w:tcPr>
          <w:p>
            <w:pPr>
              <w:spacing w:line="288" w:lineRule="auto"/>
              <w:ind w:firstLine="420" w:firstLineChars="200"/>
              <w:jc w:val="left"/>
              <w:rPr>
                <w:rFonts w:hint="eastAsia"/>
                <w:color w:val="000000"/>
                <w:sz w:val="21"/>
              </w:rPr>
            </w:pPr>
            <w:r>
              <w:rPr>
                <w:rFonts w:hint="eastAsia"/>
                <w:color w:val="000000"/>
                <w:sz w:val="21"/>
              </w:rPr>
              <w:t>投标人提供的流量语音套餐方案中招标要求的符合度、先进性，评委进行综合打分。</w:t>
            </w:r>
          </w:p>
        </w:tc>
        <w:tc>
          <w:tcPr>
            <w:tcW w:w="1003" w:type="dxa"/>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16" w:hRule="atLeast"/>
          <w:jc w:val="center"/>
        </w:trPr>
        <w:tc>
          <w:tcPr>
            <w:tcW w:w="1974" w:type="dxa"/>
            <w:gridSpan w:val="2"/>
            <w:vMerge w:val="continue"/>
            <w:tcBorders>
              <w:left w:val="single" w:color="auto" w:sz="4" w:space="0"/>
              <w:right w:val="single" w:color="auto" w:sz="4" w:space="0"/>
            </w:tcBorders>
            <w:noWrap w:val="0"/>
            <w:vAlign w:val="center"/>
          </w:tcPr>
          <w:p>
            <w:pPr>
              <w:spacing w:line="360" w:lineRule="auto"/>
              <w:jc w:val="center"/>
              <w:rPr>
                <w:rFonts w:hint="eastAsia"/>
                <w:color w:val="000000"/>
                <w:sz w:val="21"/>
              </w:rPr>
            </w:pPr>
          </w:p>
        </w:tc>
        <w:tc>
          <w:tcPr>
            <w:tcW w:w="5750" w:type="dxa"/>
            <w:tcBorders>
              <w:top w:val="single" w:color="auto" w:sz="4" w:space="0"/>
              <w:left w:val="single" w:color="auto" w:sz="4" w:space="0"/>
              <w:right w:val="single" w:color="auto" w:sz="4" w:space="0"/>
            </w:tcBorders>
            <w:noWrap w:val="0"/>
            <w:vAlign w:val="center"/>
          </w:tcPr>
          <w:p>
            <w:pPr>
              <w:spacing w:line="288" w:lineRule="auto"/>
              <w:ind w:firstLine="420" w:firstLineChars="200"/>
              <w:jc w:val="left"/>
              <w:rPr>
                <w:rFonts w:hint="eastAsia"/>
                <w:color w:val="000000"/>
                <w:sz w:val="21"/>
              </w:rPr>
            </w:pPr>
            <w:r>
              <w:rPr>
                <w:rFonts w:hint="eastAsia"/>
                <w:color w:val="000000"/>
                <w:sz w:val="21"/>
              </w:rPr>
              <w:t>根据提供商提供的信号稳定性，覆盖范围等情况综合打分。</w:t>
            </w:r>
          </w:p>
        </w:tc>
        <w:tc>
          <w:tcPr>
            <w:tcW w:w="1003" w:type="dxa"/>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01" w:hRule="atLeast"/>
          <w:jc w:val="center"/>
        </w:trPr>
        <w:tc>
          <w:tcPr>
            <w:tcW w:w="1974" w:type="dxa"/>
            <w:gridSpan w:val="2"/>
            <w:tcBorders>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备品备件（3分）</w:t>
            </w:r>
          </w:p>
        </w:tc>
        <w:tc>
          <w:tcPr>
            <w:tcW w:w="5750" w:type="dxa"/>
            <w:tcBorders>
              <w:top w:val="single" w:color="auto" w:sz="4" w:space="0"/>
              <w:left w:val="single" w:color="auto" w:sz="4" w:space="0"/>
              <w:right w:val="single" w:color="auto" w:sz="4" w:space="0"/>
            </w:tcBorders>
            <w:noWrap w:val="0"/>
            <w:vAlign w:val="center"/>
          </w:tcPr>
          <w:p>
            <w:pPr>
              <w:spacing w:line="288" w:lineRule="auto"/>
              <w:ind w:firstLine="420" w:firstLineChars="200"/>
              <w:jc w:val="left"/>
              <w:rPr>
                <w:rFonts w:hint="eastAsia"/>
                <w:color w:val="000000"/>
                <w:sz w:val="21"/>
              </w:rPr>
            </w:pPr>
            <w:r>
              <w:rPr>
                <w:rFonts w:hint="eastAsia"/>
                <w:color w:val="000000"/>
                <w:sz w:val="21"/>
              </w:rPr>
              <w:t>应急备机：在满足招标文件要求的基础上，每增加4套，得1分，最多得3分。</w:t>
            </w:r>
          </w:p>
        </w:tc>
        <w:tc>
          <w:tcPr>
            <w:tcW w:w="1003" w:type="dxa"/>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296" w:hRule="atLeast"/>
          <w:jc w:val="center"/>
        </w:trPr>
        <w:tc>
          <w:tcPr>
            <w:tcW w:w="1974" w:type="dxa"/>
            <w:gridSpan w:val="2"/>
            <w:tcBorders>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技术功能转换</w:t>
            </w:r>
          </w:p>
          <w:p>
            <w:pPr>
              <w:spacing w:line="360" w:lineRule="auto"/>
              <w:jc w:val="center"/>
              <w:rPr>
                <w:rFonts w:hint="eastAsia"/>
                <w:color w:val="000000"/>
                <w:sz w:val="21"/>
              </w:rPr>
            </w:pPr>
            <w:r>
              <w:rPr>
                <w:rFonts w:hint="eastAsia"/>
                <w:color w:val="000000"/>
                <w:sz w:val="21"/>
              </w:rPr>
              <w:t>（4分）</w:t>
            </w:r>
          </w:p>
        </w:tc>
        <w:tc>
          <w:tcPr>
            <w:tcW w:w="5750" w:type="dxa"/>
            <w:tcBorders>
              <w:top w:val="single" w:color="auto" w:sz="4" w:space="0"/>
              <w:left w:val="single" w:color="auto" w:sz="4" w:space="0"/>
              <w:right w:val="single" w:color="auto" w:sz="4" w:space="0"/>
            </w:tcBorders>
            <w:noWrap w:val="0"/>
            <w:vAlign w:val="center"/>
          </w:tcPr>
          <w:p>
            <w:pPr>
              <w:spacing w:line="288" w:lineRule="auto"/>
              <w:ind w:firstLine="420" w:firstLineChars="200"/>
              <w:jc w:val="left"/>
              <w:rPr>
                <w:rFonts w:hint="eastAsia"/>
                <w:color w:val="000000"/>
                <w:sz w:val="21"/>
              </w:rPr>
            </w:pPr>
            <w:r>
              <w:rPr>
                <w:rFonts w:hint="eastAsia"/>
                <w:color w:val="000000"/>
                <w:sz w:val="21"/>
              </w:rPr>
              <w:t>根据现有**通一体化平台中**通号码、IMSI号是否需办理携号转网手续，更改IMSI号等情况综合打分。</w:t>
            </w:r>
          </w:p>
        </w:tc>
        <w:tc>
          <w:tcPr>
            <w:tcW w:w="1003" w:type="dxa"/>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11" w:hRule="atLeast"/>
          <w:jc w:val="center"/>
        </w:trPr>
        <w:tc>
          <w:tcPr>
            <w:tcW w:w="1974" w:type="dxa"/>
            <w:gridSpan w:val="2"/>
            <w:vMerge w:val="restart"/>
            <w:tcBorders>
              <w:left w:val="single" w:color="auto" w:sz="4" w:space="0"/>
              <w:right w:val="single" w:color="auto" w:sz="4" w:space="0"/>
            </w:tcBorders>
            <w:noWrap w:val="0"/>
            <w:vAlign w:val="center"/>
          </w:tcPr>
          <w:p>
            <w:pPr>
              <w:spacing w:line="312" w:lineRule="auto"/>
              <w:jc w:val="center"/>
              <w:rPr>
                <w:rFonts w:hint="eastAsia"/>
                <w:color w:val="000000"/>
                <w:sz w:val="21"/>
              </w:rPr>
            </w:pPr>
            <w:r>
              <w:rPr>
                <w:rFonts w:hint="eastAsia"/>
                <w:color w:val="000000"/>
                <w:sz w:val="21"/>
              </w:rPr>
              <w:t>售后服务</w:t>
            </w:r>
          </w:p>
          <w:p>
            <w:pPr>
              <w:spacing w:line="360" w:lineRule="auto"/>
              <w:jc w:val="center"/>
              <w:rPr>
                <w:rFonts w:hint="eastAsia"/>
                <w:color w:val="000000"/>
                <w:sz w:val="21"/>
              </w:rPr>
            </w:pPr>
            <w:r>
              <w:rPr>
                <w:rFonts w:hint="eastAsia"/>
                <w:color w:val="000000"/>
                <w:sz w:val="21"/>
              </w:rPr>
              <w:t>（4分）</w:t>
            </w:r>
          </w:p>
        </w:tc>
        <w:tc>
          <w:tcPr>
            <w:tcW w:w="5750" w:type="dxa"/>
            <w:tcBorders>
              <w:top w:val="single" w:color="auto" w:sz="4" w:space="0"/>
              <w:left w:val="single" w:color="auto" w:sz="4" w:space="0"/>
              <w:right w:val="single" w:color="auto" w:sz="4" w:space="0"/>
            </w:tcBorders>
            <w:noWrap w:val="0"/>
            <w:vAlign w:val="center"/>
          </w:tcPr>
          <w:p>
            <w:pPr>
              <w:spacing w:line="288" w:lineRule="auto"/>
              <w:ind w:firstLine="420" w:firstLineChars="200"/>
              <w:jc w:val="left"/>
              <w:rPr>
                <w:rFonts w:hint="eastAsia"/>
                <w:color w:val="000000"/>
                <w:sz w:val="21"/>
              </w:rPr>
            </w:pPr>
            <w:r>
              <w:rPr>
                <w:rFonts w:hint="eastAsia"/>
                <w:color w:val="000000"/>
                <w:sz w:val="21"/>
              </w:rPr>
              <w:t>1、提供售后服务运营维护方案，方案合理、可行，组织机构健全、协调能力强，人员配置到位，能提供备品备件。</w:t>
            </w:r>
          </w:p>
        </w:tc>
        <w:tc>
          <w:tcPr>
            <w:tcW w:w="1003" w:type="dxa"/>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000" w:hRule="atLeast"/>
          <w:jc w:val="center"/>
        </w:trPr>
        <w:tc>
          <w:tcPr>
            <w:tcW w:w="1974" w:type="dxa"/>
            <w:gridSpan w:val="2"/>
            <w:vMerge w:val="continue"/>
            <w:tcBorders>
              <w:left w:val="single" w:color="auto" w:sz="4" w:space="0"/>
              <w:right w:val="single" w:color="auto" w:sz="4" w:space="0"/>
            </w:tcBorders>
            <w:noWrap w:val="0"/>
            <w:vAlign w:val="center"/>
          </w:tcPr>
          <w:p>
            <w:pPr>
              <w:spacing w:line="312" w:lineRule="auto"/>
              <w:jc w:val="center"/>
              <w:rPr>
                <w:rFonts w:hint="eastAsia"/>
                <w:color w:val="000000"/>
                <w:sz w:val="21"/>
              </w:rPr>
            </w:pPr>
          </w:p>
        </w:tc>
        <w:tc>
          <w:tcPr>
            <w:tcW w:w="5750" w:type="dxa"/>
            <w:tcBorders>
              <w:top w:val="single" w:color="auto" w:sz="4" w:space="0"/>
              <w:left w:val="single" w:color="auto" w:sz="4" w:space="0"/>
              <w:right w:val="single" w:color="auto" w:sz="4" w:space="0"/>
            </w:tcBorders>
            <w:noWrap w:val="0"/>
            <w:vAlign w:val="center"/>
          </w:tcPr>
          <w:p>
            <w:pPr>
              <w:spacing w:line="288" w:lineRule="auto"/>
              <w:ind w:firstLine="420" w:firstLineChars="200"/>
              <w:jc w:val="left"/>
              <w:rPr>
                <w:rFonts w:hint="eastAsia"/>
                <w:color w:val="000000"/>
                <w:sz w:val="21"/>
              </w:rPr>
            </w:pPr>
            <w:r>
              <w:rPr>
                <w:rFonts w:hint="eastAsia"/>
                <w:color w:val="000000"/>
                <w:sz w:val="21"/>
              </w:rPr>
              <w:t>2、根据投标人的售后服务方案具体阐述，根据方案的全面性、可行性、优惠承诺等情况综合打分。</w:t>
            </w:r>
          </w:p>
        </w:tc>
        <w:tc>
          <w:tcPr>
            <w:tcW w:w="1003" w:type="dxa"/>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16" w:hRule="atLeast"/>
          <w:jc w:val="center"/>
        </w:trPr>
        <w:tc>
          <w:tcPr>
            <w:tcW w:w="1974" w:type="dxa"/>
            <w:gridSpan w:val="2"/>
            <w:vMerge w:val="continue"/>
            <w:tcBorders>
              <w:left w:val="single" w:color="auto" w:sz="4" w:space="0"/>
              <w:right w:val="single" w:color="auto" w:sz="4" w:space="0"/>
            </w:tcBorders>
            <w:noWrap w:val="0"/>
            <w:vAlign w:val="center"/>
          </w:tcPr>
          <w:p>
            <w:pPr>
              <w:spacing w:line="312" w:lineRule="auto"/>
              <w:jc w:val="center"/>
              <w:rPr>
                <w:rFonts w:hint="eastAsia"/>
                <w:color w:val="000000"/>
                <w:sz w:val="21"/>
              </w:rPr>
            </w:pPr>
          </w:p>
        </w:tc>
        <w:tc>
          <w:tcPr>
            <w:tcW w:w="5750" w:type="dxa"/>
            <w:tcBorders>
              <w:top w:val="single" w:color="auto" w:sz="4" w:space="0"/>
              <w:left w:val="single" w:color="auto" w:sz="4" w:space="0"/>
              <w:right w:val="single" w:color="auto" w:sz="4" w:space="0"/>
            </w:tcBorders>
            <w:noWrap w:val="0"/>
            <w:vAlign w:val="center"/>
          </w:tcPr>
          <w:p>
            <w:pPr>
              <w:spacing w:line="288" w:lineRule="auto"/>
              <w:ind w:firstLine="420" w:firstLineChars="200"/>
              <w:jc w:val="left"/>
              <w:rPr>
                <w:rFonts w:hint="eastAsia"/>
                <w:color w:val="000000"/>
                <w:sz w:val="21"/>
              </w:rPr>
            </w:pPr>
            <w:r>
              <w:rPr>
                <w:rFonts w:hint="eastAsia"/>
                <w:color w:val="000000"/>
                <w:sz w:val="21"/>
              </w:rPr>
              <w:t>3、评委根据投标人提供服务响应能力打分，如本地化服务能力、服务响应能力等进行综合打分。</w:t>
            </w:r>
          </w:p>
        </w:tc>
        <w:tc>
          <w:tcPr>
            <w:tcW w:w="1003" w:type="dxa"/>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51" w:hRule="atLeast"/>
          <w:jc w:val="center"/>
        </w:trPr>
        <w:tc>
          <w:tcPr>
            <w:tcW w:w="888" w:type="dxa"/>
            <w:vMerge w:val="restart"/>
            <w:tcBorders>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商务</w:t>
            </w:r>
          </w:p>
          <w:p>
            <w:pPr>
              <w:widowControl/>
              <w:spacing w:line="360" w:lineRule="auto"/>
              <w:jc w:val="left"/>
              <w:rPr>
                <w:rFonts w:hint="eastAsia"/>
                <w:color w:val="000000"/>
                <w:sz w:val="21"/>
              </w:rPr>
            </w:pPr>
            <w:r>
              <w:rPr>
                <w:rFonts w:hint="eastAsia"/>
                <w:color w:val="000000"/>
                <w:sz w:val="21"/>
              </w:rPr>
              <w:t>（4分）</w:t>
            </w:r>
          </w:p>
        </w:tc>
        <w:tc>
          <w:tcPr>
            <w:tcW w:w="1086" w:type="dxa"/>
            <w:tcBorders>
              <w:top w:val="single" w:color="auto" w:sz="4" w:space="0"/>
              <w:left w:val="single" w:color="auto" w:sz="4" w:space="0"/>
              <w:right w:val="single" w:color="auto" w:sz="4" w:space="0"/>
            </w:tcBorders>
            <w:noWrap w:val="0"/>
            <w:vAlign w:val="center"/>
          </w:tcPr>
          <w:p>
            <w:pPr>
              <w:spacing w:line="312" w:lineRule="auto"/>
              <w:jc w:val="center"/>
              <w:rPr>
                <w:rFonts w:hint="eastAsia"/>
                <w:color w:val="000000"/>
                <w:sz w:val="21"/>
              </w:rPr>
            </w:pPr>
            <w:r>
              <w:rPr>
                <w:rFonts w:hint="eastAsia"/>
                <w:color w:val="000000"/>
                <w:sz w:val="21"/>
              </w:rPr>
              <w:t>企业业绩（2分）</w:t>
            </w:r>
          </w:p>
        </w:tc>
        <w:tc>
          <w:tcPr>
            <w:tcW w:w="5750" w:type="dxa"/>
            <w:tcBorders>
              <w:top w:val="single" w:color="auto" w:sz="4" w:space="0"/>
              <w:left w:val="single" w:color="auto" w:sz="4" w:space="0"/>
              <w:right w:val="single" w:color="auto" w:sz="4" w:space="0"/>
            </w:tcBorders>
            <w:noWrap w:val="0"/>
            <w:vAlign w:val="center"/>
          </w:tcPr>
          <w:p>
            <w:pPr>
              <w:ind w:firstLine="422" w:firstLineChars="200"/>
              <w:rPr>
                <w:rFonts w:hint="eastAsia"/>
                <w:b/>
                <w:bCs/>
                <w:sz w:val="21"/>
              </w:rPr>
            </w:pPr>
            <w:r>
              <w:rPr>
                <w:rFonts w:hint="eastAsia"/>
                <w:b/>
                <w:bCs/>
                <w:sz w:val="21"/>
              </w:rPr>
              <w:t>详见商务要求表</w:t>
            </w:r>
          </w:p>
        </w:tc>
        <w:tc>
          <w:tcPr>
            <w:tcW w:w="1003" w:type="dxa"/>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066" w:hRule="atLeast"/>
          <w:jc w:val="center"/>
        </w:trPr>
        <w:tc>
          <w:tcPr>
            <w:tcW w:w="888" w:type="dxa"/>
            <w:vMerge w:val="continue"/>
            <w:tcBorders>
              <w:left w:val="single" w:color="auto" w:sz="4" w:space="0"/>
              <w:right w:val="single" w:color="auto" w:sz="4" w:space="0"/>
            </w:tcBorders>
            <w:noWrap w:val="0"/>
            <w:vAlign w:val="center"/>
          </w:tcPr>
          <w:p>
            <w:pPr>
              <w:widowControl/>
              <w:spacing w:line="360" w:lineRule="auto"/>
              <w:jc w:val="left"/>
              <w:rPr>
                <w:rFonts w:hint="eastAsia"/>
                <w:color w:val="000000"/>
                <w:sz w:val="21"/>
              </w:rPr>
            </w:pPr>
          </w:p>
        </w:tc>
        <w:tc>
          <w:tcPr>
            <w:tcW w:w="1086" w:type="dxa"/>
            <w:tcBorders>
              <w:top w:val="single" w:color="auto" w:sz="4" w:space="0"/>
              <w:left w:val="single" w:color="auto" w:sz="4" w:space="0"/>
              <w:right w:val="single" w:color="auto" w:sz="4" w:space="0"/>
            </w:tcBorders>
            <w:noWrap w:val="0"/>
            <w:vAlign w:val="center"/>
          </w:tcPr>
          <w:p>
            <w:pPr>
              <w:spacing w:line="312" w:lineRule="auto"/>
              <w:jc w:val="center"/>
              <w:rPr>
                <w:rFonts w:hint="eastAsia"/>
                <w:color w:val="000000"/>
                <w:sz w:val="21"/>
              </w:rPr>
            </w:pPr>
            <w:r>
              <w:rPr>
                <w:rFonts w:hint="eastAsia"/>
                <w:color w:val="000000"/>
                <w:sz w:val="21"/>
              </w:rPr>
              <w:t>企业证书（2分）</w:t>
            </w:r>
          </w:p>
        </w:tc>
        <w:tc>
          <w:tcPr>
            <w:tcW w:w="5750" w:type="dxa"/>
            <w:tcBorders>
              <w:top w:val="single" w:color="auto" w:sz="4" w:space="0"/>
              <w:left w:val="single" w:color="auto" w:sz="4" w:space="0"/>
              <w:right w:val="single" w:color="auto" w:sz="4" w:space="0"/>
            </w:tcBorders>
            <w:noWrap w:val="0"/>
            <w:vAlign w:val="center"/>
          </w:tcPr>
          <w:p>
            <w:pPr>
              <w:ind w:firstLine="422" w:firstLineChars="200"/>
              <w:rPr>
                <w:rFonts w:hint="eastAsia"/>
                <w:b/>
                <w:bCs/>
                <w:sz w:val="21"/>
              </w:rPr>
            </w:pPr>
            <w:r>
              <w:rPr>
                <w:rFonts w:hint="eastAsia"/>
                <w:b/>
                <w:bCs/>
                <w:sz w:val="21"/>
              </w:rPr>
              <w:t>详见商务要求表</w:t>
            </w:r>
          </w:p>
        </w:tc>
        <w:tc>
          <w:tcPr>
            <w:tcW w:w="1003" w:type="dxa"/>
            <w:tcBorders>
              <w:top w:val="single" w:color="auto" w:sz="4" w:space="0"/>
              <w:left w:val="single" w:color="auto" w:sz="4" w:space="0"/>
              <w:right w:val="single" w:color="auto" w:sz="4" w:space="0"/>
            </w:tcBorders>
            <w:noWrap w:val="0"/>
            <w:vAlign w:val="center"/>
          </w:tcPr>
          <w:p>
            <w:pPr>
              <w:spacing w:line="360" w:lineRule="auto"/>
              <w:jc w:val="center"/>
              <w:rPr>
                <w:rFonts w:hint="eastAsia"/>
                <w:color w:val="000000"/>
                <w:sz w:val="21"/>
              </w:rPr>
            </w:pPr>
            <w:r>
              <w:rPr>
                <w:rFonts w:hint="eastAsia"/>
                <w:color w:val="000000"/>
                <w:sz w:val="21"/>
              </w:rPr>
              <w:t>2分</w:t>
            </w:r>
          </w:p>
        </w:tc>
      </w:tr>
    </w:tbl>
    <w:p>
      <w:pPr>
        <w:spacing w:line="360" w:lineRule="auto"/>
        <w:ind w:firstLine="482" w:firstLineChars="200"/>
        <w:rPr>
          <w:rFonts w:hint="eastAsia"/>
          <w:b/>
          <w:bCs/>
          <w:sz w:val="24"/>
        </w:rPr>
      </w:pPr>
    </w:p>
    <w:p>
      <w:pPr>
        <w:ind w:firstLine="482" w:firstLineChars="200"/>
        <w:jc w:val="left"/>
        <w:rPr>
          <w:rFonts w:hint="eastAsia"/>
          <w:b/>
          <w:bCs/>
          <w:color w:val="000000"/>
          <w:sz w:val="24"/>
        </w:rPr>
      </w:pPr>
      <w:r>
        <w:rPr>
          <w:rFonts w:hint="eastAsia"/>
          <w:b/>
          <w:bCs/>
          <w:sz w:val="24"/>
        </w:rPr>
        <w:t>2、商务</w:t>
      </w:r>
      <w:r>
        <w:rPr>
          <w:rFonts w:hint="eastAsia"/>
          <w:b/>
          <w:bCs/>
          <w:color w:val="000000"/>
          <w:sz w:val="24"/>
        </w:rPr>
        <w:t>要求表</w:t>
      </w:r>
      <w:r>
        <w:rPr>
          <w:rFonts w:hint="eastAsia"/>
          <w:color w:val="000000"/>
          <w:sz w:val="24"/>
        </w:rPr>
        <w:t>（对应评分标准）</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3"/>
        <w:gridCol w:w="1426"/>
        <w:gridCol w:w="68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201" w:hRule="atLeast"/>
          <w:jc w:val="center"/>
        </w:trPr>
        <w:tc>
          <w:tcPr>
            <w:tcW w:w="2009" w:type="dxa"/>
            <w:gridSpan w:val="2"/>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rFonts w:hint="eastAsia"/>
                <w:color w:val="000000"/>
                <w:sz w:val="21"/>
              </w:rPr>
            </w:pPr>
            <w:r>
              <w:rPr>
                <w:rFonts w:hint="eastAsia"/>
                <w:color w:val="000000"/>
                <w:sz w:val="21"/>
              </w:rPr>
              <w:t>供货时间（项目工期）及地点</w:t>
            </w:r>
          </w:p>
        </w:tc>
        <w:tc>
          <w:tcPr>
            <w:tcW w:w="6894" w:type="dxa"/>
            <w:tcBorders>
              <w:top w:val="single" w:color="auto" w:sz="4" w:space="0"/>
              <w:left w:val="single" w:color="auto" w:sz="4" w:space="0"/>
              <w:bottom w:val="single" w:color="auto" w:sz="4" w:space="0"/>
              <w:right w:val="single" w:color="auto" w:sz="4" w:space="0"/>
            </w:tcBorders>
            <w:noWrap w:val="0"/>
            <w:vAlign w:val="center"/>
          </w:tcPr>
          <w:p>
            <w:pPr>
              <w:ind w:firstLine="420" w:firstLineChars="200"/>
              <w:jc w:val="left"/>
              <w:rPr>
                <w:rFonts w:hint="eastAsia"/>
                <w:color w:val="000000"/>
                <w:sz w:val="21"/>
              </w:rPr>
            </w:pPr>
            <w:r>
              <w:rPr>
                <w:rFonts w:hint="eastAsia"/>
                <w:color w:val="000000"/>
                <w:sz w:val="21"/>
              </w:rPr>
              <w:t>合同签订后60天内经验收合格后交付使用。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16" w:hRule="atLeast"/>
          <w:jc w:val="center"/>
        </w:trPr>
        <w:tc>
          <w:tcPr>
            <w:tcW w:w="2009" w:type="dxa"/>
            <w:gridSpan w:val="2"/>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rFonts w:hint="eastAsia"/>
                <w:color w:val="000000"/>
                <w:sz w:val="21"/>
              </w:rPr>
            </w:pPr>
            <w:r>
              <w:rPr>
                <w:rFonts w:hint="eastAsia"/>
                <w:color w:val="000000"/>
                <w:sz w:val="21"/>
              </w:rPr>
              <w:t>付款条件</w:t>
            </w:r>
          </w:p>
        </w:tc>
        <w:tc>
          <w:tcPr>
            <w:tcW w:w="6894" w:type="dxa"/>
            <w:tcBorders>
              <w:top w:val="single" w:color="auto" w:sz="4" w:space="0"/>
              <w:left w:val="single" w:color="auto" w:sz="4" w:space="0"/>
              <w:bottom w:val="single" w:color="auto" w:sz="4" w:space="0"/>
              <w:right w:val="single" w:color="auto" w:sz="4" w:space="0"/>
            </w:tcBorders>
            <w:noWrap w:val="0"/>
            <w:vAlign w:val="center"/>
          </w:tcPr>
          <w:p>
            <w:pPr>
              <w:spacing w:line="312" w:lineRule="auto"/>
              <w:ind w:firstLine="420" w:firstLineChars="200"/>
              <w:jc w:val="left"/>
              <w:rPr>
                <w:rFonts w:hint="eastAsia"/>
                <w:color w:val="000000"/>
                <w:sz w:val="21"/>
              </w:rPr>
            </w:pPr>
            <w:r>
              <w:rPr>
                <w:rFonts w:hint="eastAsia"/>
                <w:color w:val="000000"/>
                <w:sz w:val="21"/>
              </w:rPr>
              <w:t>本项目服务期限为2年。</w:t>
            </w:r>
          </w:p>
          <w:p>
            <w:pPr>
              <w:snapToGrid w:val="0"/>
              <w:spacing w:line="324" w:lineRule="auto"/>
              <w:ind w:firstLine="482"/>
              <w:rPr>
                <w:rFonts w:hint="eastAsia"/>
                <w:color w:val="000000"/>
                <w:sz w:val="21"/>
              </w:rPr>
            </w:pPr>
            <w:r>
              <w:rPr>
                <w:rFonts w:hint="eastAsia"/>
                <w:color w:val="000000"/>
                <w:sz w:val="21"/>
              </w:rPr>
              <w:t>付款方式：采购人在合同生效以及具备实施条件后7个工作日内支付合同价20%，验收合格后7个工作日内向中标人支付合同价的30%，第一年服务期满后15个工作日内支付合同价的45%；第二年服务期满后15个工作日内支付合同价的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75" w:hRule="atLeast"/>
          <w:jc w:val="center"/>
        </w:trPr>
        <w:tc>
          <w:tcPr>
            <w:tcW w:w="583" w:type="dxa"/>
            <w:vMerge w:val="restart"/>
            <w:tcBorders>
              <w:top w:val="single" w:color="auto" w:sz="4" w:space="0"/>
              <w:left w:val="single" w:color="auto" w:sz="4" w:space="0"/>
              <w:right w:val="single" w:color="auto" w:sz="4" w:space="0"/>
            </w:tcBorders>
            <w:noWrap w:val="0"/>
            <w:vAlign w:val="center"/>
          </w:tcPr>
          <w:p>
            <w:pPr>
              <w:spacing w:line="312" w:lineRule="auto"/>
              <w:jc w:val="center"/>
              <w:rPr>
                <w:rFonts w:hint="eastAsia"/>
              </w:rPr>
            </w:pPr>
            <w:r>
              <w:rPr>
                <w:rFonts w:hint="eastAsia"/>
              </w:rPr>
              <w:t>资信</w:t>
            </w:r>
          </w:p>
          <w:p>
            <w:pPr>
              <w:pStyle w:val="2"/>
              <w:rPr>
                <w:rFonts w:hint="eastAsia"/>
                <w:lang w:val="en-US" w:eastAsia="zh-CN"/>
              </w:rPr>
            </w:pPr>
            <w:r>
              <w:rPr>
                <w:rFonts w:hint="eastAsia" w:hAnsi="宋体" w:cs="宋体"/>
                <w:b w:val="0"/>
                <w:kern w:val="0"/>
                <w:sz w:val="20"/>
                <w:szCs w:val="21"/>
                <w:lang w:val="en-US" w:eastAsia="zh-CN"/>
              </w:rPr>
              <w:t>（4分）</w:t>
            </w:r>
          </w:p>
        </w:tc>
        <w:tc>
          <w:tcPr>
            <w:tcW w:w="1426" w:type="dxa"/>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color w:val="000000"/>
                <w:sz w:val="21"/>
              </w:rPr>
            </w:pPr>
            <w:r>
              <w:rPr>
                <w:rFonts w:hint="eastAsia"/>
                <w:color w:val="000000"/>
                <w:sz w:val="21"/>
              </w:rPr>
              <w:t>企业业绩</w:t>
            </w:r>
          </w:p>
          <w:p>
            <w:pPr>
              <w:spacing w:line="312" w:lineRule="auto"/>
              <w:jc w:val="center"/>
              <w:rPr>
                <w:rFonts w:hint="eastAsia"/>
                <w:color w:val="000000"/>
                <w:sz w:val="21"/>
              </w:rPr>
            </w:pPr>
            <w:r>
              <w:rPr>
                <w:rFonts w:hint="eastAsia"/>
                <w:color w:val="000000"/>
                <w:sz w:val="21"/>
              </w:rPr>
              <w:t>（2分）</w:t>
            </w:r>
          </w:p>
        </w:tc>
        <w:tc>
          <w:tcPr>
            <w:tcW w:w="6894" w:type="dxa"/>
            <w:tcBorders>
              <w:top w:val="single" w:color="auto" w:sz="4" w:space="0"/>
              <w:left w:val="single" w:color="auto" w:sz="4" w:space="0"/>
              <w:bottom w:val="single" w:color="auto" w:sz="4" w:space="0"/>
              <w:right w:val="single" w:color="auto" w:sz="4" w:space="0"/>
            </w:tcBorders>
            <w:noWrap w:val="0"/>
            <w:vAlign w:val="center"/>
          </w:tcPr>
          <w:p>
            <w:pPr>
              <w:spacing w:line="312" w:lineRule="auto"/>
              <w:ind w:firstLine="420" w:firstLineChars="200"/>
              <w:jc w:val="left"/>
              <w:rPr>
                <w:rFonts w:hint="eastAsia"/>
                <w:color w:val="000000"/>
                <w:sz w:val="21"/>
              </w:rPr>
            </w:pPr>
            <w:r>
              <w:rPr>
                <w:rFonts w:hint="eastAsia"/>
                <w:color w:val="000000"/>
                <w:sz w:val="21"/>
              </w:rPr>
              <w:t>投标人自2020年1月1日 以来（以合同签订时间为准）类似业绩，每提供一个得1分，最高得2分。（提供合同复印件加盖单位公章）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75" w:hRule="atLeast"/>
          <w:jc w:val="center"/>
        </w:trPr>
        <w:tc>
          <w:tcPr>
            <w:tcW w:w="583" w:type="dxa"/>
            <w:vMerge w:val="continue"/>
            <w:tcBorders>
              <w:left w:val="single" w:color="auto" w:sz="4" w:space="0"/>
              <w:right w:val="single" w:color="auto" w:sz="4" w:space="0"/>
            </w:tcBorders>
            <w:noWrap w:val="0"/>
            <w:vAlign w:val="center"/>
          </w:tcPr>
          <w:p>
            <w:pPr>
              <w:spacing w:line="312" w:lineRule="auto"/>
              <w:jc w:val="center"/>
              <w:rPr>
                <w:rFonts w:hint="eastAsia"/>
                <w:color w:val="000000"/>
                <w:sz w:val="21"/>
              </w:rPr>
            </w:pPr>
          </w:p>
        </w:tc>
        <w:tc>
          <w:tcPr>
            <w:tcW w:w="1426" w:type="dxa"/>
            <w:tcBorders>
              <w:top w:val="single" w:color="auto" w:sz="4" w:space="0"/>
              <w:left w:val="single" w:color="auto" w:sz="4" w:space="0"/>
              <w:bottom w:val="single" w:color="auto" w:sz="4" w:space="0"/>
              <w:right w:val="single" w:color="auto" w:sz="4" w:space="0"/>
            </w:tcBorders>
            <w:noWrap w:val="0"/>
            <w:vAlign w:val="center"/>
          </w:tcPr>
          <w:p>
            <w:pPr>
              <w:spacing w:line="312" w:lineRule="auto"/>
              <w:jc w:val="center"/>
              <w:rPr>
                <w:color w:val="000000"/>
                <w:sz w:val="21"/>
              </w:rPr>
            </w:pPr>
            <w:r>
              <w:rPr>
                <w:rFonts w:hint="eastAsia"/>
                <w:color w:val="000000"/>
                <w:sz w:val="21"/>
              </w:rPr>
              <w:t>企业证书</w:t>
            </w:r>
          </w:p>
          <w:p>
            <w:pPr>
              <w:spacing w:line="312" w:lineRule="auto"/>
              <w:jc w:val="center"/>
              <w:rPr>
                <w:rFonts w:hint="eastAsia"/>
                <w:color w:val="000000"/>
                <w:sz w:val="21"/>
              </w:rPr>
            </w:pPr>
            <w:r>
              <w:rPr>
                <w:rFonts w:hint="eastAsia"/>
                <w:color w:val="000000"/>
                <w:sz w:val="21"/>
              </w:rPr>
              <w:t>（2分）</w:t>
            </w:r>
          </w:p>
        </w:tc>
        <w:tc>
          <w:tcPr>
            <w:tcW w:w="6894" w:type="dxa"/>
            <w:tcBorders>
              <w:top w:val="single" w:color="auto" w:sz="4" w:space="0"/>
              <w:left w:val="single" w:color="auto" w:sz="4" w:space="0"/>
              <w:bottom w:val="single" w:color="auto" w:sz="4" w:space="0"/>
              <w:right w:val="single" w:color="auto" w:sz="4" w:space="0"/>
            </w:tcBorders>
            <w:noWrap w:val="0"/>
            <w:vAlign w:val="center"/>
          </w:tcPr>
          <w:p>
            <w:pPr>
              <w:spacing w:line="312" w:lineRule="auto"/>
              <w:ind w:firstLine="420" w:firstLineChars="200"/>
              <w:jc w:val="left"/>
              <w:rPr>
                <w:rFonts w:hint="eastAsia"/>
                <w:color w:val="000000"/>
                <w:sz w:val="21"/>
              </w:rPr>
            </w:pPr>
            <w:r>
              <w:rPr>
                <w:rFonts w:hint="eastAsia"/>
                <w:color w:val="000000"/>
                <w:sz w:val="21"/>
              </w:rPr>
              <w:t>投标人具有信息安全管理体系认证证书ISO/IEC27001、环境管理体系认证证书ISO14001、质量体系认证证书ISO9001、职业健康安全管理体系认证证书，每提供一个得0.5分，最高得2分。（提供有效证书复印件加盖公章）</w:t>
            </w:r>
          </w:p>
        </w:tc>
      </w:tr>
    </w:tbl>
    <w:p>
      <w:pPr>
        <w:spacing w:line="360" w:lineRule="auto"/>
        <w:ind w:firstLine="480" w:firstLineChars="200"/>
        <w:rPr>
          <w:rFonts w:hint="eastAsia"/>
          <w:sz w:val="24"/>
        </w:rPr>
      </w:pPr>
      <w:r>
        <w:rPr>
          <w:rFonts w:hint="eastAsia"/>
          <w:sz w:val="24"/>
        </w:rPr>
        <w:t>注：</w:t>
      </w:r>
    </w:p>
    <w:p>
      <w:pPr>
        <w:spacing w:line="360" w:lineRule="auto"/>
        <w:ind w:firstLine="480" w:firstLineChars="200"/>
        <w:rPr>
          <w:rFonts w:hint="eastAsia"/>
          <w:sz w:val="24"/>
        </w:rPr>
      </w:pPr>
      <w:r>
        <w:rPr>
          <w:rFonts w:hint="eastAsia"/>
          <w:sz w:val="24"/>
        </w:rPr>
        <w:t>1、评标委员会各成员应当独立对每个投标人的投标文件进行评价，并汇总每个投标人的得分。资信分为客观分，也需独立进行评价并核对分值，最终分值需一致。</w:t>
      </w:r>
    </w:p>
    <w:p>
      <w:pPr>
        <w:spacing w:line="360" w:lineRule="auto"/>
        <w:ind w:firstLine="480" w:firstLineChars="200"/>
        <w:rPr>
          <w:rFonts w:hint="eastAsia"/>
          <w:sz w:val="24"/>
        </w:rPr>
      </w:pPr>
      <w:r>
        <w:rPr>
          <w:rFonts w:hint="eastAsia"/>
          <w:sz w:val="24"/>
        </w:rPr>
        <w:t>2、所有文件、合同、证书、资质等需要真实有效。中标人在中标后签订合同时需提供以上证明文件原件，若发现资料作假的取消中标资格。</w:t>
      </w:r>
    </w:p>
    <w:p>
      <w:pPr>
        <w:spacing w:after="156" w:afterLines="50" w:line="360" w:lineRule="auto"/>
        <w:jc w:val="left"/>
        <w:outlineLvl w:val="0"/>
        <w:rPr>
          <w:rFonts w:hint="eastAsia"/>
          <w:sz w:val="24"/>
        </w:rPr>
      </w:pPr>
    </w:p>
    <w:p>
      <w:pPr>
        <w:spacing w:line="360" w:lineRule="auto"/>
        <w:jc w:val="center"/>
        <w:outlineLvl w:val="0"/>
        <w:rPr>
          <w:rFonts w:hint="eastAsia"/>
          <w:b/>
          <w:sz w:val="36"/>
          <w:szCs w:val="36"/>
        </w:rPr>
      </w:pPr>
      <w:r>
        <w:rPr>
          <w:b/>
          <w:sz w:val="36"/>
          <w:szCs w:val="36"/>
        </w:rPr>
        <w:br w:type="page"/>
      </w:r>
      <w:bookmarkStart w:id="428" w:name="_Toc121294582"/>
      <w:r>
        <w:rPr>
          <w:rFonts w:hint="eastAsia"/>
          <w:b/>
          <w:sz w:val="36"/>
          <w:szCs w:val="20"/>
        </w:rPr>
        <w:t>第四部分  采购需求</w:t>
      </w:r>
      <w:bookmarkEnd w:id="428"/>
    </w:p>
    <w:p>
      <w:pPr>
        <w:spacing w:line="360" w:lineRule="auto"/>
        <w:jc w:val="center"/>
        <w:outlineLvl w:val="0"/>
        <w:rPr>
          <w:rFonts w:hint="eastAsia"/>
          <w:b/>
          <w:sz w:val="28"/>
          <w:szCs w:val="28"/>
        </w:rPr>
      </w:pPr>
      <w:bookmarkStart w:id="429" w:name="_Toc121294583"/>
      <w:r>
        <w:rPr>
          <w:b/>
          <w:sz w:val="28"/>
          <w:szCs w:val="28"/>
        </w:rPr>
        <w:t>第一章</w:t>
      </w:r>
      <w:r>
        <w:rPr>
          <w:rFonts w:hint="eastAsia"/>
          <w:b/>
          <w:sz w:val="28"/>
          <w:szCs w:val="28"/>
        </w:rPr>
        <w:t xml:space="preserve"> 技术规范及要求</w:t>
      </w:r>
      <w:bookmarkEnd w:id="429"/>
    </w:p>
    <w:p>
      <w:pPr>
        <w:spacing w:line="312" w:lineRule="auto"/>
        <w:ind w:firstLine="482" w:firstLineChars="200"/>
        <w:rPr>
          <w:b/>
          <w:sz w:val="24"/>
        </w:rPr>
      </w:pPr>
      <w:r>
        <w:rPr>
          <w:rFonts w:hint="eastAsia"/>
          <w:b/>
          <w:sz w:val="24"/>
        </w:rPr>
        <w:t>1</w:t>
      </w:r>
      <w:r>
        <w:rPr>
          <w:b/>
          <w:sz w:val="24"/>
        </w:rPr>
        <w:t xml:space="preserve">  总则</w:t>
      </w:r>
    </w:p>
    <w:p>
      <w:pPr>
        <w:autoSpaceDE w:val="0"/>
        <w:autoSpaceDN w:val="0"/>
        <w:adjustRightInd w:val="0"/>
        <w:spacing w:line="312" w:lineRule="auto"/>
        <w:ind w:firstLine="480" w:firstLineChars="200"/>
        <w:jc w:val="left"/>
        <w:rPr>
          <w:sz w:val="24"/>
        </w:rPr>
      </w:pPr>
      <w:r>
        <w:rPr>
          <w:rFonts w:hint="eastAsia"/>
          <w:sz w:val="24"/>
          <w:szCs w:val="68"/>
        </w:rPr>
        <w:t>1.1　</w:t>
      </w:r>
      <w:r>
        <w:rPr>
          <w:rFonts w:hint="eastAsia"/>
          <w:sz w:val="24"/>
        </w:rPr>
        <w:t>本章提出了货物的功能设计、结构、性能、安装和试验等方面的技术要求。</w:t>
      </w:r>
    </w:p>
    <w:p>
      <w:pPr>
        <w:autoSpaceDE w:val="0"/>
        <w:autoSpaceDN w:val="0"/>
        <w:adjustRightInd w:val="0"/>
        <w:spacing w:line="312" w:lineRule="auto"/>
        <w:ind w:firstLine="480" w:firstLineChars="200"/>
        <w:jc w:val="left"/>
        <w:rPr>
          <w:sz w:val="24"/>
        </w:rPr>
      </w:pPr>
      <w:r>
        <w:rPr>
          <w:rFonts w:hint="eastAsia"/>
          <w:sz w:val="24"/>
          <w:szCs w:val="68"/>
        </w:rPr>
        <w:t>1.2　</w:t>
      </w:r>
      <w:r>
        <w:rPr>
          <w:rFonts w:hint="eastAsia"/>
          <w:sz w:val="24"/>
        </w:rPr>
        <w:t>中标人提供的货物必须符合国家及浙江省等有关安全、环保等强制性标准的要求（如锅炉与压力容器、高电压货物等）。</w:t>
      </w:r>
    </w:p>
    <w:p>
      <w:pPr>
        <w:autoSpaceDE w:val="0"/>
        <w:autoSpaceDN w:val="0"/>
        <w:adjustRightInd w:val="0"/>
        <w:spacing w:line="312" w:lineRule="auto"/>
        <w:ind w:firstLine="480" w:firstLineChars="200"/>
        <w:jc w:val="left"/>
        <w:rPr>
          <w:sz w:val="24"/>
        </w:rPr>
      </w:pPr>
      <w:r>
        <w:rPr>
          <w:rFonts w:hint="eastAsia"/>
          <w:sz w:val="24"/>
          <w:szCs w:val="68"/>
        </w:rPr>
        <w:t>1.3　</w:t>
      </w:r>
      <w:r>
        <w:rPr>
          <w:rFonts w:hint="eastAsia"/>
          <w:sz w:val="24"/>
        </w:rPr>
        <w:t>采购人在本章中还可提出本次采购的技术要求。</w:t>
      </w:r>
    </w:p>
    <w:p>
      <w:pPr>
        <w:autoSpaceDE w:val="0"/>
        <w:autoSpaceDN w:val="0"/>
        <w:adjustRightInd w:val="0"/>
        <w:spacing w:line="312" w:lineRule="auto"/>
        <w:ind w:firstLine="480" w:firstLineChars="200"/>
        <w:jc w:val="left"/>
        <w:rPr>
          <w:sz w:val="24"/>
          <w:szCs w:val="68"/>
        </w:rPr>
      </w:pPr>
      <w:r>
        <w:rPr>
          <w:rFonts w:hint="eastAsia"/>
          <w:sz w:val="24"/>
          <w:szCs w:val="68"/>
        </w:rPr>
        <w:t>1.4　</w:t>
      </w:r>
      <w:r>
        <w:rPr>
          <w:rFonts w:hint="eastAsia"/>
          <w:sz w:val="24"/>
        </w:rPr>
        <w:t>中标人应提供一套满足本规范书和所列标准要求的高质量产品及其相应服务。</w:t>
      </w:r>
    </w:p>
    <w:p>
      <w:pPr>
        <w:autoSpaceDE w:val="0"/>
        <w:autoSpaceDN w:val="0"/>
        <w:adjustRightInd w:val="0"/>
        <w:spacing w:line="312" w:lineRule="auto"/>
        <w:ind w:firstLine="480" w:firstLineChars="200"/>
        <w:jc w:val="left"/>
        <w:rPr>
          <w:sz w:val="24"/>
        </w:rPr>
      </w:pPr>
      <w:r>
        <w:rPr>
          <w:rFonts w:hint="eastAsia"/>
          <w:sz w:val="24"/>
          <w:szCs w:val="68"/>
        </w:rPr>
        <w:t>1.5　</w:t>
      </w:r>
      <w:r>
        <w:rPr>
          <w:rFonts w:hint="eastAsia"/>
          <w:sz w:val="24"/>
        </w:rPr>
        <w:t>如未对本规范书提出偏差，将认为中标人提供的货物符合规范书和标准的要求。偏差（无论多少）都必须清楚地表示在投标文件中（要求填写附件六</w:t>
      </w:r>
      <w:r>
        <w:rPr>
          <w:rFonts w:hint="eastAsia"/>
          <w:sz w:val="24"/>
          <w:szCs w:val="68"/>
        </w:rPr>
        <w:t>：</w:t>
      </w:r>
      <w:r>
        <w:rPr>
          <w:rFonts w:hint="eastAsia"/>
          <w:sz w:val="24"/>
        </w:rPr>
        <w:t>《技术响应及建议表》）。</w:t>
      </w:r>
    </w:p>
    <w:p>
      <w:pPr>
        <w:autoSpaceDE w:val="0"/>
        <w:autoSpaceDN w:val="0"/>
        <w:adjustRightInd w:val="0"/>
        <w:spacing w:line="312" w:lineRule="auto"/>
        <w:ind w:firstLine="480" w:firstLineChars="200"/>
        <w:jc w:val="left"/>
        <w:rPr>
          <w:sz w:val="24"/>
        </w:rPr>
      </w:pPr>
      <w:r>
        <w:rPr>
          <w:rFonts w:hint="eastAsia"/>
          <w:sz w:val="24"/>
          <w:szCs w:val="68"/>
        </w:rPr>
        <w:t>1.6　</w:t>
      </w:r>
      <w:r>
        <w:rPr>
          <w:rFonts w:hint="eastAsia"/>
          <w:sz w:val="24"/>
        </w:rPr>
        <w:t>中标人须执行本规范书所列标准。标准若有矛盾时，按较高标准执行。</w:t>
      </w:r>
    </w:p>
    <w:p>
      <w:pPr>
        <w:autoSpaceDE w:val="0"/>
        <w:autoSpaceDN w:val="0"/>
        <w:adjustRightInd w:val="0"/>
        <w:spacing w:line="312" w:lineRule="auto"/>
        <w:ind w:firstLine="480" w:firstLineChars="200"/>
        <w:jc w:val="left"/>
        <w:rPr>
          <w:sz w:val="24"/>
        </w:rPr>
      </w:pPr>
      <w:r>
        <w:rPr>
          <w:rFonts w:hint="eastAsia"/>
          <w:sz w:val="24"/>
          <w:szCs w:val="68"/>
        </w:rPr>
        <w:t>1.7　</w:t>
      </w:r>
      <w:r>
        <w:rPr>
          <w:rFonts w:hint="eastAsia"/>
          <w:sz w:val="24"/>
        </w:rPr>
        <w:t>按本章要求，中标人需提出合同货物的设计、制造、检验</w:t>
      </w:r>
      <w:r>
        <w:rPr>
          <w:rFonts w:hint="eastAsia"/>
          <w:sz w:val="24"/>
          <w:szCs w:val="68"/>
        </w:rPr>
        <w:t>和</w:t>
      </w:r>
      <w:r>
        <w:rPr>
          <w:rFonts w:hint="eastAsia"/>
          <w:sz w:val="24"/>
        </w:rPr>
        <w:t>试验、装配、安装、调试、试运、验收、试验、运行和维护等标准清单，并获得采购人确认。具体的时间要求为：合同签订后</w:t>
      </w:r>
      <w:r>
        <w:rPr>
          <w:rFonts w:hint="eastAsia"/>
          <w:sz w:val="24"/>
          <w:u w:val="single"/>
        </w:rPr>
        <w:t>　60　</w:t>
      </w:r>
      <w:r>
        <w:rPr>
          <w:rFonts w:hint="eastAsia"/>
          <w:sz w:val="24"/>
        </w:rPr>
        <w:t>天内。</w:t>
      </w:r>
    </w:p>
    <w:p>
      <w:pPr>
        <w:spacing w:line="312" w:lineRule="auto"/>
        <w:ind w:firstLine="482" w:firstLineChars="200"/>
        <w:rPr>
          <w:rFonts w:hint="eastAsia"/>
          <w:b/>
          <w:sz w:val="24"/>
        </w:rPr>
      </w:pPr>
      <w:r>
        <w:rPr>
          <w:rFonts w:hint="eastAsia"/>
          <w:b/>
          <w:sz w:val="24"/>
        </w:rPr>
        <w:t>2　项目概况</w:t>
      </w:r>
      <w:bookmarkStart w:id="430" w:name="_Toc492909722"/>
      <w:bookmarkStart w:id="431" w:name="_Toc533772441"/>
    </w:p>
    <w:p>
      <w:pPr>
        <w:autoSpaceDE w:val="0"/>
        <w:autoSpaceDN w:val="0"/>
        <w:adjustRightInd w:val="0"/>
        <w:spacing w:line="312" w:lineRule="auto"/>
        <w:ind w:firstLine="480" w:firstLineChars="200"/>
        <w:jc w:val="left"/>
        <w:rPr>
          <w:sz w:val="24"/>
        </w:rPr>
      </w:pPr>
      <w:r>
        <w:rPr>
          <w:rFonts w:hint="eastAsia"/>
          <w:sz w:val="24"/>
        </w:rPr>
        <w:t>2.1　建设需求</w:t>
      </w:r>
    </w:p>
    <w:p>
      <w:pPr>
        <w:spacing w:line="400" w:lineRule="exact"/>
        <w:ind w:firstLine="480" w:firstLineChars="200"/>
        <w:rPr>
          <w:rFonts w:hint="eastAsia"/>
          <w:sz w:val="24"/>
        </w:rPr>
      </w:pPr>
      <w:r>
        <w:rPr>
          <w:rFonts w:hint="eastAsia"/>
          <w:sz w:val="24"/>
        </w:rPr>
        <w:t>为贯彻落实省公安厅智慧**建设，扎实推进我局信息化实战**，充分发挥移动**在治安要素管控、信息核查、情报管控、移动指挥体系建设、信息采集等各项公安业务方面的作用，增强基层民警工作水平和实战能力，更好地打击犯罪、服务群众。根据《浙江省公安厅关于印发〈市、县两级公安机关“云上公安、智能防控“第一战略建设第一批任务清单〉的通知》（浙公办[2017]157号）中，关于执法执勤民警用于**活动的移动终端（**通）配备率达到100%的要求。现我局需采购民警移动**终端套餐740台。</w:t>
      </w:r>
    </w:p>
    <w:p>
      <w:pPr>
        <w:autoSpaceDE w:val="0"/>
        <w:autoSpaceDN w:val="0"/>
        <w:adjustRightInd w:val="0"/>
        <w:spacing w:line="312" w:lineRule="auto"/>
        <w:ind w:firstLine="480" w:firstLineChars="200"/>
        <w:jc w:val="left"/>
        <w:rPr>
          <w:rFonts w:hint="eastAsia"/>
          <w:sz w:val="24"/>
        </w:rPr>
      </w:pPr>
      <w:r>
        <w:rPr>
          <w:rFonts w:hint="eastAsia"/>
          <w:sz w:val="24"/>
        </w:rPr>
        <w:t>2.2  建设目的</w:t>
      </w:r>
    </w:p>
    <w:p>
      <w:pPr>
        <w:spacing w:line="400" w:lineRule="exact"/>
        <w:ind w:firstLine="480" w:firstLineChars="200"/>
        <w:rPr>
          <w:rFonts w:hint="eastAsia"/>
          <w:sz w:val="24"/>
        </w:rPr>
      </w:pPr>
      <w:r>
        <w:rPr>
          <w:rFonts w:hint="eastAsia"/>
          <w:sz w:val="24"/>
        </w:rPr>
        <w:t>为适应公安工作的移动性、突发性、紧迫性等特点，公安移动**终端在公安机关和广大干警执行**工作中得到广泛应用，满足基层民警在基础信息采集、重点人员和单位管控、街面巡逻盘查、人员和车辆核查、任务指令接收等移动办公的需求，更好协助侦破案件、抓捕逃犯、核查车辆、打击和预防犯罪。因此，建立移动**系统是公安信息化建设的首要任务。</w:t>
      </w:r>
    </w:p>
    <w:p>
      <w:pPr>
        <w:spacing w:line="312" w:lineRule="auto"/>
        <w:ind w:firstLine="482" w:firstLineChars="200"/>
        <w:rPr>
          <w:rFonts w:hint="eastAsia"/>
          <w:b/>
          <w:sz w:val="24"/>
        </w:rPr>
      </w:pPr>
      <w:r>
        <w:rPr>
          <w:rFonts w:hint="eastAsia"/>
          <w:b/>
          <w:sz w:val="24"/>
        </w:rPr>
        <w:t>2.3  移动**服务建设要求</w:t>
      </w:r>
    </w:p>
    <w:p>
      <w:pPr>
        <w:autoSpaceDE w:val="0"/>
        <w:autoSpaceDN w:val="0"/>
        <w:adjustRightInd w:val="0"/>
        <w:spacing w:line="312" w:lineRule="auto"/>
        <w:ind w:firstLine="482" w:firstLineChars="200"/>
        <w:jc w:val="left"/>
        <w:rPr>
          <w:rFonts w:hint="eastAsia"/>
          <w:b/>
          <w:bCs/>
          <w:color w:val="000000"/>
          <w:sz w:val="24"/>
          <w:szCs w:val="24"/>
          <w:shd w:val="clear" w:color="auto" w:fill="C9E7FF"/>
        </w:rPr>
      </w:pPr>
      <w:r>
        <w:rPr>
          <w:rFonts w:hint="eastAsia"/>
          <w:b/>
          <w:bCs/>
          <w:color w:val="000000"/>
          <w:sz w:val="24"/>
          <w:szCs w:val="24"/>
          <w:shd w:val="clear" w:color="auto" w:fill="C9E7FF"/>
        </w:rPr>
        <w:t>移动应用管理平台已由浙江省公安厅建设完成，我局新采购移动**只</w:t>
      </w:r>
    </w:p>
    <w:p>
      <w:pPr>
        <w:autoSpaceDE w:val="0"/>
        <w:autoSpaceDN w:val="0"/>
        <w:adjustRightInd w:val="0"/>
        <w:spacing w:line="312" w:lineRule="auto"/>
        <w:jc w:val="left"/>
        <w:rPr>
          <w:rFonts w:hint="eastAsia"/>
          <w:b/>
          <w:bCs/>
          <w:color w:val="000000"/>
          <w:sz w:val="24"/>
          <w:szCs w:val="24"/>
        </w:rPr>
      </w:pPr>
      <w:r>
        <w:rPr>
          <w:rFonts w:hint="eastAsia"/>
          <w:b/>
          <w:bCs/>
          <w:color w:val="000000"/>
          <w:sz w:val="24"/>
          <w:szCs w:val="24"/>
          <w:shd w:val="clear" w:color="auto" w:fill="C9E7FF"/>
        </w:rPr>
        <w:t>需要完成接入平台即可使用，不涉及软件及平台建设。</w:t>
      </w:r>
    </w:p>
    <w:p>
      <w:pPr>
        <w:autoSpaceDE w:val="0"/>
        <w:autoSpaceDN w:val="0"/>
        <w:adjustRightInd w:val="0"/>
        <w:spacing w:line="312" w:lineRule="auto"/>
        <w:ind w:firstLine="480" w:firstLineChars="200"/>
        <w:jc w:val="left"/>
        <w:rPr>
          <w:rFonts w:hint="eastAsia"/>
          <w:sz w:val="24"/>
        </w:rPr>
      </w:pPr>
      <w:r>
        <w:rPr>
          <w:rFonts w:hint="eastAsia"/>
          <w:sz w:val="24"/>
        </w:rPr>
        <w:t>2.3.1  移动应用管理平台介绍</w:t>
      </w:r>
    </w:p>
    <w:p>
      <w:pPr>
        <w:autoSpaceDE w:val="0"/>
        <w:autoSpaceDN w:val="0"/>
        <w:adjustRightInd w:val="0"/>
        <w:spacing w:line="312" w:lineRule="auto"/>
        <w:ind w:firstLine="480" w:firstLineChars="200"/>
        <w:jc w:val="left"/>
        <w:rPr>
          <w:rFonts w:hint="eastAsia"/>
          <w:sz w:val="24"/>
        </w:rPr>
      </w:pPr>
      <w:r>
        <w:rPr>
          <w:rFonts w:hint="eastAsia"/>
          <w:sz w:val="24"/>
        </w:rPr>
        <w:t>具有完备的终端安全管控体系服务，安全管控服务客户端内置于终端，支持安全工作系统移动设备，在一台终端上将普通工作系统和安全工作系统分开进行管理，实现对终端的终端管理、用户管理、统计查询、接入管控、应用管理、安全工作系统管理、移动**应用仓库等功能，所有终端经过终端安全管控服务平台认证后才能进入**平台业务系统。</w:t>
      </w:r>
    </w:p>
    <w:p>
      <w:pPr>
        <w:spacing w:line="400" w:lineRule="exact"/>
        <w:ind w:firstLine="482" w:firstLineChars="200"/>
        <w:rPr>
          <w:rFonts w:hint="eastAsia"/>
          <w:b/>
          <w:bCs/>
          <w:sz w:val="24"/>
        </w:rPr>
      </w:pPr>
      <w:r>
        <w:rPr>
          <w:rFonts w:hint="eastAsia"/>
          <w:b/>
          <w:bCs/>
          <w:sz w:val="24"/>
        </w:rPr>
        <w:t>集中部署分级管理</w:t>
      </w:r>
    </w:p>
    <w:p>
      <w:pPr>
        <w:spacing w:line="400" w:lineRule="exact"/>
        <w:ind w:firstLine="480" w:firstLineChars="200"/>
        <w:rPr>
          <w:rFonts w:hint="eastAsia"/>
          <w:sz w:val="24"/>
        </w:rPr>
      </w:pPr>
      <w:r>
        <w:rPr>
          <w:rFonts w:hint="eastAsia"/>
          <w:sz w:val="24"/>
        </w:rPr>
        <w:t>管理平台采用集中部署和分级管理的模式，可以满足集中管理，分级权限设置等多种需求。对于各级管理员，只能查看并管理自己权限范围内设备，上级管理员可对下级所辖设备进行统一管理。</w:t>
      </w:r>
    </w:p>
    <w:p>
      <w:pPr>
        <w:spacing w:line="400" w:lineRule="exact"/>
        <w:ind w:firstLine="480" w:firstLineChars="200"/>
        <w:rPr>
          <w:rFonts w:hint="eastAsia"/>
          <w:sz w:val="24"/>
        </w:rPr>
      </w:pPr>
    </w:p>
    <w:p>
      <w:pPr>
        <w:pStyle w:val="2"/>
        <w:rPr>
          <w:rFonts w:hint="eastAsia"/>
          <w:sz w:val="24"/>
        </w:rPr>
      </w:pPr>
      <w:r>
        <w:drawing>
          <wp:inline distT="0" distB="0" distL="114300" distR="114300">
            <wp:extent cx="5013960" cy="5139055"/>
            <wp:effectExtent l="0" t="0" r="15240" b="0"/>
            <wp:docPr id="2"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72"/>
                    <pic:cNvPicPr>
                      <a:picLocks noChangeAspect="1"/>
                    </pic:cNvPicPr>
                  </pic:nvPicPr>
                  <pic:blipFill>
                    <a:blip r:embed="rId6"/>
                    <a:stretch>
                      <a:fillRect/>
                    </a:stretch>
                  </pic:blipFill>
                  <pic:spPr>
                    <a:xfrm>
                      <a:off x="0" y="0"/>
                      <a:ext cx="5013960" cy="5139055"/>
                    </a:xfrm>
                    <a:prstGeom prst="rect">
                      <a:avLst/>
                    </a:prstGeom>
                    <a:noFill/>
                    <a:ln>
                      <a:noFill/>
                    </a:ln>
                  </pic:spPr>
                </pic:pic>
              </a:graphicData>
            </a:graphic>
          </wp:inline>
        </w:drawing>
      </w:r>
    </w:p>
    <w:p>
      <w:pPr>
        <w:spacing w:line="400" w:lineRule="exact"/>
        <w:ind w:firstLine="480" w:firstLineChars="200"/>
        <w:rPr>
          <w:rFonts w:hint="eastAsia"/>
          <w:sz w:val="24"/>
        </w:rPr>
      </w:pPr>
      <w:r>
        <w:rPr>
          <w:rFonts w:hint="eastAsia"/>
          <w:sz w:val="24"/>
        </w:rPr>
        <w:t>支持纯内网部署模式：在纯内网环境，支持完整的Android设备管理功能</w:t>
      </w:r>
    </w:p>
    <w:p>
      <w:pPr>
        <w:spacing w:line="400" w:lineRule="exact"/>
        <w:ind w:firstLine="480" w:firstLineChars="200"/>
        <w:rPr>
          <w:rFonts w:hint="eastAsia"/>
          <w:sz w:val="24"/>
        </w:rPr>
      </w:pPr>
      <w:r>
        <w:rPr>
          <w:rFonts w:hint="eastAsia"/>
          <w:sz w:val="24"/>
        </w:rPr>
        <w:t>数据库可根据企业要求采用企业内现有的系统</w:t>
      </w:r>
    </w:p>
    <w:p>
      <w:pPr>
        <w:spacing w:line="400" w:lineRule="exact"/>
        <w:ind w:firstLine="480" w:firstLineChars="200"/>
        <w:rPr>
          <w:rFonts w:hint="eastAsia"/>
          <w:sz w:val="24"/>
        </w:rPr>
      </w:pPr>
      <w:r>
        <w:rPr>
          <w:rFonts w:hint="eastAsia"/>
          <w:sz w:val="24"/>
        </w:rPr>
        <w:t>移动设备通过企业内WiFi或者运营商的VPDN企业内网络</w:t>
      </w:r>
    </w:p>
    <w:p>
      <w:pPr>
        <w:spacing w:line="400" w:lineRule="exact"/>
        <w:ind w:firstLine="480" w:firstLineChars="200"/>
        <w:rPr>
          <w:rFonts w:hint="eastAsia"/>
          <w:sz w:val="24"/>
        </w:rPr>
      </w:pPr>
      <w:r>
        <w:rPr>
          <w:rFonts w:hint="eastAsia"/>
          <w:sz w:val="24"/>
        </w:rPr>
        <w:t>移动设备管理平台由MDM服务器（执行服务器）和应用商店服务器（安装服务器）二部分构成。</w:t>
      </w:r>
    </w:p>
    <w:p>
      <w:pPr>
        <w:spacing w:line="400" w:lineRule="exact"/>
        <w:ind w:firstLine="480" w:firstLineChars="200"/>
        <w:rPr>
          <w:rFonts w:hint="eastAsia"/>
          <w:sz w:val="24"/>
        </w:rPr>
      </w:pPr>
      <w:r>
        <w:rPr>
          <w:rFonts w:hint="eastAsia"/>
          <w:sz w:val="24"/>
        </w:rPr>
        <w:t>移动设备均不直接访问后台服务器，由DMZ接入区的接入服务器代理通过路由接入内网区域的管理。</w:t>
      </w:r>
    </w:p>
    <w:p>
      <w:pPr>
        <w:spacing w:line="400" w:lineRule="exact"/>
        <w:ind w:firstLine="480" w:firstLineChars="200"/>
        <w:rPr>
          <w:rFonts w:hint="eastAsia"/>
          <w:sz w:val="24"/>
        </w:rPr>
      </w:pPr>
    </w:p>
    <w:p>
      <w:pPr>
        <w:spacing w:line="400" w:lineRule="exact"/>
        <w:ind w:firstLine="482" w:firstLineChars="200"/>
        <w:rPr>
          <w:rFonts w:hint="eastAsia"/>
          <w:b/>
          <w:bCs/>
          <w:sz w:val="24"/>
        </w:rPr>
      </w:pPr>
      <w:r>
        <w:rPr>
          <w:rFonts w:hint="eastAsia"/>
          <w:b/>
          <w:bCs/>
          <w:sz w:val="24"/>
        </w:rPr>
        <w:t>设备全生命周期管理</w:t>
      </w:r>
    </w:p>
    <w:p>
      <w:pPr>
        <w:spacing w:line="400" w:lineRule="exact"/>
        <w:ind w:firstLine="480" w:firstLineChars="200"/>
        <w:rPr>
          <w:rFonts w:hint="eastAsia"/>
          <w:sz w:val="24"/>
        </w:rPr>
      </w:pPr>
      <w:r>
        <w:rPr>
          <w:rFonts w:hint="eastAsia"/>
          <w:sz w:val="24"/>
        </w:rPr>
        <w:t>移动应用管理平台对从移动终端开始使用到设备退出使用的整个生命周期过程中进行管理，设备生命周期分为启用阶段、使用阶段和退出阶段三部分，在这三阶段的管理内容分别如下：</w:t>
      </w:r>
    </w:p>
    <w:p>
      <w:pPr>
        <w:pStyle w:val="2"/>
        <w:rPr>
          <w:rFonts w:hint="eastAsia"/>
        </w:rPr>
      </w:pPr>
      <w:r>
        <w:drawing>
          <wp:inline distT="0" distB="0" distL="114300" distR="114300">
            <wp:extent cx="5113655" cy="3572510"/>
            <wp:effectExtent l="0" t="0" r="0" b="0"/>
            <wp:docPr id="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5"/>
                    <pic:cNvPicPr>
                      <a:picLocks noChangeAspect="1"/>
                    </pic:cNvPicPr>
                  </pic:nvPicPr>
                  <pic:blipFill>
                    <a:blip r:embed="rId7"/>
                    <a:stretch>
                      <a:fillRect/>
                    </a:stretch>
                  </pic:blipFill>
                  <pic:spPr>
                    <a:xfrm>
                      <a:off x="0" y="0"/>
                      <a:ext cx="5113655" cy="3572510"/>
                    </a:xfrm>
                    <a:prstGeom prst="rect">
                      <a:avLst/>
                    </a:prstGeom>
                    <a:noFill/>
                    <a:ln>
                      <a:noFill/>
                    </a:ln>
                  </pic:spPr>
                </pic:pic>
              </a:graphicData>
            </a:graphic>
          </wp:inline>
        </w:drawing>
      </w:r>
    </w:p>
    <w:p>
      <w:pPr>
        <w:spacing w:line="400" w:lineRule="exact"/>
        <w:ind w:firstLine="480" w:firstLineChars="200"/>
        <w:rPr>
          <w:rFonts w:hint="eastAsia"/>
          <w:sz w:val="24"/>
        </w:rPr>
      </w:pPr>
    </w:p>
    <w:p>
      <w:pPr>
        <w:spacing w:line="400" w:lineRule="exact"/>
        <w:ind w:firstLine="482" w:firstLineChars="200"/>
        <w:rPr>
          <w:rFonts w:hint="eastAsia"/>
          <w:b/>
          <w:bCs/>
          <w:sz w:val="24"/>
        </w:rPr>
      </w:pPr>
      <w:r>
        <w:rPr>
          <w:rFonts w:hint="eastAsia"/>
          <w:b/>
          <w:bCs/>
          <w:sz w:val="24"/>
        </w:rPr>
        <w:t>启用阶段</w:t>
      </w:r>
    </w:p>
    <w:p>
      <w:pPr>
        <w:spacing w:line="400" w:lineRule="exact"/>
        <w:ind w:firstLine="480" w:firstLineChars="200"/>
        <w:rPr>
          <w:rFonts w:hint="eastAsia"/>
          <w:sz w:val="24"/>
        </w:rPr>
      </w:pPr>
      <w:r>
        <w:rPr>
          <w:rFonts w:hint="eastAsia"/>
          <w:sz w:val="24"/>
        </w:rPr>
        <w:t>通过统一注册（包括批量注册和单设备注册）的方式把设备加入到系统。</w:t>
      </w:r>
    </w:p>
    <w:p>
      <w:pPr>
        <w:spacing w:line="400" w:lineRule="exact"/>
        <w:ind w:firstLine="480" w:firstLineChars="200"/>
        <w:rPr>
          <w:rFonts w:hint="eastAsia"/>
          <w:sz w:val="24"/>
        </w:rPr>
      </w:pPr>
      <w:r>
        <w:rPr>
          <w:rFonts w:hint="eastAsia"/>
          <w:sz w:val="24"/>
        </w:rPr>
        <w:t>在注册时或注册后根据浙江省省公安厅内组织架构将移动设备分配给不同的部门或指定的员工。</w:t>
      </w:r>
    </w:p>
    <w:p>
      <w:pPr>
        <w:spacing w:line="400" w:lineRule="exact"/>
        <w:ind w:firstLine="480" w:firstLineChars="200"/>
        <w:rPr>
          <w:rFonts w:hint="eastAsia"/>
          <w:sz w:val="24"/>
        </w:rPr>
      </w:pPr>
      <w:r>
        <w:rPr>
          <w:rFonts w:hint="eastAsia"/>
          <w:sz w:val="24"/>
        </w:rPr>
        <w:t>根据浙江省省公安厅管理技术规范，在设备进行注册时，下发IT管理策略：开机密码规则，无线网络配置，VPN的配置；在应用商店的配合下安装办公软件和应用软件。</w:t>
      </w:r>
    </w:p>
    <w:p>
      <w:pPr>
        <w:spacing w:line="400" w:lineRule="exact"/>
        <w:ind w:firstLine="480" w:firstLineChars="200"/>
        <w:rPr>
          <w:rFonts w:hint="eastAsia"/>
          <w:sz w:val="24"/>
        </w:rPr>
      </w:pPr>
      <w:r>
        <w:rPr>
          <w:rFonts w:hint="eastAsia"/>
          <w:sz w:val="24"/>
        </w:rPr>
        <w:t>系统采用自带加密算法对终端安全工作空间数据进行加密。</w:t>
      </w:r>
    </w:p>
    <w:p>
      <w:pPr>
        <w:spacing w:line="400" w:lineRule="exact"/>
        <w:ind w:firstLine="480" w:firstLineChars="200"/>
        <w:rPr>
          <w:rFonts w:hint="eastAsia"/>
          <w:sz w:val="24"/>
        </w:rPr>
      </w:pPr>
      <w:r>
        <w:rPr>
          <w:rFonts w:hint="eastAsia"/>
          <w:sz w:val="24"/>
        </w:rPr>
        <w:t>在设备进行注册时收集设备的硬件资产信息进行存档。</w:t>
      </w:r>
    </w:p>
    <w:p>
      <w:pPr>
        <w:spacing w:line="400" w:lineRule="exact"/>
        <w:ind w:firstLine="482" w:firstLineChars="200"/>
        <w:rPr>
          <w:rFonts w:hint="eastAsia"/>
          <w:b/>
          <w:bCs/>
          <w:sz w:val="24"/>
        </w:rPr>
      </w:pPr>
      <w:r>
        <w:rPr>
          <w:rFonts w:hint="eastAsia"/>
          <w:b/>
          <w:bCs/>
          <w:sz w:val="24"/>
        </w:rPr>
        <w:t>使用阶段</w:t>
      </w:r>
    </w:p>
    <w:p>
      <w:pPr>
        <w:spacing w:line="400" w:lineRule="exact"/>
        <w:ind w:firstLine="480" w:firstLineChars="200"/>
        <w:rPr>
          <w:rFonts w:hint="eastAsia"/>
          <w:sz w:val="24"/>
        </w:rPr>
      </w:pPr>
      <w:r>
        <w:rPr>
          <w:rFonts w:hint="eastAsia"/>
          <w:sz w:val="24"/>
        </w:rPr>
        <w:t>能够对设备硬件状态是否正常（监测设备有没有被置换）、哪个用户正在使用设备、设备是否越狱、是否有非法安装的应用进行检测，发现异常能够报警提示。报警方式为：系统内异常资产报表中显示。</w:t>
      </w:r>
    </w:p>
    <w:p>
      <w:pPr>
        <w:spacing w:line="400" w:lineRule="exact"/>
        <w:ind w:firstLine="480" w:firstLineChars="200"/>
        <w:rPr>
          <w:rFonts w:hint="eastAsia"/>
          <w:sz w:val="24"/>
        </w:rPr>
      </w:pPr>
      <w:r>
        <w:rPr>
          <w:rFonts w:hint="eastAsia"/>
          <w:sz w:val="24"/>
        </w:rPr>
        <w:t>对已经指定的IT管理策略进行维护（包括：新增、更新、撤销）并及时更新到设备上。</w:t>
      </w:r>
    </w:p>
    <w:p>
      <w:pPr>
        <w:spacing w:line="400" w:lineRule="exact"/>
        <w:ind w:firstLine="480" w:firstLineChars="200"/>
        <w:rPr>
          <w:rFonts w:hint="eastAsia"/>
          <w:sz w:val="24"/>
        </w:rPr>
      </w:pPr>
      <w:r>
        <w:rPr>
          <w:rFonts w:hint="eastAsia"/>
          <w:sz w:val="24"/>
        </w:rPr>
        <w:t>通过应用商店实现应用在设备上进行安装、升级、修改、卸载。</w:t>
      </w:r>
    </w:p>
    <w:p>
      <w:pPr>
        <w:spacing w:line="400" w:lineRule="exact"/>
        <w:ind w:firstLine="480" w:firstLineChars="200"/>
        <w:rPr>
          <w:rFonts w:hint="eastAsia"/>
          <w:sz w:val="24"/>
        </w:rPr>
      </w:pPr>
      <w:r>
        <w:rPr>
          <w:rFonts w:hint="eastAsia"/>
          <w:sz w:val="24"/>
        </w:rPr>
        <w:t>可通过发送指令来对指定的设备进行锁屏、清除密码、擦除数据等操作。</w:t>
      </w:r>
    </w:p>
    <w:p>
      <w:pPr>
        <w:spacing w:line="400" w:lineRule="exact"/>
        <w:ind w:firstLine="480" w:firstLineChars="200"/>
        <w:rPr>
          <w:rFonts w:hint="eastAsia"/>
          <w:sz w:val="24"/>
        </w:rPr>
      </w:pPr>
      <w:r>
        <w:rPr>
          <w:rFonts w:hint="eastAsia"/>
          <w:sz w:val="24"/>
        </w:rPr>
        <w:t>root的设备将禁止安装浙江省省公安厅管理局办公的软件、接入浙江省省公安厅管理局内的网络。</w:t>
      </w:r>
    </w:p>
    <w:p>
      <w:pPr>
        <w:spacing w:line="400" w:lineRule="exact"/>
        <w:ind w:firstLine="480" w:firstLineChars="200"/>
        <w:rPr>
          <w:rFonts w:hint="eastAsia"/>
          <w:sz w:val="24"/>
        </w:rPr>
      </w:pPr>
      <w:r>
        <w:rPr>
          <w:rFonts w:hint="eastAsia"/>
          <w:sz w:val="24"/>
        </w:rPr>
        <w:t>移动设备管理系统的配置文件或客户端被删除后，将删除已安装的浙江省省公安厅内部软件及数据或禁止使用浙江省省公安厅办公软件。</w:t>
      </w:r>
    </w:p>
    <w:p>
      <w:pPr>
        <w:spacing w:line="400" w:lineRule="exact"/>
        <w:ind w:firstLine="480" w:firstLineChars="200"/>
        <w:rPr>
          <w:rFonts w:hint="eastAsia"/>
          <w:sz w:val="24"/>
        </w:rPr>
      </w:pPr>
      <w:r>
        <w:rPr>
          <w:rFonts w:hint="eastAsia"/>
          <w:sz w:val="24"/>
        </w:rPr>
        <w:t>安装未经许可的应用后，一经发现，禁止用户使用浙江省省公安厅办公应用。</w:t>
      </w:r>
    </w:p>
    <w:p>
      <w:pPr>
        <w:spacing w:line="400" w:lineRule="exact"/>
        <w:ind w:firstLine="480" w:firstLineChars="200"/>
        <w:rPr>
          <w:rFonts w:hint="eastAsia"/>
          <w:sz w:val="24"/>
        </w:rPr>
      </w:pPr>
      <w:r>
        <w:rPr>
          <w:rFonts w:hint="eastAsia"/>
          <w:sz w:val="24"/>
        </w:rPr>
        <w:t>根据不同的场景需要用户仅仅使用被允许的功能。</w:t>
      </w:r>
    </w:p>
    <w:p>
      <w:pPr>
        <w:spacing w:line="400" w:lineRule="exact"/>
        <w:ind w:firstLine="480" w:firstLineChars="200"/>
        <w:rPr>
          <w:rFonts w:hint="eastAsia"/>
          <w:sz w:val="24"/>
        </w:rPr>
      </w:pPr>
      <w:r>
        <w:rPr>
          <w:rFonts w:hint="eastAsia"/>
          <w:sz w:val="24"/>
        </w:rPr>
        <w:t>禁止使用设备的数据接口（蓝牙、数据线、USB等外接存储）。</w:t>
      </w:r>
    </w:p>
    <w:p>
      <w:pPr>
        <w:spacing w:line="400" w:lineRule="exact"/>
        <w:ind w:firstLine="480" w:firstLineChars="200"/>
        <w:rPr>
          <w:rFonts w:hint="eastAsia"/>
          <w:sz w:val="24"/>
        </w:rPr>
      </w:pPr>
      <w:r>
        <w:rPr>
          <w:rFonts w:hint="eastAsia"/>
          <w:sz w:val="24"/>
        </w:rPr>
        <w:t>提供对应用管理的黑/白名单方案，即哪些程序允许使用，哪些程序不允许使用。</w:t>
      </w:r>
    </w:p>
    <w:p>
      <w:pPr>
        <w:spacing w:line="400" w:lineRule="exact"/>
        <w:ind w:firstLine="480" w:firstLineChars="200"/>
        <w:rPr>
          <w:rFonts w:hint="eastAsia"/>
          <w:sz w:val="24"/>
        </w:rPr>
      </w:pPr>
      <w:r>
        <w:rPr>
          <w:rFonts w:hint="eastAsia"/>
          <w:sz w:val="24"/>
        </w:rPr>
        <w:t>能够记录设备的使用日志（软件安装、下载次数、下载、安装成功情况等）。</w:t>
      </w:r>
    </w:p>
    <w:p>
      <w:pPr>
        <w:spacing w:line="400" w:lineRule="exact"/>
        <w:ind w:firstLine="480" w:firstLineChars="200"/>
        <w:rPr>
          <w:rFonts w:hint="eastAsia"/>
          <w:sz w:val="24"/>
        </w:rPr>
      </w:pPr>
      <w:r>
        <w:rPr>
          <w:rFonts w:hint="eastAsia"/>
          <w:sz w:val="24"/>
        </w:rPr>
        <w:t>能够记录系统管理员的操作日志。</w:t>
      </w:r>
    </w:p>
    <w:p>
      <w:pPr>
        <w:spacing w:line="400" w:lineRule="exact"/>
        <w:ind w:firstLine="480" w:firstLineChars="200"/>
        <w:rPr>
          <w:rFonts w:hint="eastAsia"/>
          <w:sz w:val="24"/>
        </w:rPr>
      </w:pPr>
      <w:r>
        <w:rPr>
          <w:rFonts w:hint="eastAsia"/>
          <w:sz w:val="24"/>
        </w:rPr>
        <w:t>终端策略可批量发送</w:t>
      </w:r>
    </w:p>
    <w:p>
      <w:pPr>
        <w:spacing w:line="400" w:lineRule="exact"/>
        <w:ind w:firstLine="480" w:firstLineChars="200"/>
        <w:rPr>
          <w:rFonts w:hint="eastAsia"/>
          <w:sz w:val="24"/>
        </w:rPr>
      </w:pPr>
      <w:r>
        <w:rPr>
          <w:rFonts w:hint="eastAsia"/>
          <w:sz w:val="24"/>
        </w:rPr>
        <w:t>对不在线终端，可实现终端上线后自动发送相应策略。</w:t>
      </w:r>
    </w:p>
    <w:p>
      <w:pPr>
        <w:spacing w:line="400" w:lineRule="exact"/>
        <w:ind w:firstLine="482" w:firstLineChars="200"/>
        <w:rPr>
          <w:rFonts w:hint="eastAsia"/>
          <w:b/>
          <w:bCs/>
          <w:sz w:val="24"/>
        </w:rPr>
      </w:pPr>
      <w:r>
        <w:rPr>
          <w:rFonts w:hint="eastAsia"/>
          <w:b/>
          <w:bCs/>
          <w:sz w:val="24"/>
        </w:rPr>
        <w:t>退出阶段</w:t>
      </w:r>
    </w:p>
    <w:p>
      <w:pPr>
        <w:spacing w:line="400" w:lineRule="exact"/>
        <w:ind w:firstLine="480" w:firstLineChars="200"/>
        <w:rPr>
          <w:rFonts w:hint="eastAsia"/>
          <w:sz w:val="24"/>
        </w:rPr>
      </w:pPr>
      <w:r>
        <w:rPr>
          <w:rFonts w:hint="eastAsia"/>
          <w:sz w:val="24"/>
        </w:rPr>
        <w:t>当设备丢失或被盗，将擦除设备上的数据，对设备进行恢复到出厂设置。</w:t>
      </w:r>
    </w:p>
    <w:p>
      <w:pPr>
        <w:spacing w:line="400" w:lineRule="exact"/>
        <w:ind w:firstLine="480" w:firstLineChars="200"/>
        <w:rPr>
          <w:rFonts w:hint="eastAsia"/>
          <w:sz w:val="24"/>
        </w:rPr>
      </w:pPr>
      <w:r>
        <w:rPr>
          <w:rFonts w:hint="eastAsia"/>
          <w:sz w:val="24"/>
        </w:rPr>
        <w:t>当设备使用者离职，将擦除设备上的数据，对设备进行恢复到出厂设置，供其他人员继续使用。</w:t>
      </w:r>
    </w:p>
    <w:p>
      <w:pPr>
        <w:spacing w:line="400" w:lineRule="exact"/>
        <w:ind w:firstLine="480" w:firstLineChars="200"/>
        <w:rPr>
          <w:rFonts w:hint="eastAsia"/>
          <w:sz w:val="24"/>
        </w:rPr>
      </w:pPr>
      <w:r>
        <w:rPr>
          <w:rFonts w:hint="eastAsia"/>
          <w:sz w:val="24"/>
        </w:rPr>
        <w:t>当设备寿命到期，将擦除设备上的数据，对设备进行恢复到出厂设置后，交由相关部门处理。</w:t>
      </w:r>
    </w:p>
    <w:p>
      <w:pPr>
        <w:spacing w:line="400" w:lineRule="exact"/>
        <w:ind w:firstLine="480" w:firstLineChars="200"/>
        <w:rPr>
          <w:rFonts w:hint="eastAsia"/>
          <w:sz w:val="24"/>
        </w:rPr>
      </w:pPr>
      <w:r>
        <w:rPr>
          <w:rFonts w:hint="eastAsia"/>
          <w:sz w:val="24"/>
        </w:rPr>
        <w:t>设备从本系统退出后，将无法使用应用商店的功能。</w:t>
      </w:r>
    </w:p>
    <w:p>
      <w:pPr>
        <w:spacing w:line="400" w:lineRule="exact"/>
        <w:ind w:firstLine="480" w:firstLineChars="200"/>
        <w:rPr>
          <w:rFonts w:hint="eastAsia"/>
          <w:sz w:val="24"/>
        </w:rPr>
      </w:pPr>
      <w:r>
        <w:rPr>
          <w:rFonts w:hint="eastAsia"/>
          <w:sz w:val="24"/>
        </w:rPr>
        <w:t>设备退出时可自动删除配置、应用或数据。</w:t>
      </w:r>
    </w:p>
    <w:p>
      <w:pPr>
        <w:spacing w:line="400" w:lineRule="exact"/>
        <w:ind w:firstLine="482" w:firstLineChars="200"/>
        <w:rPr>
          <w:rFonts w:hint="eastAsia"/>
          <w:b/>
          <w:bCs/>
          <w:sz w:val="24"/>
        </w:rPr>
      </w:pPr>
      <w:r>
        <w:rPr>
          <w:rFonts w:hint="eastAsia"/>
          <w:b/>
          <w:bCs/>
          <w:sz w:val="24"/>
        </w:rPr>
        <w:t>客户化定制服务</w:t>
      </w:r>
    </w:p>
    <w:p>
      <w:pPr>
        <w:spacing w:line="400" w:lineRule="exact"/>
        <w:ind w:firstLine="480" w:firstLineChars="200"/>
        <w:rPr>
          <w:rFonts w:hint="eastAsia"/>
          <w:sz w:val="24"/>
        </w:rPr>
      </w:pPr>
      <w:r>
        <w:rPr>
          <w:rFonts w:hint="eastAsia"/>
          <w:sz w:val="24"/>
        </w:rPr>
        <w:t>针对采购方实际工作需求，管理平台可提供定制化服务，并通过开放的 API 与其他业务系统整合，提高应用的安全性和可管理性：</w:t>
      </w:r>
    </w:p>
    <w:p>
      <w:pPr>
        <w:spacing w:line="400" w:lineRule="exact"/>
        <w:ind w:firstLine="480" w:firstLineChars="200"/>
        <w:rPr>
          <w:rFonts w:hint="eastAsia"/>
          <w:sz w:val="24"/>
        </w:rPr>
      </w:pPr>
      <w:r>
        <w:rPr>
          <w:rFonts w:hint="eastAsia"/>
          <w:sz w:val="24"/>
        </w:rPr>
        <w:t>部署定制化：可根据采购方的需求提供规模部署；</w:t>
      </w:r>
    </w:p>
    <w:p>
      <w:pPr>
        <w:spacing w:line="400" w:lineRule="exact"/>
        <w:ind w:firstLine="480" w:firstLineChars="200"/>
        <w:rPr>
          <w:rFonts w:hint="eastAsia"/>
          <w:sz w:val="24"/>
        </w:rPr>
      </w:pPr>
      <w:r>
        <w:rPr>
          <w:rFonts w:hint="eastAsia"/>
          <w:sz w:val="24"/>
        </w:rPr>
        <w:t>可定制管理平台界面：根据使用需求提供不同的界面风格；</w:t>
      </w:r>
    </w:p>
    <w:p>
      <w:pPr>
        <w:spacing w:line="400" w:lineRule="exact"/>
        <w:ind w:firstLine="480" w:firstLineChars="200"/>
        <w:rPr>
          <w:rFonts w:hint="eastAsia"/>
          <w:sz w:val="24"/>
        </w:rPr>
      </w:pPr>
      <w:r>
        <w:rPr>
          <w:rFonts w:hint="eastAsia"/>
          <w:sz w:val="24"/>
        </w:rPr>
        <w:t>可定制管理功能和流程；</w:t>
      </w:r>
    </w:p>
    <w:p>
      <w:pPr>
        <w:spacing w:line="400" w:lineRule="exact"/>
        <w:ind w:firstLine="480" w:firstLineChars="200"/>
        <w:rPr>
          <w:rFonts w:hint="eastAsia"/>
          <w:sz w:val="24"/>
        </w:rPr>
      </w:pPr>
      <w:r>
        <w:rPr>
          <w:rFonts w:hint="eastAsia"/>
          <w:sz w:val="24"/>
        </w:rPr>
        <w:t>可定制设备激活方式；</w:t>
      </w:r>
    </w:p>
    <w:p>
      <w:pPr>
        <w:spacing w:line="400" w:lineRule="exact"/>
        <w:ind w:firstLine="480" w:firstLineChars="200"/>
        <w:rPr>
          <w:rFonts w:hint="eastAsia"/>
          <w:sz w:val="24"/>
        </w:rPr>
      </w:pPr>
      <w:r>
        <w:rPr>
          <w:rFonts w:hint="eastAsia"/>
          <w:sz w:val="24"/>
        </w:rPr>
        <w:t>可定制应用仓库。</w:t>
      </w:r>
    </w:p>
    <w:p>
      <w:pPr>
        <w:spacing w:line="400" w:lineRule="exact"/>
        <w:ind w:firstLine="482" w:firstLineChars="200"/>
        <w:rPr>
          <w:rFonts w:hint="eastAsia"/>
          <w:b/>
          <w:bCs/>
          <w:sz w:val="24"/>
        </w:rPr>
      </w:pPr>
      <w:r>
        <w:rPr>
          <w:rFonts w:hint="eastAsia"/>
          <w:b/>
          <w:bCs/>
          <w:sz w:val="24"/>
        </w:rPr>
        <w:t>终端注册</w:t>
      </w:r>
    </w:p>
    <w:p>
      <w:pPr>
        <w:spacing w:line="400" w:lineRule="exact"/>
        <w:ind w:firstLine="480" w:firstLineChars="200"/>
        <w:rPr>
          <w:rFonts w:hint="eastAsia"/>
          <w:sz w:val="24"/>
        </w:rPr>
      </w:pPr>
      <w:r>
        <w:rPr>
          <w:rFonts w:hint="eastAsia"/>
          <w:sz w:val="24"/>
        </w:rPr>
        <w:t>通过统一注册的方式把设备加入到系统，可采取自助注册或管理员配置注册,以身份证号作为用户管理的主键，设备激活成功后，终端需将获取到的终端IMEI号、MSI号等数据上报给管理平台，管理平台可根据用户组信息开展统计查询；未注册的设备禁止使用资源。</w:t>
      </w:r>
    </w:p>
    <w:p>
      <w:pPr>
        <w:spacing w:line="400" w:lineRule="exact"/>
        <w:ind w:firstLine="480" w:firstLineChars="200"/>
        <w:rPr>
          <w:rFonts w:hint="eastAsia"/>
          <w:sz w:val="24"/>
        </w:rPr>
      </w:pPr>
      <w:r>
        <w:rPr>
          <w:rFonts w:hint="eastAsia"/>
          <w:sz w:val="24"/>
        </w:rPr>
        <w:t>管理员在后台工作界面进行批量导入人员信息操作。首先完成EXCEL表的数据录入，然后上传，完成人员导入。单用户添加需要在后台录入终端IMEI、SIM卡IMSI等信息，完成人员录入。</w:t>
      </w:r>
    </w:p>
    <w:p>
      <w:pPr>
        <w:rPr>
          <w:rFonts w:hint="eastAsia"/>
        </w:rPr>
      </w:pPr>
      <w:r>
        <w:drawing>
          <wp:inline distT="0" distB="0" distL="114300" distR="114300">
            <wp:extent cx="5615940" cy="960755"/>
            <wp:effectExtent l="0" t="0" r="3810" b="10795"/>
            <wp:docPr id="4" name="图片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82"/>
                    <pic:cNvPicPr>
                      <a:picLocks noChangeAspect="1"/>
                    </pic:cNvPicPr>
                  </pic:nvPicPr>
                  <pic:blipFill>
                    <a:blip r:embed="rId8"/>
                    <a:stretch>
                      <a:fillRect/>
                    </a:stretch>
                  </pic:blipFill>
                  <pic:spPr>
                    <a:xfrm>
                      <a:off x="0" y="0"/>
                      <a:ext cx="5615940" cy="960755"/>
                    </a:xfrm>
                    <a:prstGeom prst="rect">
                      <a:avLst/>
                    </a:prstGeom>
                    <a:noFill/>
                    <a:ln>
                      <a:noFill/>
                    </a:ln>
                  </pic:spPr>
                </pic:pic>
              </a:graphicData>
            </a:graphic>
          </wp:inline>
        </w:drawing>
      </w:r>
    </w:p>
    <w:p>
      <w:pPr>
        <w:spacing w:line="400" w:lineRule="exact"/>
        <w:rPr>
          <w:rFonts w:hint="eastAsia"/>
          <w:sz w:val="24"/>
        </w:rPr>
      </w:pPr>
      <w:r>
        <w:rPr>
          <w:rFonts w:hint="eastAsia"/>
          <w:sz w:val="24"/>
        </w:rPr>
        <w:t>批量导入用户功能界面如下图所示：</w:t>
      </w:r>
    </w:p>
    <w:p>
      <w:pPr>
        <w:pStyle w:val="2"/>
      </w:pPr>
      <w:r>
        <w:drawing>
          <wp:inline distT="0" distB="0" distL="114300" distR="114300">
            <wp:extent cx="5464175" cy="1186815"/>
            <wp:effectExtent l="0" t="0" r="3175" b="13335"/>
            <wp:docPr id="5" name="图片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4"/>
                    <pic:cNvPicPr>
                      <a:picLocks noChangeAspect="1"/>
                    </pic:cNvPicPr>
                  </pic:nvPicPr>
                  <pic:blipFill>
                    <a:blip r:embed="rId9"/>
                    <a:stretch>
                      <a:fillRect/>
                    </a:stretch>
                  </pic:blipFill>
                  <pic:spPr>
                    <a:xfrm>
                      <a:off x="0" y="0"/>
                      <a:ext cx="5464175" cy="1186815"/>
                    </a:xfrm>
                    <a:prstGeom prst="rect">
                      <a:avLst/>
                    </a:prstGeom>
                    <a:noFill/>
                    <a:ln>
                      <a:noFill/>
                    </a:ln>
                  </pic:spPr>
                </pic:pic>
              </a:graphicData>
            </a:graphic>
          </wp:inline>
        </w:drawing>
      </w:r>
    </w:p>
    <w:p>
      <w:pPr>
        <w:pStyle w:val="2"/>
      </w:pPr>
      <w:r>
        <w:drawing>
          <wp:inline distT="0" distB="0" distL="114300" distR="114300">
            <wp:extent cx="5615940" cy="1324610"/>
            <wp:effectExtent l="0" t="0" r="3810" b="8890"/>
            <wp:docPr id="6"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3"/>
                    <pic:cNvPicPr>
                      <a:picLocks noChangeAspect="1"/>
                    </pic:cNvPicPr>
                  </pic:nvPicPr>
                  <pic:blipFill>
                    <a:blip r:embed="rId10"/>
                    <a:stretch>
                      <a:fillRect/>
                    </a:stretch>
                  </pic:blipFill>
                  <pic:spPr>
                    <a:xfrm>
                      <a:off x="0" y="0"/>
                      <a:ext cx="5615940" cy="1324610"/>
                    </a:xfrm>
                    <a:prstGeom prst="rect">
                      <a:avLst/>
                    </a:prstGeom>
                    <a:noFill/>
                    <a:ln>
                      <a:noFill/>
                    </a:ln>
                  </pic:spPr>
                </pic:pic>
              </a:graphicData>
            </a:graphic>
          </wp:inline>
        </w:drawing>
      </w:r>
    </w:p>
    <w:p>
      <w:pPr>
        <w:pStyle w:val="2"/>
        <w:rPr>
          <w:rFonts w:hint="eastAsia"/>
          <w:sz w:val="24"/>
        </w:rPr>
      </w:pPr>
      <w:r>
        <w:rPr>
          <w:rFonts w:hint="eastAsia"/>
          <w:sz w:val="24"/>
        </w:rPr>
        <w:t>单用户添加功能界面如下图所示：</w:t>
      </w:r>
    </w:p>
    <w:p>
      <w:pPr>
        <w:pStyle w:val="2"/>
        <w:rPr>
          <w:rFonts w:hint="eastAsia"/>
        </w:rPr>
      </w:pPr>
      <w:r>
        <w:drawing>
          <wp:inline distT="0" distB="0" distL="114300" distR="114300">
            <wp:extent cx="3352800" cy="2785745"/>
            <wp:effectExtent l="137160" t="137160" r="148590" b="144145"/>
            <wp:docPr id="14"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8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3986674" cy="3312308"/>
                    </a:xfrm>
                    <a:prstGeom prst="rect">
                      <a:avLst/>
                    </a:prstGeom>
                    <a:solidFill>
                      <a:srgbClr val="FFFFFF">
                        <a:shade val="85000"/>
                      </a:srgbClr>
                    </a:solidFill>
                    <a:ln w="190500" cap="rnd">
                      <a:solidFill>
                        <a:srgbClr val="FFFFFF"/>
                      </a:solidFill>
                    </a:ln>
                    <a:effectLst>
                      <a:outerShdw blurRad="50000" algn="tl" rotWithShape="0">
                        <a:srgbClr val="000000">
                          <a:alpha val="41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pPr>
        <w:spacing w:line="400" w:lineRule="exact"/>
        <w:ind w:firstLine="482" w:firstLineChars="200"/>
        <w:rPr>
          <w:rFonts w:hint="eastAsia"/>
          <w:b/>
          <w:bCs/>
          <w:sz w:val="24"/>
        </w:rPr>
      </w:pPr>
      <w:r>
        <w:rPr>
          <w:rFonts w:hint="eastAsia"/>
          <w:b/>
          <w:bCs/>
          <w:sz w:val="24"/>
        </w:rPr>
        <w:t>终端激活</w:t>
      </w:r>
    </w:p>
    <w:p>
      <w:pPr>
        <w:spacing w:line="400" w:lineRule="exact"/>
        <w:ind w:firstLine="480" w:firstLineChars="200"/>
        <w:rPr>
          <w:rFonts w:hint="eastAsia"/>
          <w:sz w:val="24"/>
        </w:rPr>
      </w:pPr>
      <w:r>
        <w:rPr>
          <w:rFonts w:hint="eastAsia"/>
          <w:sz w:val="24"/>
        </w:rPr>
        <w:t>终端插入SIM卡后开机，出线注册界面。终端通过扫描注册二维码，安全管控服务平台审核终端注册信息，并验证后台导入相关的用户信息、SIM卡(IMSI)等验证后，进行关联绑定，激活设备，启用设备。如果验证失败，则终端无法接入工作模式或强制密码锁定终端。</w:t>
      </w:r>
    </w:p>
    <w:p>
      <w:pPr>
        <w:spacing w:line="400" w:lineRule="exact"/>
        <w:ind w:firstLine="480" w:firstLineChars="200"/>
        <w:rPr>
          <w:rFonts w:hint="eastAsia"/>
          <w:sz w:val="24"/>
        </w:rPr>
      </w:pPr>
      <w:r>
        <w:rPr>
          <w:rFonts w:hint="eastAsia"/>
          <w:sz w:val="24"/>
        </w:rPr>
        <w:t>三卡绑定</w:t>
      </w:r>
    </w:p>
    <w:p>
      <w:pPr>
        <w:spacing w:line="400" w:lineRule="exact"/>
        <w:ind w:firstLine="480" w:firstLineChars="200"/>
        <w:rPr>
          <w:rFonts w:hint="eastAsia"/>
          <w:sz w:val="24"/>
        </w:rPr>
      </w:pPr>
      <w:r>
        <w:rPr>
          <w:rFonts w:hint="eastAsia"/>
          <w:sz w:val="24"/>
        </w:rPr>
        <w:t>管理平台根据注册终端当前使用的SIM卡自动进行SIM卡、终端、加密号之间的三卡绑定。在每次终端启动时检查设定终端IMEI号、加密号、SIM卡号与服务器的绑定情况，一旦发现不一致，则禁止终端接入安全域管理平台或设定强制密码锁定终端，并发送相关信息给管理平台，从而防止终端的违规使用导致信息泄露的情况。</w:t>
      </w:r>
    </w:p>
    <w:p>
      <w:pPr>
        <w:spacing w:line="400" w:lineRule="exact"/>
        <w:ind w:firstLine="480" w:firstLineChars="200"/>
        <w:rPr>
          <w:rFonts w:hint="eastAsia"/>
          <w:sz w:val="24"/>
        </w:rPr>
      </w:pPr>
      <w:r>
        <w:rPr>
          <w:rFonts w:hint="eastAsia"/>
          <w:sz w:val="24"/>
        </w:rPr>
        <w:t>如终端更换SIM卡后触发终端锁定，平台监控信息如下：</w:t>
      </w:r>
    </w:p>
    <w:p>
      <w:pPr>
        <w:rPr>
          <w:rFonts w:hint="eastAsia"/>
          <w:sz w:val="24"/>
        </w:rPr>
      </w:pPr>
      <w:r>
        <w:rPr>
          <w:rFonts w:hint="eastAsia"/>
          <w:sz w:val="24"/>
        </w:rPr>
        <w:drawing>
          <wp:inline distT="0" distB="0" distL="114300" distR="114300">
            <wp:extent cx="5242560" cy="1713865"/>
            <wp:effectExtent l="0" t="0" r="15240" b="635"/>
            <wp:docPr id="7" name="图片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4"/>
                    <pic:cNvPicPr>
                      <a:picLocks noChangeAspect="1"/>
                    </pic:cNvPicPr>
                  </pic:nvPicPr>
                  <pic:blipFill>
                    <a:blip r:embed="rId12"/>
                    <a:stretch>
                      <a:fillRect/>
                    </a:stretch>
                  </pic:blipFill>
                  <pic:spPr>
                    <a:xfrm>
                      <a:off x="0" y="0"/>
                      <a:ext cx="5242560" cy="1713865"/>
                    </a:xfrm>
                    <a:prstGeom prst="rect">
                      <a:avLst/>
                    </a:prstGeom>
                    <a:noFill/>
                    <a:ln>
                      <a:noFill/>
                    </a:ln>
                  </pic:spPr>
                </pic:pic>
              </a:graphicData>
            </a:graphic>
          </wp:inline>
        </w:drawing>
      </w:r>
    </w:p>
    <w:p>
      <w:pPr>
        <w:spacing w:line="400" w:lineRule="exact"/>
        <w:ind w:firstLine="480" w:firstLineChars="200"/>
        <w:rPr>
          <w:rFonts w:hint="eastAsia"/>
          <w:sz w:val="24"/>
        </w:rPr>
      </w:pPr>
      <w:r>
        <w:rPr>
          <w:rFonts w:hint="eastAsia"/>
          <w:sz w:val="24"/>
        </w:rPr>
        <w:t>终端状态如下图所示：</w:t>
      </w:r>
    </w:p>
    <w:p>
      <w:pPr>
        <w:pStyle w:val="2"/>
        <w:rPr>
          <w:rFonts w:hint="eastAsia"/>
        </w:rPr>
      </w:pPr>
      <w:r>
        <w:drawing>
          <wp:inline distT="0" distB="0" distL="114300" distR="114300">
            <wp:extent cx="1974850" cy="3054985"/>
            <wp:effectExtent l="0" t="0" r="6350" b="12065"/>
            <wp:docPr id="8"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6"/>
                    <pic:cNvPicPr>
                      <a:picLocks noChangeAspect="1"/>
                    </pic:cNvPicPr>
                  </pic:nvPicPr>
                  <pic:blipFill>
                    <a:blip r:embed="rId13"/>
                    <a:stretch>
                      <a:fillRect/>
                    </a:stretch>
                  </pic:blipFill>
                  <pic:spPr>
                    <a:xfrm>
                      <a:off x="0" y="0"/>
                      <a:ext cx="1974850" cy="3054985"/>
                    </a:xfrm>
                    <a:prstGeom prst="rect">
                      <a:avLst/>
                    </a:prstGeom>
                    <a:noFill/>
                    <a:ln>
                      <a:noFill/>
                    </a:ln>
                  </pic:spPr>
                </pic:pic>
              </a:graphicData>
            </a:graphic>
          </wp:inline>
        </w:drawing>
      </w:r>
    </w:p>
    <w:p>
      <w:pPr>
        <w:spacing w:line="400" w:lineRule="exact"/>
        <w:ind w:firstLine="482" w:firstLineChars="200"/>
        <w:rPr>
          <w:rFonts w:hint="eastAsia"/>
          <w:b/>
          <w:bCs/>
          <w:sz w:val="24"/>
        </w:rPr>
      </w:pPr>
      <w:r>
        <w:rPr>
          <w:rFonts w:hint="eastAsia"/>
          <w:b/>
          <w:bCs/>
          <w:sz w:val="24"/>
        </w:rPr>
        <w:t>终端解锁</w:t>
      </w:r>
    </w:p>
    <w:p>
      <w:pPr>
        <w:spacing w:line="400" w:lineRule="exact"/>
        <w:ind w:firstLine="480" w:firstLineChars="200"/>
        <w:rPr>
          <w:rFonts w:hint="eastAsia"/>
          <w:sz w:val="24"/>
        </w:rPr>
      </w:pPr>
      <w:r>
        <w:rPr>
          <w:rFonts w:hint="eastAsia"/>
          <w:sz w:val="24"/>
        </w:rPr>
        <w:t>当终端丢失或者出现异常情况下，管理员可以通过管理平台远程锁定终端，锁定后的终端无法正常使用各项功能，包括拨打、接听电话，发送短信、使用App，当确定终端正常后可发送解锁命令给终端设备，激活启用终端设备。</w:t>
      </w:r>
    </w:p>
    <w:p>
      <w:pPr>
        <w:pStyle w:val="2"/>
        <w:rPr>
          <w:rFonts w:hint="eastAsia"/>
        </w:rPr>
      </w:pPr>
      <w:r>
        <w:drawing>
          <wp:inline distT="0" distB="0" distL="114300" distR="114300">
            <wp:extent cx="5615940" cy="1518920"/>
            <wp:effectExtent l="9525" t="9525" r="13335" b="14605"/>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pic:cNvPicPr>
                  </pic:nvPicPr>
                  <pic:blipFill>
                    <a:blip r:embed="rId14"/>
                    <a:stretch>
                      <a:fillRect/>
                    </a:stretch>
                  </pic:blipFill>
                  <pic:spPr>
                    <a:xfrm>
                      <a:off x="0" y="0"/>
                      <a:ext cx="5615940" cy="1518920"/>
                    </a:xfrm>
                    <a:prstGeom prst="rect">
                      <a:avLst/>
                    </a:prstGeom>
                    <a:noFill/>
                    <a:ln w="9525" cap="flat" cmpd="sng">
                      <a:solidFill>
                        <a:srgbClr val="000000"/>
                      </a:solidFill>
                      <a:prstDash val="solid"/>
                      <a:round/>
                      <a:headEnd type="none" w="med" len="med"/>
                      <a:tailEnd type="none" w="med" len="med"/>
                    </a:ln>
                  </pic:spPr>
                </pic:pic>
              </a:graphicData>
            </a:graphic>
          </wp:inline>
        </w:drawing>
      </w:r>
    </w:p>
    <w:p>
      <w:pPr>
        <w:spacing w:line="400" w:lineRule="exact"/>
        <w:ind w:firstLine="482" w:firstLineChars="200"/>
        <w:rPr>
          <w:rFonts w:hint="eastAsia"/>
          <w:b/>
          <w:bCs/>
          <w:sz w:val="24"/>
        </w:rPr>
      </w:pPr>
      <w:r>
        <w:rPr>
          <w:rFonts w:hint="eastAsia"/>
          <w:b/>
          <w:bCs/>
          <w:sz w:val="24"/>
        </w:rPr>
        <w:t>终端挂失</w:t>
      </w:r>
    </w:p>
    <w:p>
      <w:pPr>
        <w:spacing w:line="400" w:lineRule="exact"/>
        <w:ind w:firstLine="480" w:firstLineChars="200"/>
        <w:rPr>
          <w:rFonts w:hint="eastAsia"/>
          <w:sz w:val="24"/>
        </w:rPr>
      </w:pPr>
      <w:r>
        <w:rPr>
          <w:rFonts w:hint="eastAsia"/>
          <w:sz w:val="24"/>
        </w:rPr>
        <w:t>终端发生丢失时，后台支持远程擦除终端数据，并解除人员、终端、SIM卡绑定关系。如下图所示，当手机丢失后，可在后台将手机设置为丢失，进行恢复出厂设置，避免手机丢失导致数据泄漏。</w:t>
      </w:r>
    </w:p>
    <w:p>
      <w:pPr>
        <w:spacing w:line="400" w:lineRule="exact"/>
        <w:ind w:firstLine="402" w:firstLineChars="200"/>
        <w:rPr>
          <w:rFonts w:hint="eastAsia"/>
          <w:b/>
          <w:bCs/>
          <w:sz w:val="24"/>
        </w:rPr>
      </w:pPr>
      <w:r>
        <w:rPr>
          <w:b/>
          <w:bCs/>
        </w:rPr>
        <w:drawing>
          <wp:anchor distT="0" distB="0" distL="114300" distR="114300" simplePos="0" relativeHeight="251659264" behindDoc="1" locked="0" layoutInCell="1" allowOverlap="1">
            <wp:simplePos x="0" y="0"/>
            <wp:positionH relativeFrom="column">
              <wp:posOffset>-33655</wp:posOffset>
            </wp:positionH>
            <wp:positionV relativeFrom="paragraph">
              <wp:posOffset>246380</wp:posOffset>
            </wp:positionV>
            <wp:extent cx="5615940" cy="485775"/>
            <wp:effectExtent l="9525" t="9525" r="13335" b="19050"/>
            <wp:wrapTight wrapText="bothSides">
              <wp:wrapPolygon>
                <wp:start x="21592" y="-2"/>
                <wp:lineTo x="0" y="0"/>
                <wp:lineTo x="0" y="21600"/>
                <wp:lineTo x="21592" y="21602"/>
                <wp:lineTo x="8" y="21602"/>
                <wp:lineTo x="21600" y="21600"/>
                <wp:lineTo x="21600" y="0"/>
                <wp:lineTo x="8" y="-2"/>
                <wp:lineTo x="21592" y="-2"/>
              </wp:wrapPolygon>
            </wp:wrapTight>
            <wp:docPr id="1"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8"/>
                    <pic:cNvPicPr>
                      <a:picLocks noChangeAspect="1"/>
                    </pic:cNvPicPr>
                  </pic:nvPicPr>
                  <pic:blipFill>
                    <a:blip r:embed="rId15"/>
                    <a:stretch>
                      <a:fillRect/>
                    </a:stretch>
                  </pic:blipFill>
                  <pic:spPr>
                    <a:xfrm>
                      <a:off x="0" y="0"/>
                      <a:ext cx="5615940" cy="485775"/>
                    </a:xfrm>
                    <a:prstGeom prst="rect">
                      <a:avLst/>
                    </a:prstGeom>
                    <a:noFill/>
                    <a:ln w="3175" cap="flat" cmpd="sng">
                      <a:solidFill>
                        <a:srgbClr val="000000"/>
                      </a:solidFill>
                      <a:prstDash val="solid"/>
                      <a:round/>
                      <a:headEnd type="none" w="med" len="med"/>
                      <a:tailEnd type="none" w="med" len="med"/>
                    </a:ln>
                  </pic:spPr>
                </pic:pic>
              </a:graphicData>
            </a:graphic>
          </wp:anchor>
        </w:drawing>
      </w:r>
      <w:r>
        <w:rPr>
          <w:rFonts w:hint="eastAsia"/>
          <w:b/>
          <w:bCs/>
          <w:sz w:val="24"/>
        </w:rPr>
        <w:t>终端解绑</w:t>
      </w:r>
    </w:p>
    <w:p>
      <w:pPr>
        <w:spacing w:line="400" w:lineRule="exact"/>
        <w:ind w:firstLine="480" w:firstLineChars="200"/>
        <w:rPr>
          <w:rFonts w:hint="eastAsia"/>
          <w:sz w:val="24"/>
        </w:rPr>
      </w:pPr>
      <w:r>
        <w:rPr>
          <w:rFonts w:hint="eastAsia"/>
          <w:sz w:val="24"/>
        </w:rPr>
        <w:t>管理平台可以解除不符合条件的终端以及有待注销淘汰的终端与平台的绑定关系。解绑后，终端不可接入管理平台，以及限制访问公安相关网络资源等。解绑手机可直接在平台上操作，注销后手机解除管理状态，清空管理指令，手机可以重复使用。</w:t>
      </w:r>
    </w:p>
    <w:p>
      <w:pPr>
        <w:spacing w:line="400" w:lineRule="exact"/>
        <w:ind w:firstLine="482" w:firstLineChars="200"/>
        <w:rPr>
          <w:rFonts w:hint="eastAsia"/>
          <w:b/>
          <w:bCs/>
          <w:sz w:val="24"/>
        </w:rPr>
      </w:pPr>
      <w:r>
        <w:rPr>
          <w:rFonts w:hint="eastAsia"/>
          <w:b/>
          <w:bCs/>
          <w:sz w:val="24"/>
        </w:rPr>
        <w:t>终端资产查询</w:t>
      </w:r>
    </w:p>
    <w:p>
      <w:pPr>
        <w:spacing w:line="400" w:lineRule="exact"/>
        <w:ind w:firstLine="480" w:firstLineChars="200"/>
        <w:rPr>
          <w:rFonts w:hint="eastAsia"/>
          <w:sz w:val="24"/>
        </w:rPr>
      </w:pPr>
      <w:r>
        <w:rPr>
          <w:rFonts w:hint="eastAsia"/>
          <w:sz w:val="24"/>
        </w:rPr>
        <w:t>可是根据关键字、终端品牌、单位查询终端资产信息。</w:t>
      </w:r>
    </w:p>
    <w:p>
      <w:pPr>
        <w:spacing w:line="400" w:lineRule="exact"/>
        <w:ind w:firstLine="482" w:firstLineChars="200"/>
        <w:rPr>
          <w:rFonts w:hint="eastAsia"/>
          <w:b/>
          <w:bCs/>
          <w:sz w:val="24"/>
        </w:rPr>
      </w:pPr>
      <w:r>
        <w:rPr>
          <w:rFonts w:hint="eastAsia"/>
          <w:b/>
          <w:bCs/>
          <w:sz w:val="24"/>
        </w:rPr>
        <w:t>终端删除</w:t>
      </w:r>
    </w:p>
    <w:p>
      <w:pPr>
        <w:spacing w:line="400" w:lineRule="exact"/>
        <w:ind w:firstLine="480" w:firstLineChars="200"/>
        <w:rPr>
          <w:rFonts w:hint="eastAsia"/>
          <w:sz w:val="24"/>
        </w:rPr>
      </w:pPr>
      <w:r>
        <w:rPr>
          <w:rFonts w:hint="eastAsia"/>
          <w:sz w:val="24"/>
        </w:rPr>
        <w:t>支持管理员对设备进行删除操作，删除不符合条件的终端。删除后，设备脱离后台管理。设备被删除后，其相关信息也会从系统中删除，包括：终端安全域、配置信息、应用和应用数据。</w:t>
      </w:r>
    </w:p>
    <w:p>
      <w:pPr>
        <w:spacing w:line="400" w:lineRule="exact"/>
        <w:ind w:firstLine="482" w:firstLineChars="200"/>
        <w:rPr>
          <w:rFonts w:hint="eastAsia"/>
          <w:b/>
          <w:bCs/>
          <w:sz w:val="24"/>
        </w:rPr>
      </w:pPr>
      <w:r>
        <w:rPr>
          <w:rFonts w:hint="eastAsia"/>
          <w:b/>
          <w:bCs/>
          <w:sz w:val="24"/>
        </w:rPr>
        <w:t>设备功能管理</w:t>
      </w:r>
    </w:p>
    <w:p>
      <w:pPr>
        <w:spacing w:line="400" w:lineRule="exact"/>
        <w:ind w:firstLine="480" w:firstLineChars="200"/>
        <w:rPr>
          <w:rFonts w:hint="eastAsia"/>
          <w:sz w:val="24"/>
        </w:rPr>
      </w:pPr>
      <w:r>
        <w:rPr>
          <w:rFonts w:hint="eastAsia"/>
          <w:sz w:val="24"/>
        </w:rPr>
        <w:t>管理设备功能，可以禁止/允许设备用户使用对应功能。禁用用户自行修改配置，控制蓝牙等接口，实现网络准入、互联网禁用、配置自动更新等功能，支持远程实现以下管理控制功能：</w:t>
      </w:r>
    </w:p>
    <w:p>
      <w:pPr>
        <w:spacing w:line="400" w:lineRule="exact"/>
        <w:ind w:firstLine="480" w:firstLineChars="200"/>
        <w:rPr>
          <w:rFonts w:hint="eastAsia"/>
          <w:sz w:val="24"/>
        </w:rPr>
      </w:pPr>
      <w:r>
        <w:rPr>
          <w:rFonts w:hint="eastAsia"/>
          <w:sz w:val="24"/>
        </w:rPr>
        <w:t>控制WIFI开启/禁用，获取当前状态信息；</w:t>
      </w:r>
    </w:p>
    <w:p>
      <w:pPr>
        <w:spacing w:line="400" w:lineRule="exact"/>
        <w:ind w:firstLine="480" w:firstLineChars="200"/>
        <w:rPr>
          <w:rFonts w:hint="eastAsia"/>
          <w:sz w:val="24"/>
        </w:rPr>
      </w:pPr>
      <w:r>
        <w:rPr>
          <w:rFonts w:hint="eastAsia"/>
          <w:sz w:val="24"/>
        </w:rPr>
        <w:t>控制蓝牙开启/禁用，获取当前状态信息；</w:t>
      </w:r>
    </w:p>
    <w:p>
      <w:pPr>
        <w:spacing w:line="400" w:lineRule="exact"/>
        <w:ind w:firstLine="480" w:firstLineChars="200"/>
        <w:rPr>
          <w:rFonts w:hint="eastAsia"/>
          <w:sz w:val="24"/>
        </w:rPr>
      </w:pPr>
      <w:r>
        <w:rPr>
          <w:rFonts w:hint="eastAsia"/>
          <w:sz w:val="24"/>
        </w:rPr>
        <w:t>控制摄像头（录音、摄像、拍照）开启/禁用，支持用户根据应用APP的使用权限调用拍照及录音功能；</w:t>
      </w:r>
    </w:p>
    <w:p>
      <w:pPr>
        <w:spacing w:line="400" w:lineRule="exact"/>
        <w:ind w:firstLine="480" w:firstLineChars="200"/>
        <w:rPr>
          <w:rFonts w:hint="eastAsia"/>
          <w:sz w:val="24"/>
        </w:rPr>
      </w:pPr>
      <w:r>
        <w:rPr>
          <w:rFonts w:hint="eastAsia"/>
          <w:sz w:val="24"/>
        </w:rPr>
        <w:t>控制I/O（USB）端口, 屏蔽开发模式和数据传输模式（双域手机）；</w:t>
      </w:r>
    </w:p>
    <w:p>
      <w:pPr>
        <w:spacing w:line="400" w:lineRule="exact"/>
        <w:ind w:firstLine="480" w:firstLineChars="200"/>
        <w:rPr>
          <w:rFonts w:hint="eastAsia"/>
          <w:sz w:val="24"/>
        </w:rPr>
      </w:pPr>
      <w:r>
        <w:rPr>
          <w:rFonts w:hint="eastAsia"/>
          <w:sz w:val="24"/>
        </w:rPr>
        <w:t>控制终端实现加密码锁屏、解屏功能；</w:t>
      </w:r>
    </w:p>
    <w:p>
      <w:pPr>
        <w:spacing w:line="400" w:lineRule="exact"/>
        <w:ind w:firstLine="480" w:firstLineChars="200"/>
        <w:rPr>
          <w:rFonts w:hint="eastAsia"/>
          <w:sz w:val="24"/>
        </w:rPr>
      </w:pPr>
      <w:r>
        <w:rPr>
          <w:rFonts w:hint="eastAsia"/>
          <w:sz w:val="24"/>
        </w:rPr>
        <w:t>获取手机应用软件安装信息；</w:t>
      </w:r>
    </w:p>
    <w:p>
      <w:pPr>
        <w:spacing w:line="400" w:lineRule="exact"/>
        <w:ind w:firstLine="480" w:firstLineChars="200"/>
        <w:rPr>
          <w:rFonts w:hint="eastAsia"/>
          <w:sz w:val="24"/>
        </w:rPr>
      </w:pPr>
      <w:r>
        <w:rPr>
          <w:rFonts w:hint="eastAsia"/>
          <w:sz w:val="24"/>
        </w:rPr>
        <w:t>获取手机CPU、内存等使用信息；</w:t>
      </w:r>
    </w:p>
    <w:p>
      <w:pPr>
        <w:spacing w:line="400" w:lineRule="exact"/>
        <w:ind w:firstLine="480" w:firstLineChars="200"/>
        <w:rPr>
          <w:rFonts w:hint="eastAsia"/>
          <w:sz w:val="24"/>
        </w:rPr>
      </w:pPr>
      <w:r>
        <w:rPr>
          <w:rFonts w:hint="eastAsia"/>
          <w:sz w:val="24"/>
        </w:rPr>
        <w:t>擦除手机终端安全工作域所有数据。</w:t>
      </w:r>
    </w:p>
    <w:p>
      <w:pPr>
        <w:spacing w:line="400" w:lineRule="exact"/>
        <w:ind w:firstLine="482" w:firstLineChars="200"/>
        <w:rPr>
          <w:rFonts w:hint="eastAsia"/>
          <w:b/>
          <w:bCs/>
          <w:sz w:val="24"/>
        </w:rPr>
      </w:pPr>
      <w:r>
        <w:rPr>
          <w:rFonts w:hint="eastAsia"/>
          <w:b/>
          <w:bCs/>
          <w:sz w:val="24"/>
        </w:rPr>
        <w:t>违规终端处理</w:t>
      </w:r>
    </w:p>
    <w:p>
      <w:pPr>
        <w:spacing w:line="400" w:lineRule="exact"/>
        <w:ind w:firstLine="480" w:firstLineChars="200"/>
        <w:rPr>
          <w:rFonts w:hint="eastAsia"/>
          <w:sz w:val="24"/>
        </w:rPr>
      </w:pPr>
      <w:r>
        <w:rPr>
          <w:rFonts w:hint="eastAsia"/>
          <w:sz w:val="24"/>
        </w:rPr>
        <w:t>针对丢失、root、私自安装、卸载软件等违规终端，管理人员可以通过管理平台对终端进行锁屏、关机、复位、GPS定位等操作。</w:t>
      </w:r>
    </w:p>
    <w:p>
      <w:pPr>
        <w:spacing w:line="400" w:lineRule="exact"/>
        <w:ind w:firstLine="482" w:firstLineChars="200"/>
        <w:rPr>
          <w:rFonts w:hint="eastAsia"/>
          <w:b/>
          <w:bCs/>
          <w:sz w:val="24"/>
        </w:rPr>
      </w:pPr>
      <w:r>
        <w:rPr>
          <w:rFonts w:hint="eastAsia"/>
          <w:b/>
          <w:bCs/>
          <w:sz w:val="24"/>
        </w:rPr>
        <w:t>硬件资产管理</w:t>
      </w:r>
    </w:p>
    <w:p>
      <w:pPr>
        <w:spacing w:line="400" w:lineRule="exact"/>
        <w:ind w:firstLine="480" w:firstLineChars="200"/>
        <w:rPr>
          <w:rFonts w:hint="eastAsia"/>
          <w:sz w:val="24"/>
        </w:rPr>
      </w:pPr>
      <w:r>
        <w:rPr>
          <w:rFonts w:hint="eastAsia"/>
          <w:sz w:val="24"/>
        </w:rPr>
        <w:t>管理设备的硬件资产信息，包括：设备唯一识别号、设备名称、电话号码、运营商、设备生产厂商、设备型号、序列号、设备电量、设备内存、存储容量、可用空间、CPU型号、WiFi MAC地址、蓝牙MAC地址等。</w:t>
      </w:r>
    </w:p>
    <w:p>
      <w:pPr>
        <w:spacing w:line="400" w:lineRule="exact"/>
        <w:ind w:firstLine="482" w:firstLineChars="200"/>
        <w:rPr>
          <w:rFonts w:hint="eastAsia"/>
          <w:b/>
          <w:bCs/>
          <w:sz w:val="24"/>
        </w:rPr>
      </w:pPr>
      <w:r>
        <w:rPr>
          <w:rFonts w:hint="eastAsia"/>
          <w:b/>
          <w:bCs/>
          <w:sz w:val="24"/>
        </w:rPr>
        <w:t>软件资产管理</w:t>
      </w:r>
    </w:p>
    <w:p>
      <w:pPr>
        <w:spacing w:line="400" w:lineRule="exact"/>
        <w:ind w:firstLine="480" w:firstLineChars="200"/>
        <w:rPr>
          <w:rFonts w:hint="eastAsia"/>
          <w:sz w:val="24"/>
        </w:rPr>
      </w:pPr>
      <w:r>
        <w:rPr>
          <w:rFonts w:hint="eastAsia"/>
          <w:sz w:val="24"/>
        </w:rPr>
        <w:t>管理平台可以查看终端上所有的软件资产信息，包括：系统版本信息，所安装的软件名称、大小、版本等信息。</w:t>
      </w:r>
    </w:p>
    <w:p>
      <w:pPr>
        <w:spacing w:line="400" w:lineRule="exact"/>
        <w:ind w:firstLine="480" w:firstLineChars="200"/>
        <w:rPr>
          <w:rFonts w:hint="eastAsia"/>
          <w:sz w:val="24"/>
        </w:rPr>
      </w:pPr>
      <w:r>
        <w:rPr>
          <w:rFonts w:hint="eastAsia"/>
          <w:sz w:val="24"/>
        </w:rPr>
        <w:t>同时支持统计设备流量（APN和WiFi）、定位设备及地图显示。</w:t>
      </w:r>
    </w:p>
    <w:p>
      <w:pPr>
        <w:spacing w:line="400" w:lineRule="exact"/>
        <w:ind w:firstLine="482" w:firstLineChars="200"/>
        <w:rPr>
          <w:rFonts w:hint="eastAsia"/>
          <w:b/>
          <w:bCs/>
          <w:sz w:val="24"/>
        </w:rPr>
      </w:pPr>
      <w:r>
        <w:rPr>
          <w:rFonts w:hint="eastAsia"/>
          <w:b/>
          <w:bCs/>
          <w:sz w:val="24"/>
        </w:rPr>
        <w:t>实时消息推送</w:t>
      </w:r>
    </w:p>
    <w:p>
      <w:pPr>
        <w:spacing w:line="400" w:lineRule="exact"/>
        <w:ind w:firstLine="480" w:firstLineChars="200"/>
        <w:rPr>
          <w:rFonts w:hint="eastAsia"/>
          <w:sz w:val="24"/>
        </w:rPr>
      </w:pPr>
      <w:r>
        <w:rPr>
          <w:rFonts w:hint="eastAsia"/>
          <w:sz w:val="24"/>
        </w:rPr>
        <w:t>系统能通过管理端向指定设备实时推送消息，设备接收到消息后主动弹出通知，以提醒用户进行相应的操作，如安全警告、软件升级提醒等。消息推送支持全内网环境。根据客户需要，可支持定制消息的发送。</w:t>
      </w:r>
    </w:p>
    <w:p>
      <w:pPr>
        <w:spacing w:line="400" w:lineRule="exact"/>
        <w:ind w:firstLine="482" w:firstLineChars="200"/>
        <w:rPr>
          <w:rFonts w:hint="eastAsia"/>
          <w:b/>
          <w:bCs/>
          <w:sz w:val="24"/>
        </w:rPr>
      </w:pPr>
      <w:r>
        <w:rPr>
          <w:rFonts w:hint="eastAsia"/>
          <w:b/>
          <w:bCs/>
          <w:sz w:val="24"/>
        </w:rPr>
        <w:t>远程协助</w:t>
      </w:r>
    </w:p>
    <w:p>
      <w:pPr>
        <w:spacing w:line="400" w:lineRule="exact"/>
        <w:ind w:firstLine="480" w:firstLineChars="200"/>
        <w:rPr>
          <w:rFonts w:hint="eastAsia"/>
          <w:sz w:val="24"/>
        </w:rPr>
      </w:pPr>
      <w:r>
        <w:rPr>
          <w:rFonts w:hint="eastAsia"/>
          <w:sz w:val="24"/>
        </w:rPr>
        <w:t>管理员通过移动终端管控系统对安卓系统设备发起远程协助，用户终端会弹出请求，用户在接受协助请求后，管理员在管控PC上可以远程接管并操作该终端安全工作系统的界面，针对终端使用者的使用问题，提供远程协助，远程帮助终端使用者解决问题。如图所示终端远程协助功能（PC端接管终端界面展示，终端当前界面展示）。</w:t>
      </w:r>
    </w:p>
    <w:p>
      <w:pPr>
        <w:spacing w:line="400" w:lineRule="exact"/>
        <w:ind w:firstLine="482" w:firstLineChars="200"/>
        <w:rPr>
          <w:rFonts w:hint="eastAsia"/>
          <w:b/>
          <w:bCs/>
          <w:sz w:val="24"/>
        </w:rPr>
      </w:pPr>
      <w:r>
        <w:rPr>
          <w:rFonts w:hint="eastAsia"/>
          <w:b/>
          <w:bCs/>
          <w:sz w:val="24"/>
        </w:rPr>
        <w:t>用户管理</w:t>
      </w:r>
    </w:p>
    <w:p>
      <w:pPr>
        <w:spacing w:line="400" w:lineRule="exact"/>
        <w:ind w:firstLine="480" w:firstLineChars="200"/>
        <w:rPr>
          <w:rFonts w:hint="eastAsia"/>
          <w:sz w:val="24"/>
        </w:rPr>
      </w:pPr>
      <w:r>
        <w:rPr>
          <w:rFonts w:hint="eastAsia"/>
          <w:sz w:val="24"/>
        </w:rPr>
        <w:t>基于一体化平台提供的人员架构进行部署，当用户发生人事调动时，用户终端上的策略和应用都会自动做相应的调整，管理平台会自动推送人员当前部门相关应用和策略，并删除之前部门不相关应用和策略。</w:t>
      </w:r>
    </w:p>
    <w:p>
      <w:pPr>
        <w:spacing w:line="400" w:lineRule="exact"/>
        <w:ind w:firstLine="482" w:firstLineChars="200"/>
        <w:rPr>
          <w:rFonts w:hint="eastAsia"/>
          <w:b/>
          <w:bCs/>
          <w:sz w:val="24"/>
        </w:rPr>
      </w:pPr>
      <w:r>
        <w:rPr>
          <w:rFonts w:hint="eastAsia"/>
          <w:b/>
          <w:bCs/>
          <w:sz w:val="24"/>
        </w:rPr>
        <w:t>用户信息添加</w:t>
      </w:r>
    </w:p>
    <w:p>
      <w:pPr>
        <w:spacing w:line="400" w:lineRule="exact"/>
        <w:ind w:firstLine="480" w:firstLineChars="200"/>
        <w:rPr>
          <w:rFonts w:hint="eastAsia"/>
          <w:sz w:val="24"/>
        </w:rPr>
      </w:pPr>
      <w:r>
        <w:rPr>
          <w:rFonts w:hint="eastAsia"/>
          <w:sz w:val="24"/>
        </w:rPr>
        <w:t>支持文件导入，管理员可以通过指定格式的Excel文件文件形式导入用户，用户具体信息跟手动导入一样。</w:t>
      </w:r>
    </w:p>
    <w:p>
      <w:pPr>
        <w:spacing w:line="400" w:lineRule="exact"/>
        <w:ind w:firstLine="482" w:firstLineChars="200"/>
        <w:rPr>
          <w:rFonts w:hint="eastAsia"/>
          <w:b/>
          <w:bCs/>
          <w:sz w:val="24"/>
        </w:rPr>
      </w:pPr>
      <w:r>
        <w:rPr>
          <w:rFonts w:hint="eastAsia"/>
          <w:b/>
          <w:bCs/>
          <w:sz w:val="24"/>
        </w:rPr>
        <w:t>手工添加用户</w:t>
      </w:r>
    </w:p>
    <w:p>
      <w:pPr>
        <w:spacing w:line="400" w:lineRule="exact"/>
        <w:ind w:firstLine="480" w:firstLineChars="200"/>
        <w:rPr>
          <w:rFonts w:hint="eastAsia"/>
          <w:sz w:val="24"/>
        </w:rPr>
      </w:pPr>
      <w:r>
        <w:rPr>
          <w:rFonts w:hint="eastAsia"/>
          <w:sz w:val="24"/>
        </w:rPr>
        <w:t>管理员可以手动创建用户，手动输入方式创建用户效率较低，一般仅用于小规模添加用户的场景。手动添加时，需要填写终端号码、姓名、组织机构、职务等信息。</w:t>
      </w:r>
    </w:p>
    <w:p>
      <w:pPr>
        <w:spacing w:line="400" w:lineRule="exact"/>
        <w:ind w:firstLine="482" w:firstLineChars="200"/>
        <w:rPr>
          <w:rFonts w:hint="eastAsia"/>
          <w:b/>
          <w:bCs/>
          <w:sz w:val="24"/>
        </w:rPr>
      </w:pPr>
      <w:r>
        <w:rPr>
          <w:rFonts w:hint="eastAsia"/>
          <w:b/>
          <w:bCs/>
          <w:sz w:val="24"/>
        </w:rPr>
        <w:t>用户信息查询</w:t>
      </w:r>
    </w:p>
    <w:p>
      <w:pPr>
        <w:spacing w:line="400" w:lineRule="exact"/>
        <w:ind w:firstLine="480" w:firstLineChars="200"/>
        <w:rPr>
          <w:rFonts w:hint="eastAsia"/>
          <w:sz w:val="24"/>
        </w:rPr>
      </w:pPr>
      <w:r>
        <w:rPr>
          <w:rFonts w:hint="eastAsia"/>
          <w:sz w:val="24"/>
        </w:rPr>
        <w:t>用户信息可以通过终端号码、姓名、组织架构等三种不同纬度的信息来检索，所查看的人员信息包含姓名、联系方式、绑定的SIM卡信息、组织架构等信息。</w:t>
      </w:r>
    </w:p>
    <w:p>
      <w:pPr>
        <w:spacing w:line="400" w:lineRule="exact"/>
        <w:ind w:firstLine="482" w:firstLineChars="200"/>
        <w:rPr>
          <w:rFonts w:hint="eastAsia"/>
          <w:b/>
          <w:bCs/>
          <w:sz w:val="24"/>
        </w:rPr>
      </w:pPr>
      <w:r>
        <w:rPr>
          <w:rFonts w:hint="eastAsia"/>
          <w:b/>
          <w:bCs/>
          <w:sz w:val="24"/>
        </w:rPr>
        <w:t>修改人员信息</w:t>
      </w:r>
    </w:p>
    <w:p>
      <w:pPr>
        <w:spacing w:line="400" w:lineRule="exact"/>
        <w:ind w:firstLine="480" w:firstLineChars="200"/>
        <w:rPr>
          <w:rFonts w:hint="eastAsia"/>
          <w:sz w:val="24"/>
        </w:rPr>
      </w:pPr>
      <w:r>
        <w:rPr>
          <w:rFonts w:hint="eastAsia"/>
          <w:sz w:val="24"/>
        </w:rPr>
        <w:t>修改用户信息时，可根据用户信息查询到指定用户后，修改信息，包括组织架构、电子邮箱、职务、运营商等等信息都可根据实际情况修改。</w:t>
      </w:r>
    </w:p>
    <w:p>
      <w:pPr>
        <w:spacing w:line="400" w:lineRule="exact"/>
        <w:ind w:firstLine="482" w:firstLineChars="200"/>
        <w:rPr>
          <w:rFonts w:hint="eastAsia"/>
          <w:sz w:val="24"/>
        </w:rPr>
      </w:pPr>
      <w:r>
        <w:rPr>
          <w:rFonts w:hint="eastAsia"/>
          <w:b/>
          <w:bCs/>
          <w:sz w:val="24"/>
        </w:rPr>
        <w:t>部门组织机构</w:t>
      </w:r>
    </w:p>
    <w:p>
      <w:pPr>
        <w:spacing w:line="400" w:lineRule="exact"/>
        <w:ind w:firstLine="480" w:firstLineChars="200"/>
        <w:rPr>
          <w:rFonts w:hint="eastAsia"/>
          <w:sz w:val="24"/>
        </w:rPr>
      </w:pPr>
      <w:r>
        <w:rPr>
          <w:rFonts w:hint="eastAsia"/>
          <w:sz w:val="24"/>
        </w:rPr>
        <w:t>支持组织部门的分级管理，可以对部门进行增、删、改、查、批量导入的操作。</w:t>
      </w:r>
    </w:p>
    <w:p>
      <w:pPr>
        <w:spacing w:line="400" w:lineRule="exact"/>
        <w:ind w:firstLine="480" w:firstLineChars="200"/>
        <w:rPr>
          <w:rFonts w:hint="eastAsia"/>
          <w:sz w:val="24"/>
        </w:rPr>
      </w:pPr>
      <w:r>
        <w:rPr>
          <w:rFonts w:hint="eastAsia"/>
          <w:sz w:val="24"/>
        </w:rPr>
        <w:t>组织部门模块提供了编辑组织架构的功能，管理员在平台上可根据实际的组织情况新建、编辑、删除组织架构图。也可以批量导入。</w:t>
      </w:r>
    </w:p>
    <w:p>
      <w:pPr>
        <w:spacing w:line="400" w:lineRule="exact"/>
        <w:ind w:firstLine="480" w:firstLineChars="200"/>
        <w:rPr>
          <w:rFonts w:hint="eastAsia"/>
          <w:sz w:val="24"/>
        </w:rPr>
      </w:pPr>
      <w:r>
        <w:rPr>
          <w:rFonts w:hint="eastAsia"/>
          <w:sz w:val="24"/>
        </w:rPr>
        <w:t>除了可根据组织机构的方式进行管理外，后台还可为根据管理要求创建不同的人员分组，通过分组进行策略管理。终端与用户是一一对应的，人员分组既是终端分组。管理员可根据实际情况设定组织架构，在组织架构中自由设定人员分组，管理员亦可通过批量导入方式建立组织架构。</w:t>
      </w:r>
    </w:p>
    <w:p>
      <w:pPr>
        <w:spacing w:line="400" w:lineRule="exact"/>
        <w:ind w:firstLine="482" w:firstLineChars="200"/>
        <w:rPr>
          <w:rFonts w:hint="eastAsia"/>
          <w:b/>
          <w:bCs/>
          <w:sz w:val="24"/>
        </w:rPr>
      </w:pPr>
      <w:r>
        <w:rPr>
          <w:rFonts w:hint="eastAsia"/>
          <w:b/>
          <w:bCs/>
          <w:sz w:val="24"/>
        </w:rPr>
        <w:t>权限管理</w:t>
      </w:r>
    </w:p>
    <w:p>
      <w:pPr>
        <w:spacing w:line="400" w:lineRule="exact"/>
        <w:ind w:firstLine="480" w:firstLineChars="200"/>
        <w:rPr>
          <w:rFonts w:hint="eastAsia"/>
          <w:sz w:val="24"/>
        </w:rPr>
      </w:pPr>
      <w:r>
        <w:rPr>
          <w:rFonts w:hint="eastAsia"/>
          <w:sz w:val="24"/>
        </w:rPr>
        <w:t>同时管理员自身亦可被分组，不同管理员管理不同的组织架构，实现分级分权管理。根据需要与统一认证授权系统进行集成，使用统一的用户认证、用户信息、组织机构信息。</w:t>
      </w:r>
    </w:p>
    <w:p>
      <w:pPr>
        <w:spacing w:line="400" w:lineRule="exact"/>
        <w:ind w:firstLine="480" w:firstLineChars="200"/>
        <w:rPr>
          <w:rFonts w:hint="eastAsia"/>
          <w:sz w:val="24"/>
        </w:rPr>
      </w:pPr>
      <w:r>
        <w:rPr>
          <w:rFonts w:hint="eastAsia"/>
          <w:sz w:val="24"/>
        </w:rPr>
        <w:t>管理平台可创建多个管理员，分权分域管理，各类管理员角色分配清晰，职责明确。管理员权限模块分为两级，即超级管理员和组管理员。超级管理员拥有最高权限，可以对所有用户数据进行操作。各个组的管理员根据上层管理员分配的权限对属于本组的用户数据进行操作。该模块提供日志管理功能，记录所有管理员在系统上的操作。</w:t>
      </w:r>
    </w:p>
    <w:p>
      <w:pPr>
        <w:spacing w:line="400" w:lineRule="exact"/>
        <w:ind w:firstLine="480" w:firstLineChars="200"/>
        <w:rPr>
          <w:rFonts w:hint="eastAsia"/>
          <w:sz w:val="24"/>
        </w:rPr>
      </w:pPr>
      <w:r>
        <w:rPr>
          <w:rFonts w:hint="eastAsia"/>
          <w:sz w:val="24"/>
        </w:rPr>
        <w:t>管理平台可以将管理员进行角色化区分，根据管理员的职能分配相应的功能权限：</w:t>
      </w:r>
    </w:p>
    <w:p>
      <w:pPr>
        <w:spacing w:line="400" w:lineRule="exact"/>
        <w:ind w:firstLine="480" w:firstLineChars="200"/>
        <w:rPr>
          <w:rFonts w:hint="eastAsia"/>
          <w:sz w:val="24"/>
        </w:rPr>
      </w:pPr>
      <w:r>
        <w:rPr>
          <w:rFonts w:hint="eastAsia"/>
          <w:sz w:val="24"/>
        </w:rPr>
        <w:t>支持用户分组，可根据用户职能、区域、警种和部门等进行分组。</w:t>
      </w:r>
    </w:p>
    <w:p>
      <w:pPr>
        <w:spacing w:line="400" w:lineRule="exact"/>
        <w:ind w:firstLine="480" w:firstLineChars="200"/>
        <w:rPr>
          <w:rFonts w:hint="eastAsia"/>
          <w:sz w:val="24"/>
        </w:rPr>
      </w:pPr>
      <w:r>
        <w:rPr>
          <w:rFonts w:hint="eastAsia"/>
          <w:sz w:val="24"/>
        </w:rPr>
        <w:t>支持设置省厅-二级管理员根据授权进行分级管理，省局管理员可以查看情况，各平级之间没有权限互相查看。</w:t>
      </w:r>
    </w:p>
    <w:p>
      <w:pPr>
        <w:spacing w:line="400" w:lineRule="exact"/>
        <w:ind w:firstLine="480" w:firstLineChars="200"/>
        <w:rPr>
          <w:rFonts w:hint="eastAsia"/>
          <w:sz w:val="24"/>
        </w:rPr>
      </w:pPr>
      <w:r>
        <w:rPr>
          <w:rFonts w:hint="eastAsia"/>
          <w:sz w:val="24"/>
        </w:rPr>
        <w:t>在线用户数统计，实时显示当前在线用户数量统计信息；</w:t>
      </w:r>
    </w:p>
    <w:p>
      <w:pPr>
        <w:spacing w:line="400" w:lineRule="exact"/>
        <w:ind w:firstLine="480" w:firstLineChars="200"/>
        <w:rPr>
          <w:rFonts w:hint="eastAsia"/>
          <w:sz w:val="24"/>
        </w:rPr>
      </w:pPr>
      <w:r>
        <w:rPr>
          <w:rFonts w:hint="eastAsia"/>
          <w:sz w:val="24"/>
        </w:rPr>
        <w:t>支持用户多组并存：用户可根据工作角色同时在多个组；</w:t>
      </w:r>
    </w:p>
    <w:p>
      <w:pPr>
        <w:spacing w:line="400" w:lineRule="exact"/>
        <w:ind w:firstLine="480" w:firstLineChars="200"/>
        <w:rPr>
          <w:rFonts w:hint="eastAsia"/>
          <w:sz w:val="24"/>
        </w:rPr>
      </w:pPr>
      <w:r>
        <w:rPr>
          <w:rFonts w:hint="eastAsia"/>
          <w:sz w:val="24"/>
        </w:rPr>
        <w:t>支持用户动态分组：根据触发条件的变化，自动调整用户所在组</w:t>
      </w:r>
    </w:p>
    <w:p>
      <w:pPr>
        <w:spacing w:line="400" w:lineRule="exact"/>
        <w:ind w:firstLine="480" w:firstLineChars="200"/>
        <w:rPr>
          <w:rFonts w:hint="eastAsia"/>
          <w:sz w:val="24"/>
        </w:rPr>
      </w:pPr>
      <w:r>
        <w:rPr>
          <w:rFonts w:hint="eastAsia"/>
          <w:sz w:val="24"/>
        </w:rPr>
        <w:t>支持通过用户关键字进行设备和应用统计，包括设备和应用的状态信息</w:t>
      </w:r>
    </w:p>
    <w:p>
      <w:pPr>
        <w:spacing w:line="400" w:lineRule="exact"/>
        <w:ind w:firstLine="482" w:firstLineChars="200"/>
        <w:rPr>
          <w:rFonts w:hint="eastAsia"/>
          <w:b/>
          <w:bCs/>
          <w:sz w:val="24"/>
        </w:rPr>
      </w:pPr>
      <w:r>
        <w:rPr>
          <w:rFonts w:hint="eastAsia"/>
          <w:b/>
          <w:bCs/>
          <w:sz w:val="24"/>
        </w:rPr>
        <w:t>应用黑名单管理</w:t>
      </w:r>
    </w:p>
    <w:p>
      <w:pPr>
        <w:spacing w:line="400" w:lineRule="exact"/>
        <w:ind w:firstLine="480" w:firstLineChars="200"/>
        <w:rPr>
          <w:rFonts w:hint="eastAsia"/>
          <w:sz w:val="24"/>
        </w:rPr>
      </w:pPr>
      <w:r>
        <w:rPr>
          <w:rFonts w:hint="eastAsia"/>
          <w:sz w:val="24"/>
        </w:rPr>
        <w:t>管理员通过MDM管控平台可以设置应用黑名单策略，实现对终端安全系统中应用的管理，设置在黑名单内的软件在禁止终端安全系统中运行，并能够卸载相关软件；下图是管理员添加黑白名单的应用包名库，可以手动添加或批量导入，支持增、删、改、查、导入操作。</w:t>
      </w:r>
    </w:p>
    <w:p>
      <w:pPr>
        <w:spacing w:line="400" w:lineRule="exact"/>
        <w:ind w:firstLine="480" w:firstLineChars="200"/>
        <w:rPr>
          <w:rFonts w:hint="eastAsia"/>
          <w:sz w:val="24"/>
        </w:rPr>
      </w:pPr>
      <w:r>
        <w:rPr>
          <w:rFonts w:hint="eastAsia"/>
          <w:sz w:val="24"/>
        </w:rPr>
        <w:t>当应用黑白名单库丰富起来后，管理员下发应用黑名单策略时，可以直接选择库中的应用，生成策略后下发。如下图所示。</w:t>
      </w:r>
    </w:p>
    <w:p>
      <w:pPr>
        <w:spacing w:line="400" w:lineRule="exact"/>
        <w:ind w:firstLine="482" w:firstLineChars="200"/>
        <w:rPr>
          <w:rFonts w:hint="eastAsia"/>
          <w:b/>
          <w:bCs/>
          <w:sz w:val="24"/>
        </w:rPr>
      </w:pPr>
      <w:r>
        <w:rPr>
          <w:rFonts w:hint="eastAsia"/>
          <w:b/>
          <w:bCs/>
          <w:sz w:val="24"/>
        </w:rPr>
        <w:t>应用白名单管理</w:t>
      </w:r>
    </w:p>
    <w:p>
      <w:pPr>
        <w:spacing w:line="400" w:lineRule="exact"/>
        <w:ind w:firstLine="480" w:firstLineChars="200"/>
        <w:rPr>
          <w:rFonts w:hint="eastAsia"/>
          <w:sz w:val="24"/>
        </w:rPr>
      </w:pPr>
      <w:r>
        <w:rPr>
          <w:rFonts w:hint="eastAsia"/>
          <w:sz w:val="24"/>
        </w:rPr>
        <w:t>MDM管控平台支持应用白名单库，支持应用白名单的增、删、改、查、导入操作，管理员通过平台设置应用白名单策略，实现对终端应用的管理，终端上仅白名单应用可以下载安装并使用，禁止除白名单和预装软件外的软件安装运行。</w:t>
      </w:r>
    </w:p>
    <w:p>
      <w:pPr>
        <w:spacing w:line="400" w:lineRule="exact"/>
        <w:ind w:firstLine="482" w:firstLineChars="200"/>
        <w:rPr>
          <w:rFonts w:hint="eastAsia"/>
          <w:b/>
          <w:bCs/>
          <w:sz w:val="24"/>
        </w:rPr>
      </w:pPr>
      <w:r>
        <w:rPr>
          <w:rFonts w:hint="eastAsia"/>
          <w:b/>
          <w:bCs/>
          <w:sz w:val="24"/>
        </w:rPr>
        <w:t>应用上传</w:t>
      </w:r>
    </w:p>
    <w:p>
      <w:pPr>
        <w:spacing w:line="400" w:lineRule="exact"/>
        <w:ind w:firstLine="480" w:firstLineChars="200"/>
        <w:rPr>
          <w:rFonts w:hint="eastAsia"/>
          <w:sz w:val="24"/>
        </w:rPr>
      </w:pPr>
      <w:r>
        <w:rPr>
          <w:rFonts w:hint="eastAsia"/>
          <w:sz w:val="24"/>
        </w:rPr>
        <w:t>应用上传上传时需提供时应用相关信息，包括应用版本信息、应用名称、应用类型、应用介绍、应用图片信息。</w:t>
      </w:r>
    </w:p>
    <w:p>
      <w:pPr>
        <w:spacing w:line="400" w:lineRule="exact"/>
        <w:ind w:firstLine="480" w:firstLineChars="200"/>
        <w:rPr>
          <w:rFonts w:hint="eastAsia"/>
          <w:sz w:val="24"/>
        </w:rPr>
      </w:pPr>
      <w:r>
        <w:rPr>
          <w:rFonts w:hint="eastAsia"/>
          <w:sz w:val="24"/>
        </w:rPr>
        <w:t>同时上传时，会对应用包进行自动化检验</w:t>
      </w:r>
    </w:p>
    <w:p>
      <w:pPr>
        <w:spacing w:line="400" w:lineRule="exact"/>
        <w:ind w:firstLine="480" w:firstLineChars="200"/>
        <w:rPr>
          <w:rFonts w:hint="eastAsia"/>
          <w:sz w:val="24"/>
        </w:rPr>
      </w:pPr>
      <w:r>
        <w:rPr>
          <w:rFonts w:hint="eastAsia"/>
          <w:sz w:val="24"/>
        </w:rPr>
        <w:t>应用建设单位可自行上传其自行开发的各类应用APK（含界面、接口规范、应用范围等）到应用商店；</w:t>
      </w:r>
    </w:p>
    <w:p>
      <w:pPr>
        <w:spacing w:line="400" w:lineRule="exact"/>
        <w:ind w:firstLine="482" w:firstLineChars="200"/>
        <w:rPr>
          <w:rFonts w:hint="eastAsia"/>
          <w:b/>
          <w:bCs/>
          <w:sz w:val="24"/>
        </w:rPr>
      </w:pPr>
      <w:r>
        <w:rPr>
          <w:rFonts w:hint="eastAsia"/>
          <w:b/>
          <w:bCs/>
          <w:sz w:val="24"/>
        </w:rPr>
        <w:t>安装控制</w:t>
      </w:r>
    </w:p>
    <w:p>
      <w:pPr>
        <w:spacing w:line="400" w:lineRule="exact"/>
        <w:ind w:firstLine="480" w:firstLineChars="200"/>
        <w:rPr>
          <w:rFonts w:hint="eastAsia"/>
          <w:sz w:val="24"/>
        </w:rPr>
      </w:pPr>
      <w:r>
        <w:rPr>
          <w:rFonts w:hint="eastAsia"/>
          <w:sz w:val="24"/>
        </w:rPr>
        <w:t>管理员可通过平台端发送策略，实现对指定区域进行软件的强制安装和强制卸载。支持静默安装或者在终端自动弹出应用安装界面，提示用户安装；支持静默卸载或者自动弹出应用卸载界面，提示用户卸载；如不安装或者卸载，则无法正常开展其他业务；</w:t>
      </w:r>
    </w:p>
    <w:p>
      <w:pPr>
        <w:spacing w:line="400" w:lineRule="exact"/>
        <w:ind w:firstLine="480" w:firstLineChars="200"/>
        <w:rPr>
          <w:rFonts w:hint="eastAsia"/>
          <w:sz w:val="24"/>
        </w:rPr>
      </w:pPr>
      <w:r>
        <w:rPr>
          <w:rFonts w:hint="eastAsia"/>
          <w:sz w:val="24"/>
        </w:rPr>
        <w:t>管理平台也可以控制终端安装应用功能的开启和关闭，当关闭安装功能后，终端上所有的软件安装包均无法安装（包括通过互联网下载、存放在SD卡上、通过蓝牙/红外传输、与电脑USB连接拷贝安装包），仅能通过管理平台进行静默安装。</w:t>
      </w:r>
    </w:p>
    <w:p>
      <w:pPr>
        <w:spacing w:line="400" w:lineRule="exact"/>
        <w:ind w:firstLine="482" w:firstLineChars="200"/>
        <w:rPr>
          <w:rFonts w:hint="eastAsia"/>
          <w:b/>
          <w:bCs/>
          <w:sz w:val="24"/>
        </w:rPr>
      </w:pPr>
      <w:r>
        <w:rPr>
          <w:rFonts w:hint="eastAsia"/>
          <w:b/>
          <w:bCs/>
          <w:sz w:val="24"/>
        </w:rPr>
        <w:t>应用禁用</w:t>
      </w:r>
    </w:p>
    <w:p>
      <w:pPr>
        <w:spacing w:line="400" w:lineRule="exact"/>
        <w:ind w:firstLine="480" w:firstLineChars="200"/>
        <w:rPr>
          <w:rFonts w:hint="eastAsia"/>
          <w:sz w:val="24"/>
        </w:rPr>
      </w:pPr>
      <w:r>
        <w:rPr>
          <w:rFonts w:hint="eastAsia"/>
          <w:sz w:val="24"/>
        </w:rPr>
        <w:t>管理员通过安全管控服务平台可分组、分条线按照角色禁止使用终端安全系统上的指定应用程序。</w:t>
      </w:r>
    </w:p>
    <w:p>
      <w:pPr>
        <w:spacing w:line="400" w:lineRule="exact"/>
        <w:ind w:firstLine="482" w:firstLineChars="200"/>
        <w:rPr>
          <w:rFonts w:hint="eastAsia"/>
          <w:b/>
          <w:bCs/>
          <w:sz w:val="24"/>
        </w:rPr>
      </w:pPr>
      <w:r>
        <w:rPr>
          <w:rFonts w:hint="eastAsia"/>
          <w:b/>
          <w:bCs/>
          <w:sz w:val="24"/>
        </w:rPr>
        <w:t>应用更新</w:t>
      </w:r>
    </w:p>
    <w:p>
      <w:pPr>
        <w:spacing w:line="400" w:lineRule="exact"/>
        <w:ind w:firstLine="480" w:firstLineChars="200"/>
        <w:rPr>
          <w:rFonts w:hint="eastAsia"/>
          <w:sz w:val="24"/>
        </w:rPr>
      </w:pPr>
      <w:r>
        <w:rPr>
          <w:rFonts w:hint="eastAsia"/>
          <w:sz w:val="24"/>
        </w:rPr>
        <w:t>终端定时检测新应用发布信息，提醒用户有新版本软件更新信息，支持手工开展批量更新。</w:t>
      </w:r>
    </w:p>
    <w:p>
      <w:pPr>
        <w:spacing w:line="400" w:lineRule="exact"/>
        <w:ind w:firstLine="482" w:firstLineChars="200"/>
        <w:rPr>
          <w:rFonts w:hint="eastAsia"/>
          <w:b/>
          <w:bCs/>
          <w:sz w:val="24"/>
        </w:rPr>
      </w:pPr>
      <w:r>
        <w:rPr>
          <w:rFonts w:hint="eastAsia"/>
          <w:b/>
          <w:bCs/>
          <w:sz w:val="24"/>
        </w:rPr>
        <w:t>应用推送</w:t>
      </w:r>
    </w:p>
    <w:p>
      <w:pPr>
        <w:spacing w:line="400" w:lineRule="exact"/>
        <w:ind w:firstLine="480" w:firstLineChars="200"/>
        <w:rPr>
          <w:rFonts w:hint="eastAsia"/>
          <w:sz w:val="24"/>
        </w:rPr>
      </w:pPr>
      <w:r>
        <w:rPr>
          <w:rFonts w:hint="eastAsia"/>
          <w:sz w:val="24"/>
        </w:rPr>
        <w:t>审核通过的软件，根据移动专网、公安网类环境对应的应用集中代理系统挂接相应接口后发布。终端用户登录应用仓库后可根据授权查看、安装相应应用。应用发布可针对不同分组、标签等进行灵活发布。如下图所示，应用仓库中添加的应用都根据手机、分组、组织结构、地区、职务等多条线进行发布。</w:t>
      </w:r>
    </w:p>
    <w:p>
      <w:pPr>
        <w:spacing w:line="400" w:lineRule="exact"/>
        <w:ind w:firstLine="482" w:firstLineChars="200"/>
        <w:rPr>
          <w:rFonts w:hint="eastAsia"/>
          <w:b/>
          <w:bCs/>
          <w:sz w:val="24"/>
        </w:rPr>
      </w:pPr>
      <w:r>
        <w:rPr>
          <w:rFonts w:hint="eastAsia"/>
          <w:b/>
          <w:bCs/>
          <w:sz w:val="24"/>
        </w:rPr>
        <w:t>应用审批</w:t>
      </w:r>
    </w:p>
    <w:p>
      <w:pPr>
        <w:spacing w:line="400" w:lineRule="exact"/>
        <w:ind w:firstLine="480" w:firstLineChars="200"/>
        <w:rPr>
          <w:rFonts w:hint="eastAsia"/>
          <w:sz w:val="24"/>
        </w:rPr>
      </w:pPr>
      <w:r>
        <w:rPr>
          <w:rFonts w:hint="eastAsia"/>
          <w:sz w:val="24"/>
        </w:rPr>
        <w:t>管理员根据开发规范审核应用的组别、用户范围、相关内容是否符合移动专网、公安网类环境及相关信息，包括：开发者信息、证书信息等等，满足规范的予以审核通过，不满足规范或者违规应用管理员可以发送审核不通过的原因给上传者；仅管理员审批通过的应用才能上架并下发。</w:t>
      </w:r>
    </w:p>
    <w:p>
      <w:pPr>
        <w:spacing w:line="400" w:lineRule="exact"/>
        <w:ind w:firstLine="482" w:firstLineChars="200"/>
        <w:rPr>
          <w:rFonts w:hint="eastAsia"/>
          <w:b/>
          <w:bCs/>
          <w:sz w:val="24"/>
        </w:rPr>
      </w:pPr>
      <w:r>
        <w:rPr>
          <w:rFonts w:hint="eastAsia"/>
          <w:b/>
          <w:bCs/>
          <w:sz w:val="24"/>
        </w:rPr>
        <w:t>应用发布</w:t>
      </w:r>
    </w:p>
    <w:p>
      <w:pPr>
        <w:spacing w:line="400" w:lineRule="exact"/>
        <w:ind w:firstLine="480" w:firstLineChars="200"/>
        <w:rPr>
          <w:rFonts w:hint="eastAsia"/>
          <w:sz w:val="24"/>
        </w:rPr>
      </w:pPr>
      <w:r>
        <w:rPr>
          <w:rFonts w:hint="eastAsia"/>
          <w:sz w:val="24"/>
        </w:rPr>
        <w:t>审核通过的软件，根据移动专网、公安网类环境对应的应用集中代理系统挂接相应接口后发布。终端用户登录应用仓库后可根据授权查看、安装相应应用。应用发布可针对不同分组、标签等进行灵活发布。</w:t>
      </w:r>
    </w:p>
    <w:p>
      <w:pPr>
        <w:spacing w:line="400" w:lineRule="exact"/>
        <w:ind w:firstLine="482" w:firstLineChars="200"/>
        <w:rPr>
          <w:rFonts w:hint="eastAsia"/>
          <w:b/>
          <w:bCs/>
          <w:sz w:val="24"/>
        </w:rPr>
      </w:pPr>
      <w:r>
        <w:rPr>
          <w:rFonts w:hint="eastAsia"/>
          <w:b/>
          <w:bCs/>
          <w:sz w:val="24"/>
        </w:rPr>
        <w:t>应用安装</w:t>
      </w:r>
    </w:p>
    <w:p>
      <w:pPr>
        <w:spacing w:line="400" w:lineRule="exact"/>
        <w:ind w:firstLine="480" w:firstLineChars="200"/>
        <w:rPr>
          <w:rFonts w:hint="eastAsia"/>
          <w:sz w:val="24"/>
        </w:rPr>
      </w:pPr>
      <w:r>
        <w:rPr>
          <w:rFonts w:hint="eastAsia"/>
          <w:sz w:val="24"/>
        </w:rPr>
        <w:t>安装方式包括：</w:t>
      </w:r>
    </w:p>
    <w:p>
      <w:pPr>
        <w:spacing w:line="400" w:lineRule="exact"/>
        <w:ind w:firstLine="480" w:firstLineChars="200"/>
        <w:rPr>
          <w:rFonts w:hint="eastAsia"/>
          <w:sz w:val="24"/>
        </w:rPr>
      </w:pPr>
      <w:r>
        <w:rPr>
          <w:rFonts w:hint="eastAsia"/>
          <w:sz w:val="24"/>
        </w:rPr>
        <w:t>交互安装：应用程序在安装过程中有人机交互界面，并通过人机的交互才能完成安装过程。</w:t>
      </w:r>
    </w:p>
    <w:p>
      <w:pPr>
        <w:spacing w:line="400" w:lineRule="exact"/>
        <w:ind w:firstLine="480" w:firstLineChars="200"/>
        <w:rPr>
          <w:rFonts w:hint="eastAsia"/>
          <w:sz w:val="24"/>
        </w:rPr>
      </w:pPr>
      <w:r>
        <w:rPr>
          <w:rFonts w:hint="eastAsia"/>
          <w:sz w:val="24"/>
        </w:rPr>
        <w:t>静默安装：安装时没有交互界面，后台推送静默下载完成后自动安装。</w:t>
      </w:r>
    </w:p>
    <w:p>
      <w:pPr>
        <w:spacing w:line="400" w:lineRule="exact"/>
        <w:ind w:firstLine="480" w:firstLineChars="200"/>
        <w:rPr>
          <w:rFonts w:hint="eastAsia"/>
          <w:sz w:val="24"/>
        </w:rPr>
      </w:pPr>
      <w:r>
        <w:rPr>
          <w:rFonts w:hint="eastAsia"/>
          <w:sz w:val="24"/>
        </w:rPr>
        <w:t>同时，管理员可选择应用指定版本的推送策略（推送各个部门/分组的顺序、时间点，并指定版本启动的时间点和时间间隔）实现分时错峰下载、安装。</w:t>
      </w:r>
    </w:p>
    <w:p>
      <w:pPr>
        <w:spacing w:line="400" w:lineRule="exact"/>
        <w:ind w:firstLine="482" w:firstLineChars="200"/>
        <w:rPr>
          <w:rFonts w:hint="eastAsia"/>
          <w:b/>
          <w:bCs/>
          <w:sz w:val="24"/>
        </w:rPr>
      </w:pPr>
      <w:r>
        <w:rPr>
          <w:rFonts w:hint="eastAsia"/>
          <w:b/>
          <w:bCs/>
          <w:sz w:val="24"/>
        </w:rPr>
        <w:t>卸载应用</w:t>
      </w:r>
    </w:p>
    <w:p>
      <w:pPr>
        <w:spacing w:line="400" w:lineRule="exact"/>
        <w:ind w:firstLine="480" w:firstLineChars="200"/>
        <w:rPr>
          <w:rFonts w:hint="eastAsia"/>
          <w:sz w:val="24"/>
        </w:rPr>
      </w:pPr>
      <w:r>
        <w:rPr>
          <w:rFonts w:hint="eastAsia"/>
          <w:sz w:val="24"/>
        </w:rPr>
        <w:t>管理平台能够提供卸载指令来卸载通过应用仓库安装的应用。卸载应用支持静默卸载、非静默卸载。</w:t>
      </w:r>
    </w:p>
    <w:p>
      <w:pPr>
        <w:spacing w:line="400" w:lineRule="exact"/>
        <w:ind w:firstLine="480" w:firstLineChars="200"/>
        <w:rPr>
          <w:rFonts w:hint="eastAsia"/>
          <w:sz w:val="24"/>
        </w:rPr>
      </w:pPr>
      <w:r>
        <w:rPr>
          <w:rFonts w:hint="eastAsia"/>
          <w:sz w:val="24"/>
        </w:rPr>
        <w:t>静默删除是指：在不需要设备用户介入的情况下，自动删除设备上的应用。</w:t>
      </w:r>
    </w:p>
    <w:p>
      <w:pPr>
        <w:spacing w:line="400" w:lineRule="exact"/>
        <w:ind w:firstLine="480" w:firstLineChars="200"/>
        <w:rPr>
          <w:rFonts w:hint="eastAsia"/>
          <w:sz w:val="24"/>
        </w:rPr>
      </w:pPr>
      <w:r>
        <w:rPr>
          <w:rFonts w:hint="eastAsia"/>
          <w:sz w:val="24"/>
        </w:rPr>
        <w:t>非静默删除是指：删除应用时需要设备用户的介入才能完成。</w:t>
      </w:r>
    </w:p>
    <w:p>
      <w:pPr>
        <w:spacing w:line="400" w:lineRule="exact"/>
        <w:ind w:firstLine="482" w:firstLineChars="200"/>
        <w:rPr>
          <w:rFonts w:hint="eastAsia"/>
          <w:b/>
          <w:bCs/>
          <w:sz w:val="24"/>
        </w:rPr>
      </w:pPr>
      <w:r>
        <w:rPr>
          <w:rFonts w:hint="eastAsia"/>
          <w:b/>
          <w:bCs/>
          <w:sz w:val="24"/>
        </w:rPr>
        <w:t>应用使用情况监控</w:t>
      </w:r>
    </w:p>
    <w:p>
      <w:pPr>
        <w:spacing w:line="400" w:lineRule="exact"/>
        <w:ind w:firstLine="480" w:firstLineChars="200"/>
        <w:rPr>
          <w:rFonts w:hint="eastAsia"/>
          <w:sz w:val="24"/>
        </w:rPr>
      </w:pPr>
      <w:r>
        <w:rPr>
          <w:rFonts w:hint="eastAsia"/>
          <w:sz w:val="24"/>
        </w:rPr>
        <w:t>在应用发布后，后台可监控用户的应用下载和安装情况（未下载、已下载、未安装、已安装），非在线终端上线后立刻反馈；没有下载成功或安装成功的设备列表将会发送文件到相关部门/分组，并提醒用户手工下载或重新安装。</w:t>
      </w:r>
    </w:p>
    <w:p>
      <w:pPr>
        <w:spacing w:line="400" w:lineRule="exact"/>
        <w:ind w:firstLine="482" w:firstLineChars="200"/>
        <w:rPr>
          <w:rFonts w:hint="eastAsia"/>
          <w:b/>
          <w:bCs/>
          <w:sz w:val="24"/>
        </w:rPr>
      </w:pPr>
      <w:r>
        <w:rPr>
          <w:rFonts w:hint="eastAsia"/>
          <w:b/>
          <w:bCs/>
          <w:sz w:val="24"/>
        </w:rPr>
        <w:t>分组统计</w:t>
      </w:r>
    </w:p>
    <w:p>
      <w:pPr>
        <w:spacing w:line="400" w:lineRule="exact"/>
        <w:ind w:firstLine="480" w:firstLineChars="200"/>
        <w:rPr>
          <w:rFonts w:hint="eastAsia"/>
          <w:sz w:val="24"/>
        </w:rPr>
      </w:pPr>
      <w:r>
        <w:rPr>
          <w:rFonts w:hint="eastAsia"/>
          <w:sz w:val="24"/>
        </w:rPr>
        <w:t>应用安装后，可监测应用的使用情况并向后台服务器进行上报。能够支持按时间范围对用户所属地区、组织机构、使用者工作属性等多个维度进行统计，统计的时间范围可在后台进行设置，能够统计分析应用的访问量、使用时间、使用时段和地理位置等信息。</w:t>
      </w:r>
    </w:p>
    <w:p>
      <w:pPr>
        <w:spacing w:line="400" w:lineRule="exact"/>
        <w:ind w:firstLine="480" w:firstLineChars="200"/>
        <w:rPr>
          <w:rFonts w:hint="eastAsia"/>
          <w:sz w:val="24"/>
        </w:rPr>
      </w:pPr>
      <w:r>
        <w:rPr>
          <w:rFonts w:hint="eastAsia"/>
          <w:sz w:val="24"/>
        </w:rPr>
        <w:t>提供了手机上网热力图，对工作和网络连接最频繁的设备筛选后进行管理，按照地图层次展开后，可单击某一台手机进行状态查看或者进入管理界面。地理围栏的表现如下图：</w:t>
      </w:r>
    </w:p>
    <w:p>
      <w:pPr>
        <w:spacing w:line="400" w:lineRule="exact"/>
        <w:ind w:firstLine="482" w:firstLineChars="200"/>
        <w:rPr>
          <w:rFonts w:hint="eastAsia"/>
          <w:b/>
          <w:bCs/>
          <w:sz w:val="24"/>
        </w:rPr>
      </w:pPr>
      <w:r>
        <w:rPr>
          <w:rFonts w:hint="eastAsia"/>
          <w:b/>
          <w:bCs/>
          <w:sz w:val="24"/>
        </w:rPr>
        <w:t>安全管理</w:t>
      </w:r>
    </w:p>
    <w:p>
      <w:pPr>
        <w:spacing w:line="400" w:lineRule="exact"/>
        <w:ind w:firstLine="482" w:firstLineChars="200"/>
        <w:rPr>
          <w:rFonts w:hint="eastAsia"/>
          <w:b/>
          <w:bCs/>
          <w:sz w:val="24"/>
        </w:rPr>
      </w:pPr>
      <w:r>
        <w:rPr>
          <w:rFonts w:hint="eastAsia"/>
          <w:b/>
          <w:bCs/>
          <w:sz w:val="24"/>
        </w:rPr>
        <w:t>修改密码</w:t>
      </w:r>
    </w:p>
    <w:p>
      <w:pPr>
        <w:spacing w:line="400" w:lineRule="exact"/>
        <w:ind w:firstLine="480" w:firstLineChars="200"/>
        <w:rPr>
          <w:rFonts w:hint="eastAsia"/>
          <w:sz w:val="24"/>
        </w:rPr>
      </w:pPr>
      <w:r>
        <w:rPr>
          <w:rFonts w:hint="eastAsia"/>
          <w:sz w:val="24"/>
        </w:rPr>
        <w:t>管理平台可以对终端系统密码进行远程修改，支持对单台、多台终端修改系统锁屏密码。终端收到指令后会立即锁屏，只有输入修改后的密码方可登入。</w:t>
      </w:r>
    </w:p>
    <w:p>
      <w:pPr>
        <w:spacing w:line="400" w:lineRule="exact"/>
        <w:ind w:firstLine="480" w:firstLineChars="200"/>
        <w:rPr>
          <w:rFonts w:hint="eastAsia"/>
          <w:sz w:val="24"/>
        </w:rPr>
      </w:pPr>
      <w:r>
        <w:rPr>
          <w:rFonts w:hint="eastAsia"/>
          <w:sz w:val="24"/>
        </w:rPr>
        <w:t>管理员通过MDM管控平台可以对终端系统密码进行远程清除，支持对单台、多台终端清除系统锁屏密码。终端收到指令后会立刻清除锁屏密码，无需输入密码即可登入</w:t>
      </w:r>
    </w:p>
    <w:p>
      <w:pPr>
        <w:spacing w:line="400" w:lineRule="exact"/>
        <w:ind w:firstLine="482" w:firstLineChars="200"/>
        <w:rPr>
          <w:rFonts w:hint="eastAsia"/>
          <w:b/>
          <w:bCs/>
          <w:sz w:val="24"/>
        </w:rPr>
      </w:pPr>
      <w:r>
        <w:rPr>
          <w:rFonts w:hint="eastAsia"/>
          <w:b/>
          <w:bCs/>
          <w:sz w:val="24"/>
        </w:rPr>
        <w:t>远程锁机</w:t>
      </w:r>
    </w:p>
    <w:p>
      <w:pPr>
        <w:spacing w:line="400" w:lineRule="exact"/>
        <w:ind w:firstLine="480" w:firstLineChars="200"/>
        <w:rPr>
          <w:rFonts w:hint="eastAsia"/>
          <w:sz w:val="24"/>
        </w:rPr>
      </w:pPr>
      <w:r>
        <w:rPr>
          <w:rFonts w:hint="eastAsia"/>
          <w:sz w:val="24"/>
        </w:rPr>
        <w:t>管理平台可以对终端进行远程锁定，锁定后无法正常使用终端的各项功能，包括拨打、接听电话，发送短信等。平台操作如下：</w:t>
      </w:r>
    </w:p>
    <w:p>
      <w:pPr>
        <w:spacing w:line="400" w:lineRule="exact"/>
        <w:ind w:firstLine="480" w:firstLineChars="200"/>
        <w:rPr>
          <w:rFonts w:hint="eastAsia"/>
          <w:sz w:val="24"/>
        </w:rPr>
      </w:pPr>
      <w:r>
        <w:rPr>
          <w:rFonts w:hint="eastAsia"/>
          <w:sz w:val="24"/>
        </w:rPr>
        <w:t>当终端丢失或者出现异常情况下，管理员可以通过安全管控服务平台远程锁定安全工作系统，保证安全工作系统无法被访问，当确定终端正常后可远程取消锁定策略，对终端进行解锁。</w:t>
      </w:r>
    </w:p>
    <w:p>
      <w:pPr>
        <w:spacing w:line="400" w:lineRule="exact"/>
        <w:ind w:firstLine="482" w:firstLineChars="200"/>
        <w:rPr>
          <w:rFonts w:hint="eastAsia"/>
          <w:b/>
          <w:bCs/>
          <w:sz w:val="24"/>
        </w:rPr>
      </w:pPr>
      <w:r>
        <w:rPr>
          <w:rFonts w:hint="eastAsia"/>
          <w:b/>
          <w:bCs/>
          <w:sz w:val="24"/>
        </w:rPr>
        <w:t>终端防控功能</w:t>
      </w:r>
    </w:p>
    <w:p>
      <w:pPr>
        <w:spacing w:line="400" w:lineRule="exact"/>
        <w:ind w:firstLine="480" w:firstLineChars="200"/>
        <w:rPr>
          <w:rFonts w:hint="eastAsia"/>
          <w:sz w:val="24"/>
        </w:rPr>
      </w:pPr>
      <w:r>
        <w:rPr>
          <w:rFonts w:hint="eastAsia"/>
          <w:sz w:val="24"/>
        </w:rPr>
        <w:t>管理平台下发的应用/策略受系统保护，在不同的设备上可以实现防卸载、防停用、异常情况（例如客户端被破坏）下可删除的所有应用和数据；</w:t>
      </w:r>
    </w:p>
    <w:p>
      <w:pPr>
        <w:spacing w:line="400" w:lineRule="exact"/>
        <w:ind w:firstLine="482" w:firstLineChars="200"/>
        <w:rPr>
          <w:rFonts w:hint="eastAsia"/>
          <w:b/>
          <w:bCs/>
          <w:sz w:val="24"/>
        </w:rPr>
      </w:pPr>
      <w:r>
        <w:rPr>
          <w:rFonts w:hint="eastAsia"/>
          <w:b/>
          <w:bCs/>
          <w:sz w:val="24"/>
        </w:rPr>
        <w:t>异常管理</w:t>
      </w:r>
    </w:p>
    <w:p>
      <w:pPr>
        <w:spacing w:line="400" w:lineRule="exact"/>
        <w:ind w:firstLine="480" w:firstLineChars="200"/>
        <w:rPr>
          <w:rFonts w:hint="eastAsia"/>
          <w:sz w:val="24"/>
        </w:rPr>
      </w:pPr>
      <w:r>
        <w:rPr>
          <w:rFonts w:hint="eastAsia"/>
          <w:sz w:val="24"/>
        </w:rPr>
        <w:t>管理平台支持三种异常状态自动处理，可以根据需求进行擦除、停用以及发送管理策略等处理，并可发出相应的通知。三种异常状态包括：破解、超时未连结、空间不足。</w:t>
      </w:r>
    </w:p>
    <w:p>
      <w:pPr>
        <w:spacing w:line="400" w:lineRule="exact"/>
        <w:ind w:firstLine="482" w:firstLineChars="200"/>
        <w:rPr>
          <w:rFonts w:hint="eastAsia"/>
          <w:b/>
          <w:bCs/>
          <w:sz w:val="24"/>
        </w:rPr>
      </w:pPr>
      <w:r>
        <w:rPr>
          <w:rFonts w:hint="eastAsia"/>
          <w:b/>
          <w:bCs/>
          <w:sz w:val="24"/>
        </w:rPr>
        <w:t>时间同步</w:t>
      </w:r>
    </w:p>
    <w:p>
      <w:pPr>
        <w:spacing w:line="400" w:lineRule="exact"/>
        <w:ind w:firstLine="480" w:firstLineChars="200"/>
        <w:rPr>
          <w:rFonts w:hint="eastAsia"/>
          <w:sz w:val="24"/>
        </w:rPr>
      </w:pPr>
      <w:r>
        <w:rPr>
          <w:rFonts w:hint="eastAsia"/>
          <w:sz w:val="24"/>
        </w:rPr>
        <w:t>安全管控客户端可以限制手动修改“自动确定日期和时间”以及“自动确定时区”，通过禁止终端用户手工对安全系统下的终端时间进行调整设置，强制终端与服务器时间进行同步，确保相关应用数据准确性。如下图所示，在预装管控客户端后的系统中，时间修改按钮将禁止修改。</w:t>
      </w:r>
    </w:p>
    <w:p>
      <w:pPr>
        <w:spacing w:line="400" w:lineRule="exact"/>
        <w:ind w:firstLine="482" w:firstLineChars="200"/>
        <w:rPr>
          <w:rFonts w:hint="eastAsia"/>
          <w:b/>
          <w:bCs/>
          <w:sz w:val="24"/>
        </w:rPr>
      </w:pPr>
      <w:r>
        <w:rPr>
          <w:rFonts w:hint="eastAsia"/>
          <w:b/>
          <w:bCs/>
          <w:sz w:val="24"/>
        </w:rPr>
        <w:t>策略管理</w:t>
      </w:r>
    </w:p>
    <w:p>
      <w:pPr>
        <w:spacing w:line="400" w:lineRule="exact"/>
        <w:ind w:firstLine="480" w:firstLineChars="200"/>
        <w:rPr>
          <w:rFonts w:hint="eastAsia"/>
          <w:sz w:val="24"/>
        </w:rPr>
      </w:pPr>
      <w:r>
        <w:rPr>
          <w:rFonts w:hint="eastAsia"/>
          <w:sz w:val="24"/>
        </w:rPr>
        <w:t>管控平台的策略管理，首先需要建立模板。模板作为可复制的控制单元，可以很方便的在策略建立中编辑复制。可根据业务单位的需要以及业务警种的特殊性，对移动**终端设备进行部分功能的禁用：</w:t>
      </w:r>
    </w:p>
    <w:p>
      <w:pPr>
        <w:spacing w:line="400" w:lineRule="exact"/>
        <w:ind w:firstLine="480" w:firstLineChars="200"/>
        <w:rPr>
          <w:rFonts w:hint="eastAsia"/>
          <w:sz w:val="24"/>
        </w:rPr>
      </w:pPr>
      <w:r>
        <w:rPr>
          <w:rFonts w:hint="eastAsia"/>
          <w:sz w:val="24"/>
        </w:rPr>
        <w:t>模板分为4类：限制模板、消息模板、网络黑名单、应用黑白名单。</w:t>
      </w:r>
    </w:p>
    <w:p>
      <w:pPr>
        <w:spacing w:line="400" w:lineRule="exact"/>
        <w:ind w:firstLine="480" w:firstLineChars="200"/>
        <w:rPr>
          <w:rFonts w:hint="eastAsia"/>
          <w:sz w:val="24"/>
        </w:rPr>
      </w:pPr>
      <w:r>
        <w:rPr>
          <w:rFonts w:hint="eastAsia"/>
          <w:sz w:val="24"/>
        </w:rPr>
        <w:t>限制模板（蓝牙开关、摄像头开关、麦克风开关、GPS开关、定位、网络访问开关（WIFI开关、移动数据开关）、定位、锁机、擦除）</w:t>
      </w:r>
    </w:p>
    <w:p>
      <w:pPr>
        <w:spacing w:line="400" w:lineRule="exact"/>
        <w:ind w:firstLine="480" w:firstLineChars="200"/>
        <w:rPr>
          <w:rFonts w:hint="eastAsia"/>
          <w:sz w:val="24"/>
        </w:rPr>
      </w:pPr>
      <w:r>
        <w:rPr>
          <w:rFonts w:hint="eastAsia"/>
          <w:sz w:val="24"/>
        </w:rPr>
        <w:t>消息模板可以自定义消息内容，批量发送</w:t>
      </w:r>
    </w:p>
    <w:p>
      <w:pPr>
        <w:spacing w:line="400" w:lineRule="exact"/>
        <w:ind w:firstLine="480" w:firstLineChars="200"/>
        <w:rPr>
          <w:rFonts w:hint="eastAsia"/>
          <w:sz w:val="24"/>
        </w:rPr>
      </w:pPr>
      <w:r>
        <w:rPr>
          <w:rFonts w:hint="eastAsia"/>
          <w:sz w:val="24"/>
        </w:rPr>
        <w:t>新增时黑/白名单从维护库中获取，初始化包含所有数据，根据策略内容进行删减。</w:t>
      </w:r>
    </w:p>
    <w:p>
      <w:pPr>
        <w:spacing w:line="400" w:lineRule="exact"/>
        <w:ind w:firstLine="480" w:firstLineChars="200"/>
        <w:rPr>
          <w:rFonts w:hint="eastAsia"/>
          <w:sz w:val="24"/>
        </w:rPr>
      </w:pPr>
      <w:r>
        <w:rPr>
          <w:rFonts w:hint="eastAsia"/>
          <w:sz w:val="24"/>
        </w:rPr>
        <w:t>模板增、删、改、查。</w:t>
      </w:r>
    </w:p>
    <w:p>
      <w:pPr>
        <w:spacing w:line="400" w:lineRule="exact"/>
        <w:ind w:firstLine="480" w:firstLineChars="200"/>
        <w:rPr>
          <w:rFonts w:hint="eastAsia"/>
          <w:sz w:val="24"/>
        </w:rPr>
      </w:pPr>
      <w:r>
        <w:rPr>
          <w:rFonts w:hint="eastAsia"/>
          <w:sz w:val="24"/>
        </w:rPr>
        <w:t>已经被策略使用的模板不能修改、删除。</w:t>
      </w:r>
    </w:p>
    <w:p>
      <w:pPr>
        <w:spacing w:line="400" w:lineRule="exact"/>
        <w:ind w:firstLine="480" w:firstLineChars="200"/>
        <w:rPr>
          <w:rFonts w:hint="eastAsia"/>
          <w:sz w:val="24"/>
        </w:rPr>
      </w:pPr>
      <w:r>
        <w:rPr>
          <w:rFonts w:hint="eastAsia"/>
          <w:sz w:val="24"/>
        </w:rPr>
        <w:t>模板建立好后，可以通过新建策略来选定哪些模板作为策略下发给终端。下发策略的过程如下：</w:t>
      </w:r>
    </w:p>
    <w:p>
      <w:pPr>
        <w:spacing w:line="400" w:lineRule="exact"/>
        <w:ind w:firstLine="480" w:firstLineChars="200"/>
        <w:rPr>
          <w:rFonts w:hint="eastAsia"/>
          <w:sz w:val="24"/>
        </w:rPr>
      </w:pPr>
      <w:r>
        <w:rPr>
          <w:rFonts w:hint="eastAsia"/>
          <w:sz w:val="24"/>
        </w:rPr>
        <w:t>管理员通过安全管控服务平台可将终端管控策略信息按照部门、分组以及个人发送。</w:t>
      </w:r>
    </w:p>
    <w:p>
      <w:pPr>
        <w:spacing w:line="400" w:lineRule="exact"/>
        <w:ind w:firstLine="480" w:firstLineChars="200"/>
        <w:rPr>
          <w:rFonts w:hint="eastAsia"/>
          <w:sz w:val="24"/>
        </w:rPr>
      </w:pPr>
      <w:r>
        <w:rPr>
          <w:rFonts w:hint="eastAsia"/>
          <w:sz w:val="24"/>
        </w:rPr>
        <w:t>管控策略支持创建、配置、修改、删除；</w:t>
      </w:r>
    </w:p>
    <w:p>
      <w:pPr>
        <w:spacing w:line="400" w:lineRule="exact"/>
        <w:ind w:firstLine="480" w:firstLineChars="200"/>
        <w:rPr>
          <w:rFonts w:hint="eastAsia"/>
          <w:sz w:val="24"/>
        </w:rPr>
      </w:pPr>
      <w:r>
        <w:rPr>
          <w:rFonts w:hint="eastAsia"/>
          <w:sz w:val="24"/>
        </w:rPr>
        <w:t>终端管控策略支持批量发送和单人发送；</w:t>
      </w:r>
    </w:p>
    <w:p>
      <w:pPr>
        <w:spacing w:line="400" w:lineRule="exact"/>
        <w:ind w:firstLine="480" w:firstLineChars="200"/>
        <w:rPr>
          <w:rFonts w:hint="eastAsia"/>
          <w:sz w:val="24"/>
        </w:rPr>
      </w:pPr>
      <w:r>
        <w:rPr>
          <w:rFonts w:hint="eastAsia"/>
          <w:sz w:val="24"/>
        </w:rPr>
        <w:t>对离线终端，可实现终端上线后自动发送相应策略。</w:t>
      </w:r>
    </w:p>
    <w:p>
      <w:pPr>
        <w:spacing w:line="400" w:lineRule="exact"/>
        <w:ind w:firstLine="480" w:firstLineChars="200"/>
        <w:rPr>
          <w:rFonts w:hint="eastAsia"/>
          <w:sz w:val="24"/>
        </w:rPr>
      </w:pPr>
      <w:r>
        <w:rPr>
          <w:rFonts w:hint="eastAsia"/>
          <w:sz w:val="24"/>
        </w:rPr>
        <w:t>可制定终端本地策略，无论终端是否在线策略均可被调度生效。</w:t>
      </w:r>
    </w:p>
    <w:p>
      <w:pPr>
        <w:spacing w:line="400" w:lineRule="exact"/>
        <w:ind w:firstLine="482" w:firstLineChars="200"/>
        <w:rPr>
          <w:rFonts w:hint="eastAsia"/>
          <w:b/>
          <w:bCs/>
          <w:sz w:val="24"/>
        </w:rPr>
      </w:pPr>
      <w:r>
        <w:rPr>
          <w:rFonts w:hint="eastAsia"/>
          <w:b/>
          <w:bCs/>
          <w:sz w:val="24"/>
        </w:rPr>
        <w:t>初始化设置</w:t>
      </w:r>
    </w:p>
    <w:p>
      <w:pPr>
        <w:spacing w:line="400" w:lineRule="exact"/>
        <w:ind w:firstLine="480" w:firstLineChars="200"/>
        <w:rPr>
          <w:rFonts w:hint="eastAsia"/>
          <w:sz w:val="24"/>
        </w:rPr>
      </w:pPr>
      <w:r>
        <w:rPr>
          <w:rFonts w:hint="eastAsia"/>
          <w:sz w:val="24"/>
        </w:rPr>
        <w:t>通过预定义好的配置文件，在终端激活后，自动向设备下发配置信息，并可通过修改配置文件在线对已激活的设备进行配置信息修改，同时实现必要**应用的自动安装。</w:t>
      </w:r>
    </w:p>
    <w:p>
      <w:pPr>
        <w:spacing w:line="400" w:lineRule="exact"/>
        <w:ind w:firstLine="482" w:firstLineChars="200"/>
        <w:rPr>
          <w:rFonts w:hint="eastAsia"/>
          <w:b/>
          <w:bCs/>
          <w:sz w:val="24"/>
        </w:rPr>
      </w:pPr>
      <w:r>
        <w:rPr>
          <w:rFonts w:hint="eastAsia"/>
          <w:b/>
          <w:bCs/>
          <w:sz w:val="24"/>
        </w:rPr>
        <w:t>时间围栏</w:t>
      </w:r>
    </w:p>
    <w:p>
      <w:pPr>
        <w:spacing w:line="400" w:lineRule="exact"/>
        <w:ind w:firstLine="480" w:firstLineChars="200"/>
        <w:rPr>
          <w:rFonts w:hint="eastAsia"/>
          <w:sz w:val="24"/>
        </w:rPr>
      </w:pPr>
      <w:r>
        <w:rPr>
          <w:rFonts w:hint="eastAsia"/>
          <w:sz w:val="24"/>
        </w:rPr>
        <w:t>可配置时间围栏的管理，当终端到达设定的时间自动触发执行时间围栏配置的管理动作。</w:t>
      </w:r>
    </w:p>
    <w:p>
      <w:pPr>
        <w:spacing w:line="400" w:lineRule="exact"/>
        <w:ind w:firstLine="482" w:firstLineChars="200"/>
        <w:rPr>
          <w:rFonts w:hint="eastAsia"/>
          <w:b/>
          <w:bCs/>
          <w:sz w:val="24"/>
        </w:rPr>
      </w:pPr>
      <w:r>
        <w:rPr>
          <w:rFonts w:hint="eastAsia"/>
          <w:b/>
          <w:bCs/>
          <w:sz w:val="24"/>
        </w:rPr>
        <w:t>地理围栏</w:t>
      </w:r>
    </w:p>
    <w:p>
      <w:pPr>
        <w:spacing w:line="400" w:lineRule="exact"/>
        <w:ind w:firstLine="480" w:firstLineChars="200"/>
        <w:rPr>
          <w:rFonts w:hint="eastAsia"/>
          <w:sz w:val="24"/>
        </w:rPr>
      </w:pPr>
      <w:r>
        <w:rPr>
          <w:rFonts w:hint="eastAsia"/>
          <w:sz w:val="24"/>
        </w:rPr>
        <w:t>可配置地理围栏的管理，当终端到达设定的地理位置自动触发执行地理围栏配置的管理动作。</w:t>
      </w:r>
    </w:p>
    <w:p>
      <w:pPr>
        <w:spacing w:line="400" w:lineRule="exact"/>
        <w:ind w:firstLine="482" w:firstLineChars="200"/>
        <w:rPr>
          <w:rFonts w:hint="eastAsia"/>
          <w:b/>
          <w:bCs/>
          <w:sz w:val="24"/>
        </w:rPr>
      </w:pPr>
      <w:r>
        <w:rPr>
          <w:rFonts w:hint="eastAsia"/>
          <w:b/>
          <w:bCs/>
          <w:sz w:val="24"/>
        </w:rPr>
        <w:t>离线管理</w:t>
      </w:r>
    </w:p>
    <w:p>
      <w:pPr>
        <w:spacing w:line="400" w:lineRule="exact"/>
        <w:ind w:firstLine="480" w:firstLineChars="200"/>
        <w:rPr>
          <w:rFonts w:hint="eastAsia"/>
          <w:sz w:val="24"/>
        </w:rPr>
      </w:pPr>
      <w:r>
        <w:rPr>
          <w:rFonts w:hint="eastAsia"/>
          <w:sz w:val="24"/>
        </w:rPr>
        <w:t>当终端初始化以及在线状态下接收到MDM管控平台下发的管控指令和策略后，当设备断网或者拔卡后处于离线状态下，被预先设置的管控指令和管理策略仍然生效：执行系统锁屏、应用黑白名单管控、应用安装限制、限制热点分享、限制使用蓝牙、限制使用USB、限制使用GPS等管理。</w:t>
      </w:r>
    </w:p>
    <w:p>
      <w:pPr>
        <w:spacing w:line="400" w:lineRule="exact"/>
        <w:ind w:firstLine="482" w:firstLineChars="200"/>
        <w:rPr>
          <w:rFonts w:hint="eastAsia"/>
          <w:b/>
          <w:bCs/>
          <w:sz w:val="24"/>
        </w:rPr>
      </w:pPr>
      <w:r>
        <w:rPr>
          <w:rFonts w:hint="eastAsia"/>
          <w:b/>
          <w:bCs/>
          <w:sz w:val="24"/>
        </w:rPr>
        <w:t>策略执行状态统计</w:t>
      </w:r>
    </w:p>
    <w:p>
      <w:pPr>
        <w:spacing w:line="400" w:lineRule="exact"/>
        <w:ind w:firstLine="480" w:firstLineChars="200"/>
        <w:rPr>
          <w:rFonts w:hint="eastAsia"/>
          <w:sz w:val="24"/>
        </w:rPr>
      </w:pPr>
      <w:r>
        <w:rPr>
          <w:rFonts w:hint="eastAsia"/>
          <w:sz w:val="24"/>
        </w:rPr>
        <w:t>平台提供所有策略的执行统计数据，并以图标方式显示，方便管理员查看。</w:t>
      </w:r>
    </w:p>
    <w:p>
      <w:pPr>
        <w:spacing w:line="400" w:lineRule="exact"/>
        <w:ind w:firstLine="480" w:firstLineChars="200"/>
        <w:rPr>
          <w:rFonts w:hint="eastAsia"/>
          <w:sz w:val="24"/>
        </w:rPr>
      </w:pPr>
      <w:r>
        <w:rPr>
          <w:rFonts w:hint="eastAsia"/>
          <w:sz w:val="24"/>
        </w:rPr>
        <w:t>当个策略点击查看后可查看到执行统计数据，包含执行结果、策略名称、下发人、下发时间等信息。</w:t>
      </w:r>
    </w:p>
    <w:p>
      <w:pPr>
        <w:spacing w:line="400" w:lineRule="exact"/>
        <w:ind w:firstLine="482" w:firstLineChars="200"/>
        <w:rPr>
          <w:rFonts w:hint="eastAsia"/>
          <w:b/>
          <w:bCs/>
          <w:sz w:val="24"/>
        </w:rPr>
      </w:pPr>
      <w:r>
        <w:rPr>
          <w:rFonts w:hint="eastAsia"/>
          <w:b/>
          <w:bCs/>
          <w:sz w:val="24"/>
        </w:rPr>
        <w:t>系统监控</w:t>
      </w:r>
    </w:p>
    <w:p>
      <w:pPr>
        <w:spacing w:line="400" w:lineRule="exact"/>
        <w:ind w:firstLine="480" w:firstLineChars="200"/>
        <w:rPr>
          <w:rFonts w:hint="eastAsia"/>
          <w:sz w:val="24"/>
        </w:rPr>
      </w:pPr>
      <w:r>
        <w:rPr>
          <w:rFonts w:hint="eastAsia"/>
          <w:sz w:val="24"/>
        </w:rPr>
        <w:t>通过管理系统可以实现对终端各个模式的终端数量统计，可以实现对ROOT、失联等异常状态的终端进行统计。在管理系统上可以通过仪表台来实时监控用户及终端数据信息，从仪表台可以查看已注册的终端数量，在线数量，已经被root的终端数量以及失联状态的终端数量等。同时根据每天的上线终端数量以及下发的指令数量，生成折线图标，清晰显示数据变化趋势，具体可查看的信息如下：</w:t>
      </w:r>
    </w:p>
    <w:p>
      <w:pPr>
        <w:spacing w:line="400" w:lineRule="exact"/>
        <w:ind w:firstLine="480" w:firstLineChars="200"/>
        <w:rPr>
          <w:rFonts w:hint="eastAsia"/>
          <w:sz w:val="24"/>
        </w:rPr>
      </w:pPr>
      <w:r>
        <w:rPr>
          <w:rFonts w:hint="eastAsia"/>
          <w:sz w:val="24"/>
        </w:rPr>
        <w:t xml:space="preserve"> 已注册数：统计并展示当前管理范围内已注册终端数量。</w:t>
      </w:r>
    </w:p>
    <w:p>
      <w:pPr>
        <w:spacing w:line="400" w:lineRule="exact"/>
        <w:ind w:firstLine="480" w:firstLineChars="200"/>
        <w:rPr>
          <w:rFonts w:hint="eastAsia"/>
          <w:sz w:val="24"/>
        </w:rPr>
      </w:pPr>
      <w:r>
        <w:rPr>
          <w:rFonts w:hint="eastAsia"/>
          <w:sz w:val="24"/>
        </w:rPr>
        <w:t xml:space="preserve"> 在线数：统计并展示当前管理范围内在线的终端数量。</w:t>
      </w:r>
    </w:p>
    <w:p>
      <w:pPr>
        <w:spacing w:line="400" w:lineRule="exact"/>
        <w:ind w:firstLine="480" w:firstLineChars="200"/>
        <w:rPr>
          <w:rFonts w:hint="eastAsia"/>
          <w:sz w:val="24"/>
        </w:rPr>
      </w:pPr>
      <w:r>
        <w:rPr>
          <w:rFonts w:hint="eastAsia"/>
          <w:sz w:val="24"/>
        </w:rPr>
        <w:t xml:space="preserve"> 越狱数：统计并展示当前管理范围内被Root的终端数量。</w:t>
      </w:r>
    </w:p>
    <w:p>
      <w:pPr>
        <w:spacing w:line="400" w:lineRule="exact"/>
        <w:ind w:firstLine="480" w:firstLineChars="200"/>
        <w:rPr>
          <w:rFonts w:hint="eastAsia"/>
          <w:sz w:val="24"/>
        </w:rPr>
      </w:pPr>
      <w:r>
        <w:rPr>
          <w:rFonts w:hint="eastAsia"/>
          <w:sz w:val="24"/>
        </w:rPr>
        <w:t xml:space="preserve"> 失联数：统计并展示当前管理范围内离线时间超过设置的失联时间的终端数量。</w:t>
      </w:r>
    </w:p>
    <w:p>
      <w:pPr>
        <w:spacing w:line="400" w:lineRule="exact"/>
        <w:ind w:firstLine="480" w:firstLineChars="200"/>
        <w:rPr>
          <w:rFonts w:hint="eastAsia"/>
          <w:sz w:val="24"/>
        </w:rPr>
      </w:pPr>
      <w:r>
        <w:rPr>
          <w:rFonts w:hint="eastAsia"/>
          <w:sz w:val="24"/>
        </w:rPr>
        <w:t xml:space="preserve"> 日新增终端量统计图：以折线图形式展示一周内管理范围内每日新注册终端情况。</w:t>
      </w:r>
    </w:p>
    <w:p>
      <w:pPr>
        <w:spacing w:line="400" w:lineRule="exact"/>
        <w:ind w:firstLine="480" w:firstLineChars="200"/>
        <w:rPr>
          <w:rFonts w:hint="eastAsia"/>
          <w:sz w:val="24"/>
        </w:rPr>
      </w:pPr>
      <w:r>
        <w:rPr>
          <w:rFonts w:hint="eastAsia"/>
          <w:sz w:val="24"/>
        </w:rPr>
        <w:t xml:space="preserve"> 日指令发送量折线图：以折线图形式展示一周内管理范围内管理员每日发送指令总数情况。</w:t>
      </w:r>
    </w:p>
    <w:p>
      <w:pPr>
        <w:spacing w:line="400" w:lineRule="exact"/>
        <w:ind w:firstLine="480" w:firstLineChars="200"/>
        <w:rPr>
          <w:rFonts w:hint="eastAsia"/>
          <w:sz w:val="24"/>
        </w:rPr>
      </w:pPr>
      <w:r>
        <w:rPr>
          <w:rFonts w:hint="eastAsia"/>
          <w:sz w:val="24"/>
        </w:rPr>
        <w:t xml:space="preserve"> 终端失联监控：实时显示管理范围内的失联终端记录。</w:t>
      </w:r>
    </w:p>
    <w:p>
      <w:pPr>
        <w:spacing w:line="400" w:lineRule="exact"/>
        <w:ind w:firstLine="482" w:firstLineChars="200"/>
        <w:rPr>
          <w:rFonts w:hint="eastAsia"/>
          <w:b/>
          <w:bCs/>
          <w:sz w:val="24"/>
        </w:rPr>
      </w:pPr>
      <w:r>
        <w:rPr>
          <w:rFonts w:hint="eastAsia"/>
          <w:b/>
          <w:bCs/>
          <w:sz w:val="24"/>
        </w:rPr>
        <w:t>可视化监控</w:t>
      </w:r>
    </w:p>
    <w:p>
      <w:pPr>
        <w:spacing w:line="400" w:lineRule="exact"/>
        <w:ind w:firstLine="480" w:firstLineChars="200"/>
        <w:rPr>
          <w:rFonts w:hint="eastAsia"/>
          <w:sz w:val="24"/>
        </w:rPr>
      </w:pPr>
      <w:r>
        <w:rPr>
          <w:rFonts w:hint="eastAsia"/>
          <w:sz w:val="24"/>
        </w:rPr>
        <w:t>提供监控指挥中心实时展示终端情况和违规情况，以及人员热力分布图。</w:t>
      </w:r>
    </w:p>
    <w:p>
      <w:pPr>
        <w:spacing w:line="400" w:lineRule="exact"/>
        <w:ind w:firstLine="482" w:firstLineChars="200"/>
        <w:rPr>
          <w:rFonts w:hint="eastAsia"/>
          <w:b/>
          <w:bCs/>
          <w:sz w:val="24"/>
        </w:rPr>
      </w:pPr>
      <w:r>
        <w:rPr>
          <w:rFonts w:hint="eastAsia"/>
          <w:b/>
          <w:bCs/>
          <w:sz w:val="24"/>
        </w:rPr>
        <w:t>统计报表</w:t>
      </w:r>
    </w:p>
    <w:p>
      <w:pPr>
        <w:spacing w:line="400" w:lineRule="exact"/>
        <w:ind w:firstLine="480" w:firstLineChars="200"/>
        <w:rPr>
          <w:rFonts w:hint="eastAsia"/>
          <w:sz w:val="24"/>
        </w:rPr>
      </w:pPr>
      <w:r>
        <w:rPr>
          <w:rFonts w:hint="eastAsia"/>
          <w:sz w:val="24"/>
        </w:rPr>
        <w:t>统计报表是管理工作的重要手段，能加强工作规范化、制度化建设。移动应用管理平台提供统计报表功能服务，支持以下报表，所有报表能够根据管理员选择的内容不同，生成相应的图形化报表：</w:t>
      </w:r>
    </w:p>
    <w:p>
      <w:pPr>
        <w:spacing w:line="400" w:lineRule="exact"/>
        <w:ind w:firstLine="482" w:firstLineChars="200"/>
        <w:rPr>
          <w:rFonts w:hint="eastAsia"/>
          <w:b/>
          <w:bCs/>
          <w:sz w:val="24"/>
        </w:rPr>
      </w:pPr>
      <w:r>
        <w:rPr>
          <w:rFonts w:hint="eastAsia"/>
          <w:b/>
          <w:bCs/>
          <w:sz w:val="24"/>
        </w:rPr>
        <w:t>设备报表</w:t>
      </w:r>
    </w:p>
    <w:p>
      <w:pPr>
        <w:spacing w:line="400" w:lineRule="exact"/>
        <w:ind w:firstLine="480" w:firstLineChars="200"/>
        <w:rPr>
          <w:rFonts w:hint="eastAsia"/>
          <w:sz w:val="24"/>
        </w:rPr>
      </w:pPr>
      <w:r>
        <w:rPr>
          <w:rFonts w:hint="eastAsia"/>
          <w:sz w:val="24"/>
        </w:rPr>
        <w:t>设备报表统计所有已注册到管理平台的终端相关信息以及软硬件资产信息。</w:t>
      </w:r>
    </w:p>
    <w:p>
      <w:pPr>
        <w:spacing w:line="400" w:lineRule="exact"/>
        <w:ind w:firstLine="480" w:firstLineChars="200"/>
        <w:rPr>
          <w:rFonts w:hint="eastAsia"/>
          <w:sz w:val="24"/>
        </w:rPr>
      </w:pPr>
      <w:r>
        <w:rPr>
          <w:rFonts w:hint="eastAsia"/>
          <w:sz w:val="24"/>
        </w:rPr>
        <w:t>注册相关信息：用户名，设备类型，设备状态，操作系统版本，所属区域，注册时间，激活时间，终端状态（已注册、注销等）；</w:t>
      </w:r>
    </w:p>
    <w:p>
      <w:pPr>
        <w:spacing w:line="400" w:lineRule="exact"/>
        <w:ind w:firstLine="480" w:firstLineChars="200"/>
        <w:rPr>
          <w:rFonts w:hint="eastAsia"/>
          <w:sz w:val="24"/>
        </w:rPr>
      </w:pPr>
      <w:r>
        <w:rPr>
          <w:rFonts w:hint="eastAsia"/>
          <w:sz w:val="24"/>
        </w:rPr>
        <w:t>硬件信息：设备型号，运营商信息，存储信息，是否越狱，WiFi信息，设备限制状态；</w:t>
      </w:r>
    </w:p>
    <w:p>
      <w:pPr>
        <w:spacing w:line="400" w:lineRule="exact"/>
        <w:ind w:firstLine="480" w:firstLineChars="200"/>
        <w:rPr>
          <w:rFonts w:hint="eastAsia"/>
          <w:sz w:val="24"/>
        </w:rPr>
      </w:pPr>
      <w:r>
        <w:rPr>
          <w:rFonts w:hint="eastAsia"/>
          <w:sz w:val="24"/>
        </w:rPr>
        <w:t>软件信息：设备上所有安装的软件名称，包名，版本等</w:t>
      </w:r>
    </w:p>
    <w:p>
      <w:pPr>
        <w:spacing w:line="400" w:lineRule="exact"/>
        <w:ind w:firstLine="482" w:firstLineChars="200"/>
        <w:rPr>
          <w:rFonts w:hint="eastAsia"/>
          <w:sz w:val="24"/>
        </w:rPr>
      </w:pPr>
      <w:r>
        <w:rPr>
          <w:rFonts w:hint="eastAsia"/>
          <w:b/>
          <w:bCs/>
          <w:sz w:val="24"/>
        </w:rPr>
        <w:t>应用报表</w:t>
      </w:r>
    </w:p>
    <w:p>
      <w:pPr>
        <w:spacing w:line="400" w:lineRule="exact"/>
        <w:ind w:firstLine="480" w:firstLineChars="200"/>
        <w:rPr>
          <w:rFonts w:hint="eastAsia"/>
          <w:sz w:val="24"/>
        </w:rPr>
      </w:pPr>
      <w:r>
        <w:rPr>
          <w:rFonts w:hint="eastAsia"/>
          <w:sz w:val="24"/>
        </w:rPr>
        <w:t>移动终端管理平台管理员上传的所有应用相关报表，包括应用名称、包名、版本、下载量、安装量，可根据指定区域、时间针对每款软件的安装情况进行统计和查询</w:t>
      </w:r>
    </w:p>
    <w:p>
      <w:pPr>
        <w:spacing w:line="400" w:lineRule="exact"/>
        <w:ind w:firstLine="482" w:firstLineChars="200"/>
        <w:rPr>
          <w:rFonts w:hint="eastAsia"/>
          <w:b/>
          <w:bCs/>
          <w:sz w:val="24"/>
        </w:rPr>
      </w:pPr>
      <w:r>
        <w:rPr>
          <w:rFonts w:hint="eastAsia"/>
          <w:b/>
          <w:bCs/>
          <w:sz w:val="24"/>
        </w:rPr>
        <w:t>管理员操作报表</w:t>
      </w:r>
    </w:p>
    <w:p>
      <w:pPr>
        <w:spacing w:line="400" w:lineRule="exact"/>
        <w:ind w:firstLine="480" w:firstLineChars="200"/>
        <w:rPr>
          <w:rFonts w:hint="eastAsia"/>
          <w:sz w:val="24"/>
        </w:rPr>
      </w:pPr>
      <w:r>
        <w:rPr>
          <w:rFonts w:hint="eastAsia"/>
          <w:sz w:val="24"/>
        </w:rPr>
        <w:t>记录各级管理员的操作信息，并形成操作日志。包括管理员名称，管理员IP地址，服务器IP地址，操作时间，操作内容，操作结果等；</w:t>
      </w:r>
    </w:p>
    <w:p>
      <w:pPr>
        <w:spacing w:line="400" w:lineRule="exact"/>
        <w:ind w:firstLine="482" w:firstLineChars="200"/>
        <w:rPr>
          <w:rFonts w:hint="eastAsia"/>
          <w:b/>
          <w:bCs/>
          <w:sz w:val="24"/>
        </w:rPr>
      </w:pPr>
      <w:r>
        <w:rPr>
          <w:rFonts w:hint="eastAsia"/>
          <w:b/>
          <w:bCs/>
          <w:sz w:val="24"/>
        </w:rPr>
        <w:t>用户报表</w:t>
      </w:r>
    </w:p>
    <w:p>
      <w:pPr>
        <w:spacing w:line="400" w:lineRule="exact"/>
        <w:ind w:firstLine="480" w:firstLineChars="200"/>
        <w:rPr>
          <w:rFonts w:hint="eastAsia"/>
          <w:sz w:val="24"/>
        </w:rPr>
      </w:pPr>
      <w:r>
        <w:rPr>
          <w:rFonts w:hint="eastAsia"/>
          <w:sz w:val="24"/>
        </w:rPr>
        <w:t>记录并显示平台上的所有司法干职人员信息；</w:t>
      </w:r>
    </w:p>
    <w:p>
      <w:pPr>
        <w:spacing w:line="400" w:lineRule="exact"/>
        <w:ind w:firstLine="482" w:firstLineChars="200"/>
        <w:rPr>
          <w:rFonts w:hint="eastAsia"/>
          <w:b/>
          <w:bCs/>
          <w:sz w:val="24"/>
        </w:rPr>
      </w:pPr>
      <w:r>
        <w:rPr>
          <w:rFonts w:hint="eastAsia"/>
          <w:b/>
          <w:bCs/>
          <w:sz w:val="24"/>
        </w:rPr>
        <w:t>策略执行报表</w:t>
      </w:r>
    </w:p>
    <w:p>
      <w:pPr>
        <w:spacing w:line="400" w:lineRule="exact"/>
        <w:ind w:firstLine="480" w:firstLineChars="200"/>
        <w:rPr>
          <w:rFonts w:hint="eastAsia"/>
          <w:b/>
          <w:bCs/>
          <w:sz w:val="24"/>
        </w:rPr>
      </w:pPr>
      <w:r>
        <w:rPr>
          <w:rFonts w:hint="eastAsia"/>
          <w:sz w:val="24"/>
        </w:rPr>
        <w:t>管理员下发的所有策略的执行情况报表，可以查看策略是否执行成功，对于未成功下发的策略可重新下发。</w:t>
      </w:r>
    </w:p>
    <w:p>
      <w:pPr>
        <w:spacing w:line="400" w:lineRule="exact"/>
        <w:ind w:firstLine="482" w:firstLineChars="200"/>
        <w:rPr>
          <w:rFonts w:hint="eastAsia"/>
          <w:sz w:val="24"/>
        </w:rPr>
      </w:pPr>
      <w:r>
        <w:rPr>
          <w:rFonts w:hint="eastAsia"/>
          <w:b/>
          <w:bCs/>
          <w:sz w:val="24"/>
        </w:rPr>
        <w:t>单点登录</w:t>
      </w:r>
    </w:p>
    <w:p>
      <w:pPr>
        <w:spacing w:line="400" w:lineRule="exact"/>
        <w:ind w:firstLine="480" w:firstLineChars="200"/>
        <w:rPr>
          <w:rFonts w:hint="eastAsia"/>
          <w:sz w:val="24"/>
        </w:rPr>
      </w:pPr>
      <w:r>
        <w:rPr>
          <w:rFonts w:hint="eastAsia"/>
          <w:sz w:val="24"/>
        </w:rPr>
        <w:t>为了简化用户登录过程，实现**移动管理系统与**业务系统的账户统一，通过统一的用户管理系统，实现用户的统一管理，批量启用和禁用，移动终端管控系统能够提供第三方应用统一登录接口（提供本地身份证、用户名等身份认证接口服务），供第三方应用登录认证。在用户登录移动**门户后，可直接在门户中启动第三方应用，而不需要二次登录。</w:t>
      </w:r>
    </w:p>
    <w:p>
      <w:pPr>
        <w:spacing w:line="400" w:lineRule="exact"/>
        <w:ind w:firstLine="482" w:firstLineChars="200"/>
        <w:rPr>
          <w:rFonts w:hint="eastAsia"/>
          <w:b/>
          <w:bCs/>
          <w:sz w:val="24"/>
        </w:rPr>
      </w:pPr>
      <w:r>
        <w:rPr>
          <w:rFonts w:hint="eastAsia"/>
          <w:b/>
          <w:bCs/>
          <w:sz w:val="24"/>
        </w:rPr>
        <w:t>信息服务接口</w:t>
      </w:r>
    </w:p>
    <w:p>
      <w:pPr>
        <w:spacing w:line="400" w:lineRule="exact"/>
        <w:ind w:firstLine="480" w:firstLineChars="200"/>
        <w:rPr>
          <w:rFonts w:hint="eastAsia"/>
          <w:sz w:val="24"/>
        </w:rPr>
      </w:pPr>
      <w:r>
        <w:rPr>
          <w:rFonts w:hint="eastAsia"/>
          <w:sz w:val="24"/>
        </w:rPr>
        <w:t>移动终端管控系统提供相应的信息服务接口供第三方应用程序调用，第三方程序可根据需要调用监控终端获取的各类数据，开展各类业务应用。</w:t>
      </w:r>
    </w:p>
    <w:p>
      <w:pPr>
        <w:spacing w:line="400" w:lineRule="exact"/>
        <w:ind w:firstLine="482" w:firstLineChars="200"/>
        <w:rPr>
          <w:rFonts w:hint="eastAsia"/>
          <w:b/>
          <w:bCs/>
          <w:sz w:val="24"/>
        </w:rPr>
      </w:pPr>
      <w:r>
        <w:rPr>
          <w:rFonts w:hint="eastAsia"/>
          <w:b/>
          <w:bCs/>
          <w:sz w:val="24"/>
        </w:rPr>
        <w:t>安全监管平台接口</w:t>
      </w:r>
    </w:p>
    <w:p>
      <w:pPr>
        <w:spacing w:line="400" w:lineRule="exact"/>
        <w:ind w:firstLine="480" w:firstLineChars="200"/>
        <w:rPr>
          <w:rFonts w:hint="eastAsia"/>
          <w:sz w:val="24"/>
        </w:rPr>
      </w:pPr>
      <w:r>
        <w:rPr>
          <w:rFonts w:hint="eastAsia"/>
          <w:sz w:val="24"/>
        </w:rPr>
        <w:t>根据政法体系以及公安相关的安全监管的要求，提供相应的信息接口，供统一安全监控平台建设时调用，提供的接口类型如下：</w:t>
      </w:r>
    </w:p>
    <w:p>
      <w:pPr>
        <w:spacing w:line="400" w:lineRule="exact"/>
        <w:ind w:firstLine="480" w:firstLineChars="200"/>
        <w:rPr>
          <w:rFonts w:hint="eastAsia"/>
          <w:sz w:val="24"/>
        </w:rPr>
      </w:pPr>
      <w:r>
        <w:rPr>
          <w:rFonts w:hint="eastAsia"/>
          <w:sz w:val="24"/>
        </w:rPr>
        <w:t>管理类API：提供设备管理流程管理的接口，主要用于设备管理流程的定制</w:t>
      </w:r>
    </w:p>
    <w:p>
      <w:pPr>
        <w:spacing w:line="400" w:lineRule="exact"/>
        <w:ind w:firstLine="480" w:firstLineChars="200"/>
        <w:rPr>
          <w:rFonts w:hint="eastAsia"/>
          <w:sz w:val="24"/>
        </w:rPr>
      </w:pPr>
      <w:r>
        <w:rPr>
          <w:rFonts w:hint="eastAsia"/>
          <w:sz w:val="24"/>
        </w:rPr>
        <w:t>功能类API：提供设备管理功能的接口，主要用于在其他系统/应用中添加/整合设备管理的功能</w:t>
      </w:r>
    </w:p>
    <w:p>
      <w:pPr>
        <w:autoSpaceDE w:val="0"/>
        <w:autoSpaceDN w:val="0"/>
        <w:adjustRightInd w:val="0"/>
        <w:spacing w:line="312" w:lineRule="auto"/>
        <w:ind w:firstLine="480" w:firstLineChars="200"/>
        <w:jc w:val="left"/>
        <w:rPr>
          <w:rFonts w:hint="eastAsia"/>
          <w:sz w:val="24"/>
        </w:rPr>
      </w:pPr>
      <w:r>
        <w:rPr>
          <w:rFonts w:hint="eastAsia"/>
          <w:sz w:val="24"/>
        </w:rPr>
        <w:t>统计类API：提供设备管理行为的统计数据接口，主要用于其他系统对设备管理统计数据的复用</w:t>
      </w:r>
    </w:p>
    <w:p>
      <w:pPr>
        <w:autoSpaceDE w:val="0"/>
        <w:autoSpaceDN w:val="0"/>
        <w:adjustRightInd w:val="0"/>
        <w:spacing w:line="312" w:lineRule="auto"/>
        <w:ind w:firstLine="480" w:firstLineChars="200"/>
        <w:jc w:val="left"/>
        <w:rPr>
          <w:rFonts w:hint="eastAsia"/>
          <w:sz w:val="24"/>
        </w:rPr>
      </w:pPr>
      <w:r>
        <w:rPr>
          <w:rFonts w:hint="eastAsia"/>
          <w:sz w:val="24"/>
        </w:rPr>
        <w:t>2.3.2 **通专用加密</w:t>
      </w:r>
    </w:p>
    <w:p>
      <w:pPr>
        <w:spacing w:line="380" w:lineRule="exact"/>
        <w:ind w:firstLine="480" w:firstLineChars="200"/>
        <w:rPr>
          <w:rFonts w:hint="eastAsia"/>
          <w:sz w:val="24"/>
        </w:rPr>
      </w:pPr>
      <w:r>
        <w:rPr>
          <w:rFonts w:hint="eastAsia"/>
          <w:sz w:val="24"/>
        </w:rPr>
        <w:t>采用数学空间变换、知识拆分、协同密码运算等核心专利技术对密钥进行保护，确保密钥在生成、运算及存储等全过程不出现，达到硬件密码模块的密钥保护强度。满足国密二级要求（达到国密标准GM/T0028-2014《密码模块安全技术要求》第二级或以上的安全要求），符合《电子签名法》“可靠的电子签名”条件；</w:t>
      </w:r>
    </w:p>
    <w:p>
      <w:pPr>
        <w:spacing w:line="380" w:lineRule="exact"/>
        <w:ind w:firstLine="480" w:firstLineChars="200"/>
        <w:rPr>
          <w:rFonts w:hint="eastAsia"/>
          <w:sz w:val="24"/>
        </w:rPr>
      </w:pPr>
      <w:r>
        <w:rPr>
          <w:rFonts w:hint="eastAsia"/>
          <w:sz w:val="24"/>
        </w:rPr>
        <w:t>•</w:t>
      </w:r>
      <w:r>
        <w:rPr>
          <w:rFonts w:hint="eastAsia"/>
          <w:sz w:val="24"/>
        </w:rPr>
        <w:tab/>
      </w:r>
      <w:r>
        <w:rPr>
          <w:rFonts w:hint="eastAsia"/>
          <w:sz w:val="24"/>
        </w:rPr>
        <w:t>采用标准化对外接口提供服务，符合国密SKF接口标准。</w:t>
      </w:r>
    </w:p>
    <w:p>
      <w:pPr>
        <w:spacing w:line="380" w:lineRule="exact"/>
        <w:ind w:firstLine="480" w:firstLineChars="200"/>
        <w:rPr>
          <w:rFonts w:hint="eastAsia"/>
          <w:sz w:val="24"/>
        </w:rPr>
      </w:pPr>
      <w:r>
        <w:rPr>
          <w:rFonts w:hint="eastAsia"/>
          <w:sz w:val="24"/>
        </w:rPr>
        <w:t>•</w:t>
      </w:r>
      <w:r>
        <w:rPr>
          <w:rFonts w:hint="eastAsia"/>
          <w:sz w:val="24"/>
        </w:rPr>
        <w:tab/>
      </w:r>
      <w:r>
        <w:rPr>
          <w:rFonts w:hint="eastAsia"/>
          <w:sz w:val="24"/>
        </w:rPr>
        <w:t>产品全部采用中国自主密码算法：SM2/SM3/SM4，高强度、高效率、安全可靠。产品符合国家密码管理政策《商用密码管理条例》。</w:t>
      </w:r>
    </w:p>
    <w:p>
      <w:pPr>
        <w:spacing w:line="380" w:lineRule="exact"/>
        <w:ind w:firstLine="480" w:firstLineChars="200"/>
        <w:rPr>
          <w:rFonts w:hint="eastAsia"/>
          <w:sz w:val="24"/>
        </w:rPr>
      </w:pPr>
      <w:r>
        <w:rPr>
          <w:rFonts w:hint="eastAsia"/>
          <w:sz w:val="24"/>
        </w:rPr>
        <w:t>•</w:t>
      </w:r>
      <w:r>
        <w:rPr>
          <w:rFonts w:hint="eastAsia"/>
          <w:sz w:val="24"/>
        </w:rPr>
        <w:tab/>
      </w:r>
      <w:r>
        <w:rPr>
          <w:rFonts w:hint="eastAsia"/>
          <w:sz w:val="24"/>
        </w:rPr>
        <w:t>实现国密算法的签名、验签、加密、解密、杂凑等密码运算；</w:t>
      </w:r>
    </w:p>
    <w:p>
      <w:pPr>
        <w:spacing w:line="380" w:lineRule="exact"/>
        <w:ind w:firstLine="480" w:firstLineChars="200"/>
        <w:rPr>
          <w:rFonts w:hint="eastAsia"/>
          <w:sz w:val="24"/>
        </w:rPr>
      </w:pPr>
      <w:r>
        <w:rPr>
          <w:rFonts w:hint="eastAsia"/>
          <w:sz w:val="24"/>
        </w:rPr>
        <w:t>•</w:t>
      </w:r>
      <w:r>
        <w:rPr>
          <w:rFonts w:hint="eastAsia"/>
          <w:sz w:val="24"/>
        </w:rPr>
        <w:tab/>
      </w:r>
      <w:r>
        <w:rPr>
          <w:rFonts w:hint="eastAsia"/>
          <w:sz w:val="24"/>
        </w:rPr>
        <w:t>支持Android、iOS操作系统</w:t>
      </w:r>
    </w:p>
    <w:p>
      <w:pPr>
        <w:spacing w:line="380" w:lineRule="exact"/>
        <w:ind w:firstLine="480" w:firstLineChars="200"/>
        <w:rPr>
          <w:rFonts w:hint="eastAsia"/>
          <w:sz w:val="24"/>
        </w:rPr>
        <w:sectPr>
          <w:headerReference r:id="rId3" w:type="default"/>
          <w:footerReference r:id="rId4" w:type="default"/>
          <w:type w:val="continuous"/>
          <w:pgSz w:w="11906" w:h="16838"/>
          <w:pgMar w:top="1440" w:right="1797" w:bottom="1440" w:left="1797" w:header="851" w:footer="992" w:gutter="0"/>
          <w:cols w:space="720" w:num="1"/>
          <w:docGrid w:type="lines" w:linePitch="312" w:charSpace="0"/>
        </w:sectPr>
      </w:pPr>
      <w:r>
        <w:rPr>
          <w:rFonts w:hint="eastAsia"/>
          <w:sz w:val="24"/>
        </w:rPr>
        <w:t>•</w:t>
      </w:r>
      <w:r>
        <w:rPr>
          <w:rFonts w:hint="eastAsia"/>
          <w:sz w:val="24"/>
        </w:rPr>
        <w:tab/>
      </w:r>
      <w:r>
        <w:rPr>
          <w:rFonts w:hint="eastAsia"/>
          <w:sz w:val="24"/>
        </w:rPr>
        <w:t>终端侧没有硬件成本，部署使用成本相对较低，SDK集成方便，用户操作简单方便，不需要携带额外的硬件，用户体验好。</w:t>
      </w:r>
    </w:p>
    <w:p>
      <w:pPr>
        <w:pStyle w:val="2"/>
        <w:rPr>
          <w:rFonts w:hAnsi="宋体" w:cs="宋体"/>
          <w:b w:val="0"/>
          <w:kern w:val="0"/>
          <w:sz w:val="24"/>
          <w:szCs w:val="21"/>
          <w:lang w:val="en-US" w:eastAsia="zh-CN"/>
        </w:rPr>
      </w:pPr>
      <w:r>
        <w:rPr>
          <w:rFonts w:hint="eastAsia" w:hAnsi="宋体" w:cs="宋体"/>
          <w:b w:val="0"/>
          <w:kern w:val="0"/>
          <w:sz w:val="24"/>
          <w:szCs w:val="21"/>
          <w:lang w:val="en-US" w:eastAsia="zh-CN"/>
        </w:rPr>
        <w:t>2.3.3</w:t>
      </w:r>
      <w:r>
        <w:rPr>
          <w:rFonts w:hint="eastAsia" w:hAnsi="宋体" w:cs="宋体"/>
          <w:b w:val="0"/>
          <w:kern w:val="0"/>
          <w:sz w:val="24"/>
          <w:szCs w:val="21"/>
        </w:rPr>
        <w:t xml:space="preserve">  终端</w:t>
      </w:r>
      <w:r>
        <w:rPr>
          <w:rFonts w:hint="eastAsia" w:hAnsi="宋体" w:cs="宋体"/>
          <w:b w:val="0"/>
          <w:kern w:val="0"/>
          <w:sz w:val="24"/>
          <w:szCs w:val="21"/>
          <w:lang w:val="en-US" w:eastAsia="zh-CN"/>
        </w:rPr>
        <w:t>服务参数要求（各终端服务数量以实际采购数量统计为准）</w:t>
      </w:r>
    </w:p>
    <w:p>
      <w:pPr>
        <w:pStyle w:val="3"/>
        <w:ind w:firstLine="0"/>
        <w:jc w:val="left"/>
        <w:rPr>
          <w:rFonts w:hint="eastAsia"/>
          <w:sz w:val="24"/>
        </w:rPr>
      </w:pPr>
    </w:p>
    <w:tbl>
      <w:tblPr>
        <w:tblStyle w:val="34"/>
        <w:tblW w:w="0" w:type="auto"/>
        <w:tblInd w:w="96" w:type="dxa"/>
        <w:tblLayout w:type="fixed"/>
        <w:tblCellMar>
          <w:top w:w="0" w:type="dxa"/>
          <w:left w:w="108" w:type="dxa"/>
          <w:bottom w:w="0" w:type="dxa"/>
          <w:right w:w="108" w:type="dxa"/>
        </w:tblCellMar>
      </w:tblPr>
      <w:tblGrid>
        <w:gridCol w:w="1406"/>
        <w:gridCol w:w="4418"/>
        <w:gridCol w:w="4111"/>
        <w:gridCol w:w="4111"/>
      </w:tblGrid>
      <w:tr>
        <w:tblPrEx>
          <w:tblCellMar>
            <w:top w:w="0" w:type="dxa"/>
            <w:left w:w="108" w:type="dxa"/>
            <w:bottom w:w="0" w:type="dxa"/>
            <w:right w:w="108" w:type="dxa"/>
          </w:tblCellMar>
        </w:tblPrEx>
        <w:trPr>
          <w:wBefore w:w="0" w:type="dxa"/>
          <w:wAfter w:w="0" w:type="dxa"/>
          <w:trHeight w:val="516"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b/>
                <w:bCs/>
                <w:color w:val="000000"/>
                <w:sz w:val="16"/>
                <w:szCs w:val="16"/>
              </w:rPr>
            </w:pPr>
            <w:r>
              <w:rPr>
                <w:rFonts w:hint="eastAsia"/>
                <w:b/>
                <w:bCs/>
                <w:color w:val="000000"/>
                <w:sz w:val="16"/>
                <w:szCs w:val="16"/>
                <w:lang w:bidi="ar"/>
              </w:rPr>
              <w:t>技术参数</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b/>
                <w:bCs/>
                <w:color w:val="000000"/>
                <w:sz w:val="16"/>
                <w:szCs w:val="16"/>
                <w:lang w:eastAsia="zh-Hans"/>
              </w:rPr>
            </w:pPr>
            <w:r>
              <w:rPr>
                <w:rFonts w:hint="eastAsia"/>
                <w:b/>
                <w:bCs/>
                <w:color w:val="000000"/>
                <w:sz w:val="16"/>
                <w:szCs w:val="16"/>
                <w:lang w:bidi="ar"/>
              </w:rPr>
              <w:t>终端服务三</w:t>
            </w:r>
            <w:r>
              <w:rPr>
                <w:rFonts w:hint="eastAsia"/>
                <w:b/>
                <w:bCs/>
                <w:color w:val="000000"/>
                <w:sz w:val="16"/>
                <w:szCs w:val="16"/>
                <w:lang w:eastAsia="zh-Hans" w:bidi="ar"/>
              </w:rPr>
              <w:t>华为mate</w:t>
            </w:r>
            <w:r>
              <w:rPr>
                <w:b/>
                <w:bCs/>
                <w:color w:val="000000"/>
                <w:sz w:val="16"/>
                <w:szCs w:val="16"/>
                <w:lang w:eastAsia="zh-Hans" w:bidi="ar"/>
              </w:rPr>
              <w:t>50</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b/>
                <w:bCs/>
                <w:color w:val="000000"/>
                <w:sz w:val="16"/>
                <w:szCs w:val="16"/>
                <w:lang w:eastAsia="zh-Hans"/>
              </w:rPr>
            </w:pPr>
            <w:r>
              <w:rPr>
                <w:rFonts w:hint="eastAsia"/>
                <w:b/>
                <w:bCs/>
                <w:color w:val="000000"/>
                <w:sz w:val="16"/>
                <w:szCs w:val="16"/>
                <w:lang w:bidi="ar"/>
              </w:rPr>
              <w:t>终端服务四</w:t>
            </w:r>
            <w:r>
              <w:rPr>
                <w:rFonts w:hint="eastAsia"/>
                <w:b/>
                <w:bCs/>
                <w:color w:val="000000"/>
                <w:sz w:val="16"/>
                <w:szCs w:val="16"/>
                <w:lang w:eastAsia="zh-Hans" w:bidi="ar"/>
              </w:rPr>
              <w:t>中兴a</w:t>
            </w:r>
            <w:r>
              <w:rPr>
                <w:b/>
                <w:bCs/>
                <w:color w:val="000000"/>
                <w:sz w:val="16"/>
                <w:szCs w:val="16"/>
                <w:lang w:eastAsia="zh-Hans" w:bidi="ar"/>
              </w:rPr>
              <w:t>41</w:t>
            </w:r>
            <w:r>
              <w:rPr>
                <w:rFonts w:hint="eastAsia"/>
                <w:b/>
                <w:bCs/>
                <w:color w:val="000000"/>
                <w:sz w:val="16"/>
                <w:szCs w:val="16"/>
                <w:lang w:eastAsia="zh-Hans" w:bidi="ar"/>
              </w:rPr>
              <w:t>utra</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b/>
                <w:bCs/>
                <w:color w:val="000000"/>
                <w:sz w:val="16"/>
                <w:szCs w:val="16"/>
                <w:lang w:eastAsia="zh-Hans"/>
              </w:rPr>
            </w:pPr>
            <w:r>
              <w:rPr>
                <w:rFonts w:hint="eastAsia"/>
                <w:b/>
                <w:bCs/>
                <w:color w:val="000000"/>
                <w:sz w:val="16"/>
                <w:szCs w:val="16"/>
                <w:lang w:bidi="ar"/>
              </w:rPr>
              <w:t>终端服务五</w:t>
            </w:r>
            <w:r>
              <w:rPr>
                <w:rFonts w:hint="eastAsia"/>
                <w:b/>
                <w:bCs/>
                <w:color w:val="000000"/>
                <w:sz w:val="16"/>
                <w:szCs w:val="16"/>
                <w:lang w:eastAsia="zh-Hans" w:bidi="ar"/>
              </w:rPr>
              <w:t>鼎桥p</w:t>
            </w:r>
            <w:r>
              <w:rPr>
                <w:b/>
                <w:bCs/>
                <w:color w:val="000000"/>
                <w:sz w:val="16"/>
                <w:szCs w:val="16"/>
                <w:lang w:eastAsia="zh-Hans" w:bidi="ar"/>
              </w:rPr>
              <w:t>50</w:t>
            </w:r>
          </w:p>
        </w:tc>
      </w:tr>
      <w:tr>
        <w:tblPrEx>
          <w:tblCellMar>
            <w:top w:w="0" w:type="dxa"/>
            <w:left w:w="108" w:type="dxa"/>
            <w:bottom w:w="0" w:type="dxa"/>
            <w:right w:w="108" w:type="dxa"/>
          </w:tblCellMar>
        </w:tblPrEx>
        <w:trPr>
          <w:wBefore w:w="0" w:type="dxa"/>
          <w:wAfter w:w="0" w:type="dxa"/>
          <w:trHeight w:val="396"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21"/>
              </w:rPr>
              <w:t>▲</w:t>
            </w:r>
            <w:r>
              <w:rPr>
                <w:rFonts w:hint="eastAsia"/>
                <w:color w:val="000000"/>
                <w:sz w:val="16"/>
                <w:szCs w:val="16"/>
                <w:lang w:bidi="ar"/>
              </w:rPr>
              <w:t>屏幕</w:t>
            </w:r>
          </w:p>
        </w:tc>
        <w:tc>
          <w:tcPr>
            <w:tcW w:w="44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6.7英寸</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6.67英寸</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6.5英寸</w:t>
            </w:r>
          </w:p>
        </w:tc>
      </w:tr>
      <w:tr>
        <w:tblPrEx>
          <w:tblCellMar>
            <w:top w:w="0" w:type="dxa"/>
            <w:left w:w="108" w:type="dxa"/>
            <w:bottom w:w="0" w:type="dxa"/>
            <w:right w:w="108" w:type="dxa"/>
          </w:tblCellMar>
        </w:tblPrEx>
        <w:trPr>
          <w:wBefore w:w="0" w:type="dxa"/>
          <w:wAfter w:w="0" w:type="dxa"/>
          <w:trHeight w:val="572"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分辨率</w:t>
            </w:r>
          </w:p>
        </w:tc>
        <w:tc>
          <w:tcPr>
            <w:tcW w:w="44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2700x1224像素</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FHD+2400×1080像素</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FHD+ 2700 x 1224 像素，多点触控触摸屏</w:t>
            </w:r>
          </w:p>
        </w:tc>
      </w:tr>
      <w:tr>
        <w:tblPrEx>
          <w:tblCellMar>
            <w:top w:w="0" w:type="dxa"/>
            <w:left w:w="108" w:type="dxa"/>
            <w:bottom w:w="0" w:type="dxa"/>
            <w:right w:w="108" w:type="dxa"/>
          </w:tblCellMar>
        </w:tblPrEx>
        <w:trPr>
          <w:wBefore w:w="0" w:type="dxa"/>
          <w:wAfter w:w="0" w:type="dxa"/>
          <w:trHeight w:val="551"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操作系统</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HarmonyOS 3</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MyOS 12.0（基于Android 12）</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Android 11</w:t>
            </w:r>
          </w:p>
        </w:tc>
      </w:tr>
      <w:tr>
        <w:tblPrEx>
          <w:tblCellMar>
            <w:top w:w="0" w:type="dxa"/>
            <w:left w:w="108" w:type="dxa"/>
            <w:bottom w:w="0" w:type="dxa"/>
            <w:right w:w="108" w:type="dxa"/>
          </w:tblCellMar>
        </w:tblPrEx>
        <w:trPr>
          <w:wBefore w:w="0" w:type="dxa"/>
          <w:wAfter w:w="0" w:type="dxa"/>
          <w:trHeight w:val="700"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前置摄像头</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前置超广角摄像头：1300万像素超广角摄像头，前置超广角摄像头：f/2.4</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4400万像素（f/2.45光圈 FF）</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1300万像素超广角摄像头（f/2.4光圈）</w:t>
            </w:r>
          </w:p>
        </w:tc>
      </w:tr>
      <w:tr>
        <w:tblPrEx>
          <w:tblCellMar>
            <w:top w:w="0" w:type="dxa"/>
            <w:left w:w="108" w:type="dxa"/>
            <w:bottom w:w="0" w:type="dxa"/>
            <w:right w:w="108" w:type="dxa"/>
          </w:tblCellMar>
        </w:tblPrEx>
        <w:trPr>
          <w:wBefore w:w="0" w:type="dxa"/>
          <w:wAfter w:w="0" w:type="dxa"/>
          <w:trHeight w:val="960"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21"/>
              </w:rPr>
              <w:t>▲</w:t>
            </w:r>
            <w:r>
              <w:rPr>
                <w:rFonts w:hint="eastAsia"/>
                <w:color w:val="000000"/>
                <w:sz w:val="16"/>
                <w:szCs w:val="16"/>
                <w:lang w:bidi="ar"/>
              </w:rPr>
              <w:t>后置摄像头</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后置超光变镜头：5000万像素</w:t>
            </w:r>
            <w:r>
              <w:rPr>
                <w:rFonts w:hint="eastAsia"/>
                <w:color w:val="000000"/>
                <w:sz w:val="16"/>
                <w:szCs w:val="16"/>
                <w:lang w:bidi="ar"/>
              </w:rPr>
              <w:br w:type="textWrapping"/>
            </w:r>
            <w:r>
              <w:rPr>
                <w:rFonts w:hint="eastAsia"/>
                <w:color w:val="000000"/>
                <w:sz w:val="16"/>
                <w:szCs w:val="16"/>
                <w:lang w:bidi="ar"/>
              </w:rPr>
              <w:t>后置超广角镜头：1300万像素</w:t>
            </w:r>
            <w:r>
              <w:rPr>
                <w:rFonts w:hint="eastAsia"/>
                <w:color w:val="000000"/>
                <w:sz w:val="16"/>
                <w:szCs w:val="16"/>
                <w:lang w:bidi="ar"/>
              </w:rPr>
              <w:br w:type="textWrapping"/>
            </w:r>
            <w:r>
              <w:rPr>
                <w:rFonts w:hint="eastAsia"/>
                <w:color w:val="000000"/>
                <w:sz w:val="16"/>
                <w:szCs w:val="16"/>
                <w:lang w:bidi="ar"/>
              </w:rPr>
              <w:t>后置潜望式长焦镜头：1200万像素</w:t>
            </w:r>
            <w:r>
              <w:rPr>
                <w:rFonts w:hint="eastAsia"/>
                <w:color w:val="000000"/>
                <w:sz w:val="16"/>
                <w:szCs w:val="16"/>
                <w:lang w:bidi="ar"/>
              </w:rPr>
              <w:br w:type="textWrapping"/>
            </w:r>
            <w:r>
              <w:rPr>
                <w:rFonts w:hint="eastAsia"/>
                <w:color w:val="000000"/>
                <w:sz w:val="16"/>
                <w:szCs w:val="16"/>
                <w:lang w:bidi="ar"/>
              </w:rPr>
              <w:t>后置超光变镜头：f/1.4～f/4.0</w:t>
            </w:r>
            <w:r>
              <w:rPr>
                <w:rFonts w:hint="eastAsia"/>
                <w:color w:val="000000"/>
                <w:sz w:val="16"/>
                <w:szCs w:val="16"/>
                <w:lang w:bidi="ar"/>
              </w:rPr>
              <w:br w:type="textWrapping"/>
            </w:r>
            <w:r>
              <w:rPr>
                <w:rFonts w:hint="eastAsia"/>
                <w:color w:val="000000"/>
                <w:sz w:val="16"/>
                <w:szCs w:val="16"/>
                <w:lang w:bidi="ar"/>
              </w:rPr>
              <w:t>后置超广角镜头：f/2.2</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6400万像素 (f/1.8光圈 AF)+5000万像素超广角 (f/2.2光圈 FF) +800万像素潜望（f/3.4光圈 FF)</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5000 万像素原色摄像头（彩色，f/1.8 光圈），1300万像素超广角摄像头（f/2.2 光圈），1200万像素长焦摄像头（f/3.4 光圈，OIS光学防抖）</w:t>
            </w:r>
          </w:p>
        </w:tc>
      </w:tr>
      <w:tr>
        <w:tblPrEx>
          <w:tblCellMar>
            <w:top w:w="0" w:type="dxa"/>
            <w:left w:w="108" w:type="dxa"/>
            <w:bottom w:w="0" w:type="dxa"/>
            <w:right w:w="108" w:type="dxa"/>
          </w:tblCellMar>
        </w:tblPrEx>
        <w:trPr>
          <w:wBefore w:w="0" w:type="dxa"/>
          <w:wAfter w:w="0" w:type="dxa"/>
          <w:trHeight w:val="549"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21"/>
              </w:rPr>
              <w:t>▲</w:t>
            </w:r>
            <w:r>
              <w:rPr>
                <w:rFonts w:hint="eastAsia"/>
                <w:color w:val="000000"/>
                <w:sz w:val="16"/>
                <w:szCs w:val="16"/>
                <w:lang w:bidi="ar"/>
              </w:rPr>
              <w:t>CPU型号</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全新一代高通骁龙8+ 4G</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高通全新移动平台骁龙8 Gen1，八核，4纳米工艺</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高通 骁龙888，八核，5纳米工艺</w:t>
            </w:r>
          </w:p>
        </w:tc>
      </w:tr>
      <w:tr>
        <w:tblPrEx>
          <w:tblCellMar>
            <w:top w:w="0" w:type="dxa"/>
            <w:left w:w="108" w:type="dxa"/>
            <w:bottom w:w="0" w:type="dxa"/>
            <w:right w:w="108" w:type="dxa"/>
          </w:tblCellMar>
        </w:tblPrEx>
        <w:trPr>
          <w:wBefore w:w="0" w:type="dxa"/>
          <w:wAfter w:w="0" w:type="dxa"/>
          <w:trHeight w:val="557"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CPU核数</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八核</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八核</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八核</w:t>
            </w:r>
          </w:p>
        </w:tc>
      </w:tr>
      <w:tr>
        <w:tblPrEx>
          <w:tblCellMar>
            <w:top w:w="0" w:type="dxa"/>
            <w:left w:w="108" w:type="dxa"/>
            <w:bottom w:w="0" w:type="dxa"/>
            <w:right w:w="108" w:type="dxa"/>
          </w:tblCellMar>
        </w:tblPrEx>
        <w:trPr>
          <w:wBefore w:w="0" w:type="dxa"/>
          <w:wAfter w:w="0" w:type="dxa"/>
          <w:trHeight w:val="974"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CPU主频</w:t>
            </w:r>
          </w:p>
        </w:tc>
        <w:tc>
          <w:tcPr>
            <w:tcW w:w="441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3.2GHz X2*1+2.75GHz A710*3+2.0GHz A510*4</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 xml:space="preserve"> 1 x 3.0GHz （Cortex-X2 ）+ 3 x 2.5GHz（Cortex-A710） + 4 x 1.8GHz（Cortex-A510）</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2.84GHz X1*1+2.4GHz A78*3+1.8GHz A55*4</w:t>
            </w:r>
          </w:p>
        </w:tc>
      </w:tr>
      <w:tr>
        <w:tblPrEx>
          <w:tblCellMar>
            <w:top w:w="0" w:type="dxa"/>
            <w:left w:w="108" w:type="dxa"/>
            <w:bottom w:w="0" w:type="dxa"/>
            <w:right w:w="108" w:type="dxa"/>
          </w:tblCellMar>
        </w:tblPrEx>
        <w:trPr>
          <w:wBefore w:w="0" w:type="dxa"/>
          <w:wAfter w:w="0" w:type="dxa"/>
          <w:trHeight w:val="549"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21"/>
              </w:rPr>
              <w:t>▲</w:t>
            </w:r>
            <w:r>
              <w:rPr>
                <w:rFonts w:hint="eastAsia"/>
                <w:color w:val="000000"/>
                <w:sz w:val="16"/>
                <w:szCs w:val="16"/>
                <w:lang w:bidi="ar"/>
              </w:rPr>
              <w:t>GPU</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全新一代高通骁龙8+4G</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Adreno730</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高通 Adreno660</w:t>
            </w:r>
          </w:p>
        </w:tc>
      </w:tr>
      <w:tr>
        <w:tblPrEx>
          <w:tblCellMar>
            <w:top w:w="0" w:type="dxa"/>
            <w:left w:w="108" w:type="dxa"/>
            <w:bottom w:w="0" w:type="dxa"/>
            <w:right w:w="108" w:type="dxa"/>
          </w:tblCellMar>
        </w:tblPrEx>
        <w:trPr>
          <w:wBefore w:w="0" w:type="dxa"/>
          <w:wAfter w:w="0" w:type="dxa"/>
          <w:trHeight w:val="571" w:hRule="atLeast"/>
        </w:trPr>
        <w:tc>
          <w:tcPr>
            <w:tcW w:w="140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网络制式</w:t>
            </w:r>
          </w:p>
        </w:tc>
        <w:tc>
          <w:tcPr>
            <w:tcW w:w="44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4G/3G/2G</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 xml:space="preserve"> 5G/4G/3G/2G</w:t>
            </w:r>
          </w:p>
        </w:tc>
        <w:tc>
          <w:tcPr>
            <w:tcW w:w="4111"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color w:val="000000"/>
                <w:sz w:val="16"/>
                <w:szCs w:val="16"/>
              </w:rPr>
            </w:pPr>
            <w:r>
              <w:rPr>
                <w:rFonts w:hint="eastAsia"/>
                <w:color w:val="000000"/>
                <w:sz w:val="16"/>
                <w:szCs w:val="16"/>
                <w:lang w:bidi="ar"/>
              </w:rPr>
              <w:t xml:space="preserve"> 5G/4G/3G/2G</w:t>
            </w:r>
          </w:p>
        </w:tc>
      </w:tr>
      <w:tr>
        <w:tblPrEx>
          <w:tblCellMar>
            <w:top w:w="0" w:type="dxa"/>
            <w:left w:w="108" w:type="dxa"/>
            <w:bottom w:w="0" w:type="dxa"/>
            <w:right w:w="108" w:type="dxa"/>
          </w:tblCellMar>
        </w:tblPrEx>
        <w:trPr>
          <w:wBefore w:w="0" w:type="dxa"/>
          <w:wAfter w:w="0" w:type="dxa"/>
          <w:trHeight w:val="990"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网络频率</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主卡：4G：LTE FDD B1/B2/B3/B4/B5/B7/B8/B12/B17/B18/B19/B20/B26/B28(上行:703MHz-733MHz,下行:758MHz-788MHz)4G：TD-LTE B34/B38/B39/B40/B41 3G：UMTS（WCDMA）/HSPA+/DC-HSDPA B1/B2/B4/B5/B6/B8/B19 3G：CDMA BC0（800MHz）（仅限中国电信（中国大陆+澳门）） 2G：GSM B2/B3/B5/B8（1900/1800/850/900 MHz） 副卡： 4G：LTE FDD B1/B2/B3/B4/B5/B7/B8/B12/B17/B18/B19/B20/B26/B28(上行:703MHz-733MHz,下行:758MHz-788MHz) 4G：TD-LTE B34/B38/B39/B40/B41 3G：WCDMA B1/B2/B4/B5/B6/B8/B19 3G：CDMA BC0（800MHz）（仅限中国电信（中国大陆+澳门）） 2G：GSM B2/B3/B5/B8（1900/1800/850/900 MHz）</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支持联通5G/4G+/4G/3G/2G，电信5G/4G+/4G/2G，移动 5G/4G+/4G/2G；</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支持联通5G/4G+/4G/3G/2G，电信5G/4G+/4G/2G，移动 5G/4G+/4G/2G；</w:t>
            </w:r>
          </w:p>
        </w:tc>
      </w:tr>
      <w:tr>
        <w:tblPrEx>
          <w:tblCellMar>
            <w:top w:w="0" w:type="dxa"/>
            <w:left w:w="108" w:type="dxa"/>
            <w:bottom w:w="0" w:type="dxa"/>
            <w:right w:w="108" w:type="dxa"/>
          </w:tblCellMar>
        </w:tblPrEx>
        <w:trPr>
          <w:wBefore w:w="0" w:type="dxa"/>
          <w:wAfter w:w="0" w:type="dxa"/>
          <w:trHeight w:val="772"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电池</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4460mAh大电池</w:t>
            </w:r>
            <w:r>
              <w:rPr>
                <w:rFonts w:hint="eastAsia"/>
                <w:color w:val="000000"/>
                <w:sz w:val="16"/>
                <w:szCs w:val="16"/>
                <w:lang w:bidi="ar"/>
              </w:rPr>
              <w:br w:type="textWrapping"/>
            </w:r>
            <w:r>
              <w:rPr>
                <w:rFonts w:hint="eastAsia"/>
                <w:color w:val="000000"/>
                <w:sz w:val="16"/>
                <w:szCs w:val="16"/>
                <w:lang w:bidi="ar"/>
              </w:rPr>
              <w:t>66W有线超级快充</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5000mAh（典型值）</w:t>
            </w:r>
            <w:r>
              <w:rPr>
                <w:rFonts w:hint="eastAsia"/>
                <w:color w:val="000000"/>
                <w:sz w:val="16"/>
                <w:szCs w:val="16"/>
                <w:lang w:bidi="ar"/>
              </w:rPr>
              <w:br w:type="textWrapping"/>
            </w:r>
            <w:r>
              <w:rPr>
                <w:rFonts w:hint="eastAsia"/>
                <w:color w:val="000000"/>
                <w:sz w:val="16"/>
                <w:szCs w:val="16"/>
                <w:lang w:bidi="ar"/>
              </w:rPr>
              <w:t>66W有线超级快充</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4100mAh（典型值）</w:t>
            </w:r>
            <w:r>
              <w:rPr>
                <w:rFonts w:hint="eastAsia"/>
                <w:color w:val="000000"/>
                <w:sz w:val="16"/>
                <w:szCs w:val="16"/>
                <w:lang w:bidi="ar"/>
              </w:rPr>
              <w:br w:type="textWrapping"/>
            </w:r>
            <w:r>
              <w:rPr>
                <w:rFonts w:hint="eastAsia"/>
                <w:color w:val="000000"/>
                <w:sz w:val="16"/>
                <w:szCs w:val="16"/>
                <w:lang w:bidi="ar"/>
              </w:rPr>
              <w:t>66W有线超级快充</w:t>
            </w:r>
          </w:p>
        </w:tc>
      </w:tr>
      <w:tr>
        <w:tblPrEx>
          <w:tblCellMar>
            <w:top w:w="0" w:type="dxa"/>
            <w:left w:w="108" w:type="dxa"/>
            <w:bottom w:w="0" w:type="dxa"/>
            <w:right w:w="108" w:type="dxa"/>
          </w:tblCellMar>
        </w:tblPrEx>
        <w:trPr>
          <w:wBefore w:w="0" w:type="dxa"/>
          <w:wAfter w:w="0" w:type="dxa"/>
          <w:trHeight w:val="556"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NFC支付</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支持NFC</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支持NFC</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支持NFC</w:t>
            </w:r>
          </w:p>
        </w:tc>
      </w:tr>
      <w:tr>
        <w:tblPrEx>
          <w:tblCellMar>
            <w:top w:w="0" w:type="dxa"/>
            <w:left w:w="108" w:type="dxa"/>
            <w:bottom w:w="0" w:type="dxa"/>
            <w:right w:w="108" w:type="dxa"/>
          </w:tblCellMar>
        </w:tblPrEx>
        <w:trPr>
          <w:wBefore w:w="0" w:type="dxa"/>
          <w:wAfter w:w="0" w:type="dxa"/>
          <w:trHeight w:val="576"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SIM卡</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双卡（Nano SIM卡）&gt;</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双卡</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双卡</w:t>
            </w:r>
          </w:p>
        </w:tc>
      </w:tr>
      <w:tr>
        <w:tblPrEx>
          <w:tblCellMar>
            <w:top w:w="0" w:type="dxa"/>
            <w:left w:w="108" w:type="dxa"/>
            <w:bottom w:w="0" w:type="dxa"/>
            <w:right w:w="108" w:type="dxa"/>
          </w:tblCellMar>
        </w:tblPrEx>
        <w:trPr>
          <w:wBefore w:w="0" w:type="dxa"/>
          <w:wAfter w:w="0" w:type="dxa"/>
          <w:trHeight w:val="544" w:hRule="atLeast"/>
        </w:trPr>
        <w:tc>
          <w:tcPr>
            <w:tcW w:w="1406"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21"/>
              </w:rPr>
              <w:t>▲</w:t>
            </w:r>
            <w:r>
              <w:rPr>
                <w:rFonts w:hint="eastAsia"/>
                <w:color w:val="000000"/>
                <w:sz w:val="16"/>
                <w:szCs w:val="16"/>
                <w:lang w:bidi="ar"/>
              </w:rPr>
              <w:t>机身容量</w:t>
            </w:r>
          </w:p>
        </w:tc>
        <w:tc>
          <w:tcPr>
            <w:tcW w:w="441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widowControl/>
              <w:jc w:val="center"/>
              <w:textAlignment w:val="center"/>
              <w:rPr>
                <w:rFonts w:hint="eastAsia"/>
                <w:color w:val="000000"/>
                <w:sz w:val="16"/>
                <w:szCs w:val="16"/>
              </w:rPr>
            </w:pPr>
            <w:r>
              <w:rPr>
                <w:rFonts w:hint="eastAsia"/>
                <w:color w:val="000000"/>
                <w:sz w:val="16"/>
                <w:szCs w:val="16"/>
                <w:lang w:bidi="ar"/>
              </w:rPr>
              <w:t>8G+128G</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color w:val="000000"/>
                <w:sz w:val="16"/>
                <w:szCs w:val="16"/>
                <w:lang w:bidi="ar"/>
              </w:rPr>
              <w:t>12</w:t>
            </w:r>
            <w:r>
              <w:rPr>
                <w:rFonts w:hint="eastAsia"/>
                <w:color w:val="000000"/>
                <w:sz w:val="16"/>
                <w:szCs w:val="16"/>
                <w:lang w:bidi="ar"/>
              </w:rPr>
              <w:t>G+256G</w:t>
            </w:r>
          </w:p>
        </w:tc>
        <w:tc>
          <w:tcPr>
            <w:tcW w:w="411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widowControl/>
              <w:jc w:val="center"/>
              <w:textAlignment w:val="center"/>
              <w:rPr>
                <w:rFonts w:hint="eastAsia"/>
                <w:color w:val="000000"/>
                <w:sz w:val="16"/>
                <w:szCs w:val="16"/>
              </w:rPr>
            </w:pPr>
            <w:r>
              <w:rPr>
                <w:rFonts w:hint="eastAsia"/>
                <w:color w:val="000000"/>
                <w:sz w:val="16"/>
                <w:szCs w:val="16"/>
                <w:lang w:bidi="ar"/>
              </w:rPr>
              <w:t>8G+256G</w:t>
            </w:r>
          </w:p>
        </w:tc>
      </w:tr>
    </w:tbl>
    <w:p>
      <w:pPr>
        <w:pStyle w:val="3"/>
        <w:ind w:firstLine="0"/>
        <w:jc w:val="left"/>
        <w:rPr>
          <w:rFonts w:hint="eastAsia"/>
          <w:sz w:val="24"/>
        </w:rPr>
        <w:sectPr>
          <w:pgSz w:w="16838" w:h="11906" w:orient="landscape"/>
          <w:pgMar w:top="1797" w:right="1440" w:bottom="1797" w:left="1440" w:header="851" w:footer="992" w:gutter="0"/>
          <w:cols w:space="720" w:num="1"/>
          <w:docGrid w:type="lines" w:linePitch="312" w:charSpace="0"/>
        </w:sectPr>
      </w:pPr>
    </w:p>
    <w:p>
      <w:pPr>
        <w:spacing w:line="360" w:lineRule="auto"/>
        <w:jc w:val="center"/>
        <w:outlineLvl w:val="0"/>
        <w:rPr>
          <w:rFonts w:hint="eastAsia"/>
          <w:b/>
          <w:sz w:val="28"/>
          <w:szCs w:val="28"/>
        </w:rPr>
      </w:pPr>
      <w:bookmarkStart w:id="432" w:name="_Toc121294584"/>
      <w:r>
        <w:rPr>
          <w:rFonts w:hint="eastAsia"/>
          <w:b/>
          <w:sz w:val="28"/>
          <w:szCs w:val="28"/>
        </w:rPr>
        <w:t>第二章　供货范围及要求</w:t>
      </w:r>
      <w:bookmarkEnd w:id="430"/>
      <w:bookmarkEnd w:id="431"/>
      <w:bookmarkEnd w:id="432"/>
    </w:p>
    <w:p>
      <w:pPr>
        <w:spacing w:line="360" w:lineRule="auto"/>
        <w:ind w:firstLine="482" w:firstLineChars="200"/>
        <w:rPr>
          <w:b/>
          <w:bCs/>
          <w:color w:val="000000"/>
        </w:rPr>
      </w:pPr>
      <w:r>
        <w:rPr>
          <w:rFonts w:hint="eastAsia"/>
          <w:b/>
          <w:sz w:val="24"/>
        </w:rPr>
        <w:t xml:space="preserve">1 </w:t>
      </w:r>
      <w:r>
        <w:rPr>
          <w:b/>
          <w:sz w:val="24"/>
        </w:rPr>
        <w:t xml:space="preserve"> </w:t>
      </w:r>
      <w:r>
        <w:rPr>
          <w:rFonts w:hint="eastAsia"/>
          <w:b/>
          <w:sz w:val="24"/>
        </w:rPr>
        <w:t>一般要求</w:t>
      </w:r>
    </w:p>
    <w:p>
      <w:pPr>
        <w:spacing w:line="360" w:lineRule="auto"/>
        <w:ind w:firstLine="480" w:firstLineChars="200"/>
        <w:rPr>
          <w:sz w:val="24"/>
        </w:rPr>
      </w:pPr>
      <w:r>
        <w:rPr>
          <w:rFonts w:hint="eastAsia"/>
          <w:sz w:val="24"/>
        </w:rPr>
        <w:t>1.1　成交供应商须保证提供货物为全新的、先进的、成熟的、完整的和安全可靠的，且货物的技术经济性能符合本部分第一章规定的要求。</w:t>
      </w:r>
    </w:p>
    <w:p>
      <w:pPr>
        <w:spacing w:line="360" w:lineRule="auto"/>
        <w:ind w:firstLine="480" w:firstLineChars="200"/>
        <w:rPr>
          <w:sz w:val="24"/>
        </w:rPr>
      </w:pPr>
      <w:r>
        <w:rPr>
          <w:rFonts w:hint="eastAsia"/>
          <w:sz w:val="24"/>
        </w:rPr>
        <w:t>1.2　成交供应商应提供详细供货清单，清单中依次说明型号、数量、产地、生产厂家等内容。</w:t>
      </w:r>
    </w:p>
    <w:p>
      <w:pPr>
        <w:spacing w:line="360" w:lineRule="auto"/>
        <w:ind w:firstLine="480" w:firstLineChars="200"/>
        <w:rPr>
          <w:sz w:val="24"/>
        </w:rPr>
      </w:pPr>
      <w:r>
        <w:rPr>
          <w:rFonts w:hint="eastAsia"/>
          <w:sz w:val="24"/>
        </w:rPr>
        <w:t>1.3　除有特别注明外，所列数量均为一套（台）所需。对于属于整套货物运行和施工所必需的部件，即使在本部分第一章中未列出或数目不足，成交供应商仍须在执行合同时补足。</w:t>
      </w:r>
    </w:p>
    <w:p>
      <w:pPr>
        <w:spacing w:line="360" w:lineRule="auto"/>
        <w:ind w:firstLine="480" w:firstLineChars="200"/>
        <w:rPr>
          <w:sz w:val="24"/>
        </w:rPr>
      </w:pPr>
      <w:r>
        <w:rPr>
          <w:rFonts w:hint="eastAsia"/>
          <w:sz w:val="24"/>
        </w:rPr>
        <w:t>1.4　成交供应商应提供所有安装和检修所需专用工具和消耗材料等，并提供详细供货清单。</w:t>
      </w:r>
    </w:p>
    <w:p>
      <w:pPr>
        <w:spacing w:line="360" w:lineRule="auto"/>
        <w:ind w:firstLine="480" w:firstLineChars="200"/>
        <w:rPr>
          <w:sz w:val="24"/>
        </w:rPr>
      </w:pPr>
      <w:r>
        <w:rPr>
          <w:rFonts w:hint="eastAsia"/>
          <w:sz w:val="24"/>
        </w:rPr>
        <w:t>1.5　提供随机备品备件和</w:t>
      </w:r>
      <w:r>
        <w:rPr>
          <w:rFonts w:hint="eastAsia"/>
          <w:sz w:val="24"/>
          <w:u w:val="single"/>
        </w:rPr>
        <w:t>　2　</w:t>
      </w:r>
      <w:r>
        <w:rPr>
          <w:rFonts w:hint="eastAsia"/>
          <w:sz w:val="24"/>
        </w:rPr>
        <w:t>年运行所需的备品备件，并在招标文件中给出具体清单。</w:t>
      </w:r>
    </w:p>
    <w:p>
      <w:pPr>
        <w:spacing w:line="360" w:lineRule="auto"/>
        <w:ind w:firstLine="480" w:firstLineChars="200"/>
        <w:rPr>
          <w:sz w:val="24"/>
        </w:rPr>
      </w:pPr>
      <w:r>
        <w:rPr>
          <w:rFonts w:hint="eastAsia"/>
          <w:sz w:val="24"/>
        </w:rPr>
        <w:t>1.6　提供所供货物中的进口件清单。</w:t>
      </w:r>
    </w:p>
    <w:p>
      <w:pPr>
        <w:spacing w:line="360" w:lineRule="auto"/>
        <w:ind w:firstLine="480" w:firstLineChars="200"/>
        <w:rPr>
          <w:sz w:val="24"/>
        </w:rPr>
      </w:pPr>
      <w:r>
        <w:rPr>
          <w:rFonts w:hint="eastAsia"/>
          <w:sz w:val="24"/>
        </w:rPr>
        <w:t>1.7　成交供应商提供的技术资料清单见本部分第三章。</w:t>
      </w:r>
    </w:p>
    <w:p>
      <w:pPr>
        <w:spacing w:line="360" w:lineRule="auto"/>
        <w:ind w:firstLine="482" w:firstLineChars="200"/>
        <w:rPr>
          <w:rFonts w:hint="eastAsia"/>
          <w:b/>
          <w:sz w:val="24"/>
        </w:rPr>
      </w:pPr>
      <w:r>
        <w:rPr>
          <w:rFonts w:hint="eastAsia"/>
          <w:b/>
          <w:sz w:val="24"/>
        </w:rPr>
        <w:t xml:space="preserve">2 </w:t>
      </w:r>
      <w:r>
        <w:rPr>
          <w:b/>
          <w:sz w:val="24"/>
        </w:rPr>
        <w:t xml:space="preserve"> </w:t>
      </w:r>
      <w:r>
        <w:rPr>
          <w:rFonts w:hint="eastAsia"/>
          <w:b/>
          <w:sz w:val="24"/>
        </w:rPr>
        <w:t>供货范围</w:t>
      </w:r>
    </w:p>
    <w:p>
      <w:pPr>
        <w:spacing w:line="360" w:lineRule="auto"/>
        <w:ind w:firstLine="480" w:firstLineChars="200"/>
        <w:rPr>
          <w:rFonts w:hint="eastAsia"/>
          <w:b/>
          <w:sz w:val="22"/>
          <w:szCs w:val="22"/>
        </w:rPr>
      </w:pPr>
      <w:r>
        <w:rPr>
          <w:rFonts w:hint="eastAsia"/>
          <w:sz w:val="24"/>
        </w:rPr>
        <w:t>2.1货物范围（详见下表）：</w:t>
      </w:r>
    </w:p>
    <w:tbl>
      <w:tblPr>
        <w:tblStyle w:val="34"/>
        <w:tblW w:w="88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1725"/>
        <w:gridCol w:w="5242"/>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682" w:type="dxa"/>
            <w:noWrap w:val="0"/>
            <w:vAlign w:val="center"/>
          </w:tcPr>
          <w:p>
            <w:pPr>
              <w:widowControl/>
              <w:jc w:val="center"/>
              <w:rPr>
                <w:b/>
                <w:color w:val="000000"/>
              </w:rPr>
            </w:pPr>
            <w:r>
              <w:rPr>
                <w:rFonts w:hint="eastAsia"/>
                <w:b/>
                <w:color w:val="000000"/>
              </w:rPr>
              <w:t>序号</w:t>
            </w:r>
          </w:p>
        </w:tc>
        <w:tc>
          <w:tcPr>
            <w:tcW w:w="1725" w:type="dxa"/>
            <w:noWrap w:val="0"/>
            <w:vAlign w:val="center"/>
          </w:tcPr>
          <w:p>
            <w:pPr>
              <w:widowControl/>
              <w:jc w:val="center"/>
              <w:rPr>
                <w:b/>
                <w:color w:val="000000"/>
              </w:rPr>
            </w:pPr>
            <w:r>
              <w:rPr>
                <w:rFonts w:hint="eastAsia"/>
                <w:b/>
                <w:color w:val="000000"/>
              </w:rPr>
              <w:t>名称</w:t>
            </w:r>
          </w:p>
        </w:tc>
        <w:tc>
          <w:tcPr>
            <w:tcW w:w="5242" w:type="dxa"/>
            <w:noWrap w:val="0"/>
            <w:vAlign w:val="center"/>
          </w:tcPr>
          <w:p>
            <w:pPr>
              <w:widowControl/>
              <w:jc w:val="center"/>
              <w:rPr>
                <w:b/>
                <w:color w:val="000000"/>
              </w:rPr>
            </w:pPr>
            <w:r>
              <w:rPr>
                <w:rFonts w:hint="eastAsia"/>
                <w:b/>
                <w:color w:val="000000"/>
              </w:rPr>
              <w:t>服务明细</w:t>
            </w:r>
          </w:p>
        </w:tc>
        <w:tc>
          <w:tcPr>
            <w:tcW w:w="1229" w:type="dxa"/>
            <w:noWrap w:val="0"/>
            <w:vAlign w:val="center"/>
          </w:tcPr>
          <w:p>
            <w:pPr>
              <w:widowControl/>
              <w:jc w:val="center"/>
              <w:rPr>
                <w:b/>
                <w:color w:val="000000"/>
              </w:rPr>
            </w:pPr>
            <w:r>
              <w:rPr>
                <w:rFonts w:hint="eastAsia"/>
                <w:b/>
                <w:color w:val="000000"/>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682" w:type="dxa"/>
            <w:noWrap w:val="0"/>
            <w:vAlign w:val="center"/>
          </w:tcPr>
          <w:p>
            <w:pPr>
              <w:widowControl/>
              <w:jc w:val="center"/>
              <w:rPr>
                <w:bCs/>
                <w:color w:val="000000"/>
              </w:rPr>
            </w:pPr>
            <w:r>
              <w:rPr>
                <w:rFonts w:hint="eastAsia"/>
                <w:bCs/>
                <w:color w:val="000000"/>
              </w:rPr>
              <w:t>1</w:t>
            </w:r>
          </w:p>
        </w:tc>
        <w:tc>
          <w:tcPr>
            <w:tcW w:w="1725" w:type="dxa"/>
            <w:noWrap w:val="0"/>
            <w:vAlign w:val="center"/>
          </w:tcPr>
          <w:p>
            <w:pPr>
              <w:jc w:val="center"/>
              <w:rPr>
                <w:bCs/>
                <w:color w:val="000000"/>
              </w:rPr>
            </w:pPr>
            <w:r>
              <w:rPr>
                <w:rFonts w:hint="eastAsia"/>
                <w:bCs/>
                <w:color w:val="000000"/>
              </w:rPr>
              <w:t>**通终端服务（双操</w:t>
            </w:r>
            <w:r>
              <w:rPr>
                <w:bCs/>
                <w:color w:val="000000"/>
              </w:rPr>
              <w:t>作</w:t>
            </w:r>
            <w:r>
              <w:rPr>
                <w:rFonts w:hint="eastAsia"/>
                <w:bCs/>
                <w:color w:val="000000"/>
              </w:rPr>
              <w:t>系统）</w:t>
            </w:r>
          </w:p>
        </w:tc>
        <w:tc>
          <w:tcPr>
            <w:tcW w:w="5242" w:type="dxa"/>
            <w:noWrap w:val="0"/>
            <w:vAlign w:val="center"/>
          </w:tcPr>
          <w:p>
            <w:pPr>
              <w:widowControl/>
              <w:ind w:firstLine="400" w:firstLineChars="200"/>
              <w:jc w:val="left"/>
              <w:rPr>
                <w:bCs/>
                <w:color w:val="000000"/>
              </w:rPr>
            </w:pPr>
            <w:r>
              <w:rPr>
                <w:rFonts w:hint="eastAsia"/>
                <w:bCs/>
                <w:color w:val="000000"/>
              </w:rPr>
              <w:t>提供终端设备主机、电池、充电器、数据线，保护壳外套等硬件。</w:t>
            </w:r>
          </w:p>
        </w:tc>
        <w:tc>
          <w:tcPr>
            <w:tcW w:w="1229" w:type="dxa"/>
            <w:noWrap w:val="0"/>
            <w:vAlign w:val="center"/>
          </w:tcPr>
          <w:p>
            <w:pPr>
              <w:widowControl/>
              <w:jc w:val="center"/>
              <w:rPr>
                <w:rFonts w:hint="eastAsia"/>
                <w:bCs/>
                <w:color w:val="000000"/>
              </w:rPr>
            </w:pPr>
            <w:r>
              <w:rPr>
                <w:rFonts w:hint="eastAsia"/>
                <w:bCs/>
                <w:color w:val="000000"/>
              </w:rPr>
              <w:t>740套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682" w:type="dxa"/>
            <w:noWrap w:val="0"/>
            <w:vAlign w:val="center"/>
          </w:tcPr>
          <w:p>
            <w:pPr>
              <w:widowControl/>
              <w:jc w:val="center"/>
              <w:rPr>
                <w:bCs/>
                <w:color w:val="000000"/>
              </w:rPr>
            </w:pPr>
            <w:r>
              <w:rPr>
                <w:rFonts w:hint="eastAsia"/>
                <w:bCs/>
                <w:color w:val="000000"/>
              </w:rPr>
              <w:t>2</w:t>
            </w:r>
          </w:p>
        </w:tc>
        <w:tc>
          <w:tcPr>
            <w:tcW w:w="1725" w:type="dxa"/>
            <w:noWrap w:val="0"/>
            <w:vAlign w:val="center"/>
          </w:tcPr>
          <w:p>
            <w:pPr>
              <w:jc w:val="center"/>
              <w:rPr>
                <w:bCs/>
              </w:rPr>
            </w:pPr>
            <w:r>
              <w:rPr>
                <w:rFonts w:hint="eastAsia"/>
                <w:bCs/>
              </w:rPr>
              <w:t>**通专用加密服务</w:t>
            </w:r>
          </w:p>
        </w:tc>
        <w:tc>
          <w:tcPr>
            <w:tcW w:w="5242" w:type="dxa"/>
            <w:noWrap w:val="0"/>
            <w:vAlign w:val="center"/>
          </w:tcPr>
          <w:p>
            <w:pPr>
              <w:widowControl/>
              <w:ind w:firstLine="400" w:firstLineChars="200"/>
              <w:jc w:val="left"/>
              <w:rPr>
                <w:bCs/>
              </w:rPr>
            </w:pPr>
            <w:r>
              <w:rPr>
                <w:rFonts w:hint="eastAsia"/>
                <w:bCs/>
              </w:rPr>
              <w:t>软加</w:t>
            </w:r>
            <w:r>
              <w:rPr>
                <w:bCs/>
              </w:rPr>
              <w:t>密</w:t>
            </w:r>
            <w:r>
              <w:rPr>
                <w:rFonts w:hint="eastAsia"/>
                <w:bCs/>
              </w:rPr>
              <w:t>或硬加密服务。</w:t>
            </w:r>
          </w:p>
        </w:tc>
        <w:tc>
          <w:tcPr>
            <w:tcW w:w="1229" w:type="dxa"/>
            <w:noWrap w:val="0"/>
            <w:vAlign w:val="center"/>
          </w:tcPr>
          <w:p>
            <w:pPr>
              <w:widowControl/>
              <w:jc w:val="center"/>
              <w:rPr>
                <w:bCs/>
                <w:color w:val="000000"/>
              </w:rPr>
            </w:pPr>
            <w:r>
              <w:rPr>
                <w:rFonts w:hint="eastAsia"/>
                <w:bCs/>
                <w:color w:val="000000"/>
              </w:rPr>
              <w:t>740套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trPr>
        <w:tc>
          <w:tcPr>
            <w:tcW w:w="682" w:type="dxa"/>
            <w:noWrap w:val="0"/>
            <w:vAlign w:val="center"/>
          </w:tcPr>
          <w:p>
            <w:pPr>
              <w:jc w:val="center"/>
              <w:rPr>
                <w:rFonts w:hint="eastAsia" w:eastAsia="宋体"/>
                <w:bCs/>
                <w:color w:val="000000"/>
                <w:lang w:eastAsia="zh-CN"/>
              </w:rPr>
            </w:pPr>
            <w:r>
              <w:rPr>
                <w:rFonts w:hint="eastAsia"/>
                <w:bCs/>
                <w:color w:val="000000"/>
                <w:lang w:val="en-US" w:eastAsia="zh-CN"/>
              </w:rPr>
              <w:t>3</w:t>
            </w:r>
          </w:p>
        </w:tc>
        <w:tc>
          <w:tcPr>
            <w:tcW w:w="1725" w:type="dxa"/>
            <w:noWrap w:val="0"/>
            <w:vAlign w:val="center"/>
          </w:tcPr>
          <w:p>
            <w:pPr>
              <w:jc w:val="center"/>
              <w:rPr>
                <w:bCs/>
              </w:rPr>
            </w:pPr>
            <w:r>
              <w:rPr>
                <w:rFonts w:hint="eastAsia"/>
                <w:bCs/>
              </w:rPr>
              <w:t>**通专用SIM卡流量服务</w:t>
            </w:r>
          </w:p>
        </w:tc>
        <w:tc>
          <w:tcPr>
            <w:tcW w:w="5242" w:type="dxa"/>
            <w:noWrap w:val="0"/>
            <w:vAlign w:val="center"/>
          </w:tcPr>
          <w:p>
            <w:pPr>
              <w:widowControl/>
              <w:ind w:firstLine="400" w:firstLineChars="200"/>
              <w:jc w:val="left"/>
              <w:rPr>
                <w:bCs/>
              </w:rPr>
            </w:pPr>
            <w:r>
              <w:rPr>
                <w:rFonts w:hint="eastAsia"/>
                <w:bCs/>
              </w:rPr>
              <w:t>提供**通专用APN，每张卡包流量24个月，每月30 G流量、国内语音通话300分钟、100条短信功能服务，500分钟虚拟网。</w:t>
            </w:r>
          </w:p>
        </w:tc>
        <w:tc>
          <w:tcPr>
            <w:tcW w:w="1229" w:type="dxa"/>
            <w:noWrap w:val="0"/>
            <w:vAlign w:val="center"/>
          </w:tcPr>
          <w:p>
            <w:pPr>
              <w:widowControl/>
              <w:jc w:val="center"/>
              <w:rPr>
                <w:bCs/>
                <w:color w:val="000000"/>
              </w:rPr>
            </w:pPr>
            <w:r>
              <w:rPr>
                <w:rFonts w:hint="eastAsia"/>
                <w:bCs/>
                <w:color w:val="000000"/>
              </w:rPr>
              <w:t>740张</w:t>
            </w:r>
          </w:p>
        </w:tc>
      </w:tr>
    </w:tbl>
    <w:p>
      <w:pPr>
        <w:pStyle w:val="3"/>
        <w:rPr>
          <w:rFonts w:hint="eastAsia"/>
          <w:color w:val="000000"/>
        </w:rPr>
      </w:pPr>
    </w:p>
    <w:p>
      <w:pPr>
        <w:spacing w:line="400" w:lineRule="exact"/>
        <w:ind w:firstLine="480" w:firstLineChars="200"/>
        <w:rPr>
          <w:rFonts w:hint="eastAsia"/>
          <w:sz w:val="24"/>
        </w:rPr>
      </w:pPr>
      <w:r>
        <w:rPr>
          <w:rFonts w:hint="eastAsia"/>
          <w:sz w:val="24"/>
        </w:rPr>
        <w:t>2.2 供货要求：</w:t>
      </w:r>
    </w:p>
    <w:p>
      <w:pPr>
        <w:spacing w:line="360" w:lineRule="auto"/>
        <w:ind w:firstLine="480" w:firstLineChars="200"/>
        <w:rPr>
          <w:rFonts w:hint="eastAsia"/>
          <w:sz w:val="24"/>
        </w:rPr>
      </w:pPr>
      <w:r>
        <w:rPr>
          <w:rFonts w:hint="eastAsia"/>
          <w:sz w:val="24"/>
        </w:rPr>
        <w:t>1、供方所供的服务中涉及硬件的必须为全新的，符合国家标准的合格产品；</w:t>
      </w:r>
    </w:p>
    <w:p>
      <w:pPr>
        <w:spacing w:line="360" w:lineRule="auto"/>
        <w:ind w:firstLine="480" w:firstLineChars="200"/>
        <w:rPr>
          <w:rFonts w:hint="eastAsia"/>
          <w:sz w:val="24"/>
        </w:rPr>
      </w:pPr>
      <w:r>
        <w:rPr>
          <w:rFonts w:hint="eastAsia"/>
          <w:sz w:val="24"/>
        </w:rPr>
        <w:t>2、所供的服务中涉及软件的不会侵犯任何第三方知识产权；</w:t>
      </w:r>
    </w:p>
    <w:p>
      <w:pPr>
        <w:spacing w:line="360" w:lineRule="auto"/>
        <w:ind w:firstLine="480" w:firstLineChars="200"/>
        <w:rPr>
          <w:rFonts w:hint="eastAsia"/>
          <w:sz w:val="24"/>
        </w:rPr>
      </w:pPr>
      <w:r>
        <w:rPr>
          <w:rFonts w:hint="eastAsia"/>
          <w:sz w:val="24"/>
        </w:rPr>
        <w:t>3、中标方在合同签署后60日内完成服务内容所要求的所有项；</w:t>
      </w:r>
    </w:p>
    <w:p>
      <w:pPr>
        <w:spacing w:line="360" w:lineRule="auto"/>
        <w:ind w:firstLine="480" w:firstLineChars="200"/>
        <w:rPr>
          <w:rFonts w:hint="eastAsia"/>
          <w:sz w:val="24"/>
        </w:rPr>
      </w:pPr>
      <w:r>
        <w:rPr>
          <w:rFonts w:hint="eastAsia"/>
          <w:sz w:val="24"/>
        </w:rPr>
        <w:t>2.3 验收</w:t>
      </w:r>
    </w:p>
    <w:p>
      <w:pPr>
        <w:spacing w:line="360" w:lineRule="auto"/>
        <w:ind w:firstLine="480" w:firstLineChars="200"/>
        <w:rPr>
          <w:rFonts w:hint="eastAsia"/>
          <w:sz w:val="24"/>
        </w:rPr>
      </w:pPr>
      <w:r>
        <w:rPr>
          <w:rFonts w:hint="eastAsia"/>
          <w:sz w:val="24"/>
        </w:rPr>
        <w:t>绍兴市公安局上虞区分局依据招标文件、投标文件及其补充变更文件上的技术规格要求和公安**通有关质量标准，自行组织验收。</w:t>
      </w:r>
    </w:p>
    <w:p>
      <w:pPr>
        <w:spacing w:line="360" w:lineRule="auto"/>
        <w:ind w:firstLine="480" w:firstLineChars="200"/>
        <w:rPr>
          <w:rFonts w:hint="eastAsia"/>
          <w:sz w:val="24"/>
        </w:rPr>
      </w:pPr>
      <w:r>
        <w:rPr>
          <w:rFonts w:hint="eastAsia"/>
          <w:sz w:val="24"/>
        </w:rPr>
        <w:t>2.4 质保期和售后服务要求</w:t>
      </w:r>
    </w:p>
    <w:p>
      <w:pPr>
        <w:spacing w:line="360" w:lineRule="auto"/>
        <w:ind w:firstLine="480" w:firstLineChars="200"/>
        <w:rPr>
          <w:rFonts w:hint="eastAsia"/>
          <w:sz w:val="24"/>
        </w:rPr>
      </w:pPr>
      <w:r>
        <w:rPr>
          <w:rFonts w:hint="eastAsia"/>
          <w:sz w:val="24"/>
        </w:rPr>
        <w:t>租赁服务项目中提供的硬软件，质保期从项目验收合格后起算，质保期不得少于二年，质保内容：**通终端（含电池等附件）硬件维护，**通终端操作系统升级和APP软件升级。供应商须提供7*24小时免费技术服务。应标人应具有较强的本地化服务能力，非本地应标人应在上虞有常驻服务和技术支持机构，并配有较强的技术队伍，能提供快速的售后服务，并保证到现场服务响应时间小于12小时。质保期内除人为因素外人工、配件全免费。质保期满后，供应商继续提供一年维护服务，只收取维护成本费、免收人工费。</w:t>
      </w:r>
    </w:p>
    <w:p>
      <w:pPr>
        <w:spacing w:line="360" w:lineRule="auto"/>
        <w:ind w:firstLine="480" w:firstLineChars="200"/>
        <w:rPr>
          <w:rFonts w:hint="eastAsia"/>
          <w:sz w:val="24"/>
        </w:rPr>
      </w:pPr>
      <w:r>
        <w:rPr>
          <w:rFonts w:hint="eastAsia"/>
          <w:sz w:val="24"/>
        </w:rPr>
        <w:t>中标单位需和采购人签订安全保密协议。服务期满后，所涉**通终端服务、加密软件、SIM卡应交由采购人处置。</w:t>
      </w:r>
    </w:p>
    <w:p>
      <w:pPr>
        <w:pStyle w:val="3"/>
        <w:rPr>
          <w:rFonts w:hint="eastAsia"/>
          <w:color w:val="000000"/>
        </w:rPr>
      </w:pPr>
    </w:p>
    <w:p>
      <w:pPr>
        <w:pStyle w:val="3"/>
        <w:rPr>
          <w:rFonts w:hint="eastAsia"/>
          <w:color w:val="000000"/>
        </w:rPr>
      </w:pPr>
    </w:p>
    <w:p>
      <w:pPr>
        <w:autoSpaceDE w:val="0"/>
        <w:autoSpaceDN w:val="0"/>
        <w:adjustRightInd w:val="0"/>
        <w:spacing w:line="360" w:lineRule="auto"/>
        <w:ind w:firstLine="480"/>
        <w:jc w:val="left"/>
        <w:rPr>
          <w:rFonts w:hint="eastAsia"/>
        </w:rPr>
      </w:pPr>
    </w:p>
    <w:p>
      <w:pPr>
        <w:spacing w:line="360" w:lineRule="auto"/>
        <w:jc w:val="center"/>
        <w:outlineLvl w:val="0"/>
        <w:rPr>
          <w:rFonts w:hint="eastAsia"/>
          <w:b/>
          <w:sz w:val="36"/>
          <w:szCs w:val="36"/>
        </w:rPr>
      </w:pPr>
      <w:r>
        <w:rPr>
          <w:b/>
          <w:sz w:val="36"/>
          <w:szCs w:val="20"/>
        </w:rPr>
        <w:br w:type="page"/>
      </w:r>
      <w:bookmarkStart w:id="433" w:name="_Toc121294585"/>
      <w:r>
        <w:rPr>
          <w:rFonts w:hint="eastAsia"/>
          <w:b/>
          <w:sz w:val="36"/>
          <w:szCs w:val="20"/>
        </w:rPr>
        <w:t>第五部分</w:t>
      </w:r>
      <w:bookmarkEnd w:id="425"/>
      <w:r>
        <w:rPr>
          <w:rFonts w:hint="eastAsia"/>
          <w:b/>
          <w:sz w:val="36"/>
          <w:szCs w:val="20"/>
        </w:rPr>
        <w:t xml:space="preserve"> </w:t>
      </w:r>
      <w:r>
        <w:rPr>
          <w:b/>
          <w:sz w:val="36"/>
          <w:szCs w:val="20"/>
        </w:rPr>
        <w:t xml:space="preserve"> 采购合同</w:t>
      </w:r>
      <w:bookmarkEnd w:id="433"/>
    </w:p>
    <w:p>
      <w:pPr>
        <w:spacing w:line="360" w:lineRule="auto"/>
        <w:ind w:firstLine="480" w:firstLineChars="200"/>
        <w:jc w:val="left"/>
        <w:rPr>
          <w:rFonts w:hint="eastAsia"/>
          <w:sz w:val="24"/>
        </w:rPr>
      </w:pPr>
      <w:bookmarkStart w:id="434" w:name="第五部分"/>
      <w:bookmarkStart w:id="435" w:name="_Toc86217003"/>
      <w:r>
        <w:rPr>
          <w:rFonts w:hint="eastAsia"/>
          <w:sz w:val="24"/>
        </w:rPr>
        <w:t xml:space="preserve">  合同编号：（2023）第</w:t>
      </w:r>
      <w:r>
        <w:rPr>
          <w:rFonts w:hint="eastAsia"/>
          <w:sz w:val="24"/>
          <w:u w:val="single"/>
        </w:rPr>
        <w:t>　　</w:t>
      </w:r>
      <w:r>
        <w:rPr>
          <w:rFonts w:hint="eastAsia"/>
          <w:sz w:val="24"/>
        </w:rPr>
        <w:t>号</w:t>
      </w:r>
    </w:p>
    <w:p>
      <w:pPr>
        <w:spacing w:line="360" w:lineRule="auto"/>
        <w:ind w:firstLine="480" w:firstLineChars="200"/>
        <w:jc w:val="left"/>
        <w:rPr>
          <w:rFonts w:hint="eastAsia"/>
          <w:sz w:val="24"/>
        </w:rPr>
      </w:pPr>
      <w:r>
        <w:rPr>
          <w:rFonts w:hint="eastAsia"/>
          <w:sz w:val="24"/>
        </w:rPr>
        <w:t>　签订日期：2023年</w:t>
      </w:r>
      <w:r>
        <w:rPr>
          <w:rFonts w:hint="eastAsia"/>
          <w:sz w:val="24"/>
          <w:u w:val="single"/>
        </w:rPr>
        <w:t>　　</w:t>
      </w:r>
      <w:r>
        <w:rPr>
          <w:rFonts w:hint="eastAsia"/>
          <w:sz w:val="24"/>
        </w:rPr>
        <w:t>月</w:t>
      </w:r>
      <w:r>
        <w:rPr>
          <w:rFonts w:hint="eastAsia"/>
          <w:sz w:val="24"/>
          <w:u w:val="single"/>
        </w:rPr>
        <w:t>　　</w:t>
      </w:r>
      <w:r>
        <w:rPr>
          <w:rFonts w:hint="eastAsia"/>
          <w:sz w:val="24"/>
        </w:rPr>
        <w:t>日</w:t>
      </w:r>
    </w:p>
    <w:p>
      <w:pPr>
        <w:spacing w:line="324" w:lineRule="auto"/>
        <w:ind w:firstLine="480" w:firstLineChars="200"/>
        <w:rPr>
          <w:rFonts w:hint="eastAsia"/>
          <w:sz w:val="28"/>
          <w:u w:val="single"/>
        </w:rPr>
      </w:pPr>
      <w:r>
        <w:rPr>
          <w:rFonts w:hint="eastAsia"/>
          <w:sz w:val="24"/>
        </w:rPr>
        <w:t>　甲方</w:t>
      </w:r>
      <w:r>
        <w:rPr>
          <w:rFonts w:hint="eastAsia"/>
          <w:sz w:val="28"/>
        </w:rPr>
        <w:t>：</w:t>
      </w:r>
      <w:r>
        <w:rPr>
          <w:rFonts w:hint="eastAsia"/>
          <w:sz w:val="28"/>
          <w:u w:val="single"/>
        </w:rPr>
        <w:t>　　　　　　　　　　　　　　　　　　　　　　　　　</w:t>
      </w:r>
    </w:p>
    <w:p>
      <w:pPr>
        <w:spacing w:line="324" w:lineRule="auto"/>
        <w:ind w:firstLine="720" w:firstLineChars="300"/>
        <w:jc w:val="left"/>
        <w:rPr>
          <w:rFonts w:hint="eastAsia"/>
          <w:sz w:val="28"/>
          <w:u w:val="single"/>
        </w:rPr>
      </w:pPr>
      <w:r>
        <w:rPr>
          <w:rFonts w:hint="eastAsia"/>
          <w:sz w:val="24"/>
        </w:rPr>
        <w:t>乙方</w:t>
      </w:r>
      <w:r>
        <w:rPr>
          <w:rFonts w:hint="eastAsia"/>
          <w:sz w:val="28"/>
        </w:rPr>
        <w:t>：</w:t>
      </w:r>
      <w:r>
        <w:rPr>
          <w:rFonts w:hint="eastAsia"/>
          <w:sz w:val="28"/>
          <w:u w:val="single"/>
        </w:rPr>
        <w:t>　　　　　　　　　　　　　　　　　　　　　　　　　</w:t>
      </w:r>
    </w:p>
    <w:p>
      <w:pPr>
        <w:spacing w:line="324" w:lineRule="auto"/>
        <w:ind w:firstLine="480" w:firstLineChars="200"/>
        <w:jc w:val="left"/>
        <w:rPr>
          <w:rFonts w:hint="eastAsia"/>
          <w:sz w:val="24"/>
        </w:rPr>
      </w:pPr>
      <w:r>
        <w:rPr>
          <w:rFonts w:hint="eastAsia"/>
          <w:sz w:val="24"/>
        </w:rPr>
        <w:t>1　根据《中华人民共和国民典法》、政府采购编号</w:t>
      </w:r>
      <w:r>
        <w:rPr>
          <w:sz w:val="24"/>
          <w:u w:val="single"/>
        </w:rPr>
        <w:t xml:space="preserve"> FS</w:t>
      </w:r>
      <w:r>
        <w:rPr>
          <w:rFonts w:hint="eastAsia"/>
          <w:sz w:val="24"/>
          <w:u w:val="single"/>
        </w:rPr>
        <w:t>2023004</w:t>
      </w:r>
      <w:r>
        <w:rPr>
          <w:rFonts w:hint="eastAsia"/>
          <w:sz w:val="24"/>
        </w:rPr>
        <w:t>为中标人投标文件的规定，经公开招标，签订本合同。</w:t>
      </w:r>
    </w:p>
    <w:p>
      <w:pPr>
        <w:spacing w:line="324" w:lineRule="auto"/>
        <w:ind w:firstLine="480" w:firstLineChars="200"/>
        <w:jc w:val="left"/>
        <w:rPr>
          <w:rFonts w:hint="eastAsia"/>
          <w:sz w:val="24"/>
        </w:rPr>
      </w:pPr>
      <w:r>
        <w:rPr>
          <w:rFonts w:hint="eastAsia"/>
          <w:sz w:val="24"/>
        </w:rPr>
        <w:t>2　产品规格、数量及价格</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440"/>
        <w:gridCol w:w="1440"/>
        <w:gridCol w:w="900"/>
        <w:gridCol w:w="900"/>
        <w:gridCol w:w="90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452" w:hRule="atLeast"/>
          <w:jc w:val="center"/>
        </w:trPr>
        <w:tc>
          <w:tcPr>
            <w:tcW w:w="900" w:type="dxa"/>
            <w:noWrap w:val="0"/>
            <w:vAlign w:val="center"/>
          </w:tcPr>
          <w:p>
            <w:pPr>
              <w:spacing w:line="360" w:lineRule="auto"/>
              <w:jc w:val="center"/>
              <w:rPr>
                <w:rFonts w:hint="eastAsia"/>
                <w:sz w:val="24"/>
              </w:rPr>
            </w:pPr>
            <w:r>
              <w:rPr>
                <w:rFonts w:hint="eastAsia"/>
                <w:sz w:val="24"/>
              </w:rPr>
              <w:t>序号</w:t>
            </w:r>
          </w:p>
        </w:tc>
        <w:tc>
          <w:tcPr>
            <w:tcW w:w="1440" w:type="dxa"/>
            <w:noWrap w:val="0"/>
            <w:vAlign w:val="center"/>
          </w:tcPr>
          <w:p>
            <w:pPr>
              <w:spacing w:line="360" w:lineRule="auto"/>
              <w:jc w:val="center"/>
              <w:rPr>
                <w:rFonts w:hint="eastAsia"/>
                <w:sz w:val="24"/>
              </w:rPr>
            </w:pPr>
            <w:r>
              <w:rPr>
                <w:rFonts w:hint="eastAsia"/>
                <w:sz w:val="24"/>
              </w:rPr>
              <w:t>货物名称</w:t>
            </w:r>
          </w:p>
        </w:tc>
        <w:tc>
          <w:tcPr>
            <w:tcW w:w="1440" w:type="dxa"/>
            <w:noWrap w:val="0"/>
            <w:vAlign w:val="center"/>
          </w:tcPr>
          <w:p>
            <w:pPr>
              <w:spacing w:line="360" w:lineRule="auto"/>
              <w:jc w:val="center"/>
              <w:rPr>
                <w:rFonts w:hint="eastAsia"/>
                <w:sz w:val="24"/>
              </w:rPr>
            </w:pPr>
            <w:r>
              <w:rPr>
                <w:rFonts w:hint="eastAsia"/>
                <w:sz w:val="24"/>
              </w:rPr>
              <w:t>规格、型号</w:t>
            </w:r>
          </w:p>
        </w:tc>
        <w:tc>
          <w:tcPr>
            <w:tcW w:w="900" w:type="dxa"/>
            <w:noWrap w:val="0"/>
            <w:vAlign w:val="center"/>
          </w:tcPr>
          <w:p>
            <w:pPr>
              <w:spacing w:line="360" w:lineRule="auto"/>
              <w:jc w:val="center"/>
              <w:rPr>
                <w:rFonts w:hint="eastAsia"/>
                <w:sz w:val="24"/>
              </w:rPr>
            </w:pPr>
            <w:r>
              <w:rPr>
                <w:rFonts w:hint="eastAsia"/>
                <w:sz w:val="24"/>
              </w:rPr>
              <w:t>单位</w:t>
            </w:r>
          </w:p>
        </w:tc>
        <w:tc>
          <w:tcPr>
            <w:tcW w:w="900" w:type="dxa"/>
            <w:noWrap w:val="0"/>
            <w:vAlign w:val="center"/>
          </w:tcPr>
          <w:p>
            <w:pPr>
              <w:spacing w:line="360" w:lineRule="auto"/>
              <w:jc w:val="center"/>
              <w:rPr>
                <w:rFonts w:hint="eastAsia"/>
                <w:sz w:val="24"/>
              </w:rPr>
            </w:pPr>
            <w:r>
              <w:rPr>
                <w:rFonts w:hint="eastAsia"/>
                <w:sz w:val="24"/>
              </w:rPr>
              <w:t>单价</w:t>
            </w:r>
          </w:p>
        </w:tc>
        <w:tc>
          <w:tcPr>
            <w:tcW w:w="900" w:type="dxa"/>
            <w:noWrap w:val="0"/>
            <w:vAlign w:val="center"/>
          </w:tcPr>
          <w:p>
            <w:pPr>
              <w:spacing w:line="360" w:lineRule="auto"/>
              <w:jc w:val="center"/>
              <w:rPr>
                <w:rFonts w:hint="eastAsia"/>
                <w:sz w:val="24"/>
              </w:rPr>
            </w:pPr>
            <w:r>
              <w:rPr>
                <w:rFonts w:hint="eastAsia"/>
                <w:sz w:val="24"/>
              </w:rPr>
              <w:t>数量</w:t>
            </w:r>
          </w:p>
        </w:tc>
        <w:tc>
          <w:tcPr>
            <w:tcW w:w="1620" w:type="dxa"/>
            <w:noWrap w:val="0"/>
            <w:vAlign w:val="center"/>
          </w:tcPr>
          <w:p>
            <w:pPr>
              <w:spacing w:line="360" w:lineRule="auto"/>
              <w:jc w:val="center"/>
              <w:rPr>
                <w:rFonts w:hint="eastAsia"/>
                <w:sz w:val="24"/>
              </w:rPr>
            </w:pPr>
            <w:r>
              <w:rPr>
                <w:rFonts w:hint="eastAsia"/>
                <w:sz w:val="24"/>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480" w:hRule="atLeast"/>
          <w:jc w:val="center"/>
        </w:trPr>
        <w:tc>
          <w:tcPr>
            <w:tcW w:w="900" w:type="dxa"/>
            <w:tcBorders>
              <w:bottom w:val="single" w:color="auto" w:sz="4" w:space="0"/>
            </w:tcBorders>
            <w:noWrap w:val="0"/>
            <w:vAlign w:val="center"/>
          </w:tcPr>
          <w:p>
            <w:pPr>
              <w:spacing w:line="360" w:lineRule="auto"/>
              <w:jc w:val="left"/>
              <w:rPr>
                <w:rFonts w:hint="eastAsia"/>
                <w:sz w:val="24"/>
              </w:rPr>
            </w:pPr>
          </w:p>
        </w:tc>
        <w:tc>
          <w:tcPr>
            <w:tcW w:w="1440" w:type="dxa"/>
            <w:tcBorders>
              <w:bottom w:val="single" w:color="auto" w:sz="4" w:space="0"/>
            </w:tcBorders>
            <w:noWrap w:val="0"/>
            <w:vAlign w:val="center"/>
          </w:tcPr>
          <w:p>
            <w:pPr>
              <w:spacing w:line="360" w:lineRule="auto"/>
              <w:jc w:val="left"/>
              <w:rPr>
                <w:rFonts w:hint="eastAsia"/>
                <w:sz w:val="24"/>
              </w:rPr>
            </w:pPr>
          </w:p>
        </w:tc>
        <w:tc>
          <w:tcPr>
            <w:tcW w:w="1440" w:type="dxa"/>
            <w:tcBorders>
              <w:bottom w:val="single" w:color="auto" w:sz="4" w:space="0"/>
            </w:tcBorders>
            <w:noWrap w:val="0"/>
            <w:vAlign w:val="center"/>
          </w:tcPr>
          <w:p>
            <w:pPr>
              <w:spacing w:line="360" w:lineRule="auto"/>
              <w:jc w:val="left"/>
              <w:rPr>
                <w:rFonts w:hint="eastAsia"/>
                <w:sz w:val="24"/>
              </w:rPr>
            </w:pPr>
          </w:p>
        </w:tc>
        <w:tc>
          <w:tcPr>
            <w:tcW w:w="900" w:type="dxa"/>
            <w:tcBorders>
              <w:bottom w:val="single" w:color="auto" w:sz="4" w:space="0"/>
            </w:tcBorders>
            <w:noWrap w:val="0"/>
            <w:vAlign w:val="center"/>
          </w:tcPr>
          <w:p>
            <w:pPr>
              <w:spacing w:line="360" w:lineRule="auto"/>
              <w:jc w:val="left"/>
              <w:rPr>
                <w:rFonts w:hint="eastAsia"/>
                <w:sz w:val="24"/>
              </w:rPr>
            </w:pPr>
          </w:p>
        </w:tc>
        <w:tc>
          <w:tcPr>
            <w:tcW w:w="900" w:type="dxa"/>
            <w:tcBorders>
              <w:bottom w:val="single" w:color="auto" w:sz="4" w:space="0"/>
            </w:tcBorders>
            <w:noWrap w:val="0"/>
            <w:vAlign w:val="center"/>
          </w:tcPr>
          <w:p>
            <w:pPr>
              <w:spacing w:line="360" w:lineRule="auto"/>
              <w:jc w:val="left"/>
              <w:rPr>
                <w:rFonts w:hint="eastAsia"/>
                <w:sz w:val="24"/>
              </w:rPr>
            </w:pPr>
          </w:p>
        </w:tc>
        <w:tc>
          <w:tcPr>
            <w:tcW w:w="900" w:type="dxa"/>
            <w:tcBorders>
              <w:bottom w:val="single" w:color="auto" w:sz="4" w:space="0"/>
            </w:tcBorders>
            <w:noWrap w:val="0"/>
            <w:vAlign w:val="center"/>
          </w:tcPr>
          <w:p>
            <w:pPr>
              <w:spacing w:line="360" w:lineRule="auto"/>
              <w:jc w:val="left"/>
              <w:rPr>
                <w:rFonts w:hint="eastAsia"/>
                <w:sz w:val="24"/>
              </w:rPr>
            </w:pPr>
          </w:p>
        </w:tc>
        <w:tc>
          <w:tcPr>
            <w:tcW w:w="1620" w:type="dxa"/>
            <w:tcBorders>
              <w:bottom w:val="single" w:color="auto" w:sz="4" w:space="0"/>
            </w:tcBorders>
            <w:noWrap w:val="0"/>
            <w:vAlign w:val="center"/>
          </w:tcPr>
          <w:p>
            <w:pPr>
              <w:spacing w:line="360" w:lineRule="auto"/>
              <w:jc w:val="left"/>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480" w:hRule="atLeast"/>
          <w:jc w:val="center"/>
        </w:trPr>
        <w:tc>
          <w:tcPr>
            <w:tcW w:w="900" w:type="dxa"/>
            <w:tcBorders>
              <w:bottom w:val="single" w:color="auto" w:sz="4" w:space="0"/>
            </w:tcBorders>
            <w:noWrap w:val="0"/>
            <w:vAlign w:val="center"/>
          </w:tcPr>
          <w:p>
            <w:pPr>
              <w:spacing w:line="360" w:lineRule="auto"/>
              <w:jc w:val="left"/>
              <w:rPr>
                <w:rFonts w:hint="eastAsia"/>
                <w:sz w:val="24"/>
              </w:rPr>
            </w:pPr>
          </w:p>
        </w:tc>
        <w:tc>
          <w:tcPr>
            <w:tcW w:w="1440" w:type="dxa"/>
            <w:tcBorders>
              <w:bottom w:val="single" w:color="auto" w:sz="4" w:space="0"/>
            </w:tcBorders>
            <w:noWrap w:val="0"/>
            <w:vAlign w:val="center"/>
          </w:tcPr>
          <w:p>
            <w:pPr>
              <w:spacing w:line="360" w:lineRule="auto"/>
              <w:jc w:val="left"/>
              <w:rPr>
                <w:rFonts w:hint="eastAsia"/>
                <w:sz w:val="24"/>
              </w:rPr>
            </w:pPr>
          </w:p>
        </w:tc>
        <w:tc>
          <w:tcPr>
            <w:tcW w:w="1440" w:type="dxa"/>
            <w:tcBorders>
              <w:bottom w:val="single" w:color="auto" w:sz="4" w:space="0"/>
            </w:tcBorders>
            <w:noWrap w:val="0"/>
            <w:vAlign w:val="center"/>
          </w:tcPr>
          <w:p>
            <w:pPr>
              <w:spacing w:line="360" w:lineRule="auto"/>
              <w:jc w:val="left"/>
              <w:rPr>
                <w:rFonts w:hint="eastAsia"/>
                <w:sz w:val="24"/>
              </w:rPr>
            </w:pPr>
          </w:p>
        </w:tc>
        <w:tc>
          <w:tcPr>
            <w:tcW w:w="900" w:type="dxa"/>
            <w:tcBorders>
              <w:bottom w:val="single" w:color="auto" w:sz="4" w:space="0"/>
            </w:tcBorders>
            <w:noWrap w:val="0"/>
            <w:vAlign w:val="center"/>
          </w:tcPr>
          <w:p>
            <w:pPr>
              <w:spacing w:line="360" w:lineRule="auto"/>
              <w:jc w:val="left"/>
              <w:rPr>
                <w:rFonts w:hint="eastAsia"/>
                <w:sz w:val="24"/>
              </w:rPr>
            </w:pPr>
          </w:p>
        </w:tc>
        <w:tc>
          <w:tcPr>
            <w:tcW w:w="900" w:type="dxa"/>
            <w:tcBorders>
              <w:bottom w:val="single" w:color="auto" w:sz="4" w:space="0"/>
            </w:tcBorders>
            <w:noWrap w:val="0"/>
            <w:vAlign w:val="center"/>
          </w:tcPr>
          <w:p>
            <w:pPr>
              <w:spacing w:line="360" w:lineRule="auto"/>
              <w:jc w:val="left"/>
              <w:rPr>
                <w:rFonts w:hint="eastAsia"/>
                <w:sz w:val="24"/>
              </w:rPr>
            </w:pPr>
          </w:p>
        </w:tc>
        <w:tc>
          <w:tcPr>
            <w:tcW w:w="900" w:type="dxa"/>
            <w:tcBorders>
              <w:bottom w:val="single" w:color="auto" w:sz="4" w:space="0"/>
            </w:tcBorders>
            <w:noWrap w:val="0"/>
            <w:vAlign w:val="center"/>
          </w:tcPr>
          <w:p>
            <w:pPr>
              <w:spacing w:line="360" w:lineRule="auto"/>
              <w:jc w:val="left"/>
              <w:rPr>
                <w:rFonts w:hint="eastAsia"/>
                <w:sz w:val="24"/>
              </w:rPr>
            </w:pPr>
          </w:p>
        </w:tc>
        <w:tc>
          <w:tcPr>
            <w:tcW w:w="1620" w:type="dxa"/>
            <w:tcBorders>
              <w:bottom w:val="single" w:color="auto" w:sz="4" w:space="0"/>
            </w:tcBorders>
            <w:noWrap w:val="0"/>
            <w:vAlign w:val="center"/>
          </w:tcPr>
          <w:p>
            <w:pPr>
              <w:spacing w:line="360" w:lineRule="auto"/>
              <w:jc w:val="left"/>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480" w:hRule="atLeast"/>
          <w:jc w:val="center"/>
        </w:trPr>
        <w:tc>
          <w:tcPr>
            <w:tcW w:w="2340" w:type="dxa"/>
            <w:gridSpan w:val="2"/>
            <w:noWrap w:val="0"/>
            <w:vAlign w:val="center"/>
          </w:tcPr>
          <w:p>
            <w:pPr>
              <w:spacing w:line="360" w:lineRule="auto"/>
              <w:jc w:val="left"/>
              <w:rPr>
                <w:rFonts w:hint="eastAsia"/>
                <w:sz w:val="24"/>
              </w:rPr>
            </w:pPr>
            <w:r>
              <w:rPr>
                <w:rFonts w:hint="eastAsia"/>
                <w:sz w:val="24"/>
              </w:rPr>
              <w:t>合计金额</w:t>
            </w:r>
          </w:p>
        </w:tc>
        <w:tc>
          <w:tcPr>
            <w:tcW w:w="5760" w:type="dxa"/>
            <w:gridSpan w:val="5"/>
            <w:noWrap w:val="0"/>
            <w:vAlign w:val="center"/>
          </w:tcPr>
          <w:p>
            <w:pPr>
              <w:spacing w:line="360" w:lineRule="auto"/>
              <w:jc w:val="left"/>
              <w:rPr>
                <w:rFonts w:hint="eastAsia"/>
                <w:sz w:val="24"/>
              </w:rPr>
            </w:pPr>
            <w:r>
              <w:rPr>
                <w:rFonts w:hint="eastAsia"/>
                <w:sz w:val="24"/>
              </w:rPr>
              <w:t>　　　　元（大写：　　　　　　　　　　　　　　）</w:t>
            </w:r>
          </w:p>
        </w:tc>
      </w:tr>
    </w:tbl>
    <w:p>
      <w:pPr>
        <w:snapToGrid w:val="0"/>
        <w:spacing w:line="324" w:lineRule="auto"/>
        <w:ind w:firstLine="482"/>
        <w:rPr>
          <w:rFonts w:hint="eastAsia"/>
          <w:sz w:val="24"/>
        </w:rPr>
      </w:pPr>
      <w:r>
        <w:rPr>
          <w:rFonts w:hint="eastAsia"/>
          <w:sz w:val="24"/>
        </w:rPr>
        <w:t>3　货物质量标准和保证，包装，装运标记、条件和通知，保险责任，运输，伴随服务，合同的变更、修改和终止，及争端解决方式等，按招标文件采购需求和中标人的投标文件的规定执行。</w:t>
      </w:r>
    </w:p>
    <w:p>
      <w:pPr>
        <w:snapToGrid w:val="0"/>
        <w:spacing w:line="324" w:lineRule="auto"/>
        <w:ind w:firstLine="482"/>
        <w:rPr>
          <w:rFonts w:hint="eastAsia"/>
          <w:sz w:val="24"/>
        </w:rPr>
      </w:pPr>
      <w:r>
        <w:rPr>
          <w:rFonts w:hint="eastAsia"/>
          <w:sz w:val="24"/>
        </w:rPr>
        <w:t>4　交货期限及地点</w:t>
      </w:r>
    </w:p>
    <w:p>
      <w:pPr>
        <w:snapToGrid w:val="0"/>
        <w:spacing w:line="324" w:lineRule="auto"/>
        <w:ind w:firstLine="482"/>
        <w:rPr>
          <w:rFonts w:hint="eastAsia"/>
          <w:sz w:val="24"/>
          <w:u w:val="single"/>
        </w:rPr>
      </w:pPr>
      <w:r>
        <w:rPr>
          <w:rFonts w:hint="eastAsia"/>
          <w:sz w:val="24"/>
        </w:rPr>
        <w:t>4.1　交货期限：</w:t>
      </w:r>
      <w:r>
        <w:rPr>
          <w:rFonts w:hint="eastAsia"/>
          <w:sz w:val="24"/>
          <w:u w:val="single"/>
        </w:rPr>
        <w:t>　　　　　　　　　　　　　　　　　　　　　　　　</w:t>
      </w:r>
    </w:p>
    <w:p>
      <w:pPr>
        <w:snapToGrid w:val="0"/>
        <w:spacing w:line="324" w:lineRule="auto"/>
        <w:ind w:firstLine="482"/>
        <w:rPr>
          <w:rFonts w:hint="eastAsia"/>
          <w:sz w:val="24"/>
          <w:u w:val="single"/>
        </w:rPr>
      </w:pPr>
      <w:r>
        <w:rPr>
          <w:rFonts w:hint="eastAsia"/>
          <w:sz w:val="24"/>
        </w:rPr>
        <w:t>4.2　交货地点：</w:t>
      </w:r>
      <w:r>
        <w:rPr>
          <w:rFonts w:hint="eastAsia"/>
          <w:sz w:val="24"/>
          <w:u w:val="single"/>
        </w:rPr>
        <w:t>　　　　　　　　　　　　　　　　　　　　　　　　</w:t>
      </w:r>
    </w:p>
    <w:p>
      <w:pPr>
        <w:snapToGrid w:val="0"/>
        <w:spacing w:line="324" w:lineRule="auto"/>
        <w:ind w:firstLine="482"/>
        <w:rPr>
          <w:rFonts w:hint="eastAsia"/>
          <w:sz w:val="24"/>
        </w:rPr>
      </w:pPr>
      <w:r>
        <w:rPr>
          <w:rFonts w:hint="eastAsia"/>
          <w:sz w:val="24"/>
        </w:rPr>
        <w:t>4.3　其他约定：如买方根据项目进展的实际情况，需提前交货的，则提前15天通知卖方交货，卖方必须按买方要求将货物送达指定地点；如需延期交货的，且延期时间在90天内的，由卖方负责保管货物并另收保管费。</w:t>
      </w:r>
    </w:p>
    <w:p>
      <w:pPr>
        <w:snapToGrid w:val="0"/>
        <w:spacing w:line="324" w:lineRule="auto"/>
        <w:ind w:firstLine="482"/>
        <w:rPr>
          <w:rFonts w:hint="eastAsia"/>
          <w:sz w:val="24"/>
        </w:rPr>
      </w:pPr>
      <w:r>
        <w:rPr>
          <w:rFonts w:hint="eastAsia"/>
          <w:sz w:val="24"/>
        </w:rPr>
        <w:t>5　质量保证期限及要求</w:t>
      </w:r>
    </w:p>
    <w:p>
      <w:pPr>
        <w:snapToGrid w:val="0"/>
        <w:spacing w:line="324" w:lineRule="auto"/>
        <w:ind w:firstLine="482"/>
        <w:rPr>
          <w:rFonts w:hint="eastAsia"/>
          <w:sz w:val="24"/>
        </w:rPr>
      </w:pPr>
      <w:r>
        <w:rPr>
          <w:rFonts w:hint="eastAsia"/>
          <w:sz w:val="24"/>
        </w:rPr>
        <w:t>5.1　卖方提供的货物必须符合招标文件及中标人投标文件中规定的规格型号和技术性能。</w:t>
      </w:r>
    </w:p>
    <w:p>
      <w:pPr>
        <w:snapToGrid w:val="0"/>
        <w:spacing w:line="324" w:lineRule="auto"/>
        <w:ind w:firstLine="482"/>
        <w:rPr>
          <w:rFonts w:hint="eastAsia"/>
          <w:sz w:val="24"/>
        </w:rPr>
      </w:pPr>
      <w:r>
        <w:rPr>
          <w:rFonts w:hint="eastAsia"/>
          <w:sz w:val="24"/>
        </w:rPr>
        <w:t>5.2　质保期（即保修期）自</w:t>
      </w:r>
      <w:r>
        <w:rPr>
          <w:rFonts w:hint="eastAsia"/>
          <w:sz w:val="24"/>
          <w:u w:val="single"/>
        </w:rPr>
        <w:t>　验收合格　</w:t>
      </w:r>
      <w:r>
        <w:rPr>
          <w:rFonts w:hint="eastAsia"/>
          <w:sz w:val="24"/>
        </w:rPr>
        <w:t>之日起计算，共计为</w:t>
      </w:r>
      <w:r>
        <w:rPr>
          <w:rFonts w:hint="eastAsia"/>
          <w:sz w:val="24"/>
          <w:u w:val="single"/>
        </w:rPr>
        <w:t>　24　</w:t>
      </w:r>
      <w:r>
        <w:rPr>
          <w:rFonts w:hint="eastAsia"/>
          <w:sz w:val="24"/>
        </w:rPr>
        <w:t>个月。</w:t>
      </w:r>
    </w:p>
    <w:p>
      <w:pPr>
        <w:snapToGrid w:val="0"/>
        <w:spacing w:line="324" w:lineRule="auto"/>
        <w:ind w:firstLine="482"/>
        <w:rPr>
          <w:rFonts w:hint="eastAsia"/>
          <w:sz w:val="24"/>
        </w:rPr>
      </w:pPr>
      <w:r>
        <w:rPr>
          <w:rFonts w:hint="eastAsia"/>
          <w:sz w:val="24"/>
        </w:rPr>
        <w:t>5.3　在质保期内，如非因买方人为原因而出现质量问题的，由卖方负责负责包修、包换或者包退，并承担修理、调换或者退货的实际费用；如因买方使用不当造成故障的，由卖方负责包修、包换或者包退，实际费用由双方另行协商确定。</w:t>
      </w:r>
    </w:p>
    <w:p>
      <w:pPr>
        <w:snapToGrid w:val="0"/>
        <w:spacing w:line="324" w:lineRule="auto"/>
        <w:ind w:firstLine="482"/>
        <w:rPr>
          <w:rFonts w:hint="eastAsia"/>
          <w:sz w:val="24"/>
          <w:u w:val="single"/>
        </w:rPr>
      </w:pPr>
      <w:r>
        <w:rPr>
          <w:rFonts w:hint="eastAsia"/>
          <w:sz w:val="24"/>
        </w:rPr>
        <w:t>5.4　其他约定：</w:t>
      </w:r>
      <w:r>
        <w:rPr>
          <w:rFonts w:hint="eastAsia"/>
          <w:sz w:val="24"/>
          <w:u w:val="single"/>
        </w:rPr>
        <w:t>　　　  　　 　（如有）　　  　　　　　　　　　　</w:t>
      </w:r>
      <w:r>
        <w:rPr>
          <w:rFonts w:hint="eastAsia"/>
          <w:sz w:val="24"/>
        </w:rPr>
        <w:t>。</w:t>
      </w:r>
    </w:p>
    <w:p>
      <w:pPr>
        <w:snapToGrid w:val="0"/>
        <w:spacing w:line="324" w:lineRule="auto"/>
        <w:ind w:firstLine="482"/>
        <w:rPr>
          <w:rFonts w:hint="eastAsia"/>
          <w:sz w:val="24"/>
        </w:rPr>
      </w:pPr>
      <w:r>
        <w:rPr>
          <w:rFonts w:hint="eastAsia"/>
          <w:sz w:val="24"/>
        </w:rPr>
        <w:t>6　售后服务及要求</w:t>
      </w:r>
    </w:p>
    <w:p>
      <w:pPr>
        <w:snapToGrid w:val="0"/>
        <w:spacing w:line="324" w:lineRule="auto"/>
        <w:ind w:firstLine="482"/>
        <w:rPr>
          <w:rFonts w:hint="eastAsia"/>
          <w:sz w:val="24"/>
        </w:rPr>
      </w:pPr>
      <w:r>
        <w:rPr>
          <w:rFonts w:hint="eastAsia"/>
          <w:sz w:val="24"/>
        </w:rPr>
        <w:t>6.1　根据招标文件第四部分及投标时的承诺，卖方将为买方提供下列售后服务：</w:t>
      </w:r>
    </w:p>
    <w:p>
      <w:pPr>
        <w:snapToGrid w:val="0"/>
        <w:spacing w:line="324" w:lineRule="auto"/>
        <w:ind w:firstLine="482"/>
        <w:rPr>
          <w:rFonts w:hint="eastAsia"/>
          <w:sz w:val="24"/>
        </w:rPr>
      </w:pPr>
      <w:r>
        <w:rPr>
          <w:rFonts w:hint="eastAsia"/>
          <w:sz w:val="24"/>
        </w:rPr>
        <w:t>6.1.1　安装和调试服务：卖方将在合同签订后</w:t>
      </w:r>
      <w:r>
        <w:rPr>
          <w:rFonts w:hint="eastAsia"/>
          <w:sz w:val="24"/>
          <w:u w:val="single"/>
        </w:rPr>
        <w:t>　　</w:t>
      </w:r>
      <w:r>
        <w:rPr>
          <w:rFonts w:hint="eastAsia"/>
          <w:sz w:val="24"/>
        </w:rPr>
        <w:t>天向买方提供安装、调试方案及相关资料，并按有关标准在</w:t>
      </w:r>
      <w:r>
        <w:rPr>
          <w:rFonts w:hint="eastAsia"/>
          <w:sz w:val="24"/>
          <w:u w:val="single"/>
        </w:rPr>
        <w:t>　　　　　　　　</w:t>
      </w:r>
      <w:r>
        <w:rPr>
          <w:rFonts w:hint="eastAsia"/>
          <w:sz w:val="24"/>
        </w:rPr>
        <w:t>完成安装、调试工作。</w:t>
      </w:r>
    </w:p>
    <w:p>
      <w:pPr>
        <w:snapToGrid w:val="0"/>
        <w:spacing w:line="324" w:lineRule="auto"/>
        <w:ind w:firstLine="482"/>
        <w:rPr>
          <w:rFonts w:hint="eastAsia"/>
          <w:sz w:val="24"/>
        </w:rPr>
      </w:pPr>
      <w:r>
        <w:rPr>
          <w:rFonts w:hint="eastAsia"/>
          <w:sz w:val="24"/>
        </w:rPr>
        <w:t>6.1.2　维修服务：</w:t>
      </w:r>
      <w:r>
        <w:rPr>
          <w:rFonts w:hint="eastAsia"/>
          <w:sz w:val="24"/>
          <w:u w:val="single"/>
        </w:rPr>
        <w:t>　　　　　　　　　　　　　　　　　　　　　　　</w:t>
      </w:r>
      <w:r>
        <w:rPr>
          <w:rFonts w:hint="eastAsia"/>
          <w:sz w:val="24"/>
        </w:rPr>
        <w:t>。</w:t>
      </w:r>
    </w:p>
    <w:p>
      <w:pPr>
        <w:snapToGrid w:val="0"/>
        <w:spacing w:line="324" w:lineRule="auto"/>
        <w:ind w:firstLine="482"/>
        <w:rPr>
          <w:rFonts w:hint="eastAsia"/>
          <w:sz w:val="24"/>
        </w:rPr>
      </w:pPr>
      <w:r>
        <w:rPr>
          <w:rFonts w:hint="eastAsia"/>
          <w:sz w:val="24"/>
        </w:rPr>
        <w:t>6.1.3　技术服务：</w:t>
      </w:r>
    </w:p>
    <w:p>
      <w:pPr>
        <w:snapToGrid w:val="0"/>
        <w:spacing w:line="324" w:lineRule="auto"/>
        <w:ind w:firstLine="482"/>
        <w:rPr>
          <w:rFonts w:hint="eastAsia"/>
          <w:sz w:val="24"/>
        </w:rPr>
      </w:pPr>
      <w:r>
        <w:rPr>
          <w:rFonts w:hint="eastAsia"/>
          <w:sz w:val="24"/>
        </w:rPr>
        <w:t>6.1.3.1　卖方应随货物向买方提交产品使用说明书、产品合格证、保修卡及相关的配件和技术资料。</w:t>
      </w:r>
    </w:p>
    <w:p>
      <w:pPr>
        <w:snapToGrid w:val="0"/>
        <w:spacing w:line="324" w:lineRule="auto"/>
        <w:ind w:firstLine="482"/>
        <w:rPr>
          <w:rFonts w:hint="eastAsia"/>
          <w:sz w:val="24"/>
        </w:rPr>
      </w:pPr>
      <w:r>
        <w:rPr>
          <w:rFonts w:hint="eastAsia"/>
          <w:sz w:val="24"/>
        </w:rPr>
        <w:t>6.1.3.2　其他：</w:t>
      </w:r>
      <w:r>
        <w:rPr>
          <w:rFonts w:hint="eastAsia"/>
          <w:sz w:val="24"/>
          <w:u w:val="single"/>
        </w:rPr>
        <w:t>　　　　　　　　　　　　　　　　　　　　　　　　</w:t>
      </w:r>
      <w:r>
        <w:rPr>
          <w:rFonts w:hint="eastAsia"/>
          <w:sz w:val="24"/>
        </w:rPr>
        <w:t>。（如有）</w:t>
      </w:r>
    </w:p>
    <w:p>
      <w:pPr>
        <w:snapToGrid w:val="0"/>
        <w:spacing w:line="324" w:lineRule="auto"/>
        <w:ind w:firstLine="482"/>
        <w:rPr>
          <w:rFonts w:hint="eastAsia"/>
          <w:sz w:val="24"/>
        </w:rPr>
      </w:pPr>
      <w:r>
        <w:rPr>
          <w:rFonts w:hint="eastAsia"/>
          <w:sz w:val="24"/>
        </w:rPr>
        <w:t>6.1.4　培训服务：</w:t>
      </w:r>
      <w:r>
        <w:rPr>
          <w:rFonts w:hint="eastAsia"/>
          <w:sz w:val="24"/>
          <w:u w:val="single"/>
        </w:rPr>
        <w:t>　　　　　　　　　　　　　　　　　　　　　　　</w:t>
      </w:r>
      <w:r>
        <w:rPr>
          <w:rFonts w:hint="eastAsia"/>
          <w:sz w:val="24"/>
        </w:rPr>
        <w:t>。（如有）</w:t>
      </w:r>
    </w:p>
    <w:p>
      <w:pPr>
        <w:snapToGrid w:val="0"/>
        <w:spacing w:line="324" w:lineRule="auto"/>
        <w:ind w:firstLine="482"/>
        <w:rPr>
          <w:rFonts w:hint="eastAsia"/>
          <w:sz w:val="24"/>
        </w:rPr>
      </w:pPr>
      <w:r>
        <w:rPr>
          <w:rFonts w:hint="eastAsia"/>
          <w:sz w:val="24"/>
        </w:rPr>
        <w:t>6.2　安装、调试或培训的所需的费用由卖方承担，但双方在招标文件或中标的投标文件中另有约定的，按其约定执行。</w:t>
      </w:r>
    </w:p>
    <w:p>
      <w:pPr>
        <w:snapToGrid w:val="0"/>
        <w:spacing w:line="324" w:lineRule="auto"/>
        <w:ind w:firstLine="482"/>
        <w:rPr>
          <w:rFonts w:hint="eastAsia"/>
          <w:sz w:val="24"/>
        </w:rPr>
      </w:pPr>
      <w:r>
        <w:rPr>
          <w:rFonts w:hint="eastAsia"/>
          <w:sz w:val="24"/>
        </w:rPr>
        <w:t>6.3　卖方应对其所提供的货物及其内在的安装质量负全部责任。</w:t>
      </w:r>
    </w:p>
    <w:p>
      <w:pPr>
        <w:snapToGrid w:val="0"/>
        <w:spacing w:line="324" w:lineRule="auto"/>
        <w:ind w:firstLine="482"/>
        <w:rPr>
          <w:rFonts w:hint="eastAsia"/>
          <w:sz w:val="24"/>
        </w:rPr>
      </w:pPr>
      <w:r>
        <w:rPr>
          <w:rFonts w:hint="eastAsia"/>
          <w:sz w:val="24"/>
        </w:rPr>
        <w:t>7　验收方法</w:t>
      </w:r>
    </w:p>
    <w:p>
      <w:pPr>
        <w:snapToGrid w:val="0"/>
        <w:spacing w:line="324" w:lineRule="auto"/>
        <w:ind w:firstLine="482"/>
        <w:rPr>
          <w:rFonts w:hint="eastAsia"/>
          <w:sz w:val="24"/>
        </w:rPr>
      </w:pPr>
      <w:r>
        <w:rPr>
          <w:rFonts w:hint="eastAsia"/>
          <w:sz w:val="24"/>
        </w:rPr>
        <w:t>7.1　验收标准按招标文件及卖方提供的货物验收标准、安全技术规范执行。</w:t>
      </w:r>
    </w:p>
    <w:p>
      <w:pPr>
        <w:snapToGrid w:val="0"/>
        <w:spacing w:line="324" w:lineRule="auto"/>
        <w:ind w:firstLine="482"/>
        <w:rPr>
          <w:rFonts w:hint="eastAsia"/>
          <w:sz w:val="24"/>
        </w:rPr>
      </w:pPr>
      <w:r>
        <w:rPr>
          <w:rFonts w:hint="eastAsia"/>
          <w:sz w:val="24"/>
        </w:rPr>
        <w:t>7.2　货物到达项目现场后</w:t>
      </w:r>
      <w:r>
        <w:rPr>
          <w:rFonts w:hint="eastAsia"/>
          <w:sz w:val="24"/>
          <w:u w:val="single"/>
        </w:rPr>
        <w:t>　　</w:t>
      </w:r>
      <w:r>
        <w:rPr>
          <w:rFonts w:hint="eastAsia"/>
          <w:sz w:val="24"/>
        </w:rPr>
        <w:t>天内，或安装、调试结束后</w:t>
      </w:r>
      <w:r>
        <w:rPr>
          <w:rFonts w:hint="eastAsia"/>
          <w:sz w:val="24"/>
          <w:u w:val="single"/>
        </w:rPr>
        <w:t>　　</w:t>
      </w:r>
      <w:r>
        <w:rPr>
          <w:rFonts w:hint="eastAsia"/>
          <w:sz w:val="24"/>
        </w:rPr>
        <w:t>天内，由买方会同卖方及相关专业部门等单位共同参与验收。</w:t>
      </w:r>
    </w:p>
    <w:p>
      <w:pPr>
        <w:snapToGrid w:val="0"/>
        <w:spacing w:line="324" w:lineRule="auto"/>
        <w:ind w:firstLine="482"/>
        <w:rPr>
          <w:rFonts w:hint="eastAsia"/>
          <w:sz w:val="24"/>
        </w:rPr>
      </w:pPr>
      <w:r>
        <w:rPr>
          <w:rFonts w:hint="eastAsia"/>
          <w:sz w:val="24"/>
        </w:rPr>
        <w:t>8　付款方式</w:t>
      </w:r>
    </w:p>
    <w:p>
      <w:pPr>
        <w:snapToGrid w:val="0"/>
        <w:spacing w:line="324" w:lineRule="auto"/>
        <w:ind w:firstLine="482"/>
        <w:rPr>
          <w:rFonts w:hint="eastAsia"/>
          <w:color w:val="000000"/>
          <w:sz w:val="24"/>
        </w:rPr>
      </w:pPr>
      <w:r>
        <w:rPr>
          <w:rFonts w:hint="eastAsia"/>
          <w:color w:val="000000"/>
          <w:sz w:val="24"/>
        </w:rPr>
        <w:t>8.1付款方式：采购人在合同生效以及具备实施条件后7个工作日内支付合同价20%，验收合格后7个工作日内向中标人支付合同价的30%，第一年服务期满后15个工作日内支付合同价的45%；第二年服务期满后15个工作日内支付合同价的5%。</w:t>
      </w:r>
    </w:p>
    <w:p>
      <w:pPr>
        <w:snapToGrid w:val="0"/>
        <w:spacing w:line="324" w:lineRule="auto"/>
        <w:ind w:firstLine="482"/>
        <w:rPr>
          <w:rFonts w:hint="eastAsia"/>
          <w:sz w:val="24"/>
        </w:rPr>
      </w:pPr>
      <w:r>
        <w:rPr>
          <w:rFonts w:hint="eastAsia"/>
          <w:sz w:val="24"/>
        </w:rPr>
        <w:t>9　履约保证金</w:t>
      </w:r>
    </w:p>
    <w:p>
      <w:pPr>
        <w:snapToGrid w:val="0"/>
        <w:spacing w:line="324" w:lineRule="auto"/>
        <w:ind w:firstLine="482"/>
        <w:rPr>
          <w:rFonts w:hint="eastAsia"/>
          <w:sz w:val="24"/>
        </w:rPr>
      </w:pPr>
      <w:r>
        <w:rPr>
          <w:rFonts w:hint="eastAsia"/>
          <w:sz w:val="24"/>
        </w:rPr>
        <w:t>9.1　在签订合同时，卖方需向买方交纳合同总价</w:t>
      </w:r>
      <w:r>
        <w:rPr>
          <w:rFonts w:hint="eastAsia"/>
          <w:sz w:val="24"/>
          <w:u w:val="single"/>
        </w:rPr>
        <w:t xml:space="preserve">　/  </w:t>
      </w:r>
      <w:r>
        <w:rPr>
          <w:rFonts w:hint="eastAsia"/>
          <w:sz w:val="24"/>
        </w:rPr>
        <w:t>%的履约保证金。</w:t>
      </w:r>
    </w:p>
    <w:p>
      <w:pPr>
        <w:snapToGrid w:val="0"/>
        <w:spacing w:line="324" w:lineRule="auto"/>
        <w:ind w:firstLine="482"/>
        <w:rPr>
          <w:rFonts w:hint="eastAsia"/>
          <w:sz w:val="24"/>
        </w:rPr>
      </w:pPr>
      <w:r>
        <w:rPr>
          <w:rFonts w:hint="eastAsia"/>
          <w:sz w:val="24"/>
        </w:rPr>
        <w:t>9.2　买方接受卖方按招标文件规定，即以</w:t>
      </w:r>
      <w:r>
        <w:rPr>
          <w:rFonts w:hint="eastAsia"/>
          <w:sz w:val="24"/>
          <w:u w:val="single"/>
        </w:rPr>
        <w:t>　　　　　　</w:t>
      </w:r>
      <w:r>
        <w:rPr>
          <w:rFonts w:hint="eastAsia"/>
          <w:sz w:val="24"/>
        </w:rPr>
        <w:t>方式提交的履约保证金。</w:t>
      </w:r>
    </w:p>
    <w:p>
      <w:pPr>
        <w:snapToGrid w:val="0"/>
        <w:spacing w:line="324" w:lineRule="auto"/>
        <w:ind w:firstLine="482"/>
        <w:rPr>
          <w:rFonts w:hint="eastAsia"/>
          <w:sz w:val="24"/>
        </w:rPr>
      </w:pPr>
      <w:r>
        <w:rPr>
          <w:rFonts w:hint="eastAsia"/>
          <w:sz w:val="24"/>
        </w:rPr>
        <w:t>9.3　买方将按招标文件规定向卖方无息退还履约保证金。</w:t>
      </w:r>
    </w:p>
    <w:p>
      <w:pPr>
        <w:snapToGrid w:val="0"/>
        <w:spacing w:line="324" w:lineRule="auto"/>
        <w:ind w:firstLine="482"/>
        <w:rPr>
          <w:rFonts w:hint="eastAsia"/>
          <w:sz w:val="24"/>
        </w:rPr>
      </w:pPr>
      <w:r>
        <w:rPr>
          <w:rFonts w:hint="eastAsia"/>
          <w:sz w:val="24"/>
        </w:rPr>
        <w:t>10　违约责任</w:t>
      </w:r>
    </w:p>
    <w:p>
      <w:pPr>
        <w:snapToGrid w:val="0"/>
        <w:spacing w:line="324" w:lineRule="auto"/>
        <w:ind w:firstLine="482"/>
        <w:rPr>
          <w:rFonts w:hint="eastAsia"/>
          <w:sz w:val="24"/>
        </w:rPr>
      </w:pPr>
      <w:r>
        <w:rPr>
          <w:rFonts w:hint="eastAsia"/>
          <w:sz w:val="24"/>
        </w:rPr>
        <w:t>10.1　买方无正当理由拒收货物的，卖方有要求买方赔偿的权利。</w:t>
      </w:r>
    </w:p>
    <w:p>
      <w:pPr>
        <w:snapToGrid w:val="0"/>
        <w:spacing w:line="324" w:lineRule="auto"/>
        <w:ind w:firstLine="482"/>
        <w:rPr>
          <w:rFonts w:hint="eastAsia"/>
          <w:sz w:val="24"/>
        </w:rPr>
      </w:pPr>
      <w:r>
        <w:rPr>
          <w:rFonts w:hint="eastAsia"/>
          <w:sz w:val="24"/>
        </w:rPr>
        <w:t>10.2　买方无正当理由拒绝支付货款或者延期支付货款的，由买方按应付货款支付每天万分之</w:t>
      </w:r>
      <w:r>
        <w:rPr>
          <w:rFonts w:hint="eastAsia"/>
          <w:sz w:val="24"/>
          <w:u w:val="single"/>
        </w:rPr>
        <w:t>　/　</w:t>
      </w:r>
      <w:r>
        <w:rPr>
          <w:rFonts w:hint="eastAsia"/>
          <w:sz w:val="24"/>
        </w:rPr>
        <w:t>的延期违约金。</w:t>
      </w:r>
    </w:p>
    <w:p>
      <w:pPr>
        <w:snapToGrid w:val="0"/>
        <w:spacing w:line="324" w:lineRule="auto"/>
        <w:ind w:firstLine="482"/>
        <w:rPr>
          <w:rFonts w:hint="eastAsia"/>
          <w:sz w:val="24"/>
        </w:rPr>
      </w:pPr>
      <w:r>
        <w:rPr>
          <w:rFonts w:hint="eastAsia"/>
          <w:sz w:val="24"/>
        </w:rPr>
        <w:t>10.3　卖方所交付货物品种、型号、规格、数量、质量不符合合同规定标准的，买方有权拒绝接收，并有要求卖方赔偿的权利。</w:t>
      </w:r>
    </w:p>
    <w:p>
      <w:pPr>
        <w:snapToGrid w:val="0"/>
        <w:spacing w:line="324" w:lineRule="auto"/>
        <w:ind w:firstLine="482"/>
        <w:rPr>
          <w:rFonts w:hint="eastAsia"/>
          <w:sz w:val="24"/>
        </w:rPr>
      </w:pPr>
      <w:r>
        <w:rPr>
          <w:rFonts w:hint="eastAsia"/>
          <w:sz w:val="24"/>
        </w:rPr>
        <w:t>10.4　卖方未能及时交货或其它非买方原因引起验收交货延迟的，由卖方按1000元/天进行扣款。</w:t>
      </w:r>
    </w:p>
    <w:p>
      <w:pPr>
        <w:snapToGrid w:val="0"/>
        <w:spacing w:line="324" w:lineRule="auto"/>
        <w:ind w:firstLine="482"/>
        <w:rPr>
          <w:rFonts w:hint="eastAsia"/>
          <w:sz w:val="24"/>
        </w:rPr>
      </w:pPr>
      <w:r>
        <w:rPr>
          <w:rFonts w:hint="eastAsia"/>
          <w:sz w:val="24"/>
        </w:rPr>
        <w:t>10.5　其他：</w:t>
      </w:r>
      <w:r>
        <w:rPr>
          <w:rFonts w:hint="eastAsia"/>
          <w:sz w:val="24"/>
          <w:u w:val="single"/>
        </w:rPr>
        <w:t>　　　  　　　（如有）　　  　　　　　　　　　　</w:t>
      </w:r>
      <w:r>
        <w:rPr>
          <w:rFonts w:hint="eastAsia"/>
          <w:sz w:val="24"/>
        </w:rPr>
        <w:t>。</w:t>
      </w:r>
    </w:p>
    <w:p>
      <w:pPr>
        <w:spacing w:line="324" w:lineRule="auto"/>
        <w:ind w:firstLine="480" w:firstLineChars="200"/>
        <w:jc w:val="left"/>
        <w:rPr>
          <w:rFonts w:hint="eastAsia"/>
          <w:sz w:val="24"/>
        </w:rPr>
      </w:pPr>
      <w:r>
        <w:rPr>
          <w:rFonts w:hint="eastAsia"/>
          <w:sz w:val="24"/>
        </w:rPr>
        <w:t>11　售后服务及要求</w:t>
      </w:r>
    </w:p>
    <w:p>
      <w:pPr>
        <w:spacing w:line="324" w:lineRule="auto"/>
        <w:ind w:firstLine="480" w:firstLineChars="200"/>
        <w:jc w:val="left"/>
        <w:rPr>
          <w:rFonts w:hint="eastAsia"/>
          <w:sz w:val="24"/>
        </w:rPr>
      </w:pPr>
      <w:r>
        <w:rPr>
          <w:rFonts w:hint="eastAsia"/>
          <w:sz w:val="24"/>
        </w:rPr>
        <w:t>11.1　售后服务期限：</w:t>
      </w:r>
      <w:r>
        <w:rPr>
          <w:rFonts w:hint="eastAsia"/>
          <w:sz w:val="24"/>
          <w:u w:val="single"/>
        </w:rPr>
        <w:t>　　　　　　　　　　　　　　　　　　　　</w:t>
      </w:r>
      <w:r>
        <w:rPr>
          <w:rFonts w:hint="eastAsia"/>
          <w:sz w:val="24"/>
        </w:rPr>
        <w:t>。</w:t>
      </w:r>
    </w:p>
    <w:p>
      <w:pPr>
        <w:spacing w:line="324" w:lineRule="auto"/>
        <w:ind w:firstLine="480" w:firstLineChars="200"/>
        <w:jc w:val="left"/>
        <w:rPr>
          <w:rFonts w:hint="eastAsia"/>
          <w:sz w:val="24"/>
        </w:rPr>
      </w:pPr>
      <w:r>
        <w:rPr>
          <w:rFonts w:hint="eastAsia"/>
          <w:sz w:val="24"/>
        </w:rPr>
        <w:t>11.2　售后服务方式及响应时间：</w:t>
      </w:r>
      <w:r>
        <w:rPr>
          <w:rFonts w:hint="eastAsia"/>
          <w:sz w:val="24"/>
          <w:u w:val="single"/>
        </w:rPr>
        <w:t>　　　　　　　　　　　　　　　　</w:t>
      </w:r>
      <w:r>
        <w:rPr>
          <w:rFonts w:hint="eastAsia"/>
          <w:sz w:val="24"/>
        </w:rPr>
        <w:t>。</w:t>
      </w:r>
    </w:p>
    <w:p>
      <w:pPr>
        <w:spacing w:line="324" w:lineRule="auto"/>
        <w:ind w:firstLine="480" w:firstLineChars="200"/>
        <w:jc w:val="left"/>
        <w:rPr>
          <w:rFonts w:hint="eastAsia"/>
          <w:sz w:val="24"/>
        </w:rPr>
      </w:pPr>
      <w:r>
        <w:rPr>
          <w:rFonts w:hint="eastAsia"/>
          <w:sz w:val="24"/>
        </w:rPr>
        <w:t>11.3　售后服务期限内收费：</w:t>
      </w:r>
      <w:r>
        <w:rPr>
          <w:rFonts w:hint="eastAsia"/>
          <w:sz w:val="24"/>
          <w:u w:val="single"/>
        </w:rPr>
        <w:t>二年服务期内移动**终端必须确保正常运行</w:t>
      </w:r>
      <w:r>
        <w:rPr>
          <w:rFonts w:hint="eastAsia"/>
          <w:sz w:val="24"/>
        </w:rPr>
        <w:t xml:space="preserve">。 </w:t>
      </w:r>
    </w:p>
    <w:p>
      <w:pPr>
        <w:spacing w:line="324" w:lineRule="auto"/>
        <w:ind w:firstLine="480" w:firstLineChars="200"/>
        <w:jc w:val="left"/>
        <w:rPr>
          <w:rFonts w:hint="eastAsia"/>
          <w:sz w:val="24"/>
        </w:rPr>
      </w:pPr>
      <w:r>
        <w:rPr>
          <w:rFonts w:hint="eastAsia"/>
          <w:sz w:val="24"/>
        </w:rPr>
        <w:t>11.4　其他：</w:t>
      </w:r>
      <w:r>
        <w:rPr>
          <w:rFonts w:hint="eastAsia"/>
          <w:sz w:val="24"/>
          <w:u w:val="single"/>
        </w:rPr>
        <w:t>　　　　　　　　　　　　　　　　　　　　　　　　　</w:t>
      </w:r>
      <w:r>
        <w:rPr>
          <w:rFonts w:hint="eastAsia"/>
          <w:sz w:val="24"/>
        </w:rPr>
        <w:t>。</w:t>
      </w:r>
    </w:p>
    <w:p>
      <w:pPr>
        <w:spacing w:line="324" w:lineRule="auto"/>
        <w:ind w:firstLine="480" w:firstLineChars="200"/>
        <w:jc w:val="left"/>
        <w:rPr>
          <w:rFonts w:hint="eastAsia"/>
        </w:rPr>
      </w:pPr>
      <w:r>
        <w:rPr>
          <w:rFonts w:hint="eastAsia"/>
          <w:sz w:val="24"/>
        </w:rPr>
        <w:t>12 本项目货物如涉及柴油动力移动源，柴油动力移动源应当符合低排放要求。</w:t>
      </w:r>
    </w:p>
    <w:p>
      <w:pPr>
        <w:spacing w:line="324" w:lineRule="auto"/>
        <w:ind w:firstLine="480" w:firstLineChars="200"/>
        <w:jc w:val="left"/>
        <w:rPr>
          <w:rFonts w:hint="eastAsia"/>
          <w:sz w:val="24"/>
        </w:rPr>
      </w:pPr>
      <w:r>
        <w:rPr>
          <w:rFonts w:hint="eastAsia"/>
          <w:sz w:val="24"/>
        </w:rPr>
        <w:t>13　本合同依法签订，即具有法律效力。双方必须全面履行，不得单方擅自变更或解除。因故需要变更或解除合同，应双方协商，依法另立协议。</w:t>
      </w:r>
    </w:p>
    <w:p>
      <w:pPr>
        <w:spacing w:line="324" w:lineRule="auto"/>
        <w:ind w:firstLine="482" w:firstLineChars="200"/>
        <w:jc w:val="left"/>
        <w:rPr>
          <w:b/>
          <w:color w:val="9BBB59"/>
          <w:sz w:val="24"/>
        </w:rPr>
      </w:pPr>
      <w:r>
        <w:rPr>
          <w:rFonts w:hint="eastAsia"/>
          <w:b/>
          <w:sz w:val="24"/>
        </w:rPr>
        <w:t>14　本合同一式</w:t>
      </w:r>
      <w:r>
        <w:rPr>
          <w:rFonts w:hint="eastAsia"/>
          <w:b/>
          <w:sz w:val="24"/>
          <w:u w:val="single"/>
        </w:rPr>
        <w:t xml:space="preserve">　　　 </w:t>
      </w:r>
      <w:r>
        <w:rPr>
          <w:rFonts w:hint="eastAsia"/>
          <w:b/>
          <w:sz w:val="24"/>
        </w:rPr>
        <w:t>份，其中正本两份，采购人和中标人各执一份，并由采购人在30日内做好政采云平台网上合同创建及备案。</w:t>
      </w:r>
    </w:p>
    <w:tbl>
      <w:tblPr>
        <w:tblStyle w:val="34"/>
        <w:tblW w:w="0" w:type="auto"/>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2340"/>
        <w:gridCol w:w="162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40" w:type="dxa"/>
            <w:noWrap w:val="0"/>
            <w:vAlign w:val="center"/>
          </w:tcPr>
          <w:p>
            <w:pPr>
              <w:snapToGrid w:val="0"/>
              <w:jc w:val="center"/>
              <w:rPr>
                <w:rFonts w:hint="eastAsia"/>
                <w:snapToGrid w:val="0"/>
                <w:sz w:val="24"/>
                <w:szCs w:val="24"/>
              </w:rPr>
            </w:pPr>
            <w:r>
              <w:rPr>
                <w:rFonts w:hint="eastAsia"/>
                <w:snapToGrid w:val="0"/>
                <w:sz w:val="24"/>
                <w:szCs w:val="24"/>
              </w:rPr>
              <w:t>甲方单位</w:t>
            </w:r>
          </w:p>
        </w:tc>
        <w:tc>
          <w:tcPr>
            <w:tcW w:w="2340" w:type="dxa"/>
            <w:noWrap w:val="0"/>
            <w:vAlign w:val="center"/>
          </w:tcPr>
          <w:p>
            <w:pPr>
              <w:snapToGrid w:val="0"/>
              <w:jc w:val="center"/>
              <w:rPr>
                <w:rFonts w:hint="eastAsia"/>
                <w:snapToGrid w:val="0"/>
                <w:sz w:val="24"/>
                <w:szCs w:val="24"/>
              </w:rPr>
            </w:pPr>
            <w:r>
              <w:rPr>
                <w:rFonts w:hint="eastAsia"/>
                <w:snapToGrid w:val="0"/>
                <w:sz w:val="24"/>
                <w:szCs w:val="24"/>
              </w:rPr>
              <w:t>（盖章）</w:t>
            </w:r>
          </w:p>
        </w:tc>
        <w:tc>
          <w:tcPr>
            <w:tcW w:w="1620" w:type="dxa"/>
            <w:noWrap w:val="0"/>
            <w:vAlign w:val="center"/>
          </w:tcPr>
          <w:p>
            <w:pPr>
              <w:snapToGrid w:val="0"/>
              <w:jc w:val="center"/>
              <w:rPr>
                <w:rFonts w:hint="eastAsia"/>
                <w:snapToGrid w:val="0"/>
                <w:sz w:val="24"/>
                <w:szCs w:val="24"/>
              </w:rPr>
            </w:pPr>
            <w:r>
              <w:rPr>
                <w:rFonts w:hint="eastAsia"/>
                <w:snapToGrid w:val="0"/>
                <w:sz w:val="24"/>
                <w:szCs w:val="24"/>
              </w:rPr>
              <w:t>乙方单位</w:t>
            </w:r>
          </w:p>
        </w:tc>
        <w:tc>
          <w:tcPr>
            <w:tcW w:w="2700" w:type="dxa"/>
            <w:noWrap w:val="0"/>
            <w:vAlign w:val="center"/>
          </w:tcPr>
          <w:p>
            <w:pPr>
              <w:snapToGrid w:val="0"/>
              <w:jc w:val="center"/>
              <w:rPr>
                <w:rFonts w:hint="eastAsia"/>
                <w:snapToGrid w:val="0"/>
                <w:sz w:val="24"/>
                <w:szCs w:val="24"/>
              </w:rPr>
            </w:pPr>
            <w:r>
              <w:rPr>
                <w:rFonts w:hint="eastAsia"/>
                <w:snapToGrid w:val="0"/>
                <w:sz w:val="24"/>
                <w:szCs w:val="24"/>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40" w:type="dxa"/>
            <w:noWrap w:val="0"/>
            <w:vAlign w:val="center"/>
          </w:tcPr>
          <w:p>
            <w:pPr>
              <w:snapToGrid w:val="0"/>
              <w:jc w:val="center"/>
              <w:rPr>
                <w:rFonts w:hint="eastAsia"/>
                <w:snapToGrid w:val="0"/>
                <w:sz w:val="24"/>
                <w:szCs w:val="24"/>
              </w:rPr>
            </w:pPr>
            <w:r>
              <w:rPr>
                <w:rFonts w:hint="eastAsia"/>
                <w:snapToGrid w:val="0"/>
                <w:sz w:val="24"/>
                <w:szCs w:val="24"/>
              </w:rPr>
              <w:t>代表签名</w:t>
            </w:r>
          </w:p>
        </w:tc>
        <w:tc>
          <w:tcPr>
            <w:tcW w:w="2340" w:type="dxa"/>
            <w:noWrap w:val="0"/>
            <w:vAlign w:val="center"/>
          </w:tcPr>
          <w:p>
            <w:pPr>
              <w:snapToGrid w:val="0"/>
              <w:jc w:val="center"/>
              <w:rPr>
                <w:rFonts w:hint="eastAsia"/>
                <w:snapToGrid w:val="0"/>
                <w:sz w:val="24"/>
                <w:szCs w:val="24"/>
              </w:rPr>
            </w:pPr>
          </w:p>
        </w:tc>
        <w:tc>
          <w:tcPr>
            <w:tcW w:w="1620" w:type="dxa"/>
            <w:noWrap w:val="0"/>
            <w:vAlign w:val="center"/>
          </w:tcPr>
          <w:p>
            <w:pPr>
              <w:snapToGrid w:val="0"/>
              <w:jc w:val="center"/>
              <w:rPr>
                <w:rFonts w:hint="eastAsia"/>
                <w:snapToGrid w:val="0"/>
                <w:sz w:val="24"/>
                <w:szCs w:val="24"/>
              </w:rPr>
            </w:pPr>
            <w:r>
              <w:rPr>
                <w:rFonts w:hint="eastAsia"/>
                <w:snapToGrid w:val="0"/>
                <w:sz w:val="24"/>
                <w:szCs w:val="24"/>
              </w:rPr>
              <w:t>代表签名</w:t>
            </w:r>
          </w:p>
        </w:tc>
        <w:tc>
          <w:tcPr>
            <w:tcW w:w="2700" w:type="dxa"/>
            <w:noWrap w:val="0"/>
            <w:vAlign w:val="center"/>
          </w:tcPr>
          <w:p>
            <w:pPr>
              <w:snapToGrid w:val="0"/>
              <w:jc w:val="center"/>
              <w:rPr>
                <w:rFonts w:hint="eastAsia"/>
                <w:snapToGrid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40" w:type="dxa"/>
            <w:noWrap w:val="0"/>
            <w:vAlign w:val="center"/>
          </w:tcPr>
          <w:p>
            <w:pPr>
              <w:snapToGrid w:val="0"/>
              <w:jc w:val="center"/>
              <w:rPr>
                <w:rFonts w:hint="eastAsia"/>
                <w:snapToGrid w:val="0"/>
                <w:sz w:val="24"/>
                <w:szCs w:val="24"/>
              </w:rPr>
            </w:pPr>
            <w:r>
              <w:rPr>
                <w:rFonts w:hint="eastAsia"/>
                <w:snapToGrid w:val="0"/>
                <w:sz w:val="24"/>
                <w:szCs w:val="24"/>
              </w:rPr>
              <w:t>地址</w:t>
            </w:r>
          </w:p>
        </w:tc>
        <w:tc>
          <w:tcPr>
            <w:tcW w:w="2340" w:type="dxa"/>
            <w:noWrap w:val="0"/>
            <w:vAlign w:val="center"/>
          </w:tcPr>
          <w:p>
            <w:pPr>
              <w:snapToGrid w:val="0"/>
              <w:jc w:val="center"/>
              <w:rPr>
                <w:rFonts w:hint="eastAsia"/>
                <w:snapToGrid w:val="0"/>
                <w:sz w:val="24"/>
                <w:szCs w:val="24"/>
              </w:rPr>
            </w:pPr>
          </w:p>
        </w:tc>
        <w:tc>
          <w:tcPr>
            <w:tcW w:w="1620" w:type="dxa"/>
            <w:noWrap w:val="0"/>
            <w:vAlign w:val="center"/>
          </w:tcPr>
          <w:p>
            <w:pPr>
              <w:snapToGrid w:val="0"/>
              <w:jc w:val="center"/>
              <w:rPr>
                <w:rFonts w:hint="eastAsia"/>
                <w:snapToGrid w:val="0"/>
                <w:sz w:val="24"/>
                <w:szCs w:val="24"/>
              </w:rPr>
            </w:pPr>
            <w:r>
              <w:rPr>
                <w:rFonts w:hint="eastAsia"/>
                <w:snapToGrid w:val="0"/>
                <w:sz w:val="24"/>
                <w:szCs w:val="24"/>
              </w:rPr>
              <w:t>地址</w:t>
            </w:r>
          </w:p>
        </w:tc>
        <w:tc>
          <w:tcPr>
            <w:tcW w:w="2700" w:type="dxa"/>
            <w:noWrap w:val="0"/>
            <w:vAlign w:val="center"/>
          </w:tcPr>
          <w:p>
            <w:pPr>
              <w:snapToGrid w:val="0"/>
              <w:jc w:val="center"/>
              <w:rPr>
                <w:rFonts w:hint="eastAsia"/>
                <w:snapToGrid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40" w:type="dxa"/>
            <w:noWrap w:val="0"/>
            <w:vAlign w:val="center"/>
          </w:tcPr>
          <w:p>
            <w:pPr>
              <w:snapToGrid w:val="0"/>
              <w:jc w:val="center"/>
              <w:rPr>
                <w:rFonts w:hint="eastAsia"/>
                <w:snapToGrid w:val="0"/>
                <w:sz w:val="24"/>
                <w:szCs w:val="24"/>
              </w:rPr>
            </w:pPr>
            <w:r>
              <w:rPr>
                <w:rFonts w:hint="eastAsia"/>
                <w:snapToGrid w:val="0"/>
                <w:sz w:val="24"/>
                <w:szCs w:val="24"/>
              </w:rPr>
              <w:t>电话</w:t>
            </w:r>
          </w:p>
        </w:tc>
        <w:tc>
          <w:tcPr>
            <w:tcW w:w="2340" w:type="dxa"/>
            <w:noWrap w:val="0"/>
            <w:vAlign w:val="center"/>
          </w:tcPr>
          <w:p>
            <w:pPr>
              <w:snapToGrid w:val="0"/>
              <w:jc w:val="center"/>
              <w:rPr>
                <w:rFonts w:hint="eastAsia"/>
                <w:snapToGrid w:val="0"/>
                <w:sz w:val="24"/>
                <w:szCs w:val="24"/>
              </w:rPr>
            </w:pPr>
          </w:p>
        </w:tc>
        <w:tc>
          <w:tcPr>
            <w:tcW w:w="1620" w:type="dxa"/>
            <w:noWrap w:val="0"/>
            <w:vAlign w:val="center"/>
          </w:tcPr>
          <w:p>
            <w:pPr>
              <w:snapToGrid w:val="0"/>
              <w:jc w:val="center"/>
              <w:rPr>
                <w:rFonts w:hint="eastAsia"/>
                <w:snapToGrid w:val="0"/>
                <w:sz w:val="24"/>
                <w:szCs w:val="24"/>
              </w:rPr>
            </w:pPr>
            <w:r>
              <w:rPr>
                <w:rFonts w:hint="eastAsia"/>
                <w:snapToGrid w:val="0"/>
                <w:sz w:val="24"/>
                <w:szCs w:val="24"/>
              </w:rPr>
              <w:t>电话</w:t>
            </w:r>
          </w:p>
        </w:tc>
        <w:tc>
          <w:tcPr>
            <w:tcW w:w="2700" w:type="dxa"/>
            <w:noWrap w:val="0"/>
            <w:vAlign w:val="center"/>
          </w:tcPr>
          <w:p>
            <w:pPr>
              <w:snapToGrid w:val="0"/>
              <w:jc w:val="center"/>
              <w:rPr>
                <w:rFonts w:hint="eastAsia"/>
                <w:snapToGrid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40" w:type="dxa"/>
            <w:noWrap w:val="0"/>
            <w:vAlign w:val="center"/>
          </w:tcPr>
          <w:p>
            <w:pPr>
              <w:snapToGrid w:val="0"/>
              <w:jc w:val="center"/>
              <w:rPr>
                <w:rFonts w:hint="eastAsia"/>
                <w:snapToGrid w:val="0"/>
                <w:sz w:val="24"/>
                <w:szCs w:val="24"/>
              </w:rPr>
            </w:pPr>
            <w:r>
              <w:rPr>
                <w:rFonts w:hint="eastAsia"/>
                <w:snapToGrid w:val="0"/>
                <w:sz w:val="24"/>
                <w:szCs w:val="24"/>
              </w:rPr>
              <w:t>开户银行</w:t>
            </w:r>
          </w:p>
        </w:tc>
        <w:tc>
          <w:tcPr>
            <w:tcW w:w="2340" w:type="dxa"/>
            <w:noWrap w:val="0"/>
            <w:vAlign w:val="center"/>
          </w:tcPr>
          <w:p>
            <w:pPr>
              <w:snapToGrid w:val="0"/>
              <w:jc w:val="center"/>
              <w:rPr>
                <w:rFonts w:hint="eastAsia"/>
                <w:snapToGrid w:val="0"/>
                <w:sz w:val="24"/>
                <w:szCs w:val="24"/>
              </w:rPr>
            </w:pPr>
          </w:p>
        </w:tc>
        <w:tc>
          <w:tcPr>
            <w:tcW w:w="1620" w:type="dxa"/>
            <w:noWrap w:val="0"/>
            <w:vAlign w:val="center"/>
          </w:tcPr>
          <w:p>
            <w:pPr>
              <w:snapToGrid w:val="0"/>
              <w:jc w:val="center"/>
              <w:rPr>
                <w:rFonts w:hint="eastAsia"/>
                <w:snapToGrid w:val="0"/>
                <w:sz w:val="24"/>
                <w:szCs w:val="24"/>
              </w:rPr>
            </w:pPr>
            <w:r>
              <w:rPr>
                <w:rFonts w:hint="eastAsia"/>
                <w:snapToGrid w:val="0"/>
                <w:sz w:val="24"/>
                <w:szCs w:val="24"/>
              </w:rPr>
              <w:t>开户银行</w:t>
            </w:r>
          </w:p>
        </w:tc>
        <w:tc>
          <w:tcPr>
            <w:tcW w:w="2700" w:type="dxa"/>
            <w:noWrap w:val="0"/>
            <w:vAlign w:val="center"/>
          </w:tcPr>
          <w:p>
            <w:pPr>
              <w:snapToGrid w:val="0"/>
              <w:jc w:val="center"/>
              <w:rPr>
                <w:rFonts w:hint="eastAsia"/>
                <w:snapToGrid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440" w:type="dxa"/>
            <w:noWrap w:val="0"/>
            <w:vAlign w:val="center"/>
          </w:tcPr>
          <w:p>
            <w:pPr>
              <w:snapToGrid w:val="0"/>
              <w:jc w:val="center"/>
              <w:rPr>
                <w:rFonts w:hint="eastAsia"/>
                <w:snapToGrid w:val="0"/>
                <w:sz w:val="24"/>
                <w:szCs w:val="24"/>
              </w:rPr>
            </w:pPr>
            <w:r>
              <w:rPr>
                <w:rFonts w:hint="eastAsia"/>
                <w:snapToGrid w:val="0"/>
                <w:sz w:val="24"/>
                <w:szCs w:val="24"/>
              </w:rPr>
              <w:t>帐号</w:t>
            </w:r>
          </w:p>
        </w:tc>
        <w:tc>
          <w:tcPr>
            <w:tcW w:w="2340" w:type="dxa"/>
            <w:noWrap w:val="0"/>
            <w:vAlign w:val="center"/>
          </w:tcPr>
          <w:p>
            <w:pPr>
              <w:snapToGrid w:val="0"/>
              <w:jc w:val="center"/>
              <w:rPr>
                <w:rFonts w:hint="eastAsia"/>
                <w:snapToGrid w:val="0"/>
                <w:sz w:val="24"/>
                <w:szCs w:val="24"/>
              </w:rPr>
            </w:pPr>
          </w:p>
        </w:tc>
        <w:tc>
          <w:tcPr>
            <w:tcW w:w="1620" w:type="dxa"/>
            <w:noWrap w:val="0"/>
            <w:vAlign w:val="center"/>
          </w:tcPr>
          <w:p>
            <w:pPr>
              <w:snapToGrid w:val="0"/>
              <w:jc w:val="center"/>
              <w:rPr>
                <w:rFonts w:hint="eastAsia"/>
                <w:snapToGrid w:val="0"/>
                <w:sz w:val="24"/>
                <w:szCs w:val="24"/>
              </w:rPr>
            </w:pPr>
            <w:r>
              <w:rPr>
                <w:rFonts w:hint="eastAsia"/>
                <w:snapToGrid w:val="0"/>
                <w:sz w:val="24"/>
                <w:szCs w:val="24"/>
              </w:rPr>
              <w:t>帐号</w:t>
            </w:r>
          </w:p>
        </w:tc>
        <w:tc>
          <w:tcPr>
            <w:tcW w:w="2700" w:type="dxa"/>
            <w:noWrap w:val="0"/>
            <w:vAlign w:val="center"/>
          </w:tcPr>
          <w:p>
            <w:pPr>
              <w:snapToGrid w:val="0"/>
              <w:jc w:val="center"/>
              <w:rPr>
                <w:rFonts w:hint="eastAsia"/>
                <w:snapToGrid w:val="0"/>
                <w:sz w:val="24"/>
                <w:szCs w:val="24"/>
              </w:rPr>
            </w:pPr>
          </w:p>
        </w:tc>
      </w:tr>
    </w:tbl>
    <w:p>
      <w:pPr>
        <w:snapToGrid w:val="0"/>
        <w:jc w:val="center"/>
        <w:rPr>
          <w:rFonts w:hint="eastAsia"/>
          <w:b/>
          <w:sz w:val="36"/>
          <w:szCs w:val="36"/>
        </w:rPr>
      </w:pPr>
      <w:r>
        <w:rPr>
          <w:rFonts w:hint="eastAsia"/>
          <w:snapToGrid w:val="0"/>
          <w:sz w:val="24"/>
          <w:szCs w:val="24"/>
        </w:rPr>
        <w:br w:type="page"/>
      </w:r>
      <w:bookmarkStart w:id="436" w:name="_Toc121294586"/>
      <w:r>
        <w:rPr>
          <w:rFonts w:hint="eastAsia"/>
          <w:b/>
          <w:sz w:val="36"/>
          <w:szCs w:val="20"/>
        </w:rPr>
        <w:t>第六部分</w:t>
      </w:r>
      <w:bookmarkEnd w:id="434"/>
      <w:r>
        <w:rPr>
          <w:rFonts w:hint="eastAsia"/>
          <w:b/>
          <w:sz w:val="36"/>
          <w:szCs w:val="20"/>
        </w:rPr>
        <w:t xml:space="preserve"> </w:t>
      </w:r>
      <w:bookmarkEnd w:id="435"/>
      <w:r>
        <w:rPr>
          <w:rFonts w:hint="eastAsia"/>
          <w:b/>
          <w:sz w:val="36"/>
          <w:szCs w:val="20"/>
        </w:rPr>
        <w:t xml:space="preserve"> 应提交的有关格式范例</w:t>
      </w:r>
      <w:bookmarkEnd w:id="436"/>
    </w:p>
    <w:p>
      <w:pPr>
        <w:pStyle w:val="17"/>
        <w:rPr>
          <w:rFonts w:hint="eastAsia"/>
        </w:rPr>
      </w:pPr>
    </w:p>
    <w:p>
      <w:pPr>
        <w:spacing w:line="360" w:lineRule="auto"/>
        <w:ind w:firstLine="480" w:firstLineChars="200"/>
        <w:rPr>
          <w:rFonts w:hint="eastAsia"/>
          <w:sz w:val="24"/>
        </w:rPr>
      </w:pPr>
      <w:r>
        <w:rPr>
          <w:rFonts w:hint="eastAsia"/>
          <w:sz w:val="24"/>
        </w:rPr>
        <w:t>投标人按照以下格式编制投标文件，并将资格文件、商务技术文件、报价文件分别上传，并与招标文件的评分要点准确设置关联点。</w:t>
      </w:r>
    </w:p>
    <w:p>
      <w:pPr>
        <w:spacing w:line="360" w:lineRule="auto"/>
        <w:ind w:firstLine="482" w:firstLineChars="200"/>
        <w:rPr>
          <w:rFonts w:hint="eastAsia"/>
          <w:b/>
          <w:sz w:val="24"/>
        </w:rPr>
      </w:pPr>
      <w:r>
        <w:rPr>
          <w:rFonts w:hint="eastAsia"/>
          <w:b/>
          <w:sz w:val="24"/>
        </w:rPr>
        <w:t>此格式内容仅为参考模板，具体内容投标人应根据招标文件要求进行调整。未按以下格式编制投标文件或因格式不规范、页码不清等原因引发的一切后果由投标人自行承担。</w:t>
      </w:r>
    </w:p>
    <w:p>
      <w:pPr>
        <w:spacing w:line="360" w:lineRule="auto"/>
        <w:jc w:val="center"/>
        <w:outlineLvl w:val="0"/>
        <w:rPr>
          <w:b/>
          <w:sz w:val="36"/>
          <w:szCs w:val="36"/>
        </w:rPr>
      </w:pPr>
      <w:r>
        <w:rPr>
          <w:rFonts w:hint="eastAsia"/>
          <w:b/>
          <w:sz w:val="24"/>
        </w:rPr>
        <w:br w:type="page"/>
      </w:r>
      <w:bookmarkStart w:id="437" w:name="_Toc121294587"/>
      <w:r>
        <w:rPr>
          <w:rFonts w:hint="eastAsia"/>
          <w:b/>
          <w:sz w:val="36"/>
          <w:szCs w:val="36"/>
        </w:rPr>
        <w:t>资格文件部分</w:t>
      </w:r>
      <w:bookmarkEnd w:id="437"/>
    </w:p>
    <w:p>
      <w:pPr>
        <w:spacing w:line="360" w:lineRule="auto"/>
        <w:jc w:val="center"/>
        <w:rPr>
          <w:rFonts w:hint="eastAsia"/>
          <w:b/>
          <w:sz w:val="36"/>
          <w:szCs w:val="36"/>
        </w:rPr>
      </w:pPr>
      <w:r>
        <w:rPr>
          <w:rFonts w:hint="eastAsia"/>
          <w:b/>
          <w:sz w:val="36"/>
          <w:szCs w:val="36"/>
        </w:rPr>
        <w:t xml:space="preserve"> </w:t>
      </w:r>
    </w:p>
    <w:p>
      <w:pPr>
        <w:spacing w:line="360" w:lineRule="auto"/>
        <w:jc w:val="center"/>
        <w:rPr>
          <w:rFonts w:hint="eastAsia"/>
          <w:b/>
          <w:sz w:val="36"/>
          <w:szCs w:val="36"/>
        </w:rPr>
      </w:pPr>
      <w:r>
        <w:rPr>
          <w:rFonts w:hint="eastAsia"/>
          <w:b/>
          <w:sz w:val="36"/>
          <w:szCs w:val="36"/>
        </w:rPr>
        <w:t>目录</w:t>
      </w:r>
    </w:p>
    <w:p>
      <w:pPr>
        <w:pStyle w:val="80"/>
        <w:numPr>
          <w:ilvl w:val="0"/>
          <w:numId w:val="42"/>
        </w:numPr>
        <w:spacing w:before="0" w:after="100" w:afterAutospacing="1"/>
        <w:ind w:firstLine="480"/>
        <w:rPr>
          <w:rFonts w:hint="eastAsia" w:ascii="宋体" w:hAnsi="宋体"/>
          <w:szCs w:val="24"/>
        </w:rPr>
      </w:pPr>
      <w:r>
        <w:rPr>
          <w:rFonts w:hint="eastAsia" w:ascii="宋体" w:hAnsi="宋体"/>
        </w:rPr>
        <w:t>法定代表人授权书（格式见附件）；如法定代表人直接参加投标并对相应文件签字的（签字是指线下签字扫描后上传或者线上进行电子签章），只需提供其身份证复印件，否则则应提供授权代表身份证复印件；</w:t>
      </w:r>
    </w:p>
    <w:p>
      <w:pPr>
        <w:pStyle w:val="80"/>
        <w:numPr>
          <w:ilvl w:val="0"/>
          <w:numId w:val="42"/>
        </w:numPr>
        <w:spacing w:before="0"/>
        <w:ind w:firstLine="480"/>
        <w:rPr>
          <w:rFonts w:hint="eastAsia" w:ascii="宋体" w:hAnsi="宋体"/>
        </w:rPr>
      </w:pPr>
      <w:r>
        <w:rPr>
          <w:rFonts w:hint="eastAsia" w:ascii="宋体" w:hAnsi="宋体"/>
        </w:rPr>
        <w:t>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事业单位的，则提供有效的《事业单位法人证书》副本复印件并加盖单位公章</w:t>
      </w:r>
    </w:p>
    <w:p>
      <w:pPr>
        <w:pStyle w:val="80"/>
        <w:snapToGrid w:val="0"/>
        <w:spacing w:before="0" w:line="500" w:lineRule="exact"/>
        <w:ind w:firstLine="480"/>
        <w:rPr>
          <w:rFonts w:hint="eastAsia" w:ascii="宋体" w:hAnsi="宋体"/>
        </w:rPr>
      </w:pPr>
      <w:r>
        <w:rPr>
          <w:rFonts w:hint="eastAsia" w:ascii="宋体" w:hAnsi="宋体"/>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80"/>
        <w:numPr>
          <w:ilvl w:val="0"/>
          <w:numId w:val="42"/>
        </w:numPr>
        <w:spacing w:before="0" w:after="100" w:afterAutospacing="1"/>
        <w:ind w:firstLine="480"/>
        <w:rPr>
          <w:rFonts w:hint="eastAsia" w:ascii="宋体" w:hAnsi="宋体"/>
        </w:rPr>
      </w:pPr>
      <w:r>
        <w:rPr>
          <w:rFonts w:hint="eastAsia" w:ascii="宋体" w:hAnsi="宋体"/>
        </w:rPr>
        <w:t>具有履行合同所必需的产品和专业技术能力的承诺函；</w:t>
      </w:r>
    </w:p>
    <w:p>
      <w:pPr>
        <w:pStyle w:val="80"/>
        <w:numPr>
          <w:ilvl w:val="0"/>
          <w:numId w:val="42"/>
        </w:numPr>
        <w:spacing w:before="0" w:after="100" w:afterAutospacing="1"/>
        <w:ind w:firstLine="480"/>
        <w:rPr>
          <w:rFonts w:hint="eastAsia" w:ascii="宋体" w:hAnsi="宋体"/>
        </w:rPr>
      </w:pPr>
      <w:r>
        <w:rPr>
          <w:rFonts w:hint="eastAsia" w:ascii="宋体" w:hAnsi="宋体"/>
        </w:rPr>
        <w:t>投标人承诺函（格式见附件）；</w:t>
      </w:r>
    </w:p>
    <w:p>
      <w:pPr>
        <w:pStyle w:val="80"/>
        <w:numPr>
          <w:ilvl w:val="0"/>
          <w:numId w:val="42"/>
        </w:numPr>
        <w:spacing w:before="0" w:after="100" w:afterAutospacing="1"/>
        <w:ind w:firstLine="480"/>
        <w:rPr>
          <w:rFonts w:ascii="宋体" w:hAnsi="宋体"/>
        </w:rPr>
      </w:pPr>
      <w:r>
        <w:rPr>
          <w:rFonts w:hint="eastAsia" w:ascii="宋体" w:hAnsi="宋体"/>
        </w:rPr>
        <w:t>中小企业声明函（格式见附件）；</w:t>
      </w:r>
    </w:p>
    <w:p>
      <w:pPr>
        <w:pStyle w:val="80"/>
        <w:numPr>
          <w:ilvl w:val="0"/>
          <w:numId w:val="42"/>
        </w:numPr>
        <w:spacing w:before="0" w:after="100" w:afterAutospacing="1"/>
        <w:ind w:firstLine="480"/>
        <w:rPr>
          <w:rFonts w:hint="eastAsia" w:ascii="宋体" w:hAnsi="宋体"/>
        </w:rPr>
      </w:pPr>
      <w:r>
        <w:rPr>
          <w:rFonts w:hint="eastAsia" w:ascii="宋体" w:hAnsi="宋体"/>
        </w:rPr>
        <w:t>提供联合体或分包协议（格式见附件）</w:t>
      </w:r>
      <w:r>
        <w:rPr>
          <w:rFonts w:hint="eastAsia" w:ascii="宋体" w:hAnsi="宋体"/>
          <w:color w:val="FF0000"/>
        </w:rPr>
        <w:t>；</w:t>
      </w:r>
    </w:p>
    <w:p>
      <w:pPr>
        <w:pStyle w:val="80"/>
        <w:numPr>
          <w:ilvl w:val="0"/>
          <w:numId w:val="42"/>
        </w:numPr>
        <w:spacing w:before="0" w:after="100" w:afterAutospacing="1"/>
        <w:ind w:firstLine="480"/>
        <w:rPr>
          <w:rFonts w:hint="eastAsia" w:ascii="宋体" w:hAnsi="宋体"/>
        </w:rPr>
      </w:pPr>
      <w:r>
        <w:rPr>
          <w:rFonts w:hint="eastAsia" w:ascii="宋体" w:hAnsi="宋体"/>
        </w:rPr>
        <w:t>残疾人福利性单位声明函(如有)（格式见附件）；</w:t>
      </w:r>
    </w:p>
    <w:p>
      <w:pPr>
        <w:pStyle w:val="80"/>
        <w:numPr>
          <w:ilvl w:val="0"/>
          <w:numId w:val="42"/>
        </w:numPr>
        <w:spacing w:before="0" w:after="100" w:afterAutospacing="1"/>
        <w:ind w:firstLine="480"/>
        <w:rPr>
          <w:rFonts w:ascii="宋体" w:hAnsi="宋体"/>
        </w:rPr>
      </w:pPr>
      <w:r>
        <w:rPr>
          <w:rFonts w:hint="eastAsia" w:ascii="宋体" w:hAnsi="宋体"/>
        </w:rPr>
        <w:t>监狱企业证明文件(如有)（格式见附件）</w:t>
      </w:r>
    </w:p>
    <w:p>
      <w:pPr>
        <w:pStyle w:val="2"/>
        <w:rPr>
          <w:rFonts w:hint="eastAsia" w:hAnsi="宋体"/>
          <w:b w:val="0"/>
          <w:bCs/>
          <w:color w:val="000000"/>
          <w:sz w:val="24"/>
          <w:szCs w:val="24"/>
        </w:rPr>
      </w:pPr>
      <w:r>
        <w:br w:type="page"/>
      </w:r>
      <w:r>
        <w:rPr>
          <w:rFonts w:hint="eastAsia" w:hAnsi="宋体"/>
          <w:color w:val="000000"/>
          <w:sz w:val="24"/>
          <w:szCs w:val="24"/>
        </w:rPr>
        <w:t>附件一：</w:t>
      </w:r>
    </w:p>
    <w:p>
      <w:pPr>
        <w:spacing w:line="360" w:lineRule="auto"/>
        <w:jc w:val="center"/>
        <w:rPr>
          <w:rFonts w:hint="eastAsia"/>
          <w:b/>
          <w:bCs/>
          <w:sz w:val="32"/>
          <w:szCs w:val="32"/>
        </w:rPr>
      </w:pPr>
      <w:r>
        <w:rPr>
          <w:rFonts w:hint="eastAsia"/>
          <w:b/>
          <w:bCs/>
          <w:sz w:val="32"/>
          <w:szCs w:val="32"/>
        </w:rPr>
        <w:t>法定代表人授权书</w:t>
      </w:r>
    </w:p>
    <w:p>
      <w:pPr>
        <w:pStyle w:val="80"/>
        <w:snapToGrid w:val="0"/>
        <w:spacing w:before="0" w:line="500" w:lineRule="exact"/>
        <w:ind w:firstLine="480"/>
        <w:rPr>
          <w:rFonts w:hint="eastAsia" w:ascii="宋体" w:hAnsi="宋体"/>
        </w:rPr>
      </w:pPr>
      <w:r>
        <w:rPr>
          <w:rFonts w:hint="eastAsia" w:ascii="宋体" w:hAnsi="宋体"/>
        </w:rPr>
        <w:t>绍兴市公安局上虞区分局 ：</w:t>
      </w:r>
    </w:p>
    <w:p>
      <w:pPr>
        <w:pStyle w:val="80"/>
        <w:snapToGrid w:val="0"/>
        <w:spacing w:before="0" w:line="500" w:lineRule="exact"/>
        <w:ind w:firstLine="480"/>
        <w:rPr>
          <w:rFonts w:hint="eastAsia" w:ascii="宋体" w:hAnsi="宋体"/>
        </w:rPr>
      </w:pPr>
      <w:r>
        <w:rPr>
          <w:rFonts w:hint="eastAsia" w:ascii="宋体" w:hAnsi="宋体"/>
        </w:rPr>
        <w:t>绍兴虞宸招标代理有限公司：</w:t>
      </w:r>
    </w:p>
    <w:p>
      <w:pPr>
        <w:pStyle w:val="80"/>
        <w:snapToGrid w:val="0"/>
        <w:spacing w:before="0" w:line="500" w:lineRule="exact"/>
        <w:ind w:firstLine="480"/>
        <w:rPr>
          <w:rFonts w:hint="eastAsia" w:ascii="宋体" w:hAnsi="宋体"/>
        </w:rPr>
      </w:pPr>
      <w:r>
        <w:rPr>
          <w:rFonts w:hint="eastAsia" w:ascii="宋体" w:hAnsi="宋体"/>
          <w:u w:val="single"/>
        </w:rPr>
        <w:t xml:space="preserve">  （投标人全称） </w:t>
      </w:r>
      <w:r>
        <w:rPr>
          <w:rFonts w:hint="eastAsia" w:ascii="宋体" w:hAnsi="宋体"/>
        </w:rPr>
        <w:t>法定代表人</w:t>
      </w:r>
      <w:r>
        <w:rPr>
          <w:rFonts w:hint="eastAsia" w:ascii="宋体" w:hAnsi="宋体"/>
          <w:u w:val="single"/>
        </w:rPr>
        <w:t xml:space="preserve">         </w:t>
      </w:r>
      <w:r>
        <w:rPr>
          <w:rFonts w:hint="eastAsia" w:ascii="宋体" w:hAnsi="宋体"/>
        </w:rPr>
        <w:t>授权</w:t>
      </w:r>
      <w:r>
        <w:rPr>
          <w:rFonts w:hint="eastAsia" w:ascii="宋体" w:hAnsi="宋体"/>
          <w:u w:val="single"/>
        </w:rPr>
        <w:t xml:space="preserve"> </w:t>
      </w:r>
      <w:r>
        <w:rPr>
          <w:rFonts w:ascii="宋体" w:hAnsi="宋体"/>
          <w:u w:val="single"/>
        </w:rPr>
        <w:t xml:space="preserve"> </w:t>
      </w:r>
      <w:r>
        <w:rPr>
          <w:rFonts w:hint="eastAsia" w:ascii="宋体" w:hAnsi="宋体"/>
          <w:u w:val="single"/>
        </w:rPr>
        <w:t>（授权代表名称）</w:t>
      </w:r>
      <w:r>
        <w:rPr>
          <w:rFonts w:hint="eastAsia" w:ascii="宋体" w:hAnsi="宋体"/>
        </w:rPr>
        <w:t xml:space="preserve">为授权代表，参加贵处组织的 </w:t>
      </w:r>
      <w:r>
        <w:rPr>
          <w:rFonts w:hint="eastAsia" w:ascii="宋体" w:hAnsi="宋体"/>
          <w:u w:val="single"/>
        </w:rPr>
        <w:t xml:space="preserve">        </w:t>
      </w:r>
      <w:r>
        <w:rPr>
          <w:rFonts w:hint="eastAsia" w:ascii="宋体" w:hAnsi="宋体"/>
        </w:rPr>
        <w:t>项目</w:t>
      </w:r>
      <w:r>
        <w:rPr>
          <w:rFonts w:hint="eastAsia" w:ascii="宋体" w:hAnsi="宋体"/>
          <w:u w:val="single"/>
        </w:rPr>
        <w:t>（括号内填写招标编号）</w:t>
      </w:r>
      <w:r>
        <w:rPr>
          <w:rFonts w:hint="eastAsia" w:ascii="宋体" w:hAnsi="宋体"/>
        </w:rPr>
        <w:t>，授权处理招投标活动中的一切事宜。</w:t>
      </w:r>
    </w:p>
    <w:p>
      <w:pPr>
        <w:pStyle w:val="80"/>
        <w:snapToGrid w:val="0"/>
        <w:spacing w:before="0" w:line="500" w:lineRule="exact"/>
        <w:ind w:firstLine="480"/>
        <w:rPr>
          <w:rFonts w:hint="eastAsia" w:ascii="宋体" w:hAnsi="宋体"/>
        </w:rPr>
      </w:pPr>
      <w:r>
        <w:rPr>
          <w:rFonts w:hint="eastAsia" w:ascii="宋体" w:hAnsi="宋体"/>
        </w:rPr>
        <w:t xml:space="preserve"> </w:t>
      </w:r>
    </w:p>
    <w:p>
      <w:pPr>
        <w:pStyle w:val="80"/>
        <w:snapToGrid w:val="0"/>
        <w:spacing w:before="0" w:line="500" w:lineRule="exact"/>
        <w:ind w:firstLine="480"/>
        <w:rPr>
          <w:rFonts w:hint="eastAsia" w:ascii="宋体" w:hAnsi="宋体"/>
        </w:rPr>
      </w:pPr>
      <w:r>
        <w:rPr>
          <w:rFonts w:hint="eastAsia" w:ascii="宋体" w:hAnsi="宋体"/>
        </w:rPr>
        <w:t>法定代表人签字：</w:t>
      </w:r>
    </w:p>
    <w:p>
      <w:pPr>
        <w:pStyle w:val="80"/>
        <w:snapToGrid w:val="0"/>
        <w:spacing w:before="0" w:line="500" w:lineRule="exact"/>
        <w:ind w:firstLine="480"/>
        <w:rPr>
          <w:rFonts w:hint="eastAsia" w:ascii="宋体" w:hAnsi="宋体"/>
        </w:rPr>
      </w:pPr>
      <w:r>
        <w:rPr>
          <w:rFonts w:hint="eastAsia" w:ascii="宋体" w:hAnsi="宋体"/>
        </w:rPr>
        <w:t>投标人全称：（盖章）</w:t>
      </w:r>
    </w:p>
    <w:p>
      <w:pPr>
        <w:pStyle w:val="80"/>
        <w:snapToGrid w:val="0"/>
        <w:spacing w:before="0" w:line="500" w:lineRule="exact"/>
        <w:ind w:firstLine="480"/>
        <w:rPr>
          <w:rFonts w:hint="eastAsia" w:ascii="宋体" w:hAnsi="宋体"/>
        </w:rPr>
      </w:pPr>
      <w:r>
        <w:rPr>
          <w:rFonts w:hint="eastAsia" w:ascii="宋体" w:hAnsi="宋体"/>
        </w:rPr>
        <w:t>日期：</w:t>
      </w:r>
    </w:p>
    <w:p>
      <w:pPr>
        <w:pStyle w:val="80"/>
        <w:snapToGrid w:val="0"/>
        <w:spacing w:before="0" w:line="500" w:lineRule="exact"/>
        <w:ind w:firstLine="480"/>
        <w:rPr>
          <w:rFonts w:hint="eastAsia" w:ascii="宋体" w:hAnsi="宋体"/>
        </w:rPr>
      </w:pPr>
      <w:r>
        <w:rPr>
          <w:rFonts w:hint="eastAsia" w:ascii="宋体" w:hAnsi="宋体"/>
        </w:rPr>
        <w:t>附：</w:t>
      </w:r>
    </w:p>
    <w:p>
      <w:pPr>
        <w:pStyle w:val="80"/>
        <w:snapToGrid w:val="0"/>
        <w:spacing w:before="0" w:line="500" w:lineRule="exact"/>
        <w:ind w:firstLine="480"/>
        <w:rPr>
          <w:rFonts w:hint="eastAsia" w:ascii="宋体" w:hAnsi="宋体"/>
        </w:rPr>
      </w:pPr>
      <w:r>
        <w:rPr>
          <w:rFonts w:hint="eastAsia" w:ascii="宋体" w:hAnsi="宋体"/>
        </w:rPr>
        <w:t>授权代表姓名：</w:t>
      </w:r>
    </w:p>
    <w:p>
      <w:pPr>
        <w:pStyle w:val="80"/>
        <w:snapToGrid w:val="0"/>
        <w:spacing w:before="0" w:line="500" w:lineRule="exact"/>
        <w:ind w:firstLine="480"/>
        <w:rPr>
          <w:rFonts w:hint="eastAsia" w:ascii="宋体" w:hAnsi="宋体"/>
        </w:rPr>
      </w:pPr>
      <w:r>
        <w:rPr>
          <w:rFonts w:hint="eastAsia" w:ascii="宋体" w:hAnsi="宋体"/>
        </w:rPr>
        <w:t>职务：</w:t>
      </w:r>
    </w:p>
    <w:p>
      <w:pPr>
        <w:pStyle w:val="80"/>
        <w:snapToGrid w:val="0"/>
        <w:spacing w:before="0" w:line="500" w:lineRule="exact"/>
        <w:ind w:firstLine="480"/>
        <w:rPr>
          <w:rFonts w:hint="eastAsia" w:ascii="宋体" w:hAnsi="宋体"/>
        </w:rPr>
      </w:pPr>
      <w:r>
        <w:rPr>
          <w:rFonts w:hint="eastAsia" w:ascii="宋体" w:hAnsi="宋体"/>
        </w:rPr>
        <w:t>详细通讯地址：</w:t>
      </w:r>
    </w:p>
    <w:p>
      <w:pPr>
        <w:pStyle w:val="80"/>
        <w:snapToGrid w:val="0"/>
        <w:spacing w:before="0" w:line="500" w:lineRule="exact"/>
        <w:ind w:firstLine="480"/>
        <w:rPr>
          <w:rFonts w:hint="eastAsia" w:ascii="宋体" w:hAnsi="宋体"/>
        </w:rPr>
      </w:pPr>
      <w:r>
        <w:rPr>
          <w:rFonts w:hint="eastAsia" w:ascii="宋体" w:hAnsi="宋体"/>
        </w:rPr>
        <w:t>传真：</w:t>
      </w:r>
    </w:p>
    <w:p>
      <w:pPr>
        <w:pStyle w:val="80"/>
        <w:snapToGrid w:val="0"/>
        <w:spacing w:before="0" w:line="500" w:lineRule="exact"/>
        <w:ind w:firstLine="480"/>
        <w:rPr>
          <w:rFonts w:hint="eastAsia" w:ascii="宋体" w:hAnsi="宋体"/>
        </w:rPr>
      </w:pPr>
      <w:r>
        <w:rPr>
          <w:rFonts w:hint="eastAsia" w:ascii="宋体" w:hAnsi="宋体"/>
        </w:rPr>
        <w:t>电话：</w:t>
      </w:r>
    </w:p>
    <w:p>
      <w:pPr>
        <w:pStyle w:val="80"/>
        <w:snapToGrid w:val="0"/>
        <w:spacing w:before="0" w:line="500" w:lineRule="exact"/>
        <w:ind w:firstLine="480"/>
        <w:rPr>
          <w:rFonts w:hint="eastAsia" w:ascii="宋体" w:hAnsi="宋体"/>
        </w:rPr>
      </w:pPr>
      <w:r>
        <w:rPr>
          <w:rFonts w:hint="eastAsia" w:ascii="宋体" w:hAnsi="宋体"/>
        </w:rPr>
        <w:t>邮政编码：</w:t>
      </w:r>
    </w:p>
    <w:p>
      <w:pPr>
        <w:pStyle w:val="80"/>
        <w:snapToGrid w:val="0"/>
        <w:spacing w:before="0" w:line="500" w:lineRule="exact"/>
        <w:ind w:firstLine="480"/>
        <w:rPr>
          <w:rFonts w:hint="eastAsia" w:ascii="宋体" w:hAnsi="宋体"/>
        </w:rPr>
      </w:pPr>
      <w:r>
        <w:rPr>
          <w:rFonts w:hint="eastAsia" w:ascii="宋体" w:hAnsi="宋体"/>
        </w:rPr>
        <w:t xml:space="preserve"> </w:t>
      </w:r>
    </w:p>
    <w:p>
      <w:pPr>
        <w:pStyle w:val="80"/>
        <w:snapToGrid w:val="0"/>
        <w:spacing w:before="0" w:line="500" w:lineRule="exact"/>
        <w:ind w:firstLine="480"/>
        <w:rPr>
          <w:rFonts w:hint="eastAsia" w:ascii="宋体" w:hAnsi="宋体"/>
        </w:rPr>
      </w:pPr>
      <w:r>
        <w:rPr>
          <w:rFonts w:hint="eastAsia" w:ascii="宋体" w:hAnsi="宋体"/>
        </w:rPr>
        <w:t xml:space="preserve"> </w:t>
      </w:r>
    </w:p>
    <w:p>
      <w:pPr>
        <w:pStyle w:val="80"/>
        <w:snapToGrid w:val="0"/>
        <w:spacing w:before="0" w:line="500" w:lineRule="exact"/>
        <w:ind w:firstLine="480"/>
        <w:rPr>
          <w:rFonts w:hint="eastAsia" w:ascii="宋体" w:hAnsi="宋体"/>
        </w:rPr>
      </w:pPr>
      <w:r>
        <w:rPr>
          <w:rFonts w:hint="eastAsia" w:ascii="宋体" w:hAnsi="宋体"/>
        </w:rPr>
        <w:t xml:space="preserve"> </w:t>
      </w:r>
    </w:p>
    <w:p>
      <w:pPr>
        <w:pStyle w:val="80"/>
        <w:snapToGrid w:val="0"/>
        <w:spacing w:before="0" w:line="500" w:lineRule="exact"/>
        <w:ind w:firstLine="482"/>
        <w:rPr>
          <w:rFonts w:hint="eastAsia" w:ascii="宋体" w:hAnsi="宋体"/>
          <w:b/>
          <w:bCs/>
        </w:rPr>
      </w:pPr>
      <w:r>
        <w:rPr>
          <w:rFonts w:hint="eastAsia" w:ascii="宋体" w:hAnsi="宋体"/>
          <w:b/>
          <w:bCs/>
        </w:rPr>
        <w:t>附：授权代表身份证复印件（正反面）</w:t>
      </w:r>
    </w:p>
    <w:p>
      <w:pPr>
        <w:spacing w:line="360" w:lineRule="auto"/>
        <w:rPr>
          <w:rFonts w:hint="eastAsia"/>
          <w:b/>
        </w:rPr>
      </w:pPr>
      <w:r>
        <w:rPr>
          <w:rFonts w:hint="eastAsia"/>
          <w:b/>
        </w:rPr>
        <w:t xml:space="preserve"> </w:t>
      </w:r>
    </w:p>
    <w:p>
      <w:pPr>
        <w:pStyle w:val="14"/>
        <w:ind w:left="400" w:leftChars="0" w:firstLine="486"/>
        <w:rPr>
          <w:rFonts w:hint="eastAsia" w:ascii="宋体" w:hAnsi="宋体"/>
        </w:rPr>
      </w:pPr>
      <w:r>
        <w:rPr>
          <w:rFonts w:hint="eastAsia" w:ascii="宋体" w:hAnsi="宋体"/>
        </w:rPr>
        <w:t xml:space="preserve"> </w:t>
      </w:r>
    </w:p>
    <w:p>
      <w:pPr>
        <w:pStyle w:val="2"/>
        <w:rPr>
          <w:rFonts w:hint="eastAsia" w:hAnsi="宋体"/>
          <w:b w:val="0"/>
          <w:bCs/>
          <w:color w:val="000000"/>
          <w:sz w:val="24"/>
          <w:szCs w:val="24"/>
        </w:rPr>
      </w:pPr>
      <w:r>
        <w:rPr>
          <w:rFonts w:hint="eastAsia" w:hAnsi="宋体"/>
          <w:b w:val="0"/>
          <w:bCs/>
          <w:sz w:val="24"/>
          <w:szCs w:val="24"/>
        </w:rPr>
        <w:br w:type="page"/>
      </w:r>
      <w:r>
        <w:rPr>
          <w:rFonts w:hint="eastAsia" w:hAnsi="宋体"/>
          <w:color w:val="000000"/>
          <w:sz w:val="24"/>
          <w:szCs w:val="24"/>
        </w:rPr>
        <w:t>附件二：</w:t>
      </w:r>
    </w:p>
    <w:p>
      <w:pPr>
        <w:spacing w:line="360" w:lineRule="auto"/>
        <w:jc w:val="center"/>
        <w:rPr>
          <w:rFonts w:hint="eastAsia"/>
          <w:b/>
          <w:bCs/>
          <w:sz w:val="32"/>
          <w:szCs w:val="32"/>
        </w:rPr>
      </w:pPr>
      <w:r>
        <w:rPr>
          <w:rFonts w:hint="eastAsia"/>
          <w:b/>
          <w:bCs/>
          <w:sz w:val="32"/>
          <w:szCs w:val="32"/>
        </w:rPr>
        <w:t>投标人承诺函</w:t>
      </w:r>
    </w:p>
    <w:p>
      <w:pPr>
        <w:pStyle w:val="80"/>
        <w:snapToGrid w:val="0"/>
        <w:spacing w:before="0" w:line="500" w:lineRule="exact"/>
        <w:ind w:firstLine="480"/>
        <w:rPr>
          <w:rFonts w:hint="eastAsia" w:ascii="宋体" w:hAnsi="宋体"/>
        </w:rPr>
      </w:pPr>
      <w:r>
        <w:rPr>
          <w:rFonts w:hint="eastAsia"/>
        </w:rPr>
        <w:t>绍</w:t>
      </w:r>
      <w:r>
        <w:rPr>
          <w:rFonts w:hint="eastAsia" w:ascii="宋体" w:hAnsi="宋体"/>
        </w:rPr>
        <w:t>兴市公安局上虞区分局 ：</w:t>
      </w:r>
    </w:p>
    <w:p>
      <w:pPr>
        <w:pStyle w:val="80"/>
        <w:snapToGrid w:val="0"/>
        <w:spacing w:before="0" w:line="500" w:lineRule="exact"/>
        <w:ind w:firstLine="480"/>
        <w:rPr>
          <w:rFonts w:hint="eastAsia"/>
          <w:color w:val="000000"/>
        </w:rPr>
      </w:pPr>
      <w:r>
        <w:rPr>
          <w:rFonts w:hint="eastAsia" w:ascii="宋体" w:hAnsi="宋体"/>
        </w:rPr>
        <w:t>绍兴虞宸招标代理有限公司：</w:t>
      </w:r>
    </w:p>
    <w:p>
      <w:pPr>
        <w:pStyle w:val="80"/>
        <w:snapToGrid w:val="0"/>
        <w:spacing w:before="0" w:line="500" w:lineRule="exact"/>
        <w:ind w:firstLine="480"/>
        <w:rPr>
          <w:rFonts w:hint="eastAsia"/>
        </w:rPr>
      </w:pPr>
      <w:r>
        <w:rPr>
          <w:rFonts w:hint="eastAsia"/>
          <w:u w:val="single"/>
        </w:rPr>
        <w:t>（投标人名称）</w:t>
      </w:r>
      <w:r>
        <w:rPr>
          <w:rFonts w:hint="eastAsia" w:ascii="宋体" w:hAnsi="宋体"/>
        </w:rPr>
        <w:t>系中华人民共和国合法企业</w:t>
      </w:r>
      <w:r>
        <w:rPr>
          <w:rFonts w:hint="eastAsia"/>
        </w:rPr>
        <w:t>，经营地址。</w:t>
      </w:r>
    </w:p>
    <w:p>
      <w:pPr>
        <w:pStyle w:val="80"/>
        <w:snapToGrid w:val="0"/>
        <w:spacing w:before="0" w:line="500" w:lineRule="exact"/>
        <w:ind w:firstLine="480"/>
        <w:rPr>
          <w:rFonts w:hint="eastAsia"/>
        </w:rPr>
      </w:pPr>
      <w:r>
        <w:rPr>
          <w:rFonts w:hint="eastAsia" w:ascii="宋体" w:hAnsi="宋体"/>
        </w:rPr>
        <w:t>我</w:t>
      </w:r>
      <w:r>
        <w:rPr>
          <w:rFonts w:hint="eastAsia"/>
          <w:u w:val="single"/>
        </w:rPr>
        <w:t>（姓名）</w:t>
      </w:r>
      <w:r>
        <w:rPr>
          <w:rFonts w:hint="eastAsia"/>
        </w:rPr>
        <w:t>系</w:t>
      </w:r>
      <w:r>
        <w:rPr>
          <w:rFonts w:hint="eastAsia"/>
          <w:u w:val="single"/>
        </w:rPr>
        <w:t>（投标人名称）</w:t>
      </w:r>
      <w:r>
        <w:rPr>
          <w:rFonts w:hint="eastAsia"/>
        </w:rPr>
        <w:t>的法定代表人，我方愿意参加贵方组织的</w:t>
      </w:r>
      <w:r>
        <w:rPr>
          <w:rFonts w:hint="eastAsia"/>
          <w:u w:val="single"/>
        </w:rPr>
        <w:t>（招标项目名称）（编号为）</w:t>
      </w:r>
      <w:r>
        <w:rPr>
          <w:rFonts w:hint="eastAsia"/>
        </w:rPr>
        <w:t>的投标，为此，我方就本次投标有关事项郑重承诺如下：</w:t>
      </w:r>
    </w:p>
    <w:p>
      <w:pPr>
        <w:pStyle w:val="80"/>
        <w:snapToGrid w:val="0"/>
        <w:spacing w:before="0" w:line="500" w:lineRule="exact"/>
        <w:ind w:firstLine="480"/>
        <w:rPr>
          <w:rFonts w:hint="eastAsia"/>
        </w:rPr>
      </w:pPr>
      <w:r>
        <w:rPr>
          <w:rFonts w:hint="eastAsia"/>
        </w:rPr>
        <w:t>1、</w:t>
      </w:r>
      <w:r>
        <w:rPr>
          <w:rFonts w:hint="eastAsia" w:ascii="宋体" w:hAnsi="宋体"/>
        </w:rPr>
        <w:t>我方已详细审查全部招标文件</w:t>
      </w:r>
      <w:r>
        <w:rPr>
          <w:rFonts w:hint="eastAsia"/>
        </w:rPr>
        <w:t>，同意招标文件的各项要求。</w:t>
      </w:r>
    </w:p>
    <w:p>
      <w:pPr>
        <w:pStyle w:val="80"/>
        <w:snapToGrid w:val="0"/>
        <w:spacing w:before="0" w:line="500" w:lineRule="exact"/>
        <w:ind w:firstLine="480"/>
        <w:rPr>
          <w:rFonts w:hint="eastAsia"/>
        </w:rPr>
      </w:pPr>
      <w:r>
        <w:rPr>
          <w:rFonts w:hint="eastAsia"/>
        </w:rPr>
        <w:t>2、</w:t>
      </w:r>
      <w:r>
        <w:rPr>
          <w:rFonts w:hint="eastAsia" w:ascii="宋体" w:hAnsi="宋体"/>
        </w:rPr>
        <w:t>我方向贵方提交的所有投标文件</w:t>
      </w:r>
      <w:r>
        <w:rPr>
          <w:rFonts w:hint="eastAsia"/>
        </w:rPr>
        <w:t>、资料都是准确的和真实的。</w:t>
      </w:r>
    </w:p>
    <w:p>
      <w:pPr>
        <w:pStyle w:val="80"/>
        <w:snapToGrid w:val="0"/>
        <w:spacing w:before="0" w:line="500" w:lineRule="exact"/>
        <w:ind w:firstLine="480"/>
        <w:rPr>
          <w:rFonts w:hint="eastAsia"/>
        </w:rPr>
      </w:pPr>
      <w:r>
        <w:rPr>
          <w:rFonts w:hint="eastAsia"/>
        </w:rPr>
        <w:t>3、若中标，</w:t>
      </w:r>
      <w:r>
        <w:rPr>
          <w:rFonts w:hint="eastAsia" w:ascii="宋体" w:hAnsi="宋体"/>
        </w:rPr>
        <w:t>我方将按招标文件规定履行合同责任和义务</w:t>
      </w:r>
      <w:r>
        <w:rPr>
          <w:rFonts w:hint="eastAsia"/>
        </w:rPr>
        <w:t>。</w:t>
      </w:r>
    </w:p>
    <w:p>
      <w:pPr>
        <w:pStyle w:val="80"/>
        <w:snapToGrid w:val="0"/>
        <w:spacing w:before="0" w:line="500" w:lineRule="exact"/>
        <w:ind w:firstLine="480"/>
        <w:rPr>
          <w:rFonts w:hint="eastAsia"/>
        </w:rPr>
      </w:pPr>
      <w:r>
        <w:rPr>
          <w:rFonts w:hint="eastAsia"/>
        </w:rPr>
        <w:t>4、</w:t>
      </w:r>
      <w:r>
        <w:rPr>
          <w:rFonts w:hint="eastAsia" w:ascii="宋体" w:hAnsi="宋体"/>
        </w:rPr>
        <w:t>我方不是采购人的附属机构</w:t>
      </w:r>
      <w:r>
        <w:rPr>
          <w:rFonts w:hint="eastAsia"/>
        </w:rPr>
        <w:t>；在获知本项目采购信息后，与采购人聘请的为此项目提供咨询服务的公司及其附属机构没有任何联系。</w:t>
      </w:r>
    </w:p>
    <w:p>
      <w:pPr>
        <w:pStyle w:val="80"/>
        <w:snapToGrid w:val="0"/>
        <w:spacing w:before="0" w:line="500" w:lineRule="exact"/>
        <w:ind w:firstLine="480"/>
        <w:rPr>
          <w:rFonts w:hint="eastAsia"/>
        </w:rPr>
      </w:pPr>
      <w:r>
        <w:rPr>
          <w:rFonts w:hint="eastAsia"/>
        </w:rPr>
        <w:t>5、</w:t>
      </w:r>
      <w:r>
        <w:rPr>
          <w:rFonts w:hint="eastAsia" w:ascii="宋体" w:hAnsi="宋体"/>
        </w:rPr>
        <w:t>投标文件自开标日起有效期为</w:t>
      </w:r>
      <w:r>
        <w:rPr>
          <w:rFonts w:hint="eastAsia"/>
        </w:rPr>
        <w:t>90天。</w:t>
      </w:r>
    </w:p>
    <w:p>
      <w:pPr>
        <w:pStyle w:val="80"/>
        <w:snapToGrid w:val="0"/>
        <w:spacing w:before="0" w:line="500" w:lineRule="exact"/>
        <w:ind w:firstLine="480"/>
        <w:rPr>
          <w:rFonts w:hint="eastAsia"/>
        </w:rPr>
      </w:pPr>
      <w:r>
        <w:rPr>
          <w:rFonts w:hint="eastAsia"/>
        </w:rPr>
        <w:t>6、我方参与本项目前3年内的经营活动中没有重大违法记录；</w:t>
      </w:r>
    </w:p>
    <w:p>
      <w:pPr>
        <w:pStyle w:val="80"/>
        <w:snapToGrid w:val="0"/>
        <w:spacing w:before="0" w:line="500" w:lineRule="exact"/>
        <w:ind w:firstLine="480"/>
        <w:rPr>
          <w:rFonts w:hint="eastAsia"/>
        </w:rPr>
      </w:pPr>
      <w:r>
        <w:rPr>
          <w:rFonts w:hint="eastAsia"/>
        </w:rPr>
        <w:t>7、我方通过“</w:t>
      </w:r>
      <w:r>
        <w:rPr>
          <w:rFonts w:hint="eastAsia" w:ascii="宋体" w:hAnsi="宋体"/>
        </w:rPr>
        <w:t>信用中国</w:t>
      </w:r>
      <w:r>
        <w:rPr>
          <w:rFonts w:hint="eastAsia"/>
        </w:rPr>
        <w:t>”网站（www.creditchina.gov.cn）、中国政府采购网（www.ccgp.gov.cn）查询，未被列入失信被执行人、重大税收违法案件当事人名单、政府采购严重违法失信行为记录名单。</w:t>
      </w:r>
    </w:p>
    <w:p>
      <w:pPr>
        <w:pStyle w:val="80"/>
        <w:snapToGrid w:val="0"/>
        <w:spacing w:before="0" w:line="500" w:lineRule="exact"/>
        <w:ind w:firstLine="480"/>
        <w:rPr>
          <w:rFonts w:hint="eastAsia"/>
        </w:rPr>
      </w:pPr>
      <w:r>
        <w:rPr>
          <w:rFonts w:hint="eastAsia"/>
        </w:rPr>
        <w:t>8、</w:t>
      </w:r>
      <w:r>
        <w:rPr>
          <w:rFonts w:hint="eastAsia" w:ascii="宋体" w:hAnsi="宋体"/>
        </w:rPr>
        <w:t>具有良好的商业信誉和健全的财务会计制度</w:t>
      </w:r>
      <w:r>
        <w:rPr>
          <w:rFonts w:hint="eastAsia"/>
        </w:rPr>
        <w:t>；</w:t>
      </w:r>
    </w:p>
    <w:p>
      <w:pPr>
        <w:pStyle w:val="80"/>
        <w:snapToGrid w:val="0"/>
        <w:spacing w:before="0" w:line="500" w:lineRule="exact"/>
        <w:ind w:firstLine="480"/>
        <w:rPr>
          <w:rFonts w:hint="eastAsia"/>
        </w:rPr>
      </w:pPr>
      <w:r>
        <w:rPr>
          <w:rFonts w:hint="eastAsia"/>
        </w:rPr>
        <w:t>9、</w:t>
      </w:r>
      <w:r>
        <w:rPr>
          <w:rFonts w:hint="eastAsia" w:ascii="宋体" w:hAnsi="宋体"/>
        </w:rPr>
        <w:t>具有依法缴纳税收和社会保障资金的良好记录</w:t>
      </w:r>
      <w:r>
        <w:rPr>
          <w:rFonts w:hint="eastAsia"/>
        </w:rPr>
        <w:t>；</w:t>
      </w:r>
    </w:p>
    <w:p>
      <w:pPr>
        <w:pStyle w:val="80"/>
        <w:snapToGrid w:val="0"/>
        <w:spacing w:before="0" w:line="500" w:lineRule="exact"/>
        <w:ind w:firstLine="480"/>
        <w:rPr>
          <w:rFonts w:hint="eastAsia"/>
        </w:rPr>
      </w:pPr>
      <w:r>
        <w:rPr>
          <w:rFonts w:hint="eastAsia"/>
        </w:rPr>
        <w:t>10、</w:t>
      </w:r>
      <w:r>
        <w:rPr>
          <w:rFonts w:hint="eastAsia" w:ascii="宋体" w:hAnsi="宋体"/>
        </w:rPr>
        <w:t>以上事项如有虚假或隐瞒</w:t>
      </w:r>
      <w:r>
        <w:rPr>
          <w:rFonts w:hint="eastAsia"/>
        </w:rPr>
        <w:t>，我方愿意承担一切后果，并不再寻求任何旨在减轻或免除法律责任的辩解。</w:t>
      </w:r>
    </w:p>
    <w:p>
      <w:pPr>
        <w:spacing w:line="360" w:lineRule="auto"/>
        <w:ind w:firstLine="400" w:firstLineChars="200"/>
        <w:rPr>
          <w:rFonts w:hint="eastAsia"/>
        </w:rPr>
      </w:pPr>
      <w:r>
        <w:rPr>
          <w:rFonts w:hint="eastAsia"/>
        </w:rPr>
        <w:t xml:space="preserve"> </w:t>
      </w:r>
    </w:p>
    <w:p>
      <w:pPr>
        <w:pStyle w:val="14"/>
        <w:ind w:left="0" w:leftChars="0"/>
        <w:rPr>
          <w:rFonts w:hint="eastAsia" w:ascii="宋体" w:hAnsi="宋体"/>
        </w:rPr>
      </w:pPr>
    </w:p>
    <w:p>
      <w:pPr>
        <w:pStyle w:val="80"/>
        <w:snapToGrid w:val="0"/>
        <w:spacing w:before="0" w:line="500" w:lineRule="exact"/>
        <w:ind w:firstLine="3600" w:firstLineChars="1500"/>
        <w:rPr>
          <w:rFonts w:hint="eastAsia" w:ascii="宋体" w:hAnsi="宋体"/>
        </w:rPr>
      </w:pPr>
      <w:r>
        <w:rPr>
          <w:rFonts w:hint="eastAsia"/>
        </w:rPr>
        <w:t xml:space="preserve">法定代表人签名（或签名章）： </w:t>
      </w:r>
    </w:p>
    <w:p>
      <w:pPr>
        <w:pStyle w:val="80"/>
        <w:snapToGrid w:val="0"/>
        <w:spacing w:before="0" w:line="500" w:lineRule="exact"/>
        <w:ind w:firstLine="3600" w:firstLineChars="1500"/>
        <w:rPr>
          <w:rFonts w:hint="eastAsia"/>
        </w:rPr>
      </w:pPr>
      <w:r>
        <w:rPr>
          <w:rFonts w:hint="eastAsia"/>
        </w:rPr>
        <w:t>日 期：</w:t>
      </w:r>
    </w:p>
    <w:p>
      <w:pPr>
        <w:pStyle w:val="80"/>
        <w:snapToGrid w:val="0"/>
        <w:spacing w:before="0" w:line="500" w:lineRule="exact"/>
        <w:ind w:firstLine="3600" w:firstLineChars="1500"/>
      </w:pPr>
      <w:r>
        <w:rPr>
          <w:rFonts w:hint="eastAsia"/>
        </w:rPr>
        <w:t>投标人全称（公章）：</w:t>
      </w:r>
    </w:p>
    <w:p>
      <w:pPr>
        <w:pStyle w:val="14"/>
        <w:ind w:left="0" w:leftChars="0"/>
        <w:rPr>
          <w:rFonts w:ascii="宋体" w:hAnsi="宋体"/>
          <w:sz w:val="28"/>
          <w:szCs w:val="28"/>
        </w:rPr>
      </w:pPr>
      <w:r>
        <w:br w:type="page"/>
      </w:r>
      <w:r>
        <w:rPr>
          <w:rFonts w:hint="eastAsia" w:ascii="宋体" w:hAnsi="宋体"/>
          <w:b/>
          <w:color w:val="000000"/>
          <w:sz w:val="24"/>
        </w:rPr>
        <w:t>附件三</w:t>
      </w:r>
      <w:r>
        <w:rPr>
          <w:rFonts w:hint="eastAsia" w:ascii="宋体" w:hAnsi="宋体"/>
          <w:color w:val="000000"/>
          <w:sz w:val="24"/>
        </w:rPr>
        <w:t>：</w:t>
      </w:r>
    </w:p>
    <w:p>
      <w:pPr>
        <w:jc w:val="center"/>
        <w:rPr>
          <w:rFonts w:hint="eastAsia" w:ascii="Times New Roman" w:hAnsi="Times New Roman"/>
          <w:b/>
          <w:sz w:val="32"/>
          <w:szCs w:val="32"/>
        </w:rPr>
      </w:pPr>
      <w:r>
        <w:rPr>
          <w:b/>
          <w:sz w:val="32"/>
          <w:szCs w:val="32"/>
        </w:rPr>
        <w:t>联合协议</w:t>
      </w:r>
    </w:p>
    <w:p>
      <w:pPr>
        <w:spacing w:line="360" w:lineRule="auto"/>
        <w:ind w:firstLine="400" w:firstLineChars="200"/>
        <w:jc w:val="left"/>
        <w:rPr>
          <w:bCs/>
          <w:sz w:val="21"/>
        </w:rPr>
      </w:pPr>
      <w:r>
        <w:rPr>
          <w:bCs/>
        </w:rPr>
        <w:t xml:space="preserve"> </w:t>
      </w:r>
    </w:p>
    <w:p>
      <w:pPr>
        <w:snapToGrid w:val="0"/>
        <w:spacing w:line="360" w:lineRule="auto"/>
        <w:ind w:firstLine="576"/>
        <w:rPr>
          <w:sz w:val="24"/>
          <w:szCs w:val="24"/>
        </w:rPr>
      </w:pPr>
      <w:r>
        <w:rPr>
          <w:sz w:val="24"/>
          <w:szCs w:val="24"/>
          <w:u w:val="single"/>
        </w:rPr>
        <w:t>（联合体所有成员名称）</w:t>
      </w:r>
      <w:r>
        <w:rPr>
          <w:sz w:val="24"/>
          <w:szCs w:val="24"/>
        </w:rPr>
        <w:t>自愿组成一个联合体，以一个投标人的身份参加</w:t>
      </w:r>
      <w:r>
        <w:rPr>
          <w:sz w:val="24"/>
          <w:szCs w:val="24"/>
          <w:u w:val="single"/>
        </w:rPr>
        <w:t>（项目名称）（采购编号：       ）</w:t>
      </w:r>
      <w:r>
        <w:rPr>
          <w:sz w:val="24"/>
          <w:szCs w:val="24"/>
        </w:rPr>
        <w:t xml:space="preserve">投标。 </w:t>
      </w:r>
    </w:p>
    <w:p>
      <w:pPr>
        <w:snapToGrid w:val="0"/>
        <w:spacing w:line="360" w:lineRule="auto"/>
        <w:ind w:firstLine="576"/>
        <w:rPr>
          <w:sz w:val="24"/>
          <w:szCs w:val="24"/>
        </w:rPr>
      </w:pPr>
      <w:r>
        <w:rPr>
          <w:sz w:val="24"/>
          <w:szCs w:val="24"/>
        </w:rPr>
        <w:t>一、各方一致决定，</w:t>
      </w:r>
      <w:r>
        <w:rPr>
          <w:sz w:val="24"/>
          <w:szCs w:val="24"/>
          <w:u w:val="single"/>
        </w:rPr>
        <w:t>（某联合体成员名称）</w:t>
      </w:r>
      <w:r>
        <w:rPr>
          <w:sz w:val="24"/>
          <w:szCs w:val="24"/>
        </w:rPr>
        <w:t>为联合体牵头人，代表所有联合体成员负责投标和合同实施阶段的主办、协调工作。</w:t>
      </w:r>
    </w:p>
    <w:p>
      <w:pPr>
        <w:snapToGrid w:val="0"/>
        <w:spacing w:line="360" w:lineRule="auto"/>
        <w:ind w:firstLine="576"/>
        <w:rPr>
          <w:sz w:val="24"/>
          <w:szCs w:val="24"/>
        </w:rPr>
      </w:pPr>
      <w:r>
        <w:rPr>
          <w:sz w:val="24"/>
          <w:szCs w:val="24"/>
        </w:rPr>
        <w:t>二、所有联合体成员各方签署授权书，授权书载明的授权代表根据招标文件规定及投标内容而对采购人、采购代理机构所作的任何合法承诺，包括书面澄清及相应等均对联合投标各方产生约束力。</w:t>
      </w:r>
    </w:p>
    <w:p>
      <w:pPr>
        <w:snapToGrid w:val="0"/>
        <w:spacing w:line="360" w:lineRule="auto"/>
        <w:ind w:firstLine="576"/>
        <w:rPr>
          <w:sz w:val="24"/>
          <w:szCs w:val="24"/>
        </w:rPr>
      </w:pPr>
      <w:r>
        <w:rPr>
          <w:sz w:val="24"/>
          <w:szCs w:val="24"/>
        </w:rPr>
        <w:t>三、本次联合投标中，分工如下：</w:t>
      </w:r>
      <w:r>
        <w:rPr>
          <w:sz w:val="24"/>
          <w:szCs w:val="24"/>
          <w:u w:val="single"/>
        </w:rPr>
        <w:t>（联合体其中一方成员名称）</w:t>
      </w:r>
      <w:r>
        <w:rPr>
          <w:sz w:val="24"/>
          <w:szCs w:val="24"/>
        </w:rPr>
        <w:t>承担的工作和义务为：</w:t>
      </w:r>
      <w:r>
        <w:rPr>
          <w:sz w:val="24"/>
          <w:szCs w:val="24"/>
          <w:u w:val="single"/>
        </w:rPr>
        <w:t xml:space="preserve">             </w:t>
      </w:r>
      <w:r>
        <w:rPr>
          <w:sz w:val="24"/>
          <w:szCs w:val="24"/>
        </w:rPr>
        <w:t>；</w:t>
      </w:r>
      <w:r>
        <w:rPr>
          <w:sz w:val="24"/>
          <w:szCs w:val="24"/>
          <w:u w:val="single"/>
        </w:rPr>
        <w:t>（联合体其中一方成员名称）</w:t>
      </w:r>
      <w:r>
        <w:rPr>
          <w:sz w:val="24"/>
          <w:szCs w:val="24"/>
        </w:rPr>
        <w:t>承担的工作和义务为：</w:t>
      </w:r>
      <w:r>
        <w:rPr>
          <w:sz w:val="24"/>
          <w:szCs w:val="24"/>
          <w:u w:val="single"/>
        </w:rPr>
        <w:t xml:space="preserve">            </w:t>
      </w:r>
      <w:r>
        <w:rPr>
          <w:sz w:val="24"/>
          <w:szCs w:val="24"/>
        </w:rPr>
        <w:t xml:space="preserve"> ；……。</w:t>
      </w:r>
    </w:p>
    <w:p>
      <w:pPr>
        <w:snapToGrid w:val="0"/>
        <w:spacing w:line="360" w:lineRule="auto"/>
        <w:ind w:firstLine="576"/>
        <w:rPr>
          <w:sz w:val="24"/>
          <w:szCs w:val="24"/>
        </w:rPr>
      </w:pPr>
      <w:r>
        <w:rPr>
          <w:sz w:val="24"/>
          <w:szCs w:val="24"/>
        </w:rPr>
        <w:t>四、中小企业合同金额达到</w:t>
      </w:r>
      <w:r>
        <w:rPr>
          <w:sz w:val="24"/>
          <w:szCs w:val="24"/>
          <w:u w:val="single"/>
        </w:rPr>
        <w:t xml:space="preserve"> </w:t>
      </w:r>
      <w:r>
        <w:rPr>
          <w:rFonts w:hint="eastAsia"/>
          <w:sz w:val="24"/>
          <w:szCs w:val="24"/>
          <w:u w:val="single"/>
        </w:rPr>
        <w:t xml:space="preserve">   </w:t>
      </w:r>
      <w:r>
        <w:rPr>
          <w:sz w:val="24"/>
          <w:szCs w:val="24"/>
          <w:u w:val="single"/>
        </w:rPr>
        <w:t xml:space="preserve"> </w:t>
      </w:r>
      <w:r>
        <w:rPr>
          <w:sz w:val="24"/>
          <w:szCs w:val="24"/>
        </w:rPr>
        <w:t>%，小微企业合同金额达到</w:t>
      </w:r>
      <w:r>
        <w:rPr>
          <w:sz w:val="24"/>
          <w:szCs w:val="24"/>
          <w:u w:val="single"/>
        </w:rPr>
        <w:t xml:space="preserve"> </w:t>
      </w:r>
      <w:r>
        <w:rPr>
          <w:rFonts w:hint="eastAsia"/>
          <w:sz w:val="24"/>
          <w:szCs w:val="24"/>
          <w:u w:val="single"/>
        </w:rPr>
        <w:t xml:space="preserve">   </w:t>
      </w:r>
      <w:r>
        <w:rPr>
          <w:sz w:val="24"/>
          <w:szCs w:val="24"/>
          <w:u w:val="single"/>
        </w:rPr>
        <w:t xml:space="preserve"> </w:t>
      </w:r>
      <w:r>
        <w:rPr>
          <w:sz w:val="24"/>
          <w:szCs w:val="24"/>
        </w:rPr>
        <w:t>%。</w:t>
      </w:r>
    </w:p>
    <w:p>
      <w:pPr>
        <w:snapToGrid w:val="0"/>
        <w:spacing w:line="360" w:lineRule="auto"/>
        <w:ind w:firstLine="576"/>
        <w:rPr>
          <w:sz w:val="24"/>
          <w:szCs w:val="24"/>
        </w:rPr>
      </w:pPr>
      <w:r>
        <w:rPr>
          <w:sz w:val="24"/>
          <w:szCs w:val="24"/>
        </w:rPr>
        <w:t>五、如果中标，联合体各成员方共同与采购人签订合同，并就采购合同约定的事项对采购人承担连带责任。</w:t>
      </w:r>
    </w:p>
    <w:p>
      <w:pPr>
        <w:snapToGrid w:val="0"/>
        <w:spacing w:line="360" w:lineRule="auto"/>
        <w:ind w:firstLine="576"/>
        <w:rPr>
          <w:sz w:val="24"/>
          <w:szCs w:val="24"/>
        </w:rPr>
      </w:pPr>
      <w:r>
        <w:rPr>
          <w:sz w:val="24"/>
          <w:szCs w:val="24"/>
        </w:rPr>
        <w:t>六、有关本次联合投标的其他事宜：</w:t>
      </w:r>
    </w:p>
    <w:p>
      <w:pPr>
        <w:snapToGrid w:val="0"/>
        <w:spacing w:line="360" w:lineRule="auto"/>
        <w:ind w:firstLine="576"/>
        <w:rPr>
          <w:sz w:val="24"/>
          <w:szCs w:val="24"/>
        </w:rPr>
      </w:pPr>
      <w:r>
        <w:rPr>
          <w:sz w:val="24"/>
          <w:szCs w:val="24"/>
        </w:rPr>
        <w:t>1、联合体各方不再单独参加或者与其他供应商另外组成联合体参加同一合同项下的政府采购活动。</w:t>
      </w:r>
    </w:p>
    <w:p>
      <w:pPr>
        <w:snapToGrid w:val="0"/>
        <w:spacing w:line="360" w:lineRule="auto"/>
        <w:ind w:firstLine="576"/>
        <w:rPr>
          <w:sz w:val="24"/>
          <w:szCs w:val="24"/>
        </w:rPr>
      </w:pPr>
      <w:r>
        <w:rPr>
          <w:sz w:val="24"/>
          <w:szCs w:val="24"/>
        </w:rPr>
        <w:t>2、联合体中有同类资质的各方按照联合体分工承担相同工作的，按照资质等级较低的供应商确定资质等级。</w:t>
      </w:r>
    </w:p>
    <w:p>
      <w:pPr>
        <w:snapToGrid w:val="0"/>
        <w:spacing w:line="360" w:lineRule="auto"/>
        <w:ind w:firstLine="576"/>
        <w:rPr>
          <w:sz w:val="24"/>
          <w:szCs w:val="24"/>
        </w:rPr>
      </w:pPr>
      <w:r>
        <w:rPr>
          <w:sz w:val="24"/>
          <w:szCs w:val="24"/>
        </w:rPr>
        <w:t>3、本协议提交采购人、采购代理机构后，联合体各方不得以任何形式对上述内容进行修改或撤销。</w:t>
      </w:r>
    </w:p>
    <w:p>
      <w:pPr>
        <w:snapToGrid w:val="0"/>
        <w:spacing w:line="360" w:lineRule="auto"/>
        <w:ind w:firstLine="5040" w:firstLineChars="2100"/>
        <w:rPr>
          <w:sz w:val="24"/>
          <w:szCs w:val="24"/>
        </w:rPr>
      </w:pPr>
      <w:r>
        <w:rPr>
          <w:sz w:val="24"/>
          <w:szCs w:val="24"/>
        </w:rPr>
        <w:t>联合体成员名称（盖单位公章）：</w:t>
      </w:r>
    </w:p>
    <w:p>
      <w:pPr>
        <w:snapToGrid w:val="0"/>
        <w:spacing w:line="360" w:lineRule="auto"/>
        <w:ind w:firstLine="5040" w:firstLineChars="2100"/>
        <w:rPr>
          <w:sz w:val="24"/>
          <w:szCs w:val="24"/>
        </w:rPr>
      </w:pPr>
      <w:r>
        <w:rPr>
          <w:sz w:val="24"/>
          <w:szCs w:val="24"/>
        </w:rPr>
        <w:t>联合体成员名称（盖单位公章）：</w:t>
      </w:r>
    </w:p>
    <w:p>
      <w:pPr>
        <w:snapToGrid w:val="0"/>
        <w:spacing w:line="360" w:lineRule="auto"/>
        <w:rPr>
          <w:sz w:val="24"/>
          <w:szCs w:val="24"/>
        </w:rPr>
      </w:pPr>
      <w:r>
        <w:rPr>
          <w:sz w:val="24"/>
          <w:szCs w:val="24"/>
        </w:rPr>
        <w:t xml:space="preserve"> </w:t>
      </w:r>
    </w:p>
    <w:p>
      <w:pPr>
        <w:spacing w:after="120"/>
        <w:ind w:left="400" w:leftChars="200" w:firstLine="566"/>
        <w:rPr>
          <w:kern w:val="2"/>
          <w:sz w:val="24"/>
          <w:szCs w:val="24"/>
        </w:rPr>
      </w:pPr>
      <w:r>
        <w:rPr>
          <w:sz w:val="24"/>
          <w:szCs w:val="24"/>
        </w:rPr>
        <w:t xml:space="preserve">                                       日期：</w:t>
      </w:r>
      <w:r>
        <w:rPr>
          <w:rFonts w:hint="eastAsia"/>
          <w:sz w:val="24"/>
          <w:szCs w:val="24"/>
        </w:rPr>
        <w:t xml:space="preserve">  </w:t>
      </w:r>
      <w:r>
        <w:rPr>
          <w:sz w:val="24"/>
          <w:szCs w:val="24"/>
        </w:rPr>
        <w:t xml:space="preserve">  年  </w:t>
      </w:r>
      <w:r>
        <w:rPr>
          <w:rFonts w:hint="eastAsia"/>
          <w:sz w:val="24"/>
          <w:szCs w:val="24"/>
        </w:rPr>
        <w:t xml:space="preserve"> </w:t>
      </w:r>
      <w:r>
        <w:rPr>
          <w:sz w:val="24"/>
          <w:szCs w:val="24"/>
        </w:rPr>
        <w:t>月   日</w:t>
      </w:r>
    </w:p>
    <w:p>
      <w:pPr>
        <w:pStyle w:val="14"/>
        <w:ind w:left="400" w:firstLine="566"/>
        <w:rPr>
          <w:rFonts w:hint="eastAsia" w:ascii="宋体" w:hAnsi="宋体"/>
          <w:sz w:val="28"/>
          <w:szCs w:val="28"/>
        </w:rPr>
      </w:pPr>
      <w:r>
        <w:rPr>
          <w:rFonts w:hint="eastAsia" w:ascii="宋体" w:hAnsi="宋体"/>
          <w:sz w:val="28"/>
          <w:szCs w:val="28"/>
        </w:rPr>
        <w:t xml:space="preserve"> </w:t>
      </w:r>
    </w:p>
    <w:p>
      <w:pPr>
        <w:pStyle w:val="14"/>
        <w:ind w:left="0" w:leftChars="0"/>
        <w:rPr>
          <w:rFonts w:hint="eastAsia" w:ascii="宋体" w:hAnsi="宋体"/>
          <w:sz w:val="28"/>
          <w:szCs w:val="28"/>
        </w:rPr>
      </w:pPr>
      <w:r>
        <w:rPr>
          <w:rFonts w:ascii="宋体" w:hAnsi="宋体"/>
          <w:sz w:val="28"/>
          <w:szCs w:val="28"/>
          <w:lang w:eastAsia="zh-CN"/>
        </w:rPr>
        <w:br w:type="page"/>
      </w:r>
      <w:r>
        <w:rPr>
          <w:rFonts w:hint="eastAsia" w:ascii="宋体" w:hAnsi="宋体"/>
          <w:b/>
          <w:color w:val="000000"/>
          <w:sz w:val="24"/>
        </w:rPr>
        <w:t>附件四：</w:t>
      </w:r>
    </w:p>
    <w:p>
      <w:pPr>
        <w:spacing w:line="360" w:lineRule="auto"/>
        <w:jc w:val="center"/>
        <w:rPr>
          <w:rFonts w:hint="eastAsia" w:ascii="Times New Roman" w:hAnsi="Times New Roman"/>
          <w:b/>
          <w:sz w:val="32"/>
          <w:szCs w:val="32"/>
        </w:rPr>
      </w:pPr>
      <w:r>
        <w:rPr>
          <w:b/>
          <w:sz w:val="32"/>
          <w:szCs w:val="32"/>
        </w:rPr>
        <w:t>分包意向协议</w:t>
      </w:r>
    </w:p>
    <w:p>
      <w:pPr>
        <w:widowControl/>
        <w:spacing w:line="360" w:lineRule="auto"/>
        <w:ind w:firstLine="400" w:firstLineChars="200"/>
        <w:jc w:val="left"/>
        <w:rPr>
          <w:sz w:val="21"/>
        </w:rPr>
      </w:pPr>
      <w:r>
        <w:t xml:space="preserve"> </w:t>
      </w:r>
    </w:p>
    <w:p>
      <w:pPr>
        <w:spacing w:line="360" w:lineRule="auto"/>
        <w:ind w:firstLine="480" w:firstLineChars="200"/>
        <w:rPr>
          <w:sz w:val="24"/>
          <w:szCs w:val="24"/>
        </w:rPr>
      </w:pPr>
      <w:r>
        <w:rPr>
          <w:rFonts w:hint="eastAsia"/>
          <w:sz w:val="24"/>
          <w:szCs w:val="24"/>
        </w:rPr>
        <w:t>若我公司</w:t>
      </w:r>
      <w:r>
        <w:rPr>
          <w:rFonts w:hint="eastAsia"/>
          <w:sz w:val="24"/>
          <w:szCs w:val="24"/>
          <w:u w:val="single"/>
        </w:rPr>
        <w:t xml:space="preserve">         </w:t>
      </w:r>
      <w:r>
        <w:rPr>
          <w:rFonts w:hint="eastAsia"/>
          <w:sz w:val="24"/>
          <w:szCs w:val="24"/>
        </w:rPr>
        <w:t>（供应商名称）在</w:t>
      </w:r>
      <w:r>
        <w:rPr>
          <w:rFonts w:hint="eastAsia"/>
          <w:sz w:val="24"/>
          <w:szCs w:val="24"/>
          <w:u w:val="single"/>
        </w:rPr>
        <w:t xml:space="preserve">               （招标编号：  ）</w:t>
      </w:r>
      <w:r>
        <w:rPr>
          <w:rFonts w:hint="eastAsia"/>
          <w:sz w:val="24"/>
          <w:szCs w:val="24"/>
        </w:rPr>
        <w:t>中标，自愿将本项目部分内容分包给</w:t>
      </w:r>
      <w:r>
        <w:rPr>
          <w:rFonts w:hint="eastAsia"/>
          <w:sz w:val="24"/>
          <w:szCs w:val="24"/>
          <w:u w:val="single"/>
        </w:rPr>
        <w:t xml:space="preserve">         </w:t>
      </w:r>
      <w:r>
        <w:rPr>
          <w:rFonts w:hint="eastAsia"/>
          <w:sz w:val="24"/>
          <w:szCs w:val="24"/>
        </w:rPr>
        <w:t>（分包方）实施。具体分包事宜签订如下协议：</w:t>
      </w:r>
    </w:p>
    <w:p>
      <w:pPr>
        <w:spacing w:line="360" w:lineRule="auto"/>
        <w:ind w:firstLine="480" w:firstLineChars="200"/>
        <w:rPr>
          <w:rFonts w:hint="eastAsia"/>
          <w:sz w:val="24"/>
          <w:szCs w:val="24"/>
        </w:rPr>
      </w:pPr>
      <w:r>
        <w:rPr>
          <w:rFonts w:hint="eastAsia"/>
          <w:sz w:val="24"/>
          <w:szCs w:val="24"/>
        </w:rPr>
        <w:t>1、</w:t>
      </w:r>
      <w:r>
        <w:rPr>
          <w:rFonts w:hint="eastAsia"/>
          <w:sz w:val="24"/>
          <w:szCs w:val="24"/>
          <w:u w:val="single"/>
        </w:rPr>
        <w:t xml:space="preserve">         </w:t>
      </w:r>
      <w:r>
        <w:rPr>
          <w:rFonts w:hint="eastAsia"/>
          <w:sz w:val="24"/>
          <w:szCs w:val="24"/>
        </w:rPr>
        <w:t>（供应商名称）作为项目总包方，负责本采购项目响应文件编制和合同谈判活动，并代表总包方及分包方提交和接收相关的资料、信息及指示，并处理与之有关的一切事务，负责合同实施阶段的主办、组织和协调工作；</w:t>
      </w:r>
    </w:p>
    <w:p>
      <w:pPr>
        <w:spacing w:line="360" w:lineRule="auto"/>
        <w:ind w:firstLine="480" w:firstLineChars="200"/>
        <w:rPr>
          <w:rFonts w:hint="eastAsia"/>
          <w:sz w:val="24"/>
          <w:szCs w:val="24"/>
        </w:rPr>
      </w:pPr>
      <w:r>
        <w:rPr>
          <w:rFonts w:hint="eastAsia"/>
          <w:sz w:val="24"/>
          <w:szCs w:val="24"/>
        </w:rPr>
        <w:t>2、总包方及分包方严格按照采购文件的各项要求，递交响应文件，履行合同，并对外承担连带责任；</w:t>
      </w:r>
    </w:p>
    <w:p>
      <w:pPr>
        <w:spacing w:line="360" w:lineRule="auto"/>
        <w:ind w:firstLine="480" w:firstLineChars="200"/>
        <w:rPr>
          <w:rFonts w:hint="eastAsia"/>
          <w:sz w:val="24"/>
          <w:szCs w:val="24"/>
        </w:rPr>
      </w:pPr>
      <w:r>
        <w:rPr>
          <w:rFonts w:hint="eastAsia"/>
          <w:sz w:val="24"/>
          <w:szCs w:val="24"/>
        </w:rPr>
        <w:t>3、总包方及分包方承接业务划分</w:t>
      </w:r>
    </w:p>
    <w:p>
      <w:pPr>
        <w:spacing w:line="360" w:lineRule="auto"/>
        <w:ind w:firstLine="480" w:firstLineChars="200"/>
        <w:rPr>
          <w:rFonts w:hint="eastAsia"/>
          <w:sz w:val="24"/>
          <w:szCs w:val="24"/>
        </w:rPr>
      </w:pPr>
      <w:r>
        <w:rPr>
          <w:rFonts w:hint="eastAsia"/>
          <w:sz w:val="24"/>
          <w:szCs w:val="24"/>
        </w:rPr>
        <w:t>（1）</w:t>
      </w:r>
      <w:r>
        <w:rPr>
          <w:rFonts w:hint="eastAsia"/>
          <w:sz w:val="24"/>
          <w:szCs w:val="24"/>
          <w:u w:val="single"/>
        </w:rPr>
        <w:t xml:space="preserve">         </w:t>
      </w:r>
      <w:r>
        <w:rPr>
          <w:rFonts w:hint="eastAsia"/>
          <w:sz w:val="24"/>
          <w:szCs w:val="24"/>
        </w:rPr>
        <w:t>作为总包方，负责本项目</w:t>
      </w:r>
      <w:r>
        <w:rPr>
          <w:rFonts w:hint="eastAsia"/>
          <w:sz w:val="24"/>
          <w:szCs w:val="24"/>
          <w:u w:val="single"/>
        </w:rPr>
        <w:t xml:space="preserve">        </w:t>
      </w:r>
      <w:r>
        <w:rPr>
          <w:rFonts w:hint="eastAsia"/>
          <w:sz w:val="24"/>
          <w:szCs w:val="24"/>
        </w:rPr>
        <w:t>工作，占本次投标总金额比重为</w:t>
      </w:r>
      <w:r>
        <w:rPr>
          <w:rFonts w:hint="eastAsia"/>
          <w:sz w:val="24"/>
          <w:szCs w:val="24"/>
          <w:u w:val="single"/>
        </w:rPr>
        <w:t xml:space="preserve">    </w:t>
      </w:r>
      <w:r>
        <w:rPr>
          <w:rFonts w:hint="eastAsia"/>
          <w:sz w:val="24"/>
          <w:szCs w:val="24"/>
        </w:rPr>
        <w:t>%；</w:t>
      </w:r>
    </w:p>
    <w:p>
      <w:pPr>
        <w:spacing w:line="360" w:lineRule="auto"/>
        <w:ind w:firstLine="480" w:firstLineChars="200"/>
        <w:rPr>
          <w:rFonts w:hint="eastAsia"/>
          <w:sz w:val="24"/>
          <w:szCs w:val="24"/>
        </w:rPr>
      </w:pPr>
      <w:r>
        <w:rPr>
          <w:rFonts w:hint="eastAsia"/>
          <w:sz w:val="24"/>
          <w:szCs w:val="24"/>
        </w:rPr>
        <w:t>（2）</w:t>
      </w:r>
      <w:r>
        <w:rPr>
          <w:rFonts w:hint="eastAsia"/>
          <w:sz w:val="24"/>
          <w:szCs w:val="24"/>
          <w:u w:val="single"/>
        </w:rPr>
        <w:t xml:space="preserve">         </w:t>
      </w:r>
      <w:r>
        <w:rPr>
          <w:rFonts w:hint="eastAsia"/>
          <w:sz w:val="24"/>
          <w:szCs w:val="24"/>
        </w:rPr>
        <w:t>作为分包方，负责本项目</w:t>
      </w:r>
      <w:r>
        <w:rPr>
          <w:rFonts w:hint="eastAsia"/>
          <w:sz w:val="24"/>
          <w:szCs w:val="24"/>
          <w:u w:val="single"/>
        </w:rPr>
        <w:t xml:space="preserve">        </w:t>
      </w:r>
      <w:r>
        <w:rPr>
          <w:rFonts w:hint="eastAsia"/>
          <w:sz w:val="24"/>
          <w:szCs w:val="24"/>
        </w:rPr>
        <w:t>工作，占本次投标总金额比重为</w:t>
      </w:r>
      <w:r>
        <w:rPr>
          <w:rFonts w:hint="eastAsia"/>
          <w:sz w:val="24"/>
          <w:szCs w:val="24"/>
          <w:u w:val="single"/>
        </w:rPr>
        <w:t xml:space="preserve">    </w:t>
      </w:r>
      <w:r>
        <w:rPr>
          <w:rFonts w:hint="eastAsia"/>
          <w:sz w:val="24"/>
          <w:szCs w:val="24"/>
        </w:rPr>
        <w:t>%。</w:t>
      </w:r>
    </w:p>
    <w:p>
      <w:pPr>
        <w:spacing w:line="360" w:lineRule="auto"/>
        <w:ind w:firstLine="480" w:firstLineChars="200"/>
        <w:rPr>
          <w:rFonts w:hint="eastAsia"/>
          <w:sz w:val="24"/>
          <w:szCs w:val="24"/>
        </w:rPr>
      </w:pPr>
      <w:r>
        <w:rPr>
          <w:rFonts w:hint="eastAsia"/>
          <w:sz w:val="24"/>
          <w:szCs w:val="24"/>
        </w:rPr>
        <w:t>4、本协议书自签署之日起生效，合同履行完毕后自动失效。</w:t>
      </w:r>
    </w:p>
    <w:p>
      <w:pPr>
        <w:spacing w:line="360" w:lineRule="auto"/>
        <w:rPr>
          <w:rFonts w:hint="eastAsia"/>
          <w:sz w:val="24"/>
          <w:szCs w:val="24"/>
        </w:rPr>
      </w:pPr>
      <w:r>
        <w:rPr>
          <w:rFonts w:hint="eastAsia"/>
          <w:sz w:val="24"/>
          <w:szCs w:val="24"/>
        </w:rPr>
        <w:t xml:space="preserve">                  总包方名称：</w:t>
      </w:r>
      <w:r>
        <w:rPr>
          <w:rFonts w:hint="eastAsia"/>
          <w:sz w:val="24"/>
          <w:szCs w:val="24"/>
          <w:u w:val="single"/>
        </w:rPr>
        <w:t xml:space="preserve">                       </w:t>
      </w:r>
      <w:r>
        <w:rPr>
          <w:rFonts w:hint="eastAsia"/>
          <w:sz w:val="24"/>
          <w:szCs w:val="24"/>
        </w:rPr>
        <w:t>（</w:t>
      </w:r>
      <w:r>
        <w:rPr>
          <w:rFonts w:hint="eastAsia" w:cs="Arial"/>
          <w:sz w:val="24"/>
          <w:szCs w:val="24"/>
        </w:rPr>
        <w:t>盖单位公章</w:t>
      </w:r>
      <w:r>
        <w:rPr>
          <w:rFonts w:hint="eastAsia"/>
          <w:sz w:val="24"/>
          <w:szCs w:val="24"/>
        </w:rPr>
        <w:t>）</w:t>
      </w:r>
    </w:p>
    <w:p>
      <w:pPr>
        <w:spacing w:line="360" w:lineRule="auto"/>
        <w:rPr>
          <w:rFonts w:hint="eastAsia"/>
          <w:sz w:val="24"/>
          <w:szCs w:val="24"/>
        </w:rPr>
      </w:pPr>
      <w:r>
        <w:rPr>
          <w:rFonts w:hint="eastAsia"/>
          <w:sz w:val="24"/>
          <w:szCs w:val="24"/>
        </w:rPr>
        <w:t xml:space="preserve">                  法定代表人：</w:t>
      </w:r>
      <w:r>
        <w:rPr>
          <w:rFonts w:hint="eastAsia"/>
          <w:sz w:val="24"/>
          <w:szCs w:val="24"/>
          <w:u w:val="single"/>
        </w:rPr>
        <w:t xml:space="preserve">         </w:t>
      </w:r>
      <w:r>
        <w:rPr>
          <w:rFonts w:hint="eastAsia"/>
          <w:sz w:val="24"/>
          <w:szCs w:val="24"/>
        </w:rPr>
        <w:t>（</w:t>
      </w:r>
      <w:r>
        <w:rPr>
          <w:rFonts w:hint="eastAsia" w:cs="Arial"/>
          <w:sz w:val="24"/>
          <w:szCs w:val="24"/>
        </w:rPr>
        <w:t>签字或盖章</w:t>
      </w:r>
      <w:r>
        <w:rPr>
          <w:rFonts w:hint="eastAsia"/>
          <w:sz w:val="24"/>
          <w:szCs w:val="24"/>
        </w:rPr>
        <w:t>）</w:t>
      </w:r>
    </w:p>
    <w:p>
      <w:pPr>
        <w:spacing w:line="360" w:lineRule="auto"/>
        <w:ind w:firstLine="480" w:firstLineChars="200"/>
        <w:rPr>
          <w:rFonts w:hint="eastAsia"/>
          <w:sz w:val="24"/>
          <w:szCs w:val="24"/>
        </w:rPr>
      </w:pPr>
      <w:r>
        <w:rPr>
          <w:rFonts w:hint="eastAsia"/>
          <w:sz w:val="24"/>
          <w:szCs w:val="24"/>
        </w:rPr>
        <w:t xml:space="preserve"> </w:t>
      </w:r>
    </w:p>
    <w:p>
      <w:pPr>
        <w:spacing w:line="360" w:lineRule="auto"/>
        <w:rPr>
          <w:rFonts w:hint="eastAsia"/>
          <w:sz w:val="24"/>
          <w:szCs w:val="24"/>
        </w:rPr>
      </w:pPr>
      <w:r>
        <w:rPr>
          <w:rFonts w:hint="eastAsia"/>
          <w:sz w:val="24"/>
          <w:szCs w:val="24"/>
        </w:rPr>
        <w:t xml:space="preserve">                  分包方名称：</w:t>
      </w:r>
      <w:r>
        <w:rPr>
          <w:rFonts w:hint="eastAsia"/>
          <w:sz w:val="24"/>
          <w:szCs w:val="24"/>
          <w:u w:val="single"/>
        </w:rPr>
        <w:t xml:space="preserve">                       </w:t>
      </w:r>
      <w:r>
        <w:rPr>
          <w:rFonts w:hint="eastAsia"/>
          <w:sz w:val="24"/>
          <w:szCs w:val="24"/>
        </w:rPr>
        <w:t>（</w:t>
      </w:r>
      <w:r>
        <w:rPr>
          <w:rFonts w:hint="eastAsia" w:cs="Arial"/>
          <w:sz w:val="24"/>
          <w:szCs w:val="24"/>
        </w:rPr>
        <w:t>盖单位公章</w:t>
      </w:r>
      <w:r>
        <w:rPr>
          <w:rFonts w:hint="eastAsia"/>
          <w:sz w:val="24"/>
          <w:szCs w:val="24"/>
        </w:rPr>
        <w:t>）</w:t>
      </w:r>
    </w:p>
    <w:p>
      <w:pPr>
        <w:spacing w:line="360" w:lineRule="auto"/>
        <w:ind w:firstLine="2160" w:firstLineChars="900"/>
        <w:rPr>
          <w:rFonts w:hint="eastAsia" w:ascii="Times New Roman" w:hAnsi="Times New Roman"/>
          <w:sz w:val="21"/>
        </w:rPr>
      </w:pPr>
      <w:r>
        <w:rPr>
          <w:rFonts w:hint="eastAsia"/>
          <w:sz w:val="24"/>
          <w:szCs w:val="24"/>
        </w:rPr>
        <w:t>法定代表人：</w:t>
      </w:r>
      <w:r>
        <w:rPr>
          <w:rFonts w:hint="eastAsia"/>
          <w:sz w:val="24"/>
          <w:szCs w:val="24"/>
          <w:u w:val="single"/>
        </w:rPr>
        <w:t xml:space="preserve">         </w:t>
      </w:r>
      <w:r>
        <w:rPr>
          <w:rFonts w:hint="eastAsia"/>
          <w:sz w:val="24"/>
          <w:szCs w:val="24"/>
        </w:rPr>
        <w:t>（签字或盖章）</w:t>
      </w:r>
    </w:p>
    <w:p>
      <w:pPr>
        <w:pStyle w:val="80"/>
        <w:snapToGrid w:val="0"/>
        <w:spacing w:before="0" w:line="500" w:lineRule="exact"/>
        <w:ind w:firstLine="3600" w:firstLineChars="1500"/>
        <w:rPr>
          <w:rFonts w:hint="eastAsia"/>
        </w:rPr>
      </w:pPr>
    </w:p>
    <w:p>
      <w:pPr>
        <w:pStyle w:val="14"/>
        <w:ind w:left="0" w:leftChars="0"/>
        <w:jc w:val="center"/>
        <w:rPr>
          <w:rFonts w:hint="eastAsia"/>
          <w:b/>
          <w:sz w:val="36"/>
          <w:szCs w:val="36"/>
        </w:rPr>
      </w:pPr>
      <w:r>
        <w:rPr>
          <w:rFonts w:ascii="宋体" w:hAnsi="宋体"/>
          <w:sz w:val="28"/>
          <w:szCs w:val="28"/>
        </w:rPr>
        <w:br w:type="page"/>
      </w:r>
      <w:r>
        <w:rPr>
          <w:rFonts w:hint="eastAsia"/>
          <w:b/>
          <w:sz w:val="36"/>
          <w:szCs w:val="20"/>
        </w:rPr>
        <w:t>商务技术文件</w:t>
      </w:r>
    </w:p>
    <w:p>
      <w:pPr>
        <w:spacing w:line="360" w:lineRule="auto"/>
        <w:jc w:val="center"/>
        <w:rPr>
          <w:rFonts w:hint="eastAsia"/>
          <w:b/>
          <w:sz w:val="36"/>
          <w:szCs w:val="36"/>
        </w:rPr>
      </w:pPr>
    </w:p>
    <w:p>
      <w:pPr>
        <w:spacing w:line="360" w:lineRule="auto"/>
        <w:jc w:val="center"/>
        <w:rPr>
          <w:rFonts w:hint="eastAsia"/>
          <w:b/>
          <w:sz w:val="36"/>
          <w:szCs w:val="36"/>
        </w:rPr>
      </w:pPr>
      <w:r>
        <w:rPr>
          <w:rFonts w:hint="eastAsia"/>
          <w:b/>
          <w:sz w:val="36"/>
          <w:szCs w:val="36"/>
        </w:rPr>
        <w:t>目录</w:t>
      </w:r>
    </w:p>
    <w:p>
      <w:pPr>
        <w:pStyle w:val="14"/>
        <w:ind w:left="400" w:firstLine="486"/>
        <w:rPr>
          <w:rFonts w:hint="eastAsia" w:ascii="宋体" w:hAnsi="宋体" w:cs="宋体"/>
        </w:rPr>
      </w:pPr>
    </w:p>
    <w:p>
      <w:pPr>
        <w:spacing w:line="360" w:lineRule="auto"/>
        <w:ind w:firstLine="480" w:firstLineChars="200"/>
        <w:rPr>
          <w:rFonts w:hint="eastAsia"/>
          <w:sz w:val="24"/>
        </w:rPr>
      </w:pPr>
      <w:r>
        <w:rPr>
          <w:rFonts w:hint="eastAsia"/>
          <w:sz w:val="24"/>
        </w:rPr>
        <w:t>（1）评分对应表（格式见附件，主要用于评委对应评分内容）</w:t>
      </w:r>
    </w:p>
    <w:p>
      <w:pPr>
        <w:spacing w:line="360" w:lineRule="auto"/>
        <w:ind w:firstLine="480" w:firstLineChars="200"/>
        <w:rPr>
          <w:rFonts w:hint="eastAsia"/>
          <w:sz w:val="24"/>
        </w:rPr>
      </w:pPr>
      <w:r>
        <w:rPr>
          <w:rFonts w:hint="eastAsia"/>
          <w:sz w:val="24"/>
        </w:rPr>
        <w:t>（2）投标人商务技术文件中资信分自评表（格式见附件）；</w:t>
      </w:r>
    </w:p>
    <w:p>
      <w:pPr>
        <w:spacing w:line="360" w:lineRule="auto"/>
        <w:ind w:firstLine="480" w:firstLineChars="200"/>
        <w:rPr>
          <w:rFonts w:hint="eastAsia"/>
          <w:sz w:val="24"/>
        </w:rPr>
      </w:pPr>
      <w:r>
        <w:rPr>
          <w:rFonts w:hint="eastAsia"/>
          <w:sz w:val="24"/>
        </w:rPr>
        <w:t>（3）投标项目明细清单（含货物、服务等）（格式见附件）；</w:t>
      </w:r>
    </w:p>
    <w:p>
      <w:pPr>
        <w:spacing w:line="360" w:lineRule="auto"/>
        <w:ind w:firstLine="480" w:firstLineChars="200"/>
        <w:rPr>
          <w:rFonts w:hint="eastAsia"/>
          <w:sz w:val="24"/>
        </w:rPr>
      </w:pPr>
      <w:r>
        <w:rPr>
          <w:rFonts w:hint="eastAsia"/>
          <w:sz w:val="24"/>
        </w:rPr>
        <w:t>（4）</w:t>
      </w:r>
      <w:bookmarkStart w:id="438" w:name="_Toc98731775"/>
      <w:bookmarkStart w:id="439" w:name="_Toc130094926"/>
      <w:r>
        <w:rPr>
          <w:rFonts w:hint="eastAsia"/>
          <w:sz w:val="24"/>
        </w:rPr>
        <w:t>技术响应及建议</w:t>
      </w:r>
      <w:bookmarkEnd w:id="438"/>
      <w:bookmarkEnd w:id="439"/>
      <w:r>
        <w:rPr>
          <w:rFonts w:hint="eastAsia"/>
          <w:sz w:val="24"/>
        </w:rPr>
        <w:t>表（格式见附件）；</w:t>
      </w:r>
    </w:p>
    <w:p>
      <w:pPr>
        <w:spacing w:line="360" w:lineRule="auto"/>
        <w:ind w:firstLine="480" w:firstLineChars="200"/>
        <w:rPr>
          <w:rFonts w:hint="eastAsia"/>
          <w:sz w:val="24"/>
        </w:rPr>
      </w:pPr>
      <w:r>
        <w:rPr>
          <w:rFonts w:hint="eastAsia"/>
          <w:sz w:val="24"/>
        </w:rPr>
        <w:t>（5）商务响应表（格式见附件）；</w:t>
      </w:r>
    </w:p>
    <w:p>
      <w:pPr>
        <w:spacing w:line="360" w:lineRule="auto"/>
        <w:ind w:firstLine="480" w:firstLineChars="200"/>
        <w:rPr>
          <w:rFonts w:hint="eastAsia"/>
          <w:sz w:val="24"/>
        </w:rPr>
      </w:pPr>
      <w:r>
        <w:rPr>
          <w:rFonts w:hint="eastAsia"/>
          <w:sz w:val="24"/>
        </w:rPr>
        <w:t>（6）技术参数（根据评分细则提供）；</w:t>
      </w:r>
    </w:p>
    <w:p>
      <w:pPr>
        <w:spacing w:line="360" w:lineRule="auto"/>
        <w:ind w:firstLine="480" w:firstLineChars="200"/>
        <w:rPr>
          <w:rFonts w:hint="eastAsia"/>
          <w:sz w:val="24"/>
        </w:rPr>
      </w:pPr>
      <w:r>
        <w:rPr>
          <w:rFonts w:hint="eastAsia"/>
          <w:sz w:val="24"/>
        </w:rPr>
        <w:t>（7）套餐内容（根据评分细则提供）；</w:t>
      </w:r>
    </w:p>
    <w:p>
      <w:pPr>
        <w:spacing w:line="360" w:lineRule="auto"/>
        <w:ind w:firstLine="480" w:firstLineChars="200"/>
        <w:rPr>
          <w:rFonts w:hint="eastAsia"/>
          <w:sz w:val="24"/>
        </w:rPr>
      </w:pPr>
      <w:r>
        <w:rPr>
          <w:rFonts w:hint="eastAsia"/>
          <w:sz w:val="24"/>
        </w:rPr>
        <w:t>（8）备品备件（根据评分细则提供）；</w:t>
      </w:r>
    </w:p>
    <w:p>
      <w:pPr>
        <w:spacing w:line="360" w:lineRule="auto"/>
        <w:ind w:firstLine="480" w:firstLineChars="200"/>
        <w:rPr>
          <w:rFonts w:hint="eastAsia"/>
          <w:sz w:val="24"/>
        </w:rPr>
      </w:pPr>
      <w:r>
        <w:rPr>
          <w:rFonts w:hint="eastAsia"/>
          <w:sz w:val="24"/>
        </w:rPr>
        <w:t>（9）技术功能转换（根据评分细则提供）；</w:t>
      </w:r>
    </w:p>
    <w:p>
      <w:pPr>
        <w:spacing w:line="360" w:lineRule="auto"/>
        <w:ind w:firstLine="480" w:firstLineChars="200"/>
        <w:rPr>
          <w:rFonts w:hint="eastAsia"/>
          <w:sz w:val="24"/>
        </w:rPr>
      </w:pPr>
      <w:r>
        <w:rPr>
          <w:rFonts w:hint="eastAsia"/>
          <w:sz w:val="24"/>
        </w:rPr>
        <w:t>（10）售后服务（根据评分细则提供）</w:t>
      </w:r>
    </w:p>
    <w:p>
      <w:pPr>
        <w:spacing w:line="360" w:lineRule="auto"/>
        <w:ind w:firstLine="480" w:firstLineChars="200"/>
        <w:rPr>
          <w:rFonts w:hint="eastAsia"/>
          <w:sz w:val="24"/>
        </w:rPr>
      </w:pPr>
      <w:r>
        <w:rPr>
          <w:rFonts w:hint="eastAsia"/>
          <w:sz w:val="24"/>
        </w:rPr>
        <w:t>（11）企业业绩（根据评分细则提供）</w:t>
      </w:r>
    </w:p>
    <w:p>
      <w:pPr>
        <w:spacing w:line="360" w:lineRule="auto"/>
        <w:ind w:firstLine="480" w:firstLineChars="200"/>
        <w:rPr>
          <w:rFonts w:hint="eastAsia"/>
          <w:color w:val="000000"/>
          <w:sz w:val="24"/>
        </w:rPr>
      </w:pPr>
      <w:r>
        <w:rPr>
          <w:rFonts w:hint="eastAsia"/>
          <w:color w:val="000000"/>
          <w:sz w:val="24"/>
        </w:rPr>
        <w:t>（12）企业证书（根据评分细则提供）</w:t>
      </w:r>
    </w:p>
    <w:p>
      <w:pPr>
        <w:spacing w:line="360" w:lineRule="auto"/>
        <w:ind w:firstLine="480" w:firstLineChars="200"/>
        <w:rPr>
          <w:rFonts w:hint="eastAsia"/>
          <w:color w:val="000000"/>
          <w:sz w:val="24"/>
        </w:rPr>
      </w:pPr>
      <w:r>
        <w:rPr>
          <w:rFonts w:hint="eastAsia"/>
          <w:color w:val="000000"/>
          <w:sz w:val="24"/>
        </w:rPr>
        <w:t>（1</w:t>
      </w:r>
      <w:r>
        <w:rPr>
          <w:color w:val="000000"/>
          <w:sz w:val="24"/>
        </w:rPr>
        <w:t>3</w:t>
      </w:r>
      <w:r>
        <w:rPr>
          <w:rFonts w:hint="eastAsia"/>
          <w:color w:val="000000"/>
          <w:sz w:val="24"/>
        </w:rPr>
        <w:t xml:space="preserve">）投标方认为需要的其他文件资料。 </w:t>
      </w:r>
    </w:p>
    <w:p>
      <w:pPr>
        <w:spacing w:line="360" w:lineRule="auto"/>
        <w:ind w:firstLine="480" w:firstLineChars="200"/>
        <w:rPr>
          <w:rFonts w:hint="eastAsia"/>
          <w:color w:val="000000"/>
          <w:sz w:val="24"/>
        </w:rPr>
      </w:pPr>
      <w:r>
        <w:rPr>
          <w:rFonts w:hint="eastAsia"/>
          <w:color w:val="000000"/>
          <w:sz w:val="24"/>
        </w:rPr>
        <w:t>（备注：以上仅为参考模板，应根据实际情况调整目录。）</w:t>
      </w:r>
    </w:p>
    <w:p>
      <w:pPr>
        <w:pStyle w:val="2"/>
        <w:rPr>
          <w:rFonts w:hAnsi="宋体"/>
          <w:color w:val="000000"/>
          <w:sz w:val="24"/>
          <w:szCs w:val="24"/>
        </w:rPr>
      </w:pPr>
      <w:bookmarkStart w:id="440" w:name="_Toc10131"/>
      <w:r>
        <w:rPr>
          <w:rFonts w:hAnsi="宋体" w:cs="宋体"/>
          <w:color w:val="000000"/>
          <w:sz w:val="24"/>
          <w:szCs w:val="24"/>
        </w:rPr>
        <w:br w:type="page"/>
      </w:r>
      <w:bookmarkEnd w:id="440"/>
      <w:r>
        <w:rPr>
          <w:rFonts w:hint="eastAsia" w:hAnsi="宋体"/>
          <w:color w:val="000000"/>
          <w:sz w:val="24"/>
          <w:szCs w:val="24"/>
        </w:rPr>
        <w:t>附件</w:t>
      </w:r>
      <w:r>
        <w:rPr>
          <w:rFonts w:hint="eastAsia" w:hAnsi="宋体"/>
          <w:color w:val="000000"/>
          <w:sz w:val="24"/>
          <w:szCs w:val="24"/>
          <w:lang w:eastAsia="zh-CN"/>
        </w:rPr>
        <w:t>五</w:t>
      </w:r>
      <w:r>
        <w:rPr>
          <w:rFonts w:hint="eastAsia" w:hAnsi="宋体"/>
          <w:color w:val="000000"/>
          <w:sz w:val="24"/>
          <w:szCs w:val="24"/>
        </w:rPr>
        <w:t>：</w:t>
      </w:r>
    </w:p>
    <w:p>
      <w:pPr>
        <w:spacing w:line="360" w:lineRule="auto"/>
        <w:jc w:val="center"/>
        <w:rPr>
          <w:rFonts w:hint="eastAsia"/>
          <w:b/>
          <w:bCs/>
          <w:sz w:val="32"/>
          <w:szCs w:val="32"/>
        </w:rPr>
      </w:pPr>
      <w:r>
        <w:rPr>
          <w:rFonts w:hint="eastAsia"/>
          <w:b/>
          <w:bCs/>
          <w:sz w:val="32"/>
          <w:szCs w:val="32"/>
        </w:rPr>
        <w:t>评分对应表</w:t>
      </w:r>
    </w:p>
    <w:p>
      <w:pPr>
        <w:spacing w:line="360" w:lineRule="auto"/>
        <w:ind w:firstLine="480" w:firstLineChars="200"/>
        <w:rPr>
          <w:rFonts w:hint="eastAsia"/>
          <w:sz w:val="24"/>
        </w:rPr>
      </w:pPr>
      <w:r>
        <w:rPr>
          <w:rFonts w:hint="eastAsia"/>
          <w:sz w:val="24"/>
        </w:rPr>
        <w:t>项目名称：</w:t>
      </w:r>
    </w:p>
    <w:p>
      <w:pPr>
        <w:spacing w:line="360" w:lineRule="auto"/>
        <w:ind w:firstLine="480" w:firstLineChars="200"/>
        <w:rPr>
          <w:rFonts w:hint="eastAsia"/>
          <w:sz w:val="24"/>
        </w:rPr>
      </w:pPr>
      <w:r>
        <w:rPr>
          <w:rFonts w:hint="eastAsia"/>
          <w:sz w:val="24"/>
        </w:rPr>
        <w:t>采购编号：</w:t>
      </w:r>
    </w:p>
    <w:tbl>
      <w:tblPr>
        <w:tblStyle w:val="3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284"/>
        <w:gridCol w:w="3119"/>
        <w:gridCol w:w="252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jc w:val="center"/>
        </w:trPr>
        <w:tc>
          <w:tcPr>
            <w:tcW w:w="32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评分项目</w:t>
            </w:r>
          </w:p>
        </w:tc>
        <w:tc>
          <w:tcPr>
            <w:tcW w:w="3119"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投标文件对应资料</w:t>
            </w:r>
          </w:p>
        </w:tc>
        <w:tc>
          <w:tcPr>
            <w:tcW w:w="2522"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32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对应评分办法及评分标准</w:t>
            </w:r>
          </w:p>
          <w:p>
            <w:pPr>
              <w:spacing w:line="360" w:lineRule="auto"/>
              <w:jc w:val="center"/>
              <w:rPr>
                <w:rFonts w:hint="eastAsia"/>
                <w:sz w:val="24"/>
              </w:rPr>
            </w:pPr>
            <w:r>
              <w:rPr>
                <w:rFonts w:hint="eastAsia"/>
                <w:sz w:val="24"/>
              </w:rPr>
              <w:t>（报价除外）</w:t>
            </w:r>
          </w:p>
        </w:tc>
        <w:tc>
          <w:tcPr>
            <w:tcW w:w="3119" w:type="dxa"/>
            <w:tcBorders>
              <w:top w:val="single" w:color="auto" w:sz="4" w:space="0"/>
              <w:left w:val="nil"/>
              <w:bottom w:val="single" w:color="auto" w:sz="4" w:space="0"/>
              <w:right w:val="single" w:color="auto" w:sz="4" w:space="0"/>
            </w:tcBorders>
            <w:noWrap w:val="0"/>
            <w:vAlign w:val="center"/>
          </w:tcPr>
          <w:p>
            <w:pPr>
              <w:spacing w:line="360" w:lineRule="auto"/>
              <w:rPr>
                <w:rFonts w:hint="eastAsia"/>
                <w:sz w:val="24"/>
              </w:rPr>
            </w:pPr>
            <w:r>
              <w:rPr>
                <w:rFonts w:hint="eastAsia"/>
                <w:sz w:val="24"/>
              </w:rPr>
              <w:t xml:space="preserve"> </w:t>
            </w:r>
            <w:r>
              <w:rPr>
                <w:sz w:val="24"/>
              </w:rPr>
              <w:t xml:space="preserve">  </w:t>
            </w:r>
          </w:p>
        </w:tc>
        <w:tc>
          <w:tcPr>
            <w:tcW w:w="2522"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32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rPr>
                <w:rFonts w:hint="eastAsia"/>
                <w:sz w:val="24"/>
              </w:rPr>
            </w:pPr>
            <w:r>
              <w:rPr>
                <w:rFonts w:hint="eastAsia"/>
                <w:sz w:val="24"/>
              </w:rPr>
              <w:t>……</w:t>
            </w:r>
          </w:p>
        </w:tc>
        <w:tc>
          <w:tcPr>
            <w:tcW w:w="3119"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2522"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32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3119"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2522"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32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3119"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2522"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32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3119"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2522"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32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3119"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2522"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32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3119"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2522"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32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3119"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2522"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6" w:hRule="atLeast"/>
          <w:jc w:val="center"/>
        </w:trPr>
        <w:tc>
          <w:tcPr>
            <w:tcW w:w="3284"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3119"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c>
          <w:tcPr>
            <w:tcW w:w="2522" w:type="dxa"/>
            <w:tcBorders>
              <w:top w:val="single" w:color="auto" w:sz="4" w:space="0"/>
              <w:left w:val="nil"/>
              <w:bottom w:val="single" w:color="auto" w:sz="4" w:space="0"/>
              <w:right w:val="single" w:color="auto" w:sz="4" w:space="0"/>
            </w:tcBorders>
            <w:noWrap w:val="0"/>
            <w:vAlign w:val="center"/>
          </w:tcPr>
          <w:p>
            <w:pPr>
              <w:spacing w:line="360" w:lineRule="auto"/>
              <w:ind w:firstLine="480" w:firstLineChars="200"/>
              <w:rPr>
                <w:rFonts w:hint="eastAsia"/>
                <w:sz w:val="24"/>
              </w:rPr>
            </w:pPr>
          </w:p>
        </w:tc>
      </w:tr>
    </w:tbl>
    <w:p>
      <w:pPr>
        <w:spacing w:line="360" w:lineRule="auto"/>
        <w:ind w:firstLine="480" w:firstLineChars="200"/>
        <w:rPr>
          <w:rFonts w:hint="eastAsia"/>
          <w:sz w:val="24"/>
        </w:rPr>
      </w:pPr>
      <w:r>
        <w:rPr>
          <w:rFonts w:hint="eastAsia"/>
          <w:sz w:val="24"/>
        </w:rPr>
        <w:t xml:space="preserve"> </w:t>
      </w:r>
    </w:p>
    <w:p>
      <w:pPr>
        <w:spacing w:line="360" w:lineRule="auto"/>
        <w:ind w:firstLine="480" w:firstLineChars="200"/>
        <w:rPr>
          <w:rFonts w:hint="eastAsia"/>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法定代表人签名（或签名章）： </w:t>
      </w:r>
    </w:p>
    <w:p>
      <w:pPr>
        <w:spacing w:line="360" w:lineRule="auto"/>
        <w:ind w:firstLine="3600" w:firstLineChars="1500"/>
        <w:rPr>
          <w:rFonts w:hint="eastAsia"/>
          <w:sz w:val="24"/>
        </w:rPr>
      </w:pPr>
      <w:r>
        <w:rPr>
          <w:rFonts w:hint="eastAsia"/>
          <w:sz w:val="24"/>
        </w:rPr>
        <w:t>日 期：</w:t>
      </w:r>
    </w:p>
    <w:p>
      <w:pPr>
        <w:spacing w:line="360" w:lineRule="auto"/>
        <w:ind w:firstLine="3600" w:firstLineChars="1500"/>
        <w:rPr>
          <w:rFonts w:hint="eastAsia"/>
          <w:sz w:val="24"/>
        </w:rPr>
      </w:pPr>
      <w:r>
        <w:rPr>
          <w:rFonts w:hint="eastAsia"/>
          <w:sz w:val="24"/>
        </w:rPr>
        <w:t>投标人全称（公章）：</w:t>
      </w:r>
    </w:p>
    <w:p>
      <w:pPr>
        <w:pStyle w:val="2"/>
        <w:rPr>
          <w:rFonts w:hint="eastAsia" w:hAnsi="宋体"/>
          <w:bCs/>
          <w:color w:val="000000"/>
          <w:sz w:val="24"/>
          <w:szCs w:val="24"/>
        </w:rPr>
      </w:pPr>
      <w:r>
        <w:rPr>
          <w:rFonts w:hint="eastAsia" w:hAnsi="宋体"/>
          <w:sz w:val="30"/>
          <w:szCs w:val="30"/>
        </w:rPr>
        <w:br w:type="page"/>
      </w:r>
      <w:r>
        <w:rPr>
          <w:rFonts w:hint="eastAsia" w:hAnsi="宋体"/>
          <w:bCs/>
          <w:color w:val="000000"/>
          <w:sz w:val="24"/>
          <w:szCs w:val="24"/>
        </w:rPr>
        <w:t>附件</w:t>
      </w:r>
      <w:r>
        <w:rPr>
          <w:rFonts w:hint="eastAsia" w:hAnsi="宋体"/>
          <w:bCs/>
          <w:color w:val="000000"/>
          <w:sz w:val="24"/>
          <w:szCs w:val="24"/>
          <w:lang w:eastAsia="zh-CN"/>
        </w:rPr>
        <w:t>六</w:t>
      </w:r>
      <w:r>
        <w:rPr>
          <w:rFonts w:hint="eastAsia" w:hAnsi="宋体"/>
          <w:bCs/>
          <w:color w:val="000000"/>
          <w:sz w:val="24"/>
          <w:szCs w:val="24"/>
        </w:rPr>
        <w:t>：</w:t>
      </w:r>
    </w:p>
    <w:p>
      <w:pPr>
        <w:spacing w:line="360" w:lineRule="auto"/>
        <w:jc w:val="center"/>
        <w:rPr>
          <w:rFonts w:hint="eastAsia"/>
          <w:b/>
          <w:bCs/>
          <w:sz w:val="32"/>
          <w:szCs w:val="32"/>
        </w:rPr>
      </w:pPr>
      <w:r>
        <w:rPr>
          <w:rFonts w:hint="eastAsia"/>
          <w:b/>
          <w:bCs/>
          <w:sz w:val="32"/>
          <w:szCs w:val="32"/>
        </w:rPr>
        <w:t>投标人商务技术文件中资信分自评表</w:t>
      </w:r>
    </w:p>
    <w:p>
      <w:pPr>
        <w:spacing w:line="360" w:lineRule="auto"/>
        <w:rPr>
          <w:rFonts w:hint="eastAsia"/>
          <w:sz w:val="24"/>
        </w:rPr>
      </w:pPr>
      <w:r>
        <w:rPr>
          <w:rFonts w:hint="eastAsia"/>
          <w:sz w:val="24"/>
        </w:rPr>
        <w:t>项目名称：</w:t>
      </w:r>
    </w:p>
    <w:p>
      <w:pPr>
        <w:spacing w:line="360" w:lineRule="auto"/>
        <w:rPr>
          <w:rFonts w:hint="eastAsia"/>
          <w:sz w:val="24"/>
        </w:rPr>
      </w:pPr>
      <w:r>
        <w:rPr>
          <w:rFonts w:hint="eastAsia"/>
          <w:sz w:val="24"/>
        </w:rPr>
        <w:t>采购编号：</w:t>
      </w:r>
    </w:p>
    <w:tbl>
      <w:tblPr>
        <w:tblStyle w:val="34"/>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jc w:val="center"/>
              <w:rPr>
                <w:rFonts w:hint="eastAsia"/>
                <w:sz w:val="24"/>
              </w:rPr>
            </w:pPr>
            <w:r>
              <w:rPr>
                <w:rFonts w:hint="eastAsia"/>
                <w:sz w:val="24"/>
              </w:rPr>
              <w:t>序号</w:t>
            </w:r>
          </w:p>
        </w:tc>
        <w:tc>
          <w:tcPr>
            <w:tcW w:w="2387"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jc w:val="center"/>
              <w:rPr>
                <w:rFonts w:hint="eastAsia"/>
                <w:sz w:val="24"/>
              </w:rPr>
            </w:pPr>
            <w:r>
              <w:rPr>
                <w:rFonts w:hint="eastAsia"/>
                <w:sz w:val="24"/>
              </w:rPr>
              <w:t>资信分内容</w:t>
            </w:r>
          </w:p>
        </w:tc>
        <w:tc>
          <w:tcPr>
            <w:tcW w:w="146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jc w:val="center"/>
              <w:rPr>
                <w:rFonts w:hint="eastAsia"/>
                <w:sz w:val="24"/>
              </w:rPr>
            </w:pPr>
            <w:r>
              <w:rPr>
                <w:rFonts w:hint="eastAsia"/>
                <w:sz w:val="24"/>
              </w:rPr>
              <w:t>自评得分</w:t>
            </w:r>
          </w:p>
        </w:tc>
        <w:tc>
          <w:tcPr>
            <w:tcW w:w="2415" w:type="dxa"/>
            <w:tcBorders>
              <w:top w:val="single" w:color="000000" w:sz="4" w:space="0"/>
              <w:left w:val="single" w:color="000000" w:sz="4" w:space="0"/>
              <w:bottom w:val="single" w:color="000000" w:sz="4" w:space="0"/>
              <w:right w:val="single" w:color="auto" w:sz="4" w:space="0"/>
            </w:tcBorders>
            <w:noWrap w:val="0"/>
            <w:vAlign w:val="center"/>
          </w:tcPr>
          <w:p>
            <w:pPr>
              <w:spacing w:line="360" w:lineRule="auto"/>
              <w:jc w:val="center"/>
              <w:rPr>
                <w:rFonts w:hint="eastAsia"/>
                <w:sz w:val="24"/>
              </w:rPr>
            </w:pPr>
            <w:r>
              <w:rPr>
                <w:rFonts w:hint="eastAsia"/>
                <w:sz w:val="24"/>
              </w:rPr>
              <w:t>投标文件对应资料</w:t>
            </w:r>
          </w:p>
        </w:tc>
        <w:tc>
          <w:tcPr>
            <w:tcW w:w="1746" w:type="dxa"/>
            <w:tcBorders>
              <w:top w:val="single" w:color="000000" w:sz="4" w:space="0"/>
              <w:left w:val="nil"/>
              <w:bottom w:val="single" w:color="000000" w:sz="4" w:space="0"/>
              <w:right w:val="single" w:color="000000" w:sz="4" w:space="0"/>
            </w:tcBorders>
            <w:noWrap w:val="0"/>
            <w:vAlign w:val="center"/>
          </w:tcPr>
          <w:p>
            <w:pPr>
              <w:spacing w:line="360" w:lineRule="auto"/>
              <w:jc w:val="center"/>
              <w:rPr>
                <w:rFonts w:hint="eastAsia"/>
                <w:sz w:val="24"/>
              </w:rPr>
            </w:pPr>
            <w:r>
              <w:rPr>
                <w:rFonts w:hint="eastAsia"/>
                <w:sz w:val="24"/>
              </w:rPr>
              <w:t>投标文件页码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ind w:firstLine="3600" w:firstLineChars="1500"/>
              <w:rPr>
                <w:rFonts w:hint="eastAsia"/>
                <w:sz w:val="24"/>
              </w:rPr>
            </w:pPr>
            <w:r>
              <w:rPr>
                <w:rFonts w:hint="eastAsia"/>
                <w:sz w:val="24"/>
              </w:rPr>
              <w:t>1</w:t>
            </w:r>
          </w:p>
        </w:tc>
        <w:tc>
          <w:tcPr>
            <w:tcW w:w="2387"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1462"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2415" w:type="dxa"/>
            <w:tcBorders>
              <w:top w:val="single" w:color="000000" w:sz="4" w:space="0"/>
              <w:left w:val="single" w:color="000000" w:sz="4" w:space="0"/>
              <w:bottom w:val="single" w:color="000000" w:sz="4" w:space="0"/>
              <w:right w:val="single" w:color="auto" w:sz="4" w:space="0"/>
            </w:tcBorders>
            <w:noWrap w:val="0"/>
            <w:vAlign w:val="top"/>
          </w:tcPr>
          <w:p>
            <w:pPr>
              <w:spacing w:line="360" w:lineRule="auto"/>
              <w:ind w:firstLine="3600" w:firstLineChars="1500"/>
              <w:rPr>
                <w:rFonts w:hint="eastAsia"/>
                <w:sz w:val="24"/>
              </w:rPr>
            </w:pPr>
          </w:p>
        </w:tc>
        <w:tc>
          <w:tcPr>
            <w:tcW w:w="1746" w:type="dxa"/>
            <w:tcBorders>
              <w:top w:val="single" w:color="000000" w:sz="4" w:space="0"/>
              <w:left w:val="nil"/>
              <w:bottom w:val="single" w:color="000000" w:sz="4" w:space="0"/>
              <w:right w:val="single" w:color="000000" w:sz="4" w:space="0"/>
            </w:tcBorders>
            <w:noWrap w:val="0"/>
            <w:vAlign w:val="top"/>
          </w:tcPr>
          <w:p>
            <w:pPr>
              <w:spacing w:line="360" w:lineRule="auto"/>
              <w:ind w:firstLine="3600" w:firstLineChars="1500"/>
              <w:rPr>
                <w:rFonts w:hint="eastAsia"/>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ind w:firstLine="3600" w:firstLineChars="1500"/>
              <w:rPr>
                <w:rFonts w:hint="eastAsia"/>
                <w:sz w:val="24"/>
              </w:rPr>
            </w:pPr>
            <w:r>
              <w:rPr>
                <w:rFonts w:hint="eastAsia"/>
                <w:sz w:val="24"/>
              </w:rPr>
              <w:t>2</w:t>
            </w:r>
          </w:p>
        </w:tc>
        <w:tc>
          <w:tcPr>
            <w:tcW w:w="2387"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1462"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2415" w:type="dxa"/>
            <w:tcBorders>
              <w:top w:val="single" w:color="000000" w:sz="4" w:space="0"/>
              <w:left w:val="single" w:color="000000" w:sz="4" w:space="0"/>
              <w:bottom w:val="single" w:color="000000" w:sz="4" w:space="0"/>
              <w:right w:val="single" w:color="auto" w:sz="4" w:space="0"/>
            </w:tcBorders>
            <w:noWrap w:val="0"/>
            <w:vAlign w:val="top"/>
          </w:tcPr>
          <w:p>
            <w:pPr>
              <w:spacing w:line="360" w:lineRule="auto"/>
              <w:ind w:firstLine="3600" w:firstLineChars="1500"/>
              <w:rPr>
                <w:rFonts w:hint="eastAsia"/>
                <w:sz w:val="24"/>
              </w:rPr>
            </w:pPr>
          </w:p>
        </w:tc>
        <w:tc>
          <w:tcPr>
            <w:tcW w:w="1746" w:type="dxa"/>
            <w:tcBorders>
              <w:top w:val="single" w:color="000000" w:sz="4" w:space="0"/>
              <w:left w:val="nil"/>
              <w:bottom w:val="single" w:color="000000" w:sz="4" w:space="0"/>
              <w:right w:val="single" w:color="000000" w:sz="4" w:space="0"/>
            </w:tcBorders>
            <w:noWrap w:val="0"/>
            <w:vAlign w:val="top"/>
          </w:tcPr>
          <w:p>
            <w:pPr>
              <w:spacing w:line="360" w:lineRule="auto"/>
              <w:ind w:firstLine="3600" w:firstLineChars="1500"/>
              <w:rPr>
                <w:rFonts w:hint="eastAsia"/>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ind w:firstLine="3600" w:firstLineChars="1500"/>
              <w:rPr>
                <w:rFonts w:hint="eastAsia"/>
                <w:sz w:val="24"/>
              </w:rPr>
            </w:pPr>
            <w:r>
              <w:rPr>
                <w:rFonts w:hint="eastAsia"/>
                <w:sz w:val="24"/>
              </w:rPr>
              <w:t>3</w:t>
            </w:r>
          </w:p>
        </w:tc>
        <w:tc>
          <w:tcPr>
            <w:tcW w:w="2387"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1462"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2415" w:type="dxa"/>
            <w:tcBorders>
              <w:top w:val="single" w:color="000000" w:sz="4" w:space="0"/>
              <w:left w:val="single" w:color="000000" w:sz="4" w:space="0"/>
              <w:bottom w:val="single" w:color="000000" w:sz="4" w:space="0"/>
              <w:right w:val="single" w:color="auto" w:sz="4" w:space="0"/>
            </w:tcBorders>
            <w:noWrap w:val="0"/>
            <w:vAlign w:val="top"/>
          </w:tcPr>
          <w:p>
            <w:pPr>
              <w:spacing w:line="360" w:lineRule="auto"/>
              <w:ind w:firstLine="3600" w:firstLineChars="1500"/>
              <w:rPr>
                <w:rFonts w:hint="eastAsia"/>
                <w:sz w:val="24"/>
              </w:rPr>
            </w:pPr>
          </w:p>
        </w:tc>
        <w:tc>
          <w:tcPr>
            <w:tcW w:w="1746" w:type="dxa"/>
            <w:tcBorders>
              <w:top w:val="single" w:color="000000" w:sz="4" w:space="0"/>
              <w:left w:val="nil"/>
              <w:bottom w:val="single" w:color="000000" w:sz="4" w:space="0"/>
              <w:right w:val="single" w:color="000000" w:sz="4" w:space="0"/>
            </w:tcBorders>
            <w:noWrap w:val="0"/>
            <w:vAlign w:val="top"/>
          </w:tcPr>
          <w:p>
            <w:pPr>
              <w:spacing w:line="360" w:lineRule="auto"/>
              <w:ind w:firstLine="3600" w:firstLineChars="1500"/>
              <w:rPr>
                <w:rFonts w:hint="eastAsia"/>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ind w:firstLine="3600" w:firstLineChars="1500"/>
              <w:rPr>
                <w:rFonts w:hint="eastAsia"/>
                <w:sz w:val="24"/>
              </w:rPr>
            </w:pPr>
            <w:r>
              <w:rPr>
                <w:rFonts w:hint="eastAsia"/>
                <w:sz w:val="24"/>
              </w:rPr>
              <w:t>4</w:t>
            </w:r>
          </w:p>
        </w:tc>
        <w:tc>
          <w:tcPr>
            <w:tcW w:w="2387"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1462"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2415" w:type="dxa"/>
            <w:tcBorders>
              <w:top w:val="single" w:color="000000" w:sz="4" w:space="0"/>
              <w:left w:val="single" w:color="000000" w:sz="4" w:space="0"/>
              <w:bottom w:val="single" w:color="000000" w:sz="4" w:space="0"/>
              <w:right w:val="single" w:color="auto" w:sz="4" w:space="0"/>
            </w:tcBorders>
            <w:noWrap w:val="0"/>
            <w:vAlign w:val="top"/>
          </w:tcPr>
          <w:p>
            <w:pPr>
              <w:spacing w:line="360" w:lineRule="auto"/>
              <w:ind w:firstLine="3600" w:firstLineChars="1500"/>
              <w:rPr>
                <w:rFonts w:hint="eastAsia"/>
                <w:sz w:val="24"/>
              </w:rPr>
            </w:pPr>
          </w:p>
        </w:tc>
        <w:tc>
          <w:tcPr>
            <w:tcW w:w="1746" w:type="dxa"/>
            <w:tcBorders>
              <w:top w:val="single" w:color="000000" w:sz="4" w:space="0"/>
              <w:left w:val="nil"/>
              <w:bottom w:val="single" w:color="000000" w:sz="4" w:space="0"/>
              <w:right w:val="single" w:color="000000" w:sz="4" w:space="0"/>
            </w:tcBorders>
            <w:noWrap w:val="0"/>
            <w:vAlign w:val="top"/>
          </w:tcPr>
          <w:p>
            <w:pPr>
              <w:spacing w:line="360" w:lineRule="auto"/>
              <w:ind w:firstLine="3600" w:firstLineChars="1500"/>
              <w:rPr>
                <w:rFonts w:hint="eastAsia"/>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ind w:firstLine="3600" w:firstLineChars="1500"/>
              <w:rPr>
                <w:rFonts w:hint="eastAsia"/>
                <w:sz w:val="24"/>
              </w:rPr>
            </w:pPr>
            <w:r>
              <w:rPr>
                <w:rFonts w:hint="eastAsia"/>
                <w:sz w:val="24"/>
              </w:rPr>
              <w:t>5</w:t>
            </w:r>
          </w:p>
        </w:tc>
        <w:tc>
          <w:tcPr>
            <w:tcW w:w="2387"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1462"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2415" w:type="dxa"/>
            <w:tcBorders>
              <w:top w:val="single" w:color="000000" w:sz="4" w:space="0"/>
              <w:left w:val="single" w:color="000000" w:sz="4" w:space="0"/>
              <w:bottom w:val="single" w:color="000000" w:sz="4" w:space="0"/>
              <w:right w:val="single" w:color="auto" w:sz="4" w:space="0"/>
            </w:tcBorders>
            <w:noWrap w:val="0"/>
            <w:vAlign w:val="top"/>
          </w:tcPr>
          <w:p>
            <w:pPr>
              <w:spacing w:line="360" w:lineRule="auto"/>
              <w:ind w:firstLine="3600" w:firstLineChars="1500"/>
              <w:rPr>
                <w:rFonts w:hint="eastAsia"/>
                <w:sz w:val="24"/>
              </w:rPr>
            </w:pPr>
          </w:p>
        </w:tc>
        <w:tc>
          <w:tcPr>
            <w:tcW w:w="1746" w:type="dxa"/>
            <w:tcBorders>
              <w:top w:val="single" w:color="000000" w:sz="4" w:space="0"/>
              <w:left w:val="nil"/>
              <w:bottom w:val="single" w:color="000000" w:sz="4" w:space="0"/>
              <w:right w:val="single" w:color="000000" w:sz="4" w:space="0"/>
            </w:tcBorders>
            <w:noWrap w:val="0"/>
            <w:vAlign w:val="top"/>
          </w:tcPr>
          <w:p>
            <w:pPr>
              <w:spacing w:line="360" w:lineRule="auto"/>
              <w:ind w:firstLine="3600" w:firstLineChars="1500"/>
              <w:rPr>
                <w:rFonts w:hint="eastAsia"/>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ind w:firstLine="3600" w:firstLineChars="1500"/>
              <w:rPr>
                <w:rFonts w:hint="eastAsia"/>
                <w:sz w:val="24"/>
              </w:rPr>
            </w:pPr>
            <w:r>
              <w:rPr>
                <w:rFonts w:hint="eastAsia"/>
                <w:sz w:val="24"/>
              </w:rPr>
              <w:t>6</w:t>
            </w:r>
          </w:p>
        </w:tc>
        <w:tc>
          <w:tcPr>
            <w:tcW w:w="2387"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1462"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2415" w:type="dxa"/>
            <w:tcBorders>
              <w:top w:val="single" w:color="000000" w:sz="4" w:space="0"/>
              <w:left w:val="single" w:color="000000" w:sz="4" w:space="0"/>
              <w:bottom w:val="single" w:color="000000" w:sz="4" w:space="0"/>
              <w:right w:val="single" w:color="auto" w:sz="4" w:space="0"/>
            </w:tcBorders>
            <w:noWrap w:val="0"/>
            <w:vAlign w:val="top"/>
          </w:tcPr>
          <w:p>
            <w:pPr>
              <w:spacing w:line="360" w:lineRule="auto"/>
              <w:ind w:firstLine="3600" w:firstLineChars="1500"/>
              <w:rPr>
                <w:rFonts w:hint="eastAsia"/>
                <w:sz w:val="24"/>
              </w:rPr>
            </w:pPr>
          </w:p>
        </w:tc>
        <w:tc>
          <w:tcPr>
            <w:tcW w:w="1746" w:type="dxa"/>
            <w:tcBorders>
              <w:top w:val="single" w:color="000000" w:sz="4" w:space="0"/>
              <w:left w:val="nil"/>
              <w:bottom w:val="single" w:color="000000" w:sz="4" w:space="0"/>
              <w:right w:val="single" w:color="000000" w:sz="4" w:space="0"/>
            </w:tcBorders>
            <w:noWrap w:val="0"/>
            <w:vAlign w:val="top"/>
          </w:tcPr>
          <w:p>
            <w:pPr>
              <w:spacing w:line="360" w:lineRule="auto"/>
              <w:ind w:firstLine="3600" w:firstLineChars="1500"/>
              <w:rPr>
                <w:rFonts w:hint="eastAsia"/>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ind w:firstLine="3600" w:firstLineChars="1500"/>
              <w:rPr>
                <w:rFonts w:hint="eastAsia"/>
                <w:sz w:val="24"/>
              </w:rPr>
            </w:pPr>
            <w:r>
              <w:rPr>
                <w:rFonts w:hint="eastAsia"/>
                <w:sz w:val="24"/>
              </w:rPr>
              <w:t>7</w:t>
            </w:r>
          </w:p>
        </w:tc>
        <w:tc>
          <w:tcPr>
            <w:tcW w:w="2387"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1462"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2415" w:type="dxa"/>
            <w:tcBorders>
              <w:top w:val="single" w:color="000000" w:sz="4" w:space="0"/>
              <w:left w:val="single" w:color="000000" w:sz="4" w:space="0"/>
              <w:bottom w:val="single" w:color="000000" w:sz="4" w:space="0"/>
              <w:right w:val="single" w:color="auto" w:sz="4" w:space="0"/>
            </w:tcBorders>
            <w:noWrap w:val="0"/>
            <w:vAlign w:val="top"/>
          </w:tcPr>
          <w:p>
            <w:pPr>
              <w:spacing w:line="360" w:lineRule="auto"/>
              <w:ind w:firstLine="3600" w:firstLineChars="1500"/>
              <w:rPr>
                <w:rFonts w:hint="eastAsia"/>
                <w:sz w:val="24"/>
              </w:rPr>
            </w:pPr>
          </w:p>
        </w:tc>
        <w:tc>
          <w:tcPr>
            <w:tcW w:w="1746" w:type="dxa"/>
            <w:tcBorders>
              <w:top w:val="single" w:color="000000" w:sz="4" w:space="0"/>
              <w:left w:val="nil"/>
              <w:bottom w:val="single" w:color="000000" w:sz="4" w:space="0"/>
              <w:right w:val="single" w:color="000000" w:sz="4" w:space="0"/>
            </w:tcBorders>
            <w:noWrap w:val="0"/>
            <w:vAlign w:val="top"/>
          </w:tcPr>
          <w:p>
            <w:pPr>
              <w:spacing w:line="360" w:lineRule="auto"/>
              <w:ind w:firstLine="3600" w:firstLineChars="1500"/>
              <w:rPr>
                <w:rFonts w:hint="eastAsia"/>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ind w:firstLine="3600" w:firstLineChars="1500"/>
              <w:rPr>
                <w:rFonts w:hint="eastAsia"/>
                <w:sz w:val="24"/>
              </w:rPr>
            </w:pPr>
            <w:r>
              <w:rPr>
                <w:rFonts w:hint="eastAsia"/>
                <w:sz w:val="24"/>
              </w:rPr>
              <w:t>8</w:t>
            </w:r>
          </w:p>
        </w:tc>
        <w:tc>
          <w:tcPr>
            <w:tcW w:w="2387"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1462"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2415" w:type="dxa"/>
            <w:tcBorders>
              <w:top w:val="single" w:color="000000" w:sz="4" w:space="0"/>
              <w:left w:val="single" w:color="000000" w:sz="4" w:space="0"/>
              <w:bottom w:val="single" w:color="000000" w:sz="4" w:space="0"/>
              <w:right w:val="single" w:color="auto" w:sz="4" w:space="0"/>
            </w:tcBorders>
            <w:noWrap w:val="0"/>
            <w:vAlign w:val="top"/>
          </w:tcPr>
          <w:p>
            <w:pPr>
              <w:spacing w:line="360" w:lineRule="auto"/>
              <w:ind w:firstLine="3600" w:firstLineChars="1500"/>
              <w:rPr>
                <w:rFonts w:hint="eastAsia"/>
                <w:sz w:val="24"/>
              </w:rPr>
            </w:pPr>
          </w:p>
        </w:tc>
        <w:tc>
          <w:tcPr>
            <w:tcW w:w="1746" w:type="dxa"/>
            <w:tcBorders>
              <w:top w:val="single" w:color="000000" w:sz="4" w:space="0"/>
              <w:left w:val="nil"/>
              <w:bottom w:val="single" w:color="000000" w:sz="4" w:space="0"/>
              <w:right w:val="single" w:color="000000" w:sz="4" w:space="0"/>
            </w:tcBorders>
            <w:noWrap w:val="0"/>
            <w:vAlign w:val="top"/>
          </w:tcPr>
          <w:p>
            <w:pPr>
              <w:spacing w:line="360" w:lineRule="auto"/>
              <w:ind w:firstLine="3600" w:firstLineChars="1500"/>
              <w:rPr>
                <w:rFonts w:hint="eastAsia"/>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tcBorders>
              <w:top w:val="single" w:color="000000" w:sz="4" w:space="0"/>
              <w:left w:val="single" w:color="000000" w:sz="4" w:space="0"/>
              <w:bottom w:val="single" w:color="000000" w:sz="4" w:space="0"/>
              <w:right w:val="single" w:color="000000" w:sz="4" w:space="0"/>
            </w:tcBorders>
            <w:noWrap w:val="0"/>
            <w:vAlign w:val="center"/>
          </w:tcPr>
          <w:p>
            <w:pPr>
              <w:spacing w:line="360" w:lineRule="auto"/>
              <w:jc w:val="center"/>
              <w:rPr>
                <w:rFonts w:hint="eastAsia"/>
                <w:sz w:val="24"/>
              </w:rPr>
            </w:pPr>
            <w:r>
              <w:rPr>
                <w:rFonts w:hint="eastAsia"/>
                <w:sz w:val="24"/>
              </w:rPr>
              <w:t>合计</w:t>
            </w:r>
          </w:p>
        </w:tc>
        <w:tc>
          <w:tcPr>
            <w:tcW w:w="2387"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1462" w:type="dxa"/>
            <w:tcBorders>
              <w:top w:val="single" w:color="000000" w:sz="4" w:space="0"/>
              <w:left w:val="single" w:color="000000" w:sz="4" w:space="0"/>
              <w:bottom w:val="single" w:color="000000" w:sz="4" w:space="0"/>
              <w:right w:val="single" w:color="000000" w:sz="4" w:space="0"/>
            </w:tcBorders>
            <w:noWrap w:val="0"/>
            <w:vAlign w:val="top"/>
          </w:tcPr>
          <w:p>
            <w:pPr>
              <w:spacing w:line="360" w:lineRule="auto"/>
              <w:ind w:firstLine="3600" w:firstLineChars="1500"/>
              <w:rPr>
                <w:rFonts w:hint="eastAsia"/>
                <w:sz w:val="24"/>
              </w:rPr>
            </w:pPr>
          </w:p>
        </w:tc>
        <w:tc>
          <w:tcPr>
            <w:tcW w:w="2415" w:type="dxa"/>
            <w:tcBorders>
              <w:top w:val="single" w:color="000000" w:sz="4" w:space="0"/>
              <w:left w:val="single" w:color="000000" w:sz="4" w:space="0"/>
              <w:bottom w:val="single" w:color="000000" w:sz="4" w:space="0"/>
              <w:right w:val="single" w:color="auto" w:sz="4" w:space="0"/>
            </w:tcBorders>
            <w:noWrap w:val="0"/>
            <w:vAlign w:val="top"/>
          </w:tcPr>
          <w:p>
            <w:pPr>
              <w:spacing w:line="360" w:lineRule="auto"/>
              <w:ind w:firstLine="3600" w:firstLineChars="1500"/>
              <w:rPr>
                <w:rFonts w:hint="eastAsia"/>
                <w:sz w:val="24"/>
              </w:rPr>
            </w:pPr>
          </w:p>
        </w:tc>
        <w:tc>
          <w:tcPr>
            <w:tcW w:w="1746" w:type="dxa"/>
            <w:tcBorders>
              <w:top w:val="single" w:color="000000" w:sz="4" w:space="0"/>
              <w:left w:val="nil"/>
              <w:bottom w:val="single" w:color="000000" w:sz="4" w:space="0"/>
              <w:right w:val="single" w:color="000000" w:sz="4" w:space="0"/>
            </w:tcBorders>
            <w:noWrap w:val="0"/>
            <w:vAlign w:val="top"/>
          </w:tcPr>
          <w:p>
            <w:pPr>
              <w:spacing w:line="360" w:lineRule="auto"/>
              <w:ind w:firstLine="3600" w:firstLineChars="1500"/>
              <w:rPr>
                <w:rFonts w:hint="eastAsia"/>
                <w:sz w:val="24"/>
              </w:rPr>
            </w:pPr>
          </w:p>
        </w:tc>
      </w:tr>
    </w:tbl>
    <w:p>
      <w:pPr>
        <w:spacing w:line="360" w:lineRule="auto"/>
        <w:ind w:firstLine="3600" w:firstLineChars="1500"/>
        <w:rPr>
          <w:rFonts w:hint="eastAsia"/>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法定代表人签名（或签名章）：                       </w:t>
      </w:r>
    </w:p>
    <w:p>
      <w:pPr>
        <w:spacing w:line="360" w:lineRule="auto"/>
        <w:ind w:firstLine="3600" w:firstLineChars="1500"/>
        <w:rPr>
          <w:rFonts w:hint="eastAsia"/>
          <w:sz w:val="24"/>
        </w:rPr>
      </w:pPr>
      <w:r>
        <w:rPr>
          <w:rFonts w:hint="eastAsia"/>
          <w:sz w:val="24"/>
        </w:rPr>
        <w:t>日 期：</w:t>
      </w:r>
    </w:p>
    <w:p>
      <w:pPr>
        <w:spacing w:line="360" w:lineRule="auto"/>
        <w:ind w:firstLine="3600" w:firstLineChars="1500"/>
        <w:rPr>
          <w:rFonts w:hint="eastAsia"/>
          <w:sz w:val="24"/>
        </w:rPr>
      </w:pPr>
      <w:r>
        <w:rPr>
          <w:rFonts w:hint="eastAsia"/>
          <w:sz w:val="24"/>
        </w:rPr>
        <w:t>投标人全称（公章）：</w:t>
      </w:r>
    </w:p>
    <w:p>
      <w:pPr>
        <w:spacing w:line="360" w:lineRule="auto"/>
        <w:ind w:firstLine="3600" w:firstLineChars="1500"/>
        <w:rPr>
          <w:rFonts w:hint="eastAsia"/>
          <w:sz w:val="24"/>
        </w:rPr>
      </w:pPr>
      <w:r>
        <w:rPr>
          <w:rFonts w:hint="eastAsia"/>
          <w:sz w:val="24"/>
        </w:rPr>
        <w:t xml:space="preserve"> </w:t>
      </w:r>
    </w:p>
    <w:p>
      <w:pPr>
        <w:pStyle w:val="2"/>
        <w:rPr>
          <w:rFonts w:hint="eastAsia" w:hAnsi="宋体"/>
          <w:color w:val="000000"/>
          <w:sz w:val="24"/>
          <w:szCs w:val="24"/>
        </w:rPr>
      </w:pPr>
      <w:r>
        <w:rPr>
          <w:rFonts w:hint="eastAsia" w:hAnsi="宋体"/>
          <w:color w:val="000000"/>
          <w:sz w:val="24"/>
          <w:szCs w:val="24"/>
        </w:rPr>
        <w:t>附件</w:t>
      </w:r>
      <w:r>
        <w:rPr>
          <w:rFonts w:hint="eastAsia" w:hAnsi="宋体"/>
          <w:color w:val="000000"/>
          <w:sz w:val="24"/>
          <w:szCs w:val="24"/>
          <w:lang w:eastAsia="zh-CN"/>
        </w:rPr>
        <w:t>七</w:t>
      </w:r>
      <w:r>
        <w:rPr>
          <w:rFonts w:hint="eastAsia" w:hAnsi="宋体"/>
          <w:color w:val="000000"/>
          <w:sz w:val="24"/>
          <w:szCs w:val="24"/>
        </w:rPr>
        <w:t>：</w:t>
      </w:r>
    </w:p>
    <w:p>
      <w:pPr>
        <w:spacing w:line="360" w:lineRule="auto"/>
        <w:jc w:val="center"/>
        <w:rPr>
          <w:rFonts w:hint="eastAsia"/>
          <w:b/>
          <w:bCs/>
          <w:sz w:val="32"/>
          <w:szCs w:val="32"/>
        </w:rPr>
      </w:pPr>
      <w:r>
        <w:rPr>
          <w:rFonts w:hint="eastAsia"/>
          <w:b/>
          <w:bCs/>
          <w:sz w:val="32"/>
          <w:szCs w:val="32"/>
        </w:rPr>
        <w:t>投标项目明细清单</w:t>
      </w:r>
      <w:r>
        <w:rPr>
          <w:rFonts w:hint="eastAsia"/>
        </w:rPr>
        <w:t xml:space="preserve"> </w:t>
      </w:r>
    </w:p>
    <w:p>
      <w:pPr>
        <w:spacing w:line="360" w:lineRule="auto"/>
        <w:rPr>
          <w:rFonts w:hint="eastAsia"/>
          <w:sz w:val="24"/>
        </w:rPr>
      </w:pPr>
      <w:r>
        <w:rPr>
          <w:rFonts w:hint="eastAsia"/>
          <w:sz w:val="24"/>
        </w:rPr>
        <w:t>项目名称：</w:t>
      </w:r>
    </w:p>
    <w:p>
      <w:pPr>
        <w:spacing w:line="360" w:lineRule="auto"/>
        <w:rPr>
          <w:rFonts w:hint="eastAsia"/>
          <w:sz w:val="24"/>
        </w:rPr>
      </w:pPr>
      <w:r>
        <w:rPr>
          <w:rFonts w:hint="eastAsia"/>
          <w:sz w:val="24"/>
        </w:rPr>
        <w:t>采购编号：</w:t>
      </w:r>
    </w:p>
    <w:tbl>
      <w:tblPr>
        <w:tblStyle w:val="3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7"/>
        <w:gridCol w:w="1681"/>
        <w:gridCol w:w="839"/>
        <w:gridCol w:w="1281"/>
        <w:gridCol w:w="1419"/>
        <w:gridCol w:w="2227"/>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序号</w:t>
            </w:r>
          </w:p>
        </w:tc>
        <w:tc>
          <w:tcPr>
            <w:tcW w:w="1681"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货物名称</w:t>
            </w:r>
          </w:p>
        </w:tc>
        <w:tc>
          <w:tcPr>
            <w:tcW w:w="839"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品牌</w:t>
            </w:r>
          </w:p>
        </w:tc>
        <w:tc>
          <w:tcPr>
            <w:tcW w:w="1281"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规格</w:t>
            </w:r>
          </w:p>
          <w:p>
            <w:pPr>
              <w:spacing w:line="360" w:lineRule="auto"/>
              <w:jc w:val="center"/>
              <w:rPr>
                <w:rFonts w:hint="eastAsia"/>
                <w:sz w:val="24"/>
              </w:rPr>
            </w:pPr>
            <w:r>
              <w:rPr>
                <w:rFonts w:hint="eastAsia"/>
                <w:sz w:val="24"/>
              </w:rPr>
              <w:t>型号</w:t>
            </w:r>
          </w:p>
        </w:tc>
        <w:tc>
          <w:tcPr>
            <w:tcW w:w="1419"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单位及</w:t>
            </w:r>
          </w:p>
          <w:p>
            <w:pPr>
              <w:spacing w:line="360" w:lineRule="auto"/>
              <w:jc w:val="center"/>
              <w:rPr>
                <w:rFonts w:hint="eastAsia"/>
                <w:sz w:val="24"/>
              </w:rPr>
            </w:pPr>
            <w:r>
              <w:rPr>
                <w:rFonts w:hint="eastAsia"/>
                <w:sz w:val="24"/>
              </w:rPr>
              <w:t>数量</w:t>
            </w:r>
          </w:p>
        </w:tc>
        <w:tc>
          <w:tcPr>
            <w:tcW w:w="2227"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性能及指标</w:t>
            </w:r>
          </w:p>
        </w:tc>
        <w:tc>
          <w:tcPr>
            <w:tcW w:w="108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0"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681"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839"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281"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419"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2227"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080"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7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681"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839"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281"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419"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2227"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080" w:type="dxa"/>
            <w:tcBorders>
              <w:top w:val="single" w:color="auto" w:sz="4" w:space="0"/>
              <w:left w:val="nil"/>
              <w:bottom w:val="single" w:color="auto" w:sz="4" w:space="0"/>
              <w:right w:val="single" w:color="auto" w:sz="4" w:space="0"/>
            </w:tcBorders>
            <w:noWrap w:val="0"/>
            <w:vAlign w:val="center"/>
          </w:tcPr>
          <w:p>
            <w:pPr>
              <w:spacing w:line="360" w:lineRule="auto"/>
              <w:ind w:firstLine="3600" w:firstLineChars="1500"/>
              <w:rPr>
                <w:rFonts w:hint="eastAsia"/>
                <w:sz w:val="24"/>
              </w:rPr>
            </w:pPr>
          </w:p>
        </w:tc>
      </w:tr>
    </w:tbl>
    <w:p>
      <w:pPr>
        <w:spacing w:line="360" w:lineRule="auto"/>
        <w:jc w:val="left"/>
        <w:rPr>
          <w:sz w:val="24"/>
        </w:rPr>
      </w:pPr>
    </w:p>
    <w:p>
      <w:pPr>
        <w:spacing w:line="360" w:lineRule="auto"/>
        <w:ind w:firstLine="480" w:firstLineChars="200"/>
        <w:jc w:val="left"/>
        <w:rPr>
          <w:rFonts w:hint="eastAsia"/>
          <w:sz w:val="24"/>
        </w:rPr>
      </w:pPr>
      <w:r>
        <w:rPr>
          <w:rFonts w:hint="eastAsia"/>
          <w:sz w:val="24"/>
        </w:rPr>
        <w:t>注：在填写时，如上表不适合本项目的实际情况，可在确保投标明细内容完整的情况下，根据上表格式自行划表填写。</w:t>
      </w:r>
    </w:p>
    <w:p>
      <w:pPr>
        <w:spacing w:line="360" w:lineRule="auto"/>
        <w:ind w:firstLine="3600" w:firstLineChars="1500"/>
        <w:rPr>
          <w:rFonts w:hint="eastAsia"/>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法定代表人签名（或签名章）：                       </w:t>
      </w:r>
    </w:p>
    <w:p>
      <w:pPr>
        <w:spacing w:line="360" w:lineRule="auto"/>
        <w:ind w:firstLine="3600" w:firstLineChars="1500"/>
        <w:rPr>
          <w:rFonts w:hint="eastAsia"/>
          <w:sz w:val="24"/>
        </w:rPr>
      </w:pPr>
      <w:r>
        <w:rPr>
          <w:rFonts w:hint="eastAsia"/>
          <w:sz w:val="24"/>
        </w:rPr>
        <w:t>日 期：</w:t>
      </w:r>
    </w:p>
    <w:p>
      <w:pPr>
        <w:spacing w:line="360" w:lineRule="auto"/>
        <w:ind w:firstLine="3600" w:firstLineChars="1500"/>
        <w:rPr>
          <w:rFonts w:hint="eastAsia"/>
          <w:sz w:val="24"/>
        </w:rPr>
      </w:pPr>
      <w:r>
        <w:rPr>
          <w:rFonts w:hint="eastAsia"/>
          <w:sz w:val="24"/>
        </w:rPr>
        <w:t>投标人全称（公章）：</w:t>
      </w:r>
    </w:p>
    <w:p>
      <w:pPr>
        <w:pStyle w:val="2"/>
        <w:rPr>
          <w:rFonts w:hint="eastAsia" w:hAnsi="宋体"/>
          <w:bCs/>
          <w:color w:val="000000"/>
          <w:sz w:val="24"/>
          <w:szCs w:val="24"/>
        </w:rPr>
      </w:pPr>
      <w:r>
        <w:rPr>
          <w:rFonts w:hAnsi="宋体"/>
          <w:sz w:val="24"/>
          <w:szCs w:val="21"/>
        </w:rPr>
        <w:br w:type="page"/>
      </w:r>
      <w:r>
        <w:rPr>
          <w:rFonts w:hint="eastAsia" w:hAnsi="宋体"/>
          <w:bCs/>
          <w:color w:val="000000"/>
          <w:sz w:val="24"/>
          <w:szCs w:val="24"/>
        </w:rPr>
        <w:t>附件</w:t>
      </w:r>
      <w:r>
        <w:rPr>
          <w:rFonts w:hint="eastAsia" w:hAnsi="宋体"/>
          <w:bCs/>
          <w:color w:val="000000"/>
          <w:sz w:val="24"/>
          <w:szCs w:val="24"/>
          <w:lang w:eastAsia="zh-CN"/>
        </w:rPr>
        <w:t>八</w:t>
      </w:r>
      <w:r>
        <w:rPr>
          <w:rFonts w:hint="eastAsia" w:hAnsi="宋体"/>
          <w:bCs/>
          <w:color w:val="000000"/>
          <w:sz w:val="24"/>
          <w:szCs w:val="24"/>
        </w:rPr>
        <w:t>：</w:t>
      </w:r>
    </w:p>
    <w:p>
      <w:pPr>
        <w:spacing w:line="360" w:lineRule="auto"/>
        <w:jc w:val="center"/>
        <w:rPr>
          <w:rFonts w:hint="eastAsia"/>
          <w:b/>
          <w:bCs/>
          <w:sz w:val="32"/>
          <w:szCs w:val="32"/>
        </w:rPr>
      </w:pPr>
      <w:r>
        <w:rPr>
          <w:rFonts w:hint="eastAsia"/>
          <w:b/>
          <w:bCs/>
          <w:sz w:val="32"/>
          <w:szCs w:val="32"/>
        </w:rPr>
        <w:t>技术响应及建议表</w:t>
      </w:r>
    </w:p>
    <w:p>
      <w:pPr>
        <w:spacing w:line="360" w:lineRule="auto"/>
        <w:jc w:val="left"/>
        <w:rPr>
          <w:rFonts w:hint="eastAsia"/>
          <w:sz w:val="24"/>
        </w:rPr>
      </w:pPr>
      <w:r>
        <w:rPr>
          <w:rFonts w:hint="eastAsia"/>
          <w:sz w:val="24"/>
        </w:rPr>
        <w:t>项目名称：</w:t>
      </w:r>
    </w:p>
    <w:p>
      <w:pPr>
        <w:spacing w:line="360" w:lineRule="auto"/>
        <w:jc w:val="left"/>
        <w:rPr>
          <w:rFonts w:hint="eastAsia"/>
          <w:sz w:val="24"/>
        </w:rPr>
      </w:pPr>
      <w:r>
        <w:rPr>
          <w:rFonts w:hint="eastAsia"/>
          <w:sz w:val="24"/>
        </w:rPr>
        <w:t>采购编号：</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序号</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货物名称</w:t>
            </w:r>
          </w:p>
        </w:tc>
        <w:tc>
          <w:tcPr>
            <w:tcW w:w="198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招标文件要求</w:t>
            </w:r>
          </w:p>
        </w:tc>
        <w:tc>
          <w:tcPr>
            <w:tcW w:w="25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投标文件响应</w:t>
            </w:r>
          </w:p>
        </w:tc>
        <w:tc>
          <w:tcPr>
            <w:tcW w:w="195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25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25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25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25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98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25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c>
          <w:tcPr>
            <w:tcW w:w="1953" w:type="dxa"/>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投标建议</w:t>
            </w:r>
          </w:p>
        </w:tc>
        <w:tc>
          <w:tcPr>
            <w:tcW w:w="6453" w:type="dxa"/>
            <w:gridSpan w:val="3"/>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3600" w:firstLineChars="1500"/>
              <w:rPr>
                <w:rFonts w:hint="eastAsia"/>
                <w:sz w:val="24"/>
              </w:rPr>
            </w:pPr>
          </w:p>
        </w:tc>
      </w:tr>
    </w:tbl>
    <w:p>
      <w:pPr>
        <w:spacing w:line="360" w:lineRule="auto"/>
        <w:ind w:firstLine="3600" w:firstLineChars="1500"/>
        <w:rPr>
          <w:rFonts w:hint="eastAsia"/>
          <w:sz w:val="24"/>
        </w:rPr>
      </w:pPr>
      <w:r>
        <w:rPr>
          <w:rFonts w:hint="eastAsia"/>
          <w:sz w:val="24"/>
        </w:rPr>
        <w:t xml:space="preserve"> </w:t>
      </w:r>
    </w:p>
    <w:p>
      <w:pPr>
        <w:spacing w:line="360" w:lineRule="auto"/>
        <w:jc w:val="left"/>
        <w:rPr>
          <w:rFonts w:hint="eastAsia"/>
          <w:sz w:val="24"/>
        </w:rPr>
      </w:pPr>
      <w:r>
        <w:rPr>
          <w:rFonts w:hint="eastAsia"/>
          <w:sz w:val="24"/>
        </w:rPr>
        <w:t>注：货物名称可基于项目清单根据投标人实际情况调整。</w:t>
      </w:r>
    </w:p>
    <w:p>
      <w:pPr>
        <w:spacing w:line="360" w:lineRule="auto"/>
        <w:ind w:firstLine="3600" w:firstLineChars="1500"/>
        <w:rPr>
          <w:rFonts w:hint="eastAsia"/>
          <w:sz w:val="24"/>
        </w:rPr>
      </w:pPr>
      <w:r>
        <w:rPr>
          <w:rFonts w:hint="eastAsia"/>
          <w:sz w:val="24"/>
        </w:rPr>
        <w:t xml:space="preserve"> </w:t>
      </w:r>
    </w:p>
    <w:p>
      <w:pPr>
        <w:spacing w:line="360" w:lineRule="auto"/>
        <w:ind w:firstLine="3600" w:firstLineChars="1500"/>
        <w:rPr>
          <w:rFonts w:hint="eastAsia"/>
          <w:sz w:val="24"/>
        </w:rPr>
      </w:pPr>
      <w:r>
        <w:rPr>
          <w:sz w:val="24"/>
        </w:rPr>
        <w:t xml:space="preserve"> </w:t>
      </w:r>
    </w:p>
    <w:p>
      <w:pPr>
        <w:spacing w:line="360" w:lineRule="auto"/>
        <w:ind w:firstLine="3600" w:firstLineChars="1500"/>
        <w:rPr>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法定代表人签名（或签名章）：                       </w:t>
      </w:r>
    </w:p>
    <w:p>
      <w:pPr>
        <w:spacing w:line="360" w:lineRule="auto"/>
        <w:ind w:firstLine="3600" w:firstLineChars="1500"/>
        <w:rPr>
          <w:rFonts w:hint="eastAsia"/>
          <w:sz w:val="24"/>
        </w:rPr>
      </w:pPr>
      <w:r>
        <w:rPr>
          <w:rFonts w:hint="eastAsia"/>
          <w:sz w:val="24"/>
        </w:rPr>
        <w:t>日 期：</w:t>
      </w:r>
    </w:p>
    <w:p>
      <w:pPr>
        <w:spacing w:line="360" w:lineRule="auto"/>
        <w:ind w:firstLine="3600" w:firstLineChars="1500"/>
        <w:rPr>
          <w:rFonts w:hint="eastAsia"/>
          <w:sz w:val="24"/>
        </w:rPr>
      </w:pPr>
      <w:r>
        <w:rPr>
          <w:rFonts w:hint="eastAsia"/>
          <w:sz w:val="24"/>
        </w:rPr>
        <w:t>投标人全称（公章）：</w:t>
      </w:r>
    </w:p>
    <w:p>
      <w:pPr>
        <w:pStyle w:val="2"/>
        <w:rPr>
          <w:rFonts w:hint="eastAsia" w:hAnsi="宋体"/>
          <w:bCs/>
          <w:color w:val="000000"/>
          <w:sz w:val="24"/>
          <w:szCs w:val="24"/>
        </w:rPr>
      </w:pPr>
      <w:r>
        <w:rPr>
          <w:rFonts w:hint="eastAsia" w:hAnsi="宋体"/>
          <w:bCs/>
          <w:color w:val="000000"/>
          <w:sz w:val="24"/>
          <w:szCs w:val="24"/>
        </w:rPr>
        <w:br w:type="page"/>
      </w:r>
      <w:r>
        <w:rPr>
          <w:rFonts w:hint="eastAsia" w:hAnsi="宋体"/>
          <w:bCs/>
          <w:color w:val="000000"/>
          <w:sz w:val="24"/>
          <w:szCs w:val="24"/>
        </w:rPr>
        <w:t>附件</w:t>
      </w:r>
      <w:r>
        <w:rPr>
          <w:rFonts w:hint="eastAsia" w:hAnsi="宋体"/>
          <w:bCs/>
          <w:color w:val="000000"/>
          <w:sz w:val="24"/>
          <w:szCs w:val="24"/>
          <w:lang w:eastAsia="zh-CN"/>
        </w:rPr>
        <w:t>九</w:t>
      </w:r>
      <w:r>
        <w:rPr>
          <w:rFonts w:hint="eastAsia" w:hAnsi="宋体"/>
          <w:bCs/>
          <w:color w:val="000000"/>
          <w:sz w:val="24"/>
          <w:szCs w:val="24"/>
        </w:rPr>
        <w:t>：</w:t>
      </w:r>
    </w:p>
    <w:p>
      <w:pPr>
        <w:spacing w:line="360" w:lineRule="auto"/>
        <w:jc w:val="center"/>
        <w:rPr>
          <w:rFonts w:hint="eastAsia"/>
          <w:b/>
          <w:bCs/>
          <w:sz w:val="32"/>
          <w:szCs w:val="32"/>
        </w:rPr>
      </w:pPr>
      <w:r>
        <w:rPr>
          <w:rFonts w:hint="eastAsia"/>
          <w:b/>
          <w:bCs/>
          <w:sz w:val="32"/>
          <w:szCs w:val="32"/>
        </w:rPr>
        <w:t>商务响应表</w:t>
      </w:r>
    </w:p>
    <w:p>
      <w:pPr>
        <w:spacing w:line="360" w:lineRule="auto"/>
        <w:rPr>
          <w:rFonts w:hint="eastAsia"/>
          <w:sz w:val="24"/>
        </w:rPr>
      </w:pPr>
      <w:r>
        <w:rPr>
          <w:rFonts w:hint="eastAsia"/>
          <w:sz w:val="24"/>
        </w:rPr>
        <w:t>项目名称：</w:t>
      </w:r>
    </w:p>
    <w:p>
      <w:pPr>
        <w:spacing w:line="360" w:lineRule="auto"/>
        <w:rPr>
          <w:rFonts w:hint="eastAsia"/>
          <w:sz w:val="24"/>
        </w:rPr>
      </w:pPr>
      <w:r>
        <w:rPr>
          <w:rFonts w:hint="eastAsia"/>
          <w:sz w:val="24"/>
        </w:rPr>
        <w:t>采购编号：</w:t>
      </w:r>
    </w:p>
    <w:tbl>
      <w:tblPr>
        <w:tblStyle w:val="3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2700"/>
        <w:gridCol w:w="1260"/>
        <w:gridCol w:w="302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项目</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招标文件要求</w:t>
            </w: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是否</w:t>
            </w:r>
          </w:p>
          <w:p>
            <w:pPr>
              <w:spacing w:line="360" w:lineRule="auto"/>
              <w:jc w:val="center"/>
              <w:rPr>
                <w:rFonts w:hint="eastAsia"/>
                <w:sz w:val="24"/>
              </w:rPr>
            </w:pPr>
            <w:r>
              <w:rPr>
                <w:rFonts w:hint="eastAsia"/>
                <w:sz w:val="24"/>
              </w:rPr>
              <w:t>响应</w:t>
            </w: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投标人的承诺或说明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供货时间（项目工期）及地点</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付款条件</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违约责任及争议解决方式</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项目维护计划</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售后服务响应情况</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本地化服务</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技术培训</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公司技术力量情况</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经验或业绩要求</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各类证书</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w:t>
            </w:r>
          </w:p>
        </w:tc>
        <w:tc>
          <w:tcPr>
            <w:tcW w:w="27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c>
          <w:tcPr>
            <w:tcW w:w="302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p>
        </w:tc>
      </w:tr>
    </w:tbl>
    <w:p>
      <w:pPr>
        <w:spacing w:line="360" w:lineRule="auto"/>
        <w:ind w:left="3600" w:leftChars="1800" w:firstLine="400" w:firstLineChars="200"/>
        <w:rPr>
          <w:rFonts w:hint="eastAsia"/>
        </w:rPr>
      </w:pPr>
      <w:r>
        <w:rPr>
          <w:rFonts w:hint="eastAsia"/>
        </w:rPr>
        <w:t xml:space="preserve"> </w:t>
      </w:r>
    </w:p>
    <w:p>
      <w:pPr>
        <w:spacing w:line="360" w:lineRule="auto"/>
        <w:ind w:left="3600" w:leftChars="1800" w:firstLine="400" w:firstLineChars="200"/>
        <w:rPr>
          <w:rFonts w:hint="eastAsia"/>
        </w:rPr>
      </w:pPr>
      <w:r>
        <w:rPr>
          <w:rFonts w:hint="eastAsia"/>
        </w:rPr>
        <w:t xml:space="preserve"> </w:t>
      </w:r>
    </w:p>
    <w:p>
      <w:pPr>
        <w:spacing w:line="360" w:lineRule="auto"/>
        <w:ind w:left="3600" w:leftChars="1800" w:firstLine="400" w:firstLineChars="200"/>
        <w:rPr>
          <w:rFonts w:hint="eastAsia"/>
        </w:rPr>
      </w:pPr>
      <w:r>
        <w:rPr>
          <w:rFonts w:hint="eastAsia"/>
        </w:rPr>
        <w:t xml:space="preserve"> </w:t>
      </w:r>
    </w:p>
    <w:p>
      <w:pPr>
        <w:spacing w:line="360" w:lineRule="auto"/>
        <w:ind w:firstLine="3600" w:firstLineChars="1500"/>
        <w:rPr>
          <w:rFonts w:hint="eastAsia"/>
          <w:sz w:val="24"/>
        </w:rPr>
      </w:pPr>
      <w:r>
        <w:rPr>
          <w:rFonts w:hint="eastAsia"/>
          <w:sz w:val="24"/>
        </w:rPr>
        <w:t xml:space="preserve">法定代表人签名（或签名章）：                       </w:t>
      </w:r>
    </w:p>
    <w:p>
      <w:pPr>
        <w:spacing w:line="360" w:lineRule="auto"/>
        <w:ind w:firstLine="3600" w:firstLineChars="1500"/>
        <w:rPr>
          <w:rFonts w:hint="eastAsia"/>
          <w:sz w:val="24"/>
        </w:rPr>
      </w:pPr>
      <w:r>
        <w:rPr>
          <w:rFonts w:hint="eastAsia"/>
          <w:sz w:val="24"/>
        </w:rPr>
        <w:t>日 期：</w:t>
      </w:r>
    </w:p>
    <w:p>
      <w:pPr>
        <w:spacing w:line="360" w:lineRule="auto"/>
        <w:ind w:firstLine="3600" w:firstLineChars="1500"/>
        <w:rPr>
          <w:rFonts w:hint="eastAsia"/>
          <w:sz w:val="24"/>
        </w:rPr>
      </w:pPr>
      <w:r>
        <w:rPr>
          <w:rFonts w:hint="eastAsia"/>
          <w:sz w:val="24"/>
        </w:rPr>
        <w:t>投标人全称（公章）：</w:t>
      </w:r>
    </w:p>
    <w:p>
      <w:pPr>
        <w:pStyle w:val="2"/>
        <w:rPr>
          <w:rFonts w:hAnsi="宋体"/>
          <w:b w:val="0"/>
          <w:bCs/>
          <w:color w:val="000000"/>
          <w:sz w:val="24"/>
          <w:szCs w:val="24"/>
        </w:rPr>
      </w:pPr>
      <w:r>
        <w:rPr>
          <w:rFonts w:hAnsi="宋体"/>
          <w:color w:val="000000"/>
          <w:sz w:val="24"/>
          <w:szCs w:val="24"/>
        </w:rPr>
        <w:br w:type="page"/>
      </w:r>
      <w:r>
        <w:rPr>
          <w:rFonts w:hint="eastAsia" w:hAnsi="宋体"/>
          <w:color w:val="000000"/>
          <w:sz w:val="24"/>
          <w:szCs w:val="24"/>
        </w:rPr>
        <w:t>附件</w:t>
      </w:r>
      <w:r>
        <w:rPr>
          <w:rFonts w:hint="eastAsia" w:hAnsi="宋体"/>
          <w:color w:val="000000"/>
          <w:sz w:val="24"/>
          <w:szCs w:val="24"/>
          <w:lang w:eastAsia="zh-CN"/>
        </w:rPr>
        <w:t>十</w:t>
      </w:r>
      <w:r>
        <w:rPr>
          <w:rFonts w:hint="eastAsia" w:hAnsi="宋体"/>
          <w:color w:val="000000"/>
          <w:sz w:val="24"/>
          <w:szCs w:val="24"/>
        </w:rPr>
        <w:t>：</w:t>
      </w:r>
    </w:p>
    <w:p>
      <w:pPr>
        <w:spacing w:line="360" w:lineRule="auto"/>
        <w:jc w:val="center"/>
        <w:rPr>
          <w:rFonts w:hint="eastAsia"/>
          <w:b/>
          <w:bCs/>
          <w:sz w:val="32"/>
          <w:szCs w:val="32"/>
        </w:rPr>
      </w:pPr>
      <w:r>
        <w:rPr>
          <w:rFonts w:hint="eastAsia"/>
          <w:b/>
          <w:bCs/>
          <w:sz w:val="32"/>
          <w:szCs w:val="32"/>
        </w:rPr>
        <w:t>项目组人员清单</w:t>
      </w:r>
    </w:p>
    <w:p>
      <w:pPr>
        <w:snapToGrid w:val="0"/>
        <w:spacing w:before="159" w:beforeLines="50" w:after="50"/>
        <w:jc w:val="center"/>
        <w:rPr>
          <w:rFonts w:hint="eastAsia"/>
          <w:b/>
          <w:sz w:val="30"/>
          <w:szCs w:val="30"/>
        </w:rPr>
      </w:pPr>
      <w:r>
        <w:rPr>
          <w:rFonts w:hint="eastAsia"/>
          <w:b/>
          <w:sz w:val="30"/>
          <w:szCs w:val="30"/>
        </w:rPr>
        <w:t xml:space="preserve"> </w:t>
      </w:r>
    </w:p>
    <w:p>
      <w:pPr>
        <w:spacing w:line="360" w:lineRule="auto"/>
        <w:jc w:val="left"/>
        <w:rPr>
          <w:rFonts w:hint="eastAsia"/>
          <w:sz w:val="24"/>
        </w:rPr>
      </w:pPr>
      <w:r>
        <w:rPr>
          <w:rFonts w:hint="eastAsia"/>
          <w:sz w:val="24"/>
        </w:rPr>
        <w:t>项目名称：</w:t>
      </w:r>
    </w:p>
    <w:p>
      <w:pPr>
        <w:spacing w:line="360" w:lineRule="auto"/>
        <w:jc w:val="left"/>
        <w:rPr>
          <w:rFonts w:hint="eastAsia"/>
          <w:sz w:val="24"/>
        </w:rPr>
      </w:pPr>
      <w:r>
        <w:rPr>
          <w:rFonts w:hint="eastAsia"/>
          <w:sz w:val="24"/>
        </w:rPr>
        <w:t>采购编号：</w:t>
      </w:r>
    </w:p>
    <w:tbl>
      <w:tblPr>
        <w:tblStyle w:val="3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800"/>
        <w:gridCol w:w="1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姓名</w:t>
            </w:r>
          </w:p>
        </w:tc>
        <w:tc>
          <w:tcPr>
            <w:tcW w:w="1004"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职务</w:t>
            </w:r>
          </w:p>
        </w:tc>
        <w:tc>
          <w:tcPr>
            <w:tcW w:w="1663"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专业技术资格</w:t>
            </w:r>
          </w:p>
        </w:tc>
        <w:tc>
          <w:tcPr>
            <w:tcW w:w="126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证书编号</w:t>
            </w:r>
          </w:p>
        </w:tc>
        <w:tc>
          <w:tcPr>
            <w:tcW w:w="18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参加本单位工作时间</w:t>
            </w:r>
          </w:p>
        </w:tc>
        <w:tc>
          <w:tcPr>
            <w:tcW w:w="1800" w:type="dxa"/>
            <w:tcBorders>
              <w:top w:val="single" w:color="auto" w:sz="4" w:space="0"/>
              <w:left w:val="nil"/>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004"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663"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26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004"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663"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26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004"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663" w:type="dxa"/>
            <w:tcBorders>
              <w:top w:val="single" w:color="auto" w:sz="4" w:space="0"/>
              <w:left w:val="nil"/>
              <w:bottom w:val="single" w:color="auto" w:sz="4" w:space="0"/>
              <w:right w:val="single" w:color="auto" w:sz="4" w:space="0"/>
            </w:tcBorders>
            <w:noWrap w:val="0"/>
            <w:vAlign w:val="top"/>
          </w:tcPr>
          <w:p>
            <w:pPr>
              <w:pStyle w:val="19"/>
              <w:snapToGrid w:val="0"/>
              <w:spacing w:before="159" w:beforeLines="50" w:after="50" w:line="460" w:lineRule="exact"/>
              <w:ind w:left="5000" w:leftChars="0"/>
              <w:rPr>
                <w:rFonts w:hint="eastAsia"/>
                <w:kern w:val="0"/>
                <w:lang w:val="en-US" w:eastAsia="zh-CN"/>
              </w:rPr>
            </w:pPr>
          </w:p>
        </w:tc>
        <w:tc>
          <w:tcPr>
            <w:tcW w:w="126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004"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663"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26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004"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663"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26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004"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663"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26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004"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663"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26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004"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663"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26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04" w:type="dxa"/>
            <w:tcBorders>
              <w:top w:val="single" w:color="auto" w:sz="4" w:space="0"/>
              <w:left w:val="single" w:color="auto" w:sz="4" w:space="0"/>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004"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663"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26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c>
          <w:tcPr>
            <w:tcW w:w="1800" w:type="dxa"/>
            <w:tcBorders>
              <w:top w:val="single" w:color="auto" w:sz="4" w:space="0"/>
              <w:left w:val="nil"/>
              <w:bottom w:val="single" w:color="auto" w:sz="4" w:space="0"/>
              <w:right w:val="single" w:color="auto" w:sz="4" w:space="0"/>
            </w:tcBorders>
            <w:noWrap w:val="0"/>
            <w:vAlign w:val="top"/>
          </w:tcPr>
          <w:p>
            <w:pPr>
              <w:snapToGrid w:val="0"/>
              <w:spacing w:before="159" w:beforeLines="50" w:after="50" w:line="460" w:lineRule="exact"/>
              <w:rPr>
                <w:rFonts w:hint="eastAsia" w:cs="Times New Roman"/>
              </w:rPr>
            </w:pPr>
          </w:p>
        </w:tc>
      </w:tr>
    </w:tbl>
    <w:p>
      <w:pPr>
        <w:adjustRightInd w:val="0"/>
        <w:snapToGrid w:val="0"/>
        <w:spacing w:line="360" w:lineRule="auto"/>
        <w:jc w:val="left"/>
        <w:rPr>
          <w:rFonts w:hint="eastAsia"/>
        </w:rPr>
      </w:pPr>
      <w:r>
        <w:rPr>
          <w:rFonts w:hint="eastAsia"/>
        </w:rPr>
        <w:t xml:space="preserve"> </w:t>
      </w:r>
    </w:p>
    <w:p>
      <w:pPr>
        <w:spacing w:line="360" w:lineRule="auto"/>
        <w:ind w:firstLine="480" w:firstLineChars="200"/>
        <w:jc w:val="left"/>
        <w:rPr>
          <w:rFonts w:hint="eastAsia"/>
          <w:sz w:val="24"/>
        </w:rPr>
      </w:pPr>
      <w:r>
        <w:rPr>
          <w:rFonts w:hint="eastAsia"/>
          <w:sz w:val="24"/>
        </w:rPr>
        <w:t xml:space="preserve">注：在填写时，如本表格不适合投标单位的实际情况，可根据本表格式自行划表填写。 </w:t>
      </w:r>
    </w:p>
    <w:p>
      <w:pPr>
        <w:snapToGrid w:val="0"/>
        <w:spacing w:before="50" w:after="159" w:afterLines="50" w:line="460" w:lineRule="exact"/>
        <w:jc w:val="left"/>
        <w:rPr>
          <w:rFonts w:hint="eastAsia"/>
        </w:rPr>
      </w:pPr>
      <w:r>
        <w:rPr>
          <w:rFonts w:hint="eastAsia"/>
        </w:rPr>
        <w:t xml:space="preserve"> </w:t>
      </w:r>
    </w:p>
    <w:p>
      <w:pPr>
        <w:pStyle w:val="14"/>
        <w:ind w:left="400" w:leftChars="0"/>
        <w:rPr>
          <w:rFonts w:hint="eastAsia"/>
        </w:rPr>
      </w:pPr>
      <w:r>
        <w:t xml:space="preserve"> </w:t>
      </w:r>
    </w:p>
    <w:p>
      <w:pPr>
        <w:spacing w:line="360" w:lineRule="auto"/>
        <w:ind w:firstLine="3600" w:firstLineChars="1500"/>
        <w:rPr>
          <w:rFonts w:hint="eastAsia"/>
          <w:sz w:val="24"/>
        </w:rPr>
      </w:pPr>
      <w:r>
        <w:rPr>
          <w:rFonts w:hint="eastAsia"/>
          <w:sz w:val="24"/>
        </w:rPr>
        <w:t xml:space="preserve">法定代表人签名（或签名章）：                       </w:t>
      </w:r>
    </w:p>
    <w:p>
      <w:pPr>
        <w:spacing w:line="360" w:lineRule="auto"/>
        <w:ind w:firstLine="3600" w:firstLineChars="1500"/>
        <w:rPr>
          <w:rFonts w:hint="eastAsia"/>
          <w:sz w:val="24"/>
        </w:rPr>
      </w:pPr>
      <w:r>
        <w:rPr>
          <w:rFonts w:hint="eastAsia"/>
          <w:sz w:val="24"/>
        </w:rPr>
        <w:t>日 期：</w:t>
      </w:r>
    </w:p>
    <w:p>
      <w:pPr>
        <w:spacing w:line="360" w:lineRule="auto"/>
        <w:ind w:firstLine="3600" w:firstLineChars="1500"/>
        <w:rPr>
          <w:rFonts w:hint="eastAsia"/>
          <w:sz w:val="24"/>
        </w:rPr>
      </w:pPr>
      <w:r>
        <w:rPr>
          <w:rFonts w:hint="eastAsia"/>
          <w:sz w:val="24"/>
        </w:rPr>
        <w:t>投标人全称（公章）：</w:t>
      </w:r>
    </w:p>
    <w:p>
      <w:pPr>
        <w:pStyle w:val="2"/>
        <w:rPr>
          <w:rFonts w:hAnsi="宋体" w:cs="宋体"/>
          <w:color w:val="000000"/>
          <w:sz w:val="24"/>
          <w:szCs w:val="24"/>
          <w:lang w:val="en-US"/>
        </w:rPr>
      </w:pPr>
    </w:p>
    <w:p>
      <w:pPr>
        <w:spacing w:line="360" w:lineRule="auto"/>
        <w:jc w:val="center"/>
        <w:outlineLvl w:val="0"/>
        <w:rPr>
          <w:b/>
          <w:sz w:val="36"/>
          <w:szCs w:val="36"/>
        </w:rPr>
      </w:pPr>
      <w:r>
        <w:rPr>
          <w:rFonts w:hint="eastAsia"/>
          <w:spacing w:val="20"/>
          <w:sz w:val="30"/>
          <w:szCs w:val="30"/>
        </w:rPr>
        <w:br w:type="page"/>
      </w:r>
      <w:bookmarkStart w:id="441" w:name="_Toc121294588"/>
      <w:r>
        <w:rPr>
          <w:rFonts w:hint="eastAsia"/>
          <w:b/>
          <w:sz w:val="36"/>
          <w:szCs w:val="36"/>
        </w:rPr>
        <w:t>报价文件</w:t>
      </w:r>
      <w:bookmarkEnd w:id="441"/>
    </w:p>
    <w:p>
      <w:pPr>
        <w:spacing w:line="360" w:lineRule="auto"/>
        <w:jc w:val="center"/>
        <w:rPr>
          <w:rFonts w:hint="eastAsia"/>
          <w:b/>
          <w:sz w:val="36"/>
          <w:szCs w:val="36"/>
        </w:rPr>
      </w:pPr>
      <w:r>
        <w:rPr>
          <w:rFonts w:hint="eastAsia"/>
          <w:b/>
          <w:sz w:val="36"/>
          <w:szCs w:val="36"/>
        </w:rPr>
        <w:t xml:space="preserve"> </w:t>
      </w:r>
    </w:p>
    <w:p>
      <w:pPr>
        <w:spacing w:line="360" w:lineRule="auto"/>
        <w:jc w:val="center"/>
        <w:rPr>
          <w:rFonts w:hint="eastAsia"/>
          <w:b/>
          <w:sz w:val="36"/>
          <w:szCs w:val="36"/>
        </w:rPr>
      </w:pPr>
      <w:r>
        <w:rPr>
          <w:rFonts w:hint="eastAsia"/>
          <w:b/>
          <w:sz w:val="36"/>
          <w:szCs w:val="36"/>
        </w:rPr>
        <w:t>目录</w:t>
      </w:r>
    </w:p>
    <w:p>
      <w:pPr>
        <w:pStyle w:val="14"/>
        <w:ind w:left="400" w:leftChars="0" w:firstLine="723"/>
        <w:rPr>
          <w:rFonts w:hint="eastAsia" w:ascii="宋体" w:hAnsi="宋体"/>
          <w:b/>
          <w:kern w:val="0"/>
          <w:sz w:val="36"/>
          <w:szCs w:val="36"/>
        </w:rPr>
      </w:pPr>
      <w:r>
        <w:rPr>
          <w:rFonts w:hint="eastAsia" w:ascii="宋体" w:hAnsi="宋体"/>
          <w:b/>
          <w:kern w:val="0"/>
          <w:sz w:val="36"/>
          <w:szCs w:val="36"/>
        </w:rPr>
        <w:t xml:space="preserve"> </w:t>
      </w:r>
    </w:p>
    <w:p>
      <w:pPr>
        <w:spacing w:line="360" w:lineRule="auto"/>
        <w:jc w:val="left"/>
        <w:rPr>
          <w:rFonts w:hint="eastAsia"/>
          <w:sz w:val="24"/>
        </w:rPr>
      </w:pPr>
      <w:r>
        <w:rPr>
          <w:rFonts w:hint="eastAsia"/>
        </w:rPr>
        <w:t>（</w:t>
      </w:r>
      <w:r>
        <w:rPr>
          <w:rFonts w:hint="eastAsia"/>
          <w:sz w:val="24"/>
        </w:rPr>
        <w:t>1）投标函（格式见附件）；</w:t>
      </w:r>
    </w:p>
    <w:p>
      <w:pPr>
        <w:spacing w:line="360" w:lineRule="auto"/>
        <w:jc w:val="left"/>
        <w:rPr>
          <w:rFonts w:hint="eastAsia"/>
          <w:sz w:val="24"/>
        </w:rPr>
      </w:pPr>
      <w:r>
        <w:rPr>
          <w:rFonts w:hint="eastAsia"/>
          <w:sz w:val="24"/>
        </w:rPr>
        <w:t>（2）开标一览表（格式见附件）；</w:t>
      </w:r>
    </w:p>
    <w:p>
      <w:pPr>
        <w:spacing w:line="360" w:lineRule="auto"/>
        <w:jc w:val="left"/>
        <w:rPr>
          <w:rFonts w:hint="eastAsia"/>
          <w:sz w:val="24"/>
        </w:rPr>
      </w:pPr>
      <w:r>
        <w:rPr>
          <w:rFonts w:hint="eastAsia"/>
          <w:sz w:val="24"/>
        </w:rPr>
        <w:t>（3）投标报价明细表（格式见附件）；</w:t>
      </w:r>
    </w:p>
    <w:p>
      <w:pPr>
        <w:pStyle w:val="2"/>
        <w:rPr>
          <w:rFonts w:hint="eastAsia" w:hAnsi="宋体"/>
          <w:bCs/>
          <w:color w:val="000000"/>
          <w:sz w:val="24"/>
          <w:szCs w:val="24"/>
        </w:rPr>
      </w:pPr>
      <w:r>
        <w:rPr>
          <w:rFonts w:hAnsi="宋体"/>
          <w:sz w:val="24"/>
          <w:szCs w:val="21"/>
        </w:rPr>
        <w:br w:type="page"/>
      </w:r>
      <w:r>
        <w:rPr>
          <w:rFonts w:hint="eastAsia" w:hAnsi="宋体"/>
          <w:bCs/>
          <w:color w:val="000000"/>
          <w:sz w:val="24"/>
          <w:szCs w:val="24"/>
        </w:rPr>
        <w:t>附件</w:t>
      </w:r>
      <w:r>
        <w:rPr>
          <w:rFonts w:hint="eastAsia" w:hAnsi="宋体"/>
          <w:bCs/>
          <w:color w:val="000000"/>
          <w:sz w:val="24"/>
          <w:szCs w:val="24"/>
          <w:lang w:eastAsia="zh-CN"/>
        </w:rPr>
        <w:t>十一</w:t>
      </w:r>
      <w:r>
        <w:rPr>
          <w:rFonts w:hint="eastAsia" w:hAnsi="宋体"/>
          <w:bCs/>
          <w:color w:val="000000"/>
          <w:sz w:val="24"/>
          <w:szCs w:val="24"/>
        </w:rPr>
        <w:t>：</w:t>
      </w:r>
    </w:p>
    <w:p>
      <w:pPr>
        <w:spacing w:line="360" w:lineRule="auto"/>
        <w:jc w:val="center"/>
        <w:rPr>
          <w:rFonts w:hint="eastAsia"/>
          <w:b/>
          <w:bCs/>
          <w:sz w:val="32"/>
          <w:szCs w:val="32"/>
        </w:rPr>
      </w:pPr>
      <w:r>
        <w:rPr>
          <w:rFonts w:hint="eastAsia"/>
          <w:b/>
          <w:bCs/>
          <w:sz w:val="32"/>
          <w:szCs w:val="32"/>
        </w:rPr>
        <w:t>投 标 函</w:t>
      </w:r>
    </w:p>
    <w:p>
      <w:pPr>
        <w:spacing w:line="360" w:lineRule="auto"/>
        <w:jc w:val="left"/>
        <w:rPr>
          <w:rFonts w:hint="eastAsia"/>
          <w:sz w:val="24"/>
        </w:rPr>
      </w:pPr>
      <w:r>
        <w:rPr>
          <w:rFonts w:hint="eastAsia"/>
          <w:sz w:val="24"/>
        </w:rPr>
        <w:t>绍兴市公安局上虞区分局：</w:t>
      </w:r>
    </w:p>
    <w:p>
      <w:pPr>
        <w:spacing w:line="360" w:lineRule="auto"/>
        <w:jc w:val="left"/>
        <w:rPr>
          <w:rFonts w:hint="eastAsia"/>
          <w:sz w:val="24"/>
        </w:rPr>
      </w:pPr>
      <w:r>
        <w:rPr>
          <w:rFonts w:hint="eastAsia"/>
          <w:sz w:val="24"/>
        </w:rPr>
        <w:t>绍兴虞宸招标代理有限公司：</w:t>
      </w:r>
    </w:p>
    <w:p>
      <w:pPr>
        <w:spacing w:line="360" w:lineRule="auto"/>
        <w:ind w:firstLine="480" w:firstLineChars="200"/>
        <w:jc w:val="left"/>
        <w:rPr>
          <w:rFonts w:hint="eastAsia"/>
          <w:sz w:val="24"/>
        </w:rPr>
      </w:pPr>
      <w:r>
        <w:rPr>
          <w:rFonts w:hint="eastAsia"/>
          <w:sz w:val="24"/>
        </w:rPr>
        <w:t>我单位认真研究了关于</w:t>
      </w:r>
      <w:r>
        <w:rPr>
          <w:rFonts w:hint="eastAsia"/>
          <w:sz w:val="24"/>
          <w:u w:val="single"/>
        </w:rPr>
        <w:t xml:space="preserve">                      </w:t>
      </w:r>
      <w:r>
        <w:rPr>
          <w:rFonts w:hint="eastAsia"/>
          <w:sz w:val="24"/>
        </w:rPr>
        <w:t>的招标文件，包括修改文件（如有的话）以及全部参考资料和有关附件。我们完全理解并接受招标文件的各项规定和要求，对招标文件的合理性、合法性不再有异议。如招标文件前后有矛盾的，我方完全同意按贵方的理解处理。我单位承诺：</w:t>
      </w:r>
    </w:p>
    <w:p>
      <w:pPr>
        <w:spacing w:line="360" w:lineRule="auto"/>
        <w:ind w:firstLine="480" w:firstLineChars="200"/>
        <w:jc w:val="left"/>
        <w:rPr>
          <w:rFonts w:hint="eastAsia"/>
          <w:sz w:val="24"/>
        </w:rPr>
      </w:pPr>
      <w:r>
        <w:rPr>
          <w:rFonts w:hint="eastAsia"/>
          <w:sz w:val="24"/>
        </w:rPr>
        <w:t>1、一旦我单位中标，我单位愿意承接开标一览表中所列的设备供应及技术服务，交货期为：</w:t>
      </w:r>
      <w:r>
        <w:rPr>
          <w:rFonts w:hint="eastAsia"/>
          <w:sz w:val="24"/>
          <w:u w:val="single"/>
        </w:rPr>
        <w:t xml:space="preserve">            </w:t>
      </w:r>
      <w:r>
        <w:rPr>
          <w:rFonts w:hint="eastAsia"/>
          <w:sz w:val="24"/>
        </w:rPr>
        <w:t>天。</w:t>
      </w:r>
    </w:p>
    <w:p>
      <w:pPr>
        <w:spacing w:line="360" w:lineRule="auto"/>
        <w:ind w:firstLine="480" w:firstLineChars="200"/>
        <w:jc w:val="left"/>
        <w:rPr>
          <w:rFonts w:hint="eastAsia"/>
          <w:sz w:val="24"/>
        </w:rPr>
      </w:pPr>
      <w:r>
        <w:rPr>
          <w:rFonts w:hint="eastAsia"/>
          <w:sz w:val="24"/>
        </w:rPr>
        <w:t>2、我单位同意提供按照采购人的可能要求与其投标有关的一切数据和资料，完全理解采购人不一定要接受最低价者作为中标人。</w:t>
      </w:r>
    </w:p>
    <w:p>
      <w:pPr>
        <w:spacing w:line="360" w:lineRule="auto"/>
        <w:ind w:firstLine="480" w:firstLineChars="200"/>
        <w:jc w:val="left"/>
        <w:rPr>
          <w:rFonts w:hint="eastAsia"/>
          <w:sz w:val="24"/>
        </w:rPr>
      </w:pPr>
      <w:r>
        <w:rPr>
          <w:rFonts w:hint="eastAsia"/>
          <w:sz w:val="24"/>
        </w:rPr>
        <w:t>3、一旦我单位中标，我们保证按照招标文件的要求，完成设备交货、安装、验收并交付使用。</w:t>
      </w:r>
    </w:p>
    <w:p>
      <w:pPr>
        <w:spacing w:line="360" w:lineRule="auto"/>
        <w:ind w:firstLine="480" w:firstLineChars="200"/>
        <w:jc w:val="left"/>
        <w:rPr>
          <w:rFonts w:hint="eastAsia"/>
          <w:sz w:val="24"/>
        </w:rPr>
      </w:pPr>
      <w:r>
        <w:rPr>
          <w:rFonts w:hint="eastAsia"/>
          <w:sz w:val="24"/>
        </w:rPr>
        <w:t>4、如果我单位中标，我方将按照要求严格履行合同义务。</w:t>
      </w:r>
    </w:p>
    <w:p>
      <w:pPr>
        <w:spacing w:line="360" w:lineRule="auto"/>
        <w:ind w:firstLine="480" w:firstLineChars="200"/>
        <w:jc w:val="left"/>
        <w:rPr>
          <w:rFonts w:hint="eastAsia"/>
          <w:sz w:val="24"/>
        </w:rPr>
      </w:pPr>
      <w:r>
        <w:rPr>
          <w:rFonts w:hint="eastAsia"/>
          <w:sz w:val="24"/>
        </w:rPr>
        <w:t>5、除非另行达成协议并生效，你方的中标通知书和本投标函将构成约束你我双方的合同。</w:t>
      </w:r>
    </w:p>
    <w:p>
      <w:pPr>
        <w:spacing w:line="360" w:lineRule="auto"/>
        <w:ind w:firstLine="480" w:firstLineChars="200"/>
        <w:jc w:val="left"/>
        <w:rPr>
          <w:rFonts w:hint="eastAsia"/>
          <w:sz w:val="24"/>
        </w:rPr>
      </w:pPr>
      <w:r>
        <w:rPr>
          <w:rFonts w:hint="eastAsia"/>
          <w:sz w:val="24"/>
        </w:rPr>
        <w:t>6、我单位承诺，一旦发生招标文件第二部分第12条规定情形之一的，承担该条款约定的责任。</w:t>
      </w:r>
    </w:p>
    <w:p>
      <w:pPr>
        <w:spacing w:line="360" w:lineRule="auto"/>
        <w:jc w:val="left"/>
        <w:rPr>
          <w:rFonts w:hint="eastAsia"/>
          <w:sz w:val="24"/>
        </w:rPr>
      </w:pPr>
      <w:r>
        <w:rPr>
          <w:rFonts w:hint="eastAsia"/>
          <w:sz w:val="24"/>
        </w:rPr>
        <w:t xml:space="preserve"> </w:t>
      </w:r>
    </w:p>
    <w:p>
      <w:pPr>
        <w:spacing w:line="360" w:lineRule="auto"/>
        <w:jc w:val="left"/>
        <w:rPr>
          <w:rFonts w:hint="eastAsia"/>
          <w:sz w:val="24"/>
          <w:u w:val="single"/>
        </w:rPr>
      </w:pPr>
      <w:r>
        <w:rPr>
          <w:rFonts w:hint="eastAsia"/>
          <w:sz w:val="24"/>
        </w:rPr>
        <w:t>地址：</w:t>
      </w:r>
      <w:r>
        <w:rPr>
          <w:rFonts w:hint="eastAsia"/>
          <w:sz w:val="24"/>
          <w:u w:val="single"/>
        </w:rPr>
        <w:t xml:space="preserve">                               </w:t>
      </w:r>
      <w:r>
        <w:rPr>
          <w:rFonts w:hint="eastAsia"/>
          <w:sz w:val="24"/>
        </w:rPr>
        <w:t>邮编：</w:t>
      </w:r>
      <w:r>
        <w:rPr>
          <w:rFonts w:hint="eastAsia"/>
          <w:sz w:val="24"/>
          <w:u w:val="single"/>
        </w:rPr>
        <w:t xml:space="preserve">                 </w:t>
      </w:r>
    </w:p>
    <w:p>
      <w:pPr>
        <w:spacing w:line="360" w:lineRule="auto"/>
        <w:jc w:val="left"/>
        <w:rPr>
          <w:rFonts w:hint="eastAsia"/>
          <w:sz w:val="24"/>
        </w:rPr>
      </w:pPr>
      <w:r>
        <w:rPr>
          <w:rFonts w:hint="eastAsia"/>
          <w:sz w:val="24"/>
        </w:rPr>
        <w:t>电话：</w:t>
      </w:r>
      <w:r>
        <w:rPr>
          <w:rFonts w:hint="eastAsia"/>
          <w:sz w:val="24"/>
          <w:u w:val="single"/>
        </w:rPr>
        <w:t xml:space="preserve">                               </w:t>
      </w:r>
      <w:r>
        <w:rPr>
          <w:rFonts w:hint="eastAsia"/>
          <w:sz w:val="24"/>
        </w:rPr>
        <w:t>传真：</w:t>
      </w:r>
      <w:r>
        <w:rPr>
          <w:rFonts w:hint="eastAsia"/>
          <w:sz w:val="24"/>
          <w:u w:val="single"/>
        </w:rPr>
        <w:t xml:space="preserve">                 </w:t>
      </w:r>
    </w:p>
    <w:p>
      <w:pPr>
        <w:spacing w:line="360" w:lineRule="auto"/>
        <w:jc w:val="left"/>
        <w:rPr>
          <w:rFonts w:hint="eastAsia"/>
          <w:sz w:val="24"/>
          <w:u w:val="single"/>
        </w:rPr>
      </w:pPr>
      <w:r>
        <w:rPr>
          <w:rFonts w:hint="eastAsia"/>
          <w:sz w:val="24"/>
        </w:rPr>
        <w:t>供应商代表姓名：</w:t>
      </w:r>
      <w:r>
        <w:rPr>
          <w:rFonts w:hint="eastAsia"/>
          <w:sz w:val="24"/>
          <w:u w:val="single"/>
        </w:rPr>
        <w:t xml:space="preserve">                     </w:t>
      </w:r>
      <w:r>
        <w:rPr>
          <w:rFonts w:hint="eastAsia"/>
          <w:sz w:val="24"/>
        </w:rPr>
        <w:t>职务：</w:t>
      </w:r>
      <w:r>
        <w:rPr>
          <w:rFonts w:hint="eastAsia"/>
          <w:sz w:val="24"/>
          <w:u w:val="single"/>
        </w:rPr>
        <w:t xml:space="preserve">                 </w:t>
      </w:r>
    </w:p>
    <w:p>
      <w:pPr>
        <w:spacing w:line="360" w:lineRule="auto"/>
        <w:jc w:val="left"/>
        <w:rPr>
          <w:rFonts w:hint="eastAsia"/>
          <w:sz w:val="24"/>
        </w:rPr>
      </w:pPr>
      <w:r>
        <w:rPr>
          <w:rFonts w:hint="eastAsia"/>
          <w:sz w:val="24"/>
        </w:rPr>
        <w:t>供应商名称：</w:t>
      </w:r>
      <w:r>
        <w:rPr>
          <w:rFonts w:hint="eastAsia"/>
          <w:sz w:val="24"/>
          <w:u w:val="single"/>
        </w:rPr>
        <w:t xml:space="preserve">       </w:t>
      </w:r>
      <w:r>
        <w:rPr>
          <w:sz w:val="24"/>
          <w:u w:val="single"/>
        </w:rPr>
        <w:t xml:space="preserve">  </w:t>
      </w:r>
      <w:r>
        <w:rPr>
          <w:rFonts w:hint="eastAsia"/>
          <w:sz w:val="24"/>
          <w:u w:val="single"/>
        </w:rPr>
        <w:t xml:space="preserve">               </w:t>
      </w:r>
    </w:p>
    <w:p>
      <w:pPr>
        <w:spacing w:line="360" w:lineRule="auto"/>
        <w:jc w:val="left"/>
        <w:rPr>
          <w:rFonts w:hint="eastAsia"/>
          <w:sz w:val="24"/>
        </w:rPr>
      </w:pPr>
      <w:r>
        <w:rPr>
          <w:rFonts w:hint="eastAsia"/>
          <w:sz w:val="24"/>
        </w:rPr>
        <w:t xml:space="preserve">（公章）：                   </w:t>
      </w:r>
    </w:p>
    <w:p>
      <w:pPr>
        <w:spacing w:line="360" w:lineRule="auto"/>
        <w:ind w:firstLine="3600" w:firstLineChars="1500"/>
        <w:jc w:val="left"/>
        <w:rPr>
          <w:rFonts w:hint="eastAsia"/>
          <w:sz w:val="24"/>
        </w:rPr>
      </w:pPr>
      <w:r>
        <w:rPr>
          <w:rFonts w:hint="eastAsia"/>
          <w:sz w:val="24"/>
        </w:rPr>
        <w:t xml:space="preserve">法定代表人签名（或签名章）： </w:t>
      </w:r>
    </w:p>
    <w:p>
      <w:pPr>
        <w:spacing w:line="360" w:lineRule="auto"/>
        <w:ind w:firstLine="3600" w:firstLineChars="1500"/>
        <w:jc w:val="left"/>
        <w:rPr>
          <w:rFonts w:hint="eastAsia"/>
          <w:sz w:val="24"/>
        </w:rPr>
      </w:pPr>
      <w:r>
        <w:rPr>
          <w:rFonts w:hint="eastAsia"/>
          <w:sz w:val="24"/>
        </w:rPr>
        <w:t>日 期：</w:t>
      </w:r>
    </w:p>
    <w:p>
      <w:pPr>
        <w:spacing w:line="360" w:lineRule="auto"/>
        <w:ind w:firstLine="4400" w:firstLineChars="2200"/>
        <w:rPr>
          <w:rFonts w:hint="eastAsia"/>
          <w:bCs/>
          <w:color w:val="000000"/>
        </w:rPr>
      </w:pPr>
      <w:r>
        <w:rPr>
          <w:rFonts w:hint="eastAsia"/>
          <w:bCs/>
          <w:color w:val="000000"/>
        </w:rPr>
        <w:t xml:space="preserve"> </w:t>
      </w:r>
    </w:p>
    <w:p>
      <w:pPr>
        <w:pStyle w:val="2"/>
        <w:rPr>
          <w:rFonts w:hint="eastAsia" w:hAnsi="宋体"/>
          <w:bCs/>
          <w:color w:val="000000"/>
          <w:sz w:val="24"/>
          <w:szCs w:val="24"/>
        </w:rPr>
      </w:pPr>
      <w:r>
        <w:rPr>
          <w:rFonts w:hint="eastAsia" w:hAnsi="宋体"/>
          <w:bCs/>
          <w:color w:val="000000"/>
          <w:sz w:val="24"/>
          <w:szCs w:val="24"/>
        </w:rPr>
        <w:br w:type="page"/>
      </w:r>
      <w:r>
        <w:rPr>
          <w:rFonts w:hint="eastAsia" w:hAnsi="宋体"/>
          <w:bCs/>
          <w:color w:val="000000"/>
          <w:sz w:val="24"/>
          <w:szCs w:val="24"/>
        </w:rPr>
        <w:t>附件十二：</w:t>
      </w:r>
    </w:p>
    <w:p>
      <w:pPr>
        <w:spacing w:line="360" w:lineRule="auto"/>
        <w:jc w:val="center"/>
        <w:rPr>
          <w:rFonts w:hint="eastAsia"/>
          <w:b/>
          <w:bCs/>
          <w:sz w:val="32"/>
          <w:szCs w:val="32"/>
        </w:rPr>
      </w:pPr>
      <w:r>
        <w:rPr>
          <w:rFonts w:hint="eastAsia"/>
          <w:b/>
          <w:bCs/>
          <w:sz w:val="32"/>
          <w:szCs w:val="32"/>
        </w:rPr>
        <w:t>开标一览表</w:t>
      </w:r>
    </w:p>
    <w:p>
      <w:pPr>
        <w:pStyle w:val="17"/>
        <w:spacing w:line="360" w:lineRule="auto"/>
        <w:rPr>
          <w:rFonts w:hint="eastAsia" w:hAnsi="宋体"/>
          <w:color w:val="000000"/>
          <w:sz w:val="24"/>
          <w:szCs w:val="24"/>
        </w:rPr>
      </w:pPr>
      <w:r>
        <w:rPr>
          <w:rFonts w:hint="eastAsia" w:hAnsi="宋体"/>
          <w:color w:val="000000"/>
          <w:sz w:val="24"/>
          <w:szCs w:val="24"/>
        </w:rPr>
        <w:t xml:space="preserve"> </w:t>
      </w:r>
    </w:p>
    <w:p>
      <w:pPr>
        <w:spacing w:line="360" w:lineRule="auto"/>
        <w:jc w:val="left"/>
        <w:rPr>
          <w:rFonts w:hint="eastAsia"/>
          <w:sz w:val="24"/>
        </w:rPr>
      </w:pPr>
      <w:r>
        <w:rPr>
          <w:rFonts w:hint="eastAsia"/>
          <w:sz w:val="24"/>
        </w:rPr>
        <w:t>项目名称：</w:t>
      </w:r>
    </w:p>
    <w:p>
      <w:pPr>
        <w:spacing w:line="360" w:lineRule="auto"/>
        <w:jc w:val="left"/>
        <w:rPr>
          <w:rFonts w:hint="eastAsia"/>
          <w:sz w:val="24"/>
        </w:rPr>
      </w:pPr>
      <w:r>
        <w:rPr>
          <w:rFonts w:hint="eastAsia"/>
          <w:sz w:val="24"/>
        </w:rPr>
        <w:t xml:space="preserve">采购编号：               </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6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4" w:hRule="atLeast"/>
          <w:jc w:val="center"/>
        </w:trPr>
        <w:tc>
          <w:tcPr>
            <w:tcW w:w="2089"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投标总价</w:t>
            </w:r>
          </w:p>
        </w:tc>
        <w:tc>
          <w:tcPr>
            <w:tcW w:w="670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left"/>
              <w:rPr>
                <w:rFonts w:hint="eastAsia"/>
                <w:sz w:val="24"/>
              </w:rPr>
            </w:pPr>
            <w:r>
              <w:rPr>
                <w:rFonts w:hint="eastAsia"/>
                <w:sz w:val="24"/>
              </w:rPr>
              <w:t>大写：</w:t>
            </w:r>
            <w:r>
              <w:rPr>
                <w:rFonts w:hint="eastAsia"/>
                <w:sz w:val="24"/>
                <w:u w:val="single"/>
              </w:rPr>
              <w:t xml:space="preserve">　　  　 </w:t>
            </w:r>
            <w:r>
              <w:rPr>
                <w:rFonts w:hint="eastAsia"/>
                <w:sz w:val="24"/>
              </w:rPr>
              <w:t>元（小写：</w:t>
            </w:r>
            <w:r>
              <w:rPr>
                <w:rFonts w:hint="eastAsia"/>
                <w:sz w:val="24"/>
                <w:u w:val="single"/>
              </w:rPr>
              <w:t xml:space="preserve">　　 </w:t>
            </w:r>
            <w:r>
              <w:rPr>
                <w:sz w:val="24"/>
                <w:u w:val="single"/>
              </w:rPr>
              <w:t xml:space="preserve">     </w:t>
            </w:r>
            <w:r>
              <w:rPr>
                <w:rFonts w:hint="eastAsia"/>
                <w:sz w:val="24"/>
                <w:u w:val="single"/>
              </w:rPr>
              <w:t>　</w:t>
            </w:r>
            <w:r>
              <w:rPr>
                <w:rFonts w:hint="eastAsia"/>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8" w:hRule="atLeast"/>
          <w:jc w:val="center"/>
        </w:trPr>
        <w:tc>
          <w:tcPr>
            <w:tcW w:w="8796"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ind w:firstLine="480" w:firstLineChars="200"/>
              <w:jc w:val="left"/>
              <w:rPr>
                <w:rFonts w:hint="eastAsia"/>
                <w:sz w:val="24"/>
              </w:rPr>
            </w:pPr>
            <w:r>
              <w:rPr>
                <w:rFonts w:hint="eastAsia"/>
                <w:sz w:val="24"/>
              </w:rPr>
              <w:t>报价包括设备制造、供货、运输、安装、调试、第三方检测、验收、备品备件、售后服务等，以及采购需求中未提到的但在实际采购和安装调试、首次使用过程中需要配置的各种设备、材料和其他如售后服务费、培训费、合同包含的所有风险责任等各项全部费用。</w:t>
            </w:r>
          </w:p>
        </w:tc>
      </w:tr>
    </w:tbl>
    <w:p>
      <w:pPr>
        <w:spacing w:line="360" w:lineRule="auto"/>
        <w:jc w:val="center"/>
        <w:rPr>
          <w:rFonts w:hint="eastAsia"/>
          <w:sz w:val="24"/>
        </w:rPr>
      </w:pPr>
      <w:r>
        <w:rPr>
          <w:rFonts w:hint="eastAsia"/>
          <w:sz w:val="24"/>
        </w:rPr>
        <w:t xml:space="preserve"> </w:t>
      </w:r>
    </w:p>
    <w:p>
      <w:pPr>
        <w:spacing w:line="360" w:lineRule="auto"/>
        <w:jc w:val="center"/>
        <w:rPr>
          <w:rFonts w:hint="eastAsia"/>
          <w:sz w:val="24"/>
        </w:rPr>
      </w:pPr>
      <w:r>
        <w:rPr>
          <w:rFonts w:hint="eastAsia"/>
          <w:sz w:val="24"/>
        </w:rPr>
        <w:t xml:space="preserve"> </w:t>
      </w:r>
    </w:p>
    <w:p>
      <w:pPr>
        <w:spacing w:line="360" w:lineRule="auto"/>
        <w:jc w:val="center"/>
        <w:rPr>
          <w:rFonts w:hint="eastAsia"/>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法定代表人签名（或签名章）：                       </w:t>
      </w:r>
    </w:p>
    <w:p>
      <w:pPr>
        <w:spacing w:line="360" w:lineRule="auto"/>
        <w:ind w:firstLine="3600" w:firstLineChars="1500"/>
        <w:rPr>
          <w:rFonts w:hint="eastAsia"/>
          <w:sz w:val="24"/>
        </w:rPr>
      </w:pPr>
      <w:r>
        <w:rPr>
          <w:rFonts w:hint="eastAsia"/>
          <w:sz w:val="24"/>
        </w:rPr>
        <w:t>日 期：</w:t>
      </w:r>
    </w:p>
    <w:p>
      <w:pPr>
        <w:spacing w:line="360" w:lineRule="auto"/>
        <w:ind w:firstLine="3600" w:firstLineChars="1500"/>
        <w:rPr>
          <w:rFonts w:hint="eastAsia"/>
          <w:sz w:val="24"/>
        </w:rPr>
      </w:pPr>
      <w:r>
        <w:rPr>
          <w:rFonts w:hint="eastAsia"/>
          <w:sz w:val="24"/>
        </w:rPr>
        <w:t>投标人全称（公章）：</w:t>
      </w:r>
    </w:p>
    <w:p>
      <w:pPr>
        <w:pStyle w:val="2"/>
        <w:rPr>
          <w:rFonts w:hint="eastAsia" w:hAnsi="宋体"/>
          <w:bCs/>
          <w:color w:val="000000"/>
          <w:sz w:val="24"/>
          <w:szCs w:val="24"/>
        </w:rPr>
      </w:pPr>
      <w:r>
        <w:rPr>
          <w:rFonts w:hAnsi="宋体"/>
          <w:bCs/>
          <w:color w:val="000000"/>
          <w:sz w:val="24"/>
          <w:szCs w:val="24"/>
        </w:rPr>
        <w:br w:type="page"/>
      </w:r>
      <w:r>
        <w:rPr>
          <w:rFonts w:hint="eastAsia" w:hAnsi="宋体"/>
          <w:bCs/>
          <w:color w:val="000000"/>
          <w:sz w:val="24"/>
          <w:szCs w:val="24"/>
        </w:rPr>
        <w:t>附件十三：</w:t>
      </w:r>
    </w:p>
    <w:p>
      <w:pPr>
        <w:spacing w:line="360" w:lineRule="auto"/>
        <w:jc w:val="center"/>
        <w:rPr>
          <w:rFonts w:hint="eastAsia"/>
          <w:b/>
          <w:bCs/>
          <w:sz w:val="32"/>
          <w:szCs w:val="32"/>
        </w:rPr>
      </w:pPr>
      <w:r>
        <w:rPr>
          <w:rFonts w:hint="eastAsia"/>
          <w:b/>
          <w:bCs/>
          <w:sz w:val="32"/>
          <w:szCs w:val="32"/>
        </w:rPr>
        <w:t>中小企业声明函</w:t>
      </w:r>
    </w:p>
    <w:p>
      <w:pPr>
        <w:widowControl/>
        <w:snapToGrid w:val="0"/>
        <w:spacing w:line="324" w:lineRule="auto"/>
        <w:ind w:firstLine="480" w:firstLineChars="200"/>
        <w:jc w:val="center"/>
        <w:rPr>
          <w:rFonts w:hint="eastAsia"/>
          <w:color w:val="000000"/>
          <w:sz w:val="24"/>
          <w:szCs w:val="24"/>
        </w:rPr>
      </w:pPr>
      <w:r>
        <w:rPr>
          <w:rFonts w:hint="eastAsia"/>
          <w:color w:val="000000"/>
          <w:sz w:val="24"/>
          <w:szCs w:val="24"/>
        </w:rPr>
        <w:t>【不属于中小企业的无需填写、递交】</w:t>
      </w:r>
    </w:p>
    <w:p>
      <w:pPr>
        <w:spacing w:line="360" w:lineRule="auto"/>
        <w:ind w:firstLine="480" w:firstLineChars="200"/>
        <w:jc w:val="left"/>
        <w:rPr>
          <w:rFonts w:hint="eastAsia"/>
          <w:sz w:val="24"/>
        </w:rPr>
      </w:pPr>
      <w:r>
        <w:rPr>
          <w:rFonts w:hint="eastAsia"/>
          <w:sz w:val="24"/>
        </w:rPr>
        <w:t>本公司（联合体）郑重声明，根据《政府采购促进中小企业发展管理办法》 （财库﹝2020﹞46 号）的规定，本公司（联合体）参加  （采购人名称）的   （项目名称）  采购活动，提供的货物全部由符合政策要求的中小企业制造。相关企业（含联合体中的中小企业、签订分包意向协议的中小企业）的具体情况如下：</w:t>
      </w:r>
    </w:p>
    <w:p>
      <w:pPr>
        <w:spacing w:line="360" w:lineRule="auto"/>
        <w:ind w:firstLine="480" w:firstLineChars="200"/>
        <w:jc w:val="left"/>
        <w:rPr>
          <w:rFonts w:hint="eastAsia"/>
          <w:sz w:val="24"/>
        </w:rPr>
      </w:pPr>
      <w:r>
        <w:rPr>
          <w:rFonts w:hint="eastAsia"/>
          <w:sz w:val="24"/>
        </w:rPr>
        <w:t>1.</w:t>
      </w:r>
      <w:r>
        <w:rPr>
          <w:rFonts w:hint="eastAsia"/>
          <w:sz w:val="24"/>
          <w:u w:val="single"/>
        </w:rPr>
        <w:t xml:space="preserve">        （标的名称）</w:t>
      </w:r>
      <w:r>
        <w:rPr>
          <w:rFonts w:hint="eastAsia"/>
          <w:sz w:val="24"/>
        </w:rPr>
        <w:t xml:space="preserve">，属于 </w:t>
      </w:r>
      <w:r>
        <w:rPr>
          <w:rFonts w:hint="eastAsia"/>
          <w:sz w:val="24"/>
          <w:u w:val="single"/>
        </w:rPr>
        <w:t xml:space="preserve">           （采购文件中明确的所属行业）</w:t>
      </w:r>
      <w:r>
        <w:rPr>
          <w:rFonts w:hint="eastAsia"/>
          <w:sz w:val="24"/>
        </w:rPr>
        <w:t xml:space="preserve">行业；制造商为 </w:t>
      </w:r>
      <w:r>
        <w:rPr>
          <w:rFonts w:hint="eastAsia"/>
          <w:sz w:val="24"/>
          <w:u w:val="single"/>
        </w:rPr>
        <w:t xml:space="preserve">          （企业名称）</w:t>
      </w:r>
      <w:r>
        <w:rPr>
          <w:rFonts w:hint="eastAsia"/>
          <w:sz w:val="24"/>
        </w:rPr>
        <w:t xml:space="preserve"> ，从业人员</w:t>
      </w:r>
      <w:r>
        <w:rPr>
          <w:rFonts w:hint="eastAsia"/>
          <w:sz w:val="24"/>
          <w:u w:val="single"/>
        </w:rPr>
        <w:t xml:space="preserve">  </w:t>
      </w:r>
      <w:r>
        <w:rPr>
          <w:sz w:val="24"/>
          <w:u w:val="single"/>
        </w:rPr>
        <w:t xml:space="preserve"> </w:t>
      </w:r>
      <w:r>
        <w:rPr>
          <w:rFonts w:hint="eastAsia"/>
          <w:sz w:val="24"/>
          <w:u w:val="single"/>
        </w:rPr>
        <w:t xml:space="preserve"> </w:t>
      </w:r>
      <w:r>
        <w:rPr>
          <w:rFonts w:hint="eastAsia"/>
          <w:sz w:val="24"/>
        </w:rPr>
        <w:t>人，营业收入为</w:t>
      </w:r>
      <w:r>
        <w:rPr>
          <w:rFonts w:hint="eastAsia"/>
          <w:sz w:val="24"/>
          <w:u w:val="single"/>
        </w:rPr>
        <w:t xml:space="preserve">  </w:t>
      </w:r>
      <w:r>
        <w:rPr>
          <w:sz w:val="24"/>
          <w:u w:val="single"/>
        </w:rPr>
        <w:t xml:space="preserve">   </w:t>
      </w:r>
      <w:r>
        <w:rPr>
          <w:rFonts w:hint="eastAsia"/>
          <w:sz w:val="24"/>
        </w:rPr>
        <w:t>万元，资产总额为</w:t>
      </w:r>
      <w:r>
        <w:rPr>
          <w:rFonts w:hint="eastAsia"/>
          <w:sz w:val="24"/>
          <w:u w:val="single"/>
        </w:rPr>
        <w:t xml:space="preserve">  </w:t>
      </w:r>
      <w:r>
        <w:rPr>
          <w:sz w:val="24"/>
          <w:u w:val="single"/>
        </w:rPr>
        <w:t xml:space="preserve"> </w:t>
      </w:r>
      <w:r>
        <w:rPr>
          <w:rFonts w:hint="eastAsia"/>
          <w:sz w:val="24"/>
          <w:u w:val="single"/>
        </w:rPr>
        <w:t xml:space="preserve">  </w:t>
      </w:r>
      <w:r>
        <w:rPr>
          <w:rFonts w:hint="eastAsia"/>
          <w:sz w:val="24"/>
        </w:rPr>
        <w:t xml:space="preserve">万元 ，属于 </w:t>
      </w:r>
      <w:r>
        <w:rPr>
          <w:rFonts w:hint="eastAsia"/>
          <w:sz w:val="24"/>
          <w:u w:val="single"/>
        </w:rPr>
        <w:t xml:space="preserve">  </w:t>
      </w:r>
      <w:r>
        <w:rPr>
          <w:sz w:val="24"/>
          <w:u w:val="single"/>
        </w:rPr>
        <w:t xml:space="preserve"> </w:t>
      </w:r>
      <w:r>
        <w:rPr>
          <w:rFonts w:hint="eastAsia"/>
          <w:sz w:val="24"/>
          <w:u w:val="single"/>
        </w:rPr>
        <w:t xml:space="preserve">  （中型企业、小型企业、微型企业）</w:t>
      </w:r>
      <w:r>
        <w:rPr>
          <w:rFonts w:hint="eastAsia"/>
          <w:sz w:val="24"/>
        </w:rPr>
        <w:t>；</w:t>
      </w:r>
    </w:p>
    <w:p>
      <w:pPr>
        <w:spacing w:line="360" w:lineRule="auto"/>
        <w:ind w:firstLine="480" w:firstLineChars="200"/>
        <w:jc w:val="left"/>
        <w:rPr>
          <w:sz w:val="24"/>
        </w:rPr>
      </w:pPr>
      <w:r>
        <w:rPr>
          <w:rFonts w:hint="eastAsia"/>
          <w:sz w:val="24"/>
        </w:rPr>
        <w:t>2.</w:t>
      </w:r>
      <w:r>
        <w:rPr>
          <w:rFonts w:hint="eastAsia"/>
          <w:sz w:val="24"/>
          <w:u w:val="single"/>
        </w:rPr>
        <w:t xml:space="preserve">        （标的名称）</w:t>
      </w:r>
      <w:r>
        <w:rPr>
          <w:rFonts w:hint="eastAsia"/>
          <w:sz w:val="24"/>
        </w:rPr>
        <w:t xml:space="preserve">，属于 </w:t>
      </w:r>
      <w:r>
        <w:rPr>
          <w:rFonts w:hint="eastAsia"/>
          <w:sz w:val="24"/>
          <w:u w:val="single"/>
        </w:rPr>
        <w:t xml:space="preserve">           （采购文件中明确的所属行业）</w:t>
      </w:r>
      <w:r>
        <w:rPr>
          <w:rFonts w:hint="eastAsia"/>
          <w:sz w:val="24"/>
        </w:rPr>
        <w:t xml:space="preserve">行业；制造商为 </w:t>
      </w:r>
      <w:r>
        <w:rPr>
          <w:rFonts w:hint="eastAsia"/>
          <w:sz w:val="24"/>
          <w:u w:val="single"/>
        </w:rPr>
        <w:t xml:space="preserve">          （企业名称）</w:t>
      </w:r>
      <w:r>
        <w:rPr>
          <w:rFonts w:hint="eastAsia"/>
          <w:sz w:val="24"/>
        </w:rPr>
        <w:t xml:space="preserve"> ，从业人员</w:t>
      </w:r>
      <w:r>
        <w:rPr>
          <w:rFonts w:hint="eastAsia"/>
          <w:sz w:val="24"/>
          <w:u w:val="single"/>
        </w:rPr>
        <w:t xml:space="preserve">  </w:t>
      </w:r>
      <w:r>
        <w:rPr>
          <w:sz w:val="24"/>
          <w:u w:val="single"/>
        </w:rPr>
        <w:t xml:space="preserve"> </w:t>
      </w:r>
      <w:r>
        <w:rPr>
          <w:rFonts w:hint="eastAsia"/>
          <w:sz w:val="24"/>
          <w:u w:val="single"/>
        </w:rPr>
        <w:t xml:space="preserve"> </w:t>
      </w:r>
      <w:r>
        <w:rPr>
          <w:rFonts w:hint="eastAsia"/>
          <w:sz w:val="24"/>
        </w:rPr>
        <w:t>人，营业收入为</w:t>
      </w:r>
      <w:r>
        <w:rPr>
          <w:rFonts w:hint="eastAsia"/>
          <w:sz w:val="24"/>
          <w:u w:val="single"/>
        </w:rPr>
        <w:t xml:space="preserve">  </w:t>
      </w:r>
      <w:r>
        <w:rPr>
          <w:sz w:val="24"/>
          <w:u w:val="single"/>
        </w:rPr>
        <w:t xml:space="preserve">   </w:t>
      </w:r>
      <w:r>
        <w:rPr>
          <w:rFonts w:hint="eastAsia"/>
          <w:sz w:val="24"/>
        </w:rPr>
        <w:t>万元，资产总额为</w:t>
      </w:r>
      <w:r>
        <w:rPr>
          <w:rFonts w:hint="eastAsia"/>
          <w:sz w:val="24"/>
          <w:u w:val="single"/>
        </w:rPr>
        <w:t xml:space="preserve">  </w:t>
      </w:r>
      <w:r>
        <w:rPr>
          <w:sz w:val="24"/>
          <w:u w:val="single"/>
        </w:rPr>
        <w:t xml:space="preserve"> </w:t>
      </w:r>
      <w:r>
        <w:rPr>
          <w:rFonts w:hint="eastAsia"/>
          <w:sz w:val="24"/>
          <w:u w:val="single"/>
        </w:rPr>
        <w:t xml:space="preserve">  </w:t>
      </w:r>
      <w:r>
        <w:rPr>
          <w:rFonts w:hint="eastAsia"/>
          <w:sz w:val="24"/>
        </w:rPr>
        <w:t xml:space="preserve">万元 ，属于 </w:t>
      </w:r>
      <w:r>
        <w:rPr>
          <w:rFonts w:hint="eastAsia"/>
          <w:sz w:val="24"/>
          <w:u w:val="single"/>
        </w:rPr>
        <w:t xml:space="preserve">  </w:t>
      </w:r>
      <w:r>
        <w:rPr>
          <w:sz w:val="24"/>
          <w:u w:val="single"/>
        </w:rPr>
        <w:t xml:space="preserve"> </w:t>
      </w:r>
      <w:r>
        <w:rPr>
          <w:rFonts w:hint="eastAsia"/>
          <w:sz w:val="24"/>
          <w:u w:val="single"/>
        </w:rPr>
        <w:t xml:space="preserve">  （中型企业、小型企业、微型企业） </w:t>
      </w:r>
      <w:r>
        <w:rPr>
          <w:rFonts w:hint="eastAsia"/>
          <w:sz w:val="24"/>
        </w:rPr>
        <w:t>；</w:t>
      </w:r>
    </w:p>
    <w:p>
      <w:pPr>
        <w:spacing w:line="360" w:lineRule="auto"/>
        <w:ind w:firstLine="480" w:firstLineChars="200"/>
        <w:jc w:val="left"/>
        <w:rPr>
          <w:rFonts w:hint="eastAsia"/>
          <w:sz w:val="24"/>
        </w:rPr>
      </w:pPr>
      <w:r>
        <w:rPr>
          <w:rFonts w:hint="eastAsia"/>
          <w:sz w:val="24"/>
        </w:rPr>
        <w:t>……</w:t>
      </w:r>
    </w:p>
    <w:p>
      <w:pPr>
        <w:spacing w:line="360" w:lineRule="auto"/>
        <w:ind w:firstLine="480" w:firstLineChars="200"/>
        <w:jc w:val="left"/>
        <w:rPr>
          <w:rFonts w:hint="eastAsia"/>
          <w:sz w:val="24"/>
        </w:rPr>
      </w:pPr>
      <w:r>
        <w:rPr>
          <w:rFonts w:hint="eastAsia"/>
          <w:sz w:val="24"/>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sz w:val="24"/>
        </w:rPr>
      </w:pPr>
      <w:r>
        <w:rPr>
          <w:rFonts w:hint="eastAsia"/>
          <w:sz w:val="24"/>
        </w:rPr>
        <w:t>本企业对上述声明内容的真实性负责。如有虚假，将依法承担相应责任。</w:t>
      </w:r>
    </w:p>
    <w:p>
      <w:pPr>
        <w:spacing w:line="360" w:lineRule="auto"/>
        <w:ind w:firstLine="480" w:firstLineChars="200"/>
        <w:jc w:val="left"/>
        <w:rPr>
          <w:rFonts w:hint="eastAsia"/>
          <w:sz w:val="24"/>
        </w:rPr>
      </w:pPr>
      <w:r>
        <w:rPr>
          <w:rFonts w:hint="eastAsia"/>
          <w:sz w:val="24"/>
        </w:rPr>
        <w:t xml:space="preserve"> </w:t>
      </w:r>
    </w:p>
    <w:p>
      <w:pPr>
        <w:spacing w:line="360" w:lineRule="auto"/>
        <w:jc w:val="center"/>
        <w:rPr>
          <w:rFonts w:hint="eastAsia"/>
          <w:sz w:val="24"/>
        </w:rPr>
      </w:pPr>
      <w:r>
        <w:rPr>
          <w:rFonts w:hint="eastAsia"/>
          <w:sz w:val="24"/>
        </w:rPr>
        <w:t xml:space="preserve"> </w:t>
      </w:r>
    </w:p>
    <w:p>
      <w:pPr>
        <w:spacing w:line="360" w:lineRule="auto"/>
        <w:jc w:val="center"/>
        <w:rPr>
          <w:rFonts w:hint="eastAsia"/>
          <w:sz w:val="24"/>
        </w:rPr>
      </w:pPr>
      <w:r>
        <w:rPr>
          <w:rFonts w:hint="eastAsia"/>
          <w:sz w:val="24"/>
        </w:rPr>
        <w:t xml:space="preserve"> </w:t>
      </w:r>
      <w:r>
        <w:rPr>
          <w:sz w:val="24"/>
        </w:rPr>
        <w:t xml:space="preserve">                 </w:t>
      </w:r>
      <w:r>
        <w:rPr>
          <w:rFonts w:hint="eastAsia"/>
          <w:sz w:val="24"/>
        </w:rPr>
        <w:t xml:space="preserve">企业名称（盖章）： </w:t>
      </w:r>
    </w:p>
    <w:p>
      <w:pPr>
        <w:spacing w:line="360" w:lineRule="auto"/>
        <w:jc w:val="center"/>
        <w:rPr>
          <w:rFonts w:hint="eastAsia"/>
          <w:sz w:val="24"/>
        </w:rPr>
      </w:pPr>
      <w:r>
        <w:rPr>
          <w:rFonts w:hint="eastAsia"/>
          <w:sz w:val="24"/>
        </w:rPr>
        <w:t xml:space="preserve"> </w:t>
      </w:r>
      <w:r>
        <w:rPr>
          <w:sz w:val="24"/>
        </w:rPr>
        <w:t xml:space="preserve">                        </w:t>
      </w:r>
      <w:r>
        <w:rPr>
          <w:rFonts w:hint="eastAsia"/>
          <w:sz w:val="24"/>
        </w:rPr>
        <w:t>日期：   年     月     日</w:t>
      </w:r>
    </w:p>
    <w:p>
      <w:pPr>
        <w:spacing w:line="360" w:lineRule="auto"/>
        <w:jc w:val="center"/>
        <w:rPr>
          <w:rFonts w:hint="eastAsia"/>
          <w:sz w:val="24"/>
        </w:rPr>
      </w:pPr>
      <w:r>
        <w:rPr>
          <w:rFonts w:hint="eastAsia"/>
          <w:sz w:val="24"/>
        </w:rPr>
        <w:t xml:space="preserve"> </w:t>
      </w:r>
    </w:p>
    <w:p>
      <w:pPr>
        <w:spacing w:line="360" w:lineRule="auto"/>
        <w:jc w:val="center"/>
        <w:rPr>
          <w:rFonts w:hint="eastAsia"/>
          <w:sz w:val="24"/>
        </w:rPr>
      </w:pPr>
      <w:r>
        <w:rPr>
          <w:rFonts w:hint="eastAsia"/>
          <w:sz w:val="24"/>
        </w:rPr>
        <w:t xml:space="preserve"> </w:t>
      </w:r>
    </w:p>
    <w:p>
      <w:pPr>
        <w:spacing w:line="360" w:lineRule="auto"/>
        <w:jc w:val="center"/>
        <w:rPr>
          <w:rFonts w:hint="eastAsia"/>
          <w:sz w:val="24"/>
        </w:rPr>
      </w:pPr>
      <w:r>
        <w:rPr>
          <w:rFonts w:hint="eastAsia"/>
          <w:sz w:val="24"/>
        </w:rPr>
        <w:t xml:space="preserve"> </w:t>
      </w:r>
    </w:p>
    <w:p>
      <w:pPr>
        <w:spacing w:line="360" w:lineRule="auto"/>
        <w:jc w:val="center"/>
        <w:rPr>
          <w:rFonts w:hint="eastAsia"/>
          <w:sz w:val="24"/>
        </w:rPr>
      </w:pPr>
      <w:r>
        <w:rPr>
          <w:rFonts w:hint="eastAsia"/>
          <w:sz w:val="24"/>
        </w:rPr>
        <w:t xml:space="preserve"> </w:t>
      </w:r>
    </w:p>
    <w:p>
      <w:pPr>
        <w:spacing w:line="360" w:lineRule="auto"/>
        <w:ind w:firstLine="480" w:firstLineChars="200"/>
        <w:jc w:val="left"/>
        <w:rPr>
          <w:rFonts w:hint="eastAsia"/>
          <w:sz w:val="24"/>
        </w:rPr>
      </w:pPr>
      <w:r>
        <w:rPr>
          <w:rFonts w:hint="eastAsia"/>
          <w:sz w:val="24"/>
        </w:rPr>
        <w:t>注：从业人员、营业收入、资产总额填报上一年度数据，无上一年度数据的新成立企业可不填报。</w:t>
      </w:r>
    </w:p>
    <w:p>
      <w:pPr>
        <w:pStyle w:val="2"/>
        <w:rPr>
          <w:rFonts w:hint="eastAsia" w:hAnsi="宋体"/>
          <w:bCs/>
          <w:color w:val="000000"/>
          <w:sz w:val="24"/>
          <w:szCs w:val="24"/>
        </w:rPr>
      </w:pPr>
      <w:r>
        <w:rPr>
          <w:rFonts w:hAnsi="宋体"/>
          <w:bCs/>
          <w:color w:val="000000"/>
          <w:sz w:val="24"/>
          <w:szCs w:val="24"/>
        </w:rPr>
        <w:br w:type="page"/>
      </w:r>
      <w:r>
        <w:rPr>
          <w:rFonts w:hint="eastAsia" w:hAnsi="宋体"/>
          <w:bCs/>
          <w:color w:val="000000"/>
          <w:sz w:val="24"/>
          <w:szCs w:val="24"/>
        </w:rPr>
        <w:t>附件十</w:t>
      </w:r>
      <w:r>
        <w:rPr>
          <w:rFonts w:hint="eastAsia" w:hAnsi="宋体"/>
          <w:bCs/>
          <w:color w:val="000000"/>
          <w:sz w:val="24"/>
          <w:szCs w:val="24"/>
          <w:lang w:eastAsia="zh-CN"/>
        </w:rPr>
        <w:t>四</w:t>
      </w:r>
      <w:r>
        <w:rPr>
          <w:rFonts w:hint="eastAsia" w:hAnsi="宋体"/>
          <w:bCs/>
          <w:color w:val="000000"/>
          <w:sz w:val="24"/>
          <w:szCs w:val="24"/>
        </w:rPr>
        <w:t>：</w:t>
      </w:r>
    </w:p>
    <w:p>
      <w:pPr>
        <w:spacing w:line="360" w:lineRule="auto"/>
        <w:jc w:val="center"/>
        <w:rPr>
          <w:rFonts w:hint="eastAsia"/>
          <w:b/>
          <w:bCs/>
          <w:sz w:val="32"/>
          <w:szCs w:val="32"/>
        </w:rPr>
      </w:pPr>
      <w:r>
        <w:rPr>
          <w:rFonts w:hint="eastAsia"/>
          <w:b/>
          <w:bCs/>
          <w:sz w:val="32"/>
          <w:szCs w:val="32"/>
        </w:rPr>
        <w:t>投标报价明细表</w:t>
      </w:r>
    </w:p>
    <w:p>
      <w:pPr>
        <w:spacing w:line="360" w:lineRule="auto"/>
        <w:jc w:val="left"/>
        <w:rPr>
          <w:rFonts w:hint="eastAsia"/>
          <w:sz w:val="24"/>
        </w:rPr>
      </w:pPr>
      <w:r>
        <w:rPr>
          <w:rFonts w:hint="eastAsia"/>
          <w:sz w:val="24"/>
        </w:rPr>
        <w:t>项目名称：</w:t>
      </w:r>
    </w:p>
    <w:p>
      <w:pPr>
        <w:spacing w:line="360" w:lineRule="auto"/>
        <w:jc w:val="left"/>
        <w:rPr>
          <w:rFonts w:hint="eastAsia"/>
          <w:sz w:val="24"/>
        </w:rPr>
      </w:pPr>
      <w:r>
        <w:rPr>
          <w:rFonts w:hint="eastAsia"/>
          <w:sz w:val="24"/>
        </w:rPr>
        <w:t>采购编号：</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080"/>
        <w:gridCol w:w="1944"/>
        <w:gridCol w:w="1830"/>
        <w:gridCol w:w="720"/>
        <w:gridCol w:w="648"/>
        <w:gridCol w:w="1147"/>
        <w:gridCol w:w="11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序</w:t>
            </w:r>
          </w:p>
          <w:p>
            <w:pPr>
              <w:spacing w:line="360" w:lineRule="auto"/>
              <w:jc w:val="center"/>
              <w:rPr>
                <w:rFonts w:hint="eastAsia"/>
                <w:sz w:val="24"/>
              </w:rPr>
            </w:pPr>
            <w:r>
              <w:rPr>
                <w:rFonts w:hint="eastAsia"/>
                <w:sz w:val="24"/>
              </w:rPr>
              <w:t>号</w:t>
            </w: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货物</w:t>
            </w:r>
          </w:p>
          <w:p>
            <w:pPr>
              <w:spacing w:line="360" w:lineRule="auto"/>
              <w:jc w:val="center"/>
              <w:rPr>
                <w:rFonts w:hint="eastAsia"/>
                <w:sz w:val="24"/>
              </w:rPr>
            </w:pPr>
            <w:r>
              <w:rPr>
                <w:rFonts w:hint="eastAsia"/>
                <w:sz w:val="24"/>
              </w:rPr>
              <w:t>名称</w:t>
            </w:r>
          </w:p>
        </w:tc>
        <w:tc>
          <w:tcPr>
            <w:tcW w:w="194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品牌、</w:t>
            </w:r>
          </w:p>
          <w:p>
            <w:pPr>
              <w:spacing w:line="360" w:lineRule="auto"/>
              <w:jc w:val="center"/>
              <w:rPr>
                <w:rFonts w:hint="eastAsia"/>
                <w:sz w:val="24"/>
              </w:rPr>
            </w:pPr>
            <w:r>
              <w:rPr>
                <w:rFonts w:hint="eastAsia"/>
                <w:sz w:val="24"/>
              </w:rPr>
              <w:t>规格型号</w:t>
            </w:r>
          </w:p>
        </w:tc>
        <w:tc>
          <w:tcPr>
            <w:tcW w:w="1830"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制造商名</w:t>
            </w:r>
          </w:p>
          <w:p>
            <w:pPr>
              <w:spacing w:line="360" w:lineRule="auto"/>
              <w:jc w:val="center"/>
              <w:rPr>
                <w:rFonts w:hint="eastAsia"/>
                <w:sz w:val="24"/>
              </w:rPr>
            </w:pPr>
            <w:r>
              <w:rPr>
                <w:rFonts w:hint="eastAsia"/>
                <w:sz w:val="24"/>
              </w:rPr>
              <w:t>称及产地</w:t>
            </w:r>
          </w:p>
        </w:tc>
        <w:tc>
          <w:tcPr>
            <w:tcW w:w="720"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单</w:t>
            </w:r>
          </w:p>
          <w:p>
            <w:pPr>
              <w:spacing w:line="360" w:lineRule="auto"/>
              <w:jc w:val="center"/>
              <w:rPr>
                <w:rFonts w:hint="eastAsia"/>
                <w:sz w:val="24"/>
              </w:rPr>
            </w:pPr>
            <w:r>
              <w:rPr>
                <w:rFonts w:hint="eastAsia"/>
                <w:sz w:val="24"/>
              </w:rPr>
              <w:t>位</w:t>
            </w:r>
          </w:p>
        </w:tc>
        <w:tc>
          <w:tcPr>
            <w:tcW w:w="648"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数量</w:t>
            </w:r>
          </w:p>
        </w:tc>
        <w:tc>
          <w:tcPr>
            <w:tcW w:w="2270"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投标报价（元）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sz w:val="24"/>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sz w:val="24"/>
              </w:rPr>
            </w:pPr>
          </w:p>
        </w:tc>
        <w:tc>
          <w:tcPr>
            <w:tcW w:w="1944"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sz w:val="24"/>
              </w:rPr>
            </w:pPr>
          </w:p>
        </w:tc>
        <w:tc>
          <w:tcPr>
            <w:tcW w:w="183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sz w:val="24"/>
              </w:rPr>
            </w:pPr>
          </w:p>
        </w:tc>
        <w:tc>
          <w:tcPr>
            <w:tcW w:w="72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sz w:val="24"/>
              </w:rPr>
            </w:pPr>
          </w:p>
        </w:tc>
        <w:tc>
          <w:tcPr>
            <w:tcW w:w="648"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sz w:val="24"/>
              </w:rPr>
            </w:pPr>
          </w:p>
        </w:tc>
        <w:tc>
          <w:tcPr>
            <w:tcW w:w="1147"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单价</w:t>
            </w:r>
          </w:p>
        </w:tc>
        <w:tc>
          <w:tcPr>
            <w:tcW w:w="1123"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94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8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64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147"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c>
          <w:tcPr>
            <w:tcW w:w="1123"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94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8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64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147"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c>
          <w:tcPr>
            <w:tcW w:w="1123"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54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944"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83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72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64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p>
        </w:tc>
        <w:tc>
          <w:tcPr>
            <w:tcW w:w="1147"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c>
          <w:tcPr>
            <w:tcW w:w="1123"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4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c>
          <w:tcPr>
            <w:tcW w:w="1944"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c>
          <w:tcPr>
            <w:tcW w:w="183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c>
          <w:tcPr>
            <w:tcW w:w="648"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c>
          <w:tcPr>
            <w:tcW w:w="1147"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c>
          <w:tcPr>
            <w:tcW w:w="1123"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7" w:hRule="atLeast"/>
          <w:jc w:val="center"/>
        </w:trPr>
        <w:tc>
          <w:tcPr>
            <w:tcW w:w="1620"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投标总价</w:t>
            </w:r>
          </w:p>
        </w:tc>
        <w:tc>
          <w:tcPr>
            <w:tcW w:w="7412" w:type="dxa"/>
            <w:gridSpan w:val="6"/>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sz w:val="24"/>
              </w:rPr>
            </w:pPr>
            <w:r>
              <w:rPr>
                <w:rFonts w:hint="eastAsia"/>
                <w:sz w:val="24"/>
              </w:rPr>
              <w:t>大写：　　　　                元（小写：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032" w:type="dxa"/>
            <w:gridSpan w:val="8"/>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80" w:firstLineChars="200"/>
              <w:jc w:val="left"/>
              <w:rPr>
                <w:rFonts w:hint="eastAsia"/>
                <w:sz w:val="24"/>
              </w:rPr>
            </w:pPr>
            <w:r>
              <w:rPr>
                <w:rFonts w:hint="eastAsia"/>
                <w:sz w:val="24"/>
              </w:rPr>
              <w:t>报价包括设备制造、供货、运输、安装、调试、第三方检测、验收、备品备件、售后服务等，以及采购需求中未提到的但在实际采购和安装调试、首次使用过程中需要配置的各种设备、材料和其他如售后服务费、培训费、合同包含的所有风险责任等各项全部费用。</w:t>
            </w:r>
          </w:p>
        </w:tc>
      </w:tr>
    </w:tbl>
    <w:p>
      <w:pPr>
        <w:spacing w:line="360" w:lineRule="auto"/>
        <w:ind w:firstLine="480" w:firstLineChars="200"/>
        <w:jc w:val="left"/>
        <w:rPr>
          <w:rFonts w:hint="eastAsia"/>
          <w:sz w:val="24"/>
        </w:rPr>
      </w:pPr>
      <w:r>
        <w:rPr>
          <w:rFonts w:hint="eastAsia"/>
          <w:sz w:val="24"/>
        </w:rPr>
        <w:t>注：货物名称包括但不限于主机和标准附件、备品备件、专用工具、安装调试检验、培训、技术服务等，可根据投标人实际情况自行调整。</w:t>
      </w:r>
    </w:p>
    <w:p>
      <w:pPr>
        <w:spacing w:line="360" w:lineRule="auto"/>
        <w:jc w:val="center"/>
        <w:rPr>
          <w:rFonts w:hint="eastAsia"/>
          <w:sz w:val="24"/>
        </w:rPr>
      </w:pPr>
      <w:r>
        <w:rPr>
          <w:rFonts w:hint="eastAsia"/>
          <w:sz w:val="24"/>
        </w:rPr>
        <w:t xml:space="preserve"> </w:t>
      </w:r>
    </w:p>
    <w:p>
      <w:pPr>
        <w:spacing w:line="360" w:lineRule="auto"/>
        <w:jc w:val="center"/>
        <w:rPr>
          <w:rFonts w:hint="eastAsia"/>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法定代表人签名（或签名章）：                       </w:t>
      </w:r>
    </w:p>
    <w:p>
      <w:pPr>
        <w:spacing w:line="360" w:lineRule="auto"/>
        <w:ind w:firstLine="3600" w:firstLineChars="1500"/>
        <w:rPr>
          <w:rFonts w:hint="eastAsia"/>
          <w:sz w:val="24"/>
        </w:rPr>
      </w:pPr>
      <w:r>
        <w:rPr>
          <w:rFonts w:hint="eastAsia"/>
          <w:sz w:val="24"/>
        </w:rPr>
        <w:t>日 期：</w:t>
      </w:r>
    </w:p>
    <w:p>
      <w:pPr>
        <w:spacing w:line="360" w:lineRule="auto"/>
        <w:ind w:firstLine="3600" w:firstLineChars="1500"/>
        <w:rPr>
          <w:rFonts w:hint="eastAsia"/>
          <w:sz w:val="24"/>
        </w:rPr>
      </w:pPr>
      <w:r>
        <w:rPr>
          <w:rFonts w:hint="eastAsia"/>
          <w:sz w:val="24"/>
        </w:rPr>
        <w:t>投标人全称（公章）：</w:t>
      </w:r>
    </w:p>
    <w:p>
      <w:pPr>
        <w:spacing w:line="360" w:lineRule="auto"/>
        <w:ind w:left="480" w:hanging="480"/>
        <w:jc w:val="center"/>
        <w:rPr>
          <w:rFonts w:hint="eastAsia"/>
          <w:b/>
          <w:color w:val="000000"/>
          <w:sz w:val="28"/>
          <w:szCs w:val="28"/>
        </w:rPr>
      </w:pPr>
      <w:r>
        <w:rPr>
          <w:rFonts w:hint="eastAsia"/>
          <w:b/>
          <w:color w:val="000000"/>
          <w:sz w:val="28"/>
          <w:szCs w:val="28"/>
        </w:rPr>
        <w:t xml:space="preserve"> </w:t>
      </w:r>
    </w:p>
    <w:p>
      <w:pPr>
        <w:pStyle w:val="2"/>
        <w:rPr>
          <w:rFonts w:hAnsi="宋体"/>
          <w:color w:val="000000"/>
          <w:sz w:val="24"/>
          <w:szCs w:val="24"/>
        </w:rPr>
      </w:pPr>
      <w:r>
        <w:rPr>
          <w:rFonts w:hAnsi="宋体"/>
          <w:color w:val="000000"/>
          <w:sz w:val="24"/>
          <w:szCs w:val="24"/>
        </w:rPr>
        <w:br w:type="page"/>
      </w:r>
      <w:r>
        <w:rPr>
          <w:rFonts w:hint="eastAsia" w:hAnsi="宋体"/>
          <w:color w:val="000000"/>
          <w:sz w:val="24"/>
          <w:szCs w:val="24"/>
        </w:rPr>
        <w:t>附件十五：</w:t>
      </w:r>
    </w:p>
    <w:p>
      <w:pPr>
        <w:spacing w:line="480" w:lineRule="auto"/>
        <w:jc w:val="center"/>
        <w:rPr>
          <w:rFonts w:hint="eastAsia"/>
          <w:b/>
          <w:bCs/>
          <w:sz w:val="32"/>
          <w:szCs w:val="32"/>
        </w:rPr>
      </w:pPr>
      <w:r>
        <w:rPr>
          <w:rFonts w:hint="eastAsia"/>
          <w:b/>
          <w:bCs/>
          <w:sz w:val="32"/>
          <w:szCs w:val="32"/>
        </w:rPr>
        <w:t>残疾人福利性单位声明函</w:t>
      </w:r>
    </w:p>
    <w:p>
      <w:pPr>
        <w:spacing w:line="480" w:lineRule="auto"/>
        <w:jc w:val="center"/>
        <w:rPr>
          <w:rFonts w:hint="eastAsia"/>
          <w:b/>
          <w:bCs/>
          <w:sz w:val="32"/>
          <w:szCs w:val="32"/>
        </w:rPr>
      </w:pPr>
      <w:r>
        <w:rPr>
          <w:rFonts w:hint="eastAsia"/>
          <w:sz w:val="24"/>
          <w:szCs w:val="24"/>
        </w:rPr>
        <w:t>【不属于残疾人福利性单位的无需填写、递交】</w:t>
      </w:r>
    </w:p>
    <w:p>
      <w:pPr>
        <w:spacing w:line="360" w:lineRule="auto"/>
        <w:ind w:firstLine="480" w:firstLineChars="200"/>
        <w:jc w:val="left"/>
        <w:rPr>
          <w:rFonts w:hint="eastAsia"/>
          <w:sz w:val="24"/>
        </w:rPr>
      </w:pPr>
      <w:r>
        <w:rPr>
          <w:rFonts w:hint="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sz w:val="24"/>
          <w:u w:val="single"/>
        </w:rPr>
        <w:t xml:space="preserve">       </w:t>
      </w:r>
      <w:r>
        <w:rPr>
          <w:rFonts w:hint="eastAsia"/>
          <w:sz w:val="24"/>
        </w:rPr>
        <w:t>单位的</w:t>
      </w:r>
      <w:r>
        <w:rPr>
          <w:rFonts w:hint="eastAsia"/>
          <w:sz w:val="24"/>
          <w:u w:val="single"/>
        </w:rPr>
        <w:t xml:space="preserve">       </w:t>
      </w:r>
      <w:r>
        <w:rPr>
          <w:rFonts w:hint="eastAsia"/>
          <w:sz w:val="24"/>
        </w:rPr>
        <w:t>项目采购活动提供本单位服务，或者提供其他残疾人福利性单位提供的服务。本单位对上述声明的真实性负责。如有虚假，将依法承担相应责任。</w:t>
      </w:r>
    </w:p>
    <w:p>
      <w:pPr>
        <w:spacing w:line="360" w:lineRule="auto"/>
        <w:jc w:val="center"/>
        <w:rPr>
          <w:rFonts w:hint="eastAsia"/>
          <w:sz w:val="24"/>
        </w:rPr>
      </w:pPr>
      <w:r>
        <w:rPr>
          <w:rFonts w:hint="eastAsia"/>
          <w:sz w:val="24"/>
        </w:rPr>
        <w:t xml:space="preserve"> </w:t>
      </w:r>
    </w:p>
    <w:p>
      <w:pPr>
        <w:spacing w:line="360" w:lineRule="auto"/>
        <w:jc w:val="center"/>
        <w:rPr>
          <w:rFonts w:hint="eastAsia"/>
          <w:sz w:val="24"/>
        </w:rPr>
      </w:pPr>
      <w:r>
        <w:rPr>
          <w:sz w:val="24"/>
        </w:rPr>
        <w:t xml:space="preserve"> </w:t>
      </w:r>
    </w:p>
    <w:p>
      <w:pPr>
        <w:spacing w:line="360" w:lineRule="auto"/>
        <w:jc w:val="center"/>
        <w:rPr>
          <w:sz w:val="24"/>
        </w:rPr>
      </w:pPr>
      <w:r>
        <w:rPr>
          <w:rFonts w:hint="eastAsia"/>
          <w:sz w:val="24"/>
        </w:rPr>
        <w:t xml:space="preserve"> </w:t>
      </w:r>
    </w:p>
    <w:p>
      <w:pPr>
        <w:spacing w:line="360" w:lineRule="auto"/>
        <w:ind w:firstLine="3600" w:firstLineChars="1500"/>
        <w:rPr>
          <w:rFonts w:hint="eastAsia"/>
          <w:sz w:val="24"/>
        </w:rPr>
      </w:pPr>
      <w:r>
        <w:rPr>
          <w:rFonts w:hint="eastAsia"/>
          <w:sz w:val="24"/>
        </w:rPr>
        <w:t xml:space="preserve">法定代表人签名（或签名章）：                       </w:t>
      </w:r>
    </w:p>
    <w:p>
      <w:pPr>
        <w:spacing w:line="360" w:lineRule="auto"/>
        <w:ind w:firstLine="3600" w:firstLineChars="1500"/>
        <w:rPr>
          <w:rFonts w:hint="eastAsia"/>
          <w:sz w:val="24"/>
        </w:rPr>
      </w:pPr>
      <w:r>
        <w:rPr>
          <w:rFonts w:hint="eastAsia"/>
          <w:sz w:val="24"/>
        </w:rPr>
        <w:t>日 期：</w:t>
      </w:r>
    </w:p>
    <w:p>
      <w:pPr>
        <w:spacing w:line="360" w:lineRule="auto"/>
        <w:ind w:firstLine="3600" w:firstLineChars="1500"/>
        <w:rPr>
          <w:rFonts w:hint="eastAsia"/>
          <w:sz w:val="24"/>
        </w:rPr>
      </w:pPr>
      <w:r>
        <w:rPr>
          <w:rFonts w:hint="eastAsia"/>
          <w:sz w:val="24"/>
        </w:rPr>
        <w:t>投标人全称（公章）：</w:t>
      </w:r>
    </w:p>
    <w:p>
      <w:pPr>
        <w:spacing w:line="360" w:lineRule="auto"/>
        <w:jc w:val="center"/>
        <w:rPr>
          <w:rFonts w:hint="eastAsia"/>
          <w:sz w:val="24"/>
        </w:rPr>
      </w:pPr>
    </w:p>
    <w:p>
      <w:pPr>
        <w:pStyle w:val="2"/>
        <w:rPr>
          <w:rFonts w:hint="eastAsia" w:hAnsi="宋体"/>
          <w:bCs/>
          <w:color w:val="000000"/>
          <w:sz w:val="24"/>
          <w:szCs w:val="24"/>
        </w:rPr>
      </w:pPr>
      <w:r>
        <w:rPr>
          <w:rFonts w:hint="eastAsia" w:hAnsi="宋体"/>
          <w:sz w:val="24"/>
          <w:szCs w:val="24"/>
        </w:rPr>
        <w:br w:type="page"/>
      </w:r>
      <w:r>
        <w:rPr>
          <w:rFonts w:hint="eastAsia" w:hAnsi="宋体"/>
          <w:bCs/>
          <w:color w:val="000000"/>
          <w:sz w:val="24"/>
          <w:szCs w:val="24"/>
        </w:rPr>
        <w:t>附件十</w:t>
      </w:r>
      <w:r>
        <w:rPr>
          <w:rFonts w:hint="eastAsia" w:hAnsi="宋体"/>
          <w:bCs/>
          <w:color w:val="000000"/>
          <w:sz w:val="24"/>
          <w:szCs w:val="24"/>
          <w:lang w:eastAsia="zh-CN"/>
        </w:rPr>
        <w:t>六</w:t>
      </w:r>
      <w:r>
        <w:rPr>
          <w:rFonts w:hint="eastAsia" w:hAnsi="宋体"/>
          <w:bCs/>
          <w:color w:val="000000"/>
          <w:sz w:val="24"/>
          <w:szCs w:val="24"/>
        </w:rPr>
        <w:t>：</w:t>
      </w:r>
    </w:p>
    <w:p>
      <w:pPr>
        <w:spacing w:line="480" w:lineRule="auto"/>
        <w:jc w:val="center"/>
        <w:rPr>
          <w:rFonts w:hint="eastAsia"/>
          <w:b/>
          <w:bCs/>
          <w:sz w:val="32"/>
          <w:szCs w:val="32"/>
        </w:rPr>
      </w:pPr>
      <w:r>
        <w:rPr>
          <w:rFonts w:hint="eastAsia"/>
          <w:b/>
          <w:bCs/>
          <w:sz w:val="32"/>
          <w:szCs w:val="32"/>
        </w:rPr>
        <w:t>监狱企业证明文件</w:t>
      </w:r>
    </w:p>
    <w:p>
      <w:pPr>
        <w:spacing w:line="480" w:lineRule="auto"/>
        <w:jc w:val="center"/>
        <w:rPr>
          <w:rFonts w:hint="eastAsia"/>
          <w:sz w:val="24"/>
          <w:szCs w:val="24"/>
        </w:rPr>
      </w:pPr>
      <w:r>
        <w:rPr>
          <w:rFonts w:hint="eastAsia"/>
          <w:sz w:val="24"/>
          <w:szCs w:val="24"/>
        </w:rPr>
        <w:t>【不属于监狱企业的无需填写、递交】</w:t>
      </w:r>
    </w:p>
    <w:p>
      <w:pPr>
        <w:widowControl/>
        <w:snapToGrid w:val="0"/>
        <w:spacing w:line="324" w:lineRule="auto"/>
        <w:jc w:val="center"/>
        <w:rPr>
          <w:rFonts w:hint="eastAsia"/>
          <w:sz w:val="24"/>
          <w:szCs w:val="24"/>
        </w:rPr>
      </w:pPr>
      <w:r>
        <w:rPr>
          <w:rFonts w:hint="eastAsia"/>
        </w:rPr>
        <w:t xml:space="preserve"> </w:t>
      </w:r>
    </w:p>
    <w:p>
      <w:pPr>
        <w:spacing w:line="588" w:lineRule="exact"/>
        <w:ind w:firstLine="400" w:firstLineChars="200"/>
        <w:rPr>
          <w:rFonts w:hint="eastAsia"/>
        </w:rPr>
      </w:pPr>
      <w:r>
        <w:rPr>
          <w:rFonts w:hint="eastAsia"/>
        </w:rPr>
        <w:t xml:space="preserve"> </w:t>
      </w:r>
    </w:p>
    <w:p>
      <w:pPr>
        <w:spacing w:line="360" w:lineRule="auto"/>
        <w:ind w:firstLine="480" w:firstLineChars="200"/>
        <w:jc w:val="left"/>
        <w:rPr>
          <w:rFonts w:hint="eastAsia"/>
          <w:sz w:val="24"/>
        </w:rPr>
      </w:pPr>
      <w:r>
        <w:rPr>
          <w:rFonts w:hint="eastAsia"/>
          <w:sz w:val="24"/>
        </w:rPr>
        <w:t xml:space="preserve">监狱企业需提供省级以上的监狱管理局、戒毒管理局（含新疆生产建设兵团）出具的属于监狱企业的证明文件。  </w:t>
      </w:r>
    </w:p>
    <w:p>
      <w:pPr>
        <w:spacing w:line="360" w:lineRule="auto"/>
        <w:jc w:val="center"/>
        <w:rPr>
          <w:sz w:val="24"/>
        </w:rPr>
      </w:pPr>
    </w:p>
    <w:p>
      <w:pPr>
        <w:spacing w:line="360" w:lineRule="auto"/>
        <w:jc w:val="center"/>
        <w:rPr>
          <w:sz w:val="24"/>
        </w:rPr>
      </w:pPr>
    </w:p>
    <w:p>
      <w:pPr>
        <w:spacing w:line="360" w:lineRule="auto"/>
        <w:jc w:val="center"/>
        <w:rPr>
          <w:rFonts w:hint="eastAsia"/>
          <w:sz w:val="24"/>
        </w:rPr>
      </w:pPr>
      <w:r>
        <w:rPr>
          <w:rFonts w:hint="eastAsia"/>
          <w:sz w:val="24"/>
        </w:rPr>
        <w:t xml:space="preserve"> </w:t>
      </w:r>
    </w:p>
    <w:p>
      <w:pPr>
        <w:framePr w:wrap="around" w:vAnchor="margin" w:hAnchor="text" w:y="1"/>
        <w:spacing w:line="360" w:lineRule="auto"/>
        <w:jc w:val="center"/>
        <w:rPr>
          <w:rFonts w:hint="eastAsia"/>
          <w:sz w:val="24"/>
        </w:rPr>
      </w:pPr>
      <w:r>
        <w:rPr>
          <w:sz w:val="24"/>
        </w:rPr>
        <w:t xml:space="preserve"> </w:t>
      </w:r>
    </w:p>
    <w:p>
      <w:pPr>
        <w:spacing w:line="360" w:lineRule="auto"/>
        <w:ind w:firstLine="3600" w:firstLineChars="1500"/>
        <w:rPr>
          <w:rFonts w:hint="eastAsia"/>
          <w:sz w:val="24"/>
        </w:rPr>
      </w:pPr>
      <w:r>
        <w:rPr>
          <w:rFonts w:hint="eastAsia"/>
          <w:sz w:val="24"/>
        </w:rPr>
        <w:t xml:space="preserve">法定代表人签名（或签名章）：                       </w:t>
      </w:r>
    </w:p>
    <w:p>
      <w:pPr>
        <w:spacing w:line="360" w:lineRule="auto"/>
        <w:ind w:firstLine="3600" w:firstLineChars="1500"/>
        <w:rPr>
          <w:rFonts w:hint="eastAsia"/>
          <w:sz w:val="24"/>
        </w:rPr>
      </w:pPr>
      <w:r>
        <w:rPr>
          <w:rFonts w:hint="eastAsia"/>
          <w:sz w:val="24"/>
        </w:rPr>
        <w:t>日 期：</w:t>
      </w:r>
    </w:p>
    <w:p>
      <w:pPr>
        <w:spacing w:line="360" w:lineRule="auto"/>
        <w:ind w:firstLine="3600" w:firstLineChars="1500"/>
        <w:rPr>
          <w:rFonts w:hint="eastAsia"/>
          <w:sz w:val="24"/>
        </w:rPr>
      </w:pPr>
      <w:r>
        <w:rPr>
          <w:rFonts w:hint="eastAsia"/>
          <w:sz w:val="24"/>
        </w:rPr>
        <w:t>投标人全称（公章）：</w:t>
      </w:r>
    </w:p>
    <w:p>
      <w:pPr>
        <w:spacing w:line="360" w:lineRule="auto"/>
        <w:jc w:val="center"/>
        <w:rPr>
          <w:rFonts w:hint="eastAsia"/>
          <w:b/>
        </w:rPr>
      </w:pPr>
    </w:p>
    <w:p>
      <w:pPr>
        <w:spacing w:line="360" w:lineRule="auto"/>
        <w:jc w:val="center"/>
        <w:rPr>
          <w:rFonts w:hint="eastAsia"/>
          <w:sz w:val="24"/>
        </w:rPr>
      </w:pPr>
    </w:p>
    <w:sectPr>
      <w:type w:val="continuous"/>
      <w:pgSz w:w="11906" w:h="16838"/>
      <w:pgMar w:top="1440" w:right="1797" w:bottom="1440" w:left="1797"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微软雅黑">
    <w:panose1 w:val="020B0503020204020204"/>
    <w:charset w:val="86"/>
    <w:family w:val="swiss"/>
    <w:pitch w:val="default"/>
    <w:sig w:usb0="80000287" w:usb1="2ACF3C50" w:usb2="00000016" w:usb3="00000000" w:csb0="0004001F" w:csb1="00000000"/>
  </w:font>
  <w:font w:name="monospace">
    <w:altName w:val="微软雅黑"/>
    <w:panose1 w:val="00000000000000000000"/>
    <w:charset w:val="00"/>
    <w:family w:val="auto"/>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IOBAEE+TimesNewRoman,Bold">
    <w:altName w:val="宋体"/>
    <w:panose1 w:val="00000000000000000000"/>
    <w:charset w:val="86"/>
    <w:family w:val="roman"/>
    <w:pitch w:val="default"/>
    <w:sig w:usb0="00000001" w:usb1="080E0000" w:usb2="00000010" w:usb3="00000000" w:csb0="00040000" w:csb1="00000000"/>
  </w:font>
  <w:font w:name="Book Antiqua">
    <w:panose1 w:val="02040602050305030304"/>
    <w:charset w:val="00"/>
    <w:family w:val="roman"/>
    <w:pitch w:val="default"/>
    <w:sig w:usb0="00000287" w:usb1="00000000" w:usb2="00000000" w:usb3="00000000" w:csb0="2000009F" w:csb1="DFD70000"/>
  </w:font>
  <w:font w:name="Helvetica Neue">
    <w:altName w:val="Arial"/>
    <w:panose1 w:val="00000000000000000000"/>
    <w:charset w:val="00"/>
    <w:family w:val="auto"/>
    <w:pitch w:val="default"/>
    <w:sig w:usb0="00000000" w:usb1="00000000" w:usb2="00000010" w:usb3="00000000" w:csb0="00000001" w:csb1="00000000"/>
  </w:font>
  <w:font w:name="Arial Unicode MS">
    <w:altName w:val="宋体"/>
    <w:panose1 w:val="020B0604020202020204"/>
    <w:charset w:val="86"/>
    <w:family w:val="swiss"/>
    <w:pitch w:val="default"/>
    <w:sig w:usb0="F7FFAFFF" w:usb1="E9DFFFFF" w:usb2="0000003F" w:usb3="00000000" w:csb0="003F01FF" w:csb1="00000000"/>
  </w:font>
  <w:font w:name="Tahoma">
    <w:panose1 w:val="020B0604030504040204"/>
    <w:charset w:val="00"/>
    <w:family w:val="swiss"/>
    <w:pitch w:val="default"/>
    <w:sig w:usb0="E1002EFF" w:usb1="C000605B" w:usb2="00000029" w:usb3="00000000" w:csb0="200101FF" w:csb1="20280000"/>
  </w:font>
  <w:font w:name="Wingdings 2">
    <w:panose1 w:val="05020102010507070707"/>
    <w:charset w:val="02"/>
    <w:family w:val="roman"/>
    <w:pitch w:val="default"/>
    <w:sig w:usb0="00000000" w:usb1="00000000" w:usb2="00000000" w:usb3="00000000" w:csb0="80000000" w:csb1="00000000"/>
  </w:font>
  <w:font w:name="仿宋_GB2312">
    <w:altName w:val="仿宋"/>
    <w:panose1 w:val="02010609030101010101"/>
    <w:charset w:val="86"/>
    <w:family w:val="modern"/>
    <w:pitch w:val="default"/>
    <w:sig w:usb0="00000001" w:usb1="080E0000" w:usb2="00000000" w:usb3="00000000" w:csb0="00040000" w:csb1="00000000"/>
  </w:font>
  <w:font w:name="MS PGothic">
    <w:panose1 w:val="020B0600070205080204"/>
    <w:charset w:val="80"/>
    <w:family w:val="auto"/>
    <w:pitch w:val="default"/>
    <w:sig w:usb0="E00002FF" w:usb1="6AC7FDFB" w:usb2="08000012" w:usb3="00000000" w:csb0="4002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framePr w:wrap="around" w:vAnchor="text" w:hAnchor="margin" w:xAlign="right" w:y="1"/>
      <w:rPr>
        <w:rStyle w:val="38"/>
      </w:rPr>
    </w:pPr>
  </w:p>
  <w:p>
    <w:pPr>
      <w:pStyle w:val="21"/>
      <w:ind w:right="360"/>
      <w:jc w:val="center"/>
    </w:pPr>
    <w:r>
      <w:fldChar w:fldCharType="begin"/>
    </w:r>
    <w:r>
      <w:rPr>
        <w:rStyle w:val="38"/>
      </w:rPr>
      <w:instrText xml:space="preserve"> PAGE </w:instrText>
    </w:r>
    <w:r>
      <w:fldChar w:fldCharType="separate"/>
    </w:r>
    <w:r>
      <w:rPr>
        <w:rStyle w:val="38"/>
        <w:lang/>
      </w:rPr>
      <w:t>14</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0"/>
      </w:pBdr>
      <w:ind w:left="1080" w:hanging="1080" w:hangingChars="600"/>
      <w:jc w:val="both"/>
      <w:rPr>
        <w:rFonts w:hint="eastAsia"/>
        <w:color w:val="FF0000"/>
      </w:rPr>
    </w:pPr>
    <w:r>
      <w:rPr>
        <w:rFonts w:hint="eastAsia"/>
        <w:color w:val="FF000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B173AF"/>
    <w:multiLevelType w:val="singleLevel"/>
    <w:tmpl w:val="84B173AF"/>
    <w:lvl w:ilvl="0" w:tentative="0">
      <w:start w:val="1"/>
      <w:numFmt w:val="decimal"/>
      <w:suff w:val="nothing"/>
      <w:lvlText w:val="%1．"/>
      <w:lvlJc w:val="left"/>
      <w:pPr>
        <w:ind w:left="0" w:firstLine="40"/>
      </w:pPr>
      <w:rPr>
        <w:rFonts w:hint="default"/>
      </w:rPr>
    </w:lvl>
  </w:abstractNum>
  <w:abstractNum w:abstractNumId="1">
    <w:nsid w:val="8CA00E09"/>
    <w:multiLevelType w:val="singleLevel"/>
    <w:tmpl w:val="8CA00E09"/>
    <w:lvl w:ilvl="0" w:tentative="0">
      <w:start w:val="1"/>
      <w:numFmt w:val="decimalEnclosedCircleChinese"/>
      <w:suff w:val="nothing"/>
      <w:lvlText w:val="%1　"/>
      <w:lvlJc w:val="left"/>
      <w:pPr>
        <w:ind w:left="0" w:firstLine="1134"/>
      </w:pPr>
      <w:rPr>
        <w:rFonts w:hint="eastAsia"/>
      </w:rPr>
    </w:lvl>
  </w:abstractNum>
  <w:abstractNum w:abstractNumId="2">
    <w:nsid w:val="9577F733"/>
    <w:multiLevelType w:val="singleLevel"/>
    <w:tmpl w:val="9577F733"/>
    <w:lvl w:ilvl="0" w:tentative="0">
      <w:start w:val="1"/>
      <w:numFmt w:val="decimal"/>
      <w:suff w:val="nothing"/>
      <w:lvlText w:val="10.%1 "/>
      <w:lvlJc w:val="left"/>
      <w:pPr>
        <w:tabs>
          <w:tab w:val="left" w:pos="0"/>
        </w:tabs>
        <w:ind w:left="0" w:firstLine="40"/>
      </w:pPr>
      <w:rPr>
        <w:rFonts w:hint="default" w:ascii="宋体" w:hAnsi="宋体" w:eastAsia="宋体" w:cs="宋体"/>
      </w:rPr>
    </w:lvl>
  </w:abstractNum>
  <w:abstractNum w:abstractNumId="3">
    <w:nsid w:val="960C84E7"/>
    <w:multiLevelType w:val="singleLevel"/>
    <w:tmpl w:val="960C84E7"/>
    <w:lvl w:ilvl="0" w:tentative="0">
      <w:start w:val="1"/>
      <w:numFmt w:val="decimal"/>
      <w:suff w:val="nothing"/>
      <w:lvlText w:val="14.%1 "/>
      <w:lvlJc w:val="left"/>
      <w:pPr>
        <w:tabs>
          <w:tab w:val="left" w:pos="0"/>
        </w:tabs>
        <w:ind w:left="0" w:firstLine="40"/>
      </w:pPr>
      <w:rPr>
        <w:rFonts w:hint="default" w:ascii="宋体" w:hAnsi="宋体" w:eastAsia="宋体" w:cs="宋体"/>
      </w:rPr>
    </w:lvl>
  </w:abstractNum>
  <w:abstractNum w:abstractNumId="4">
    <w:nsid w:val="A51B0742"/>
    <w:multiLevelType w:val="singleLevel"/>
    <w:tmpl w:val="A51B0742"/>
    <w:lvl w:ilvl="0" w:tentative="0">
      <w:start w:val="1"/>
      <w:numFmt w:val="decimalEnclosedCircleChinese"/>
      <w:suff w:val="nothing"/>
      <w:lvlText w:val="%1　"/>
      <w:lvlJc w:val="left"/>
      <w:pPr>
        <w:ind w:left="0" w:firstLine="1134"/>
      </w:pPr>
      <w:rPr>
        <w:rFonts w:hint="eastAsia"/>
      </w:rPr>
    </w:lvl>
  </w:abstractNum>
  <w:abstractNum w:abstractNumId="5">
    <w:nsid w:val="A623EEB2"/>
    <w:multiLevelType w:val="singleLevel"/>
    <w:tmpl w:val="A623EEB2"/>
    <w:lvl w:ilvl="0" w:tentative="0">
      <w:start w:val="1"/>
      <w:numFmt w:val="decimal"/>
      <w:suff w:val="nothing"/>
      <w:lvlText w:val="4.%1 "/>
      <w:lvlJc w:val="left"/>
      <w:pPr>
        <w:tabs>
          <w:tab w:val="left" w:pos="0"/>
        </w:tabs>
        <w:ind w:left="0" w:firstLine="40"/>
      </w:pPr>
      <w:rPr>
        <w:rFonts w:hint="default" w:ascii="宋体" w:hAnsi="宋体" w:eastAsia="宋体" w:cs="宋体"/>
      </w:rPr>
    </w:lvl>
  </w:abstractNum>
  <w:abstractNum w:abstractNumId="6">
    <w:nsid w:val="C65771D8"/>
    <w:multiLevelType w:val="singleLevel"/>
    <w:tmpl w:val="C65771D8"/>
    <w:lvl w:ilvl="0" w:tentative="0">
      <w:start w:val="1"/>
      <w:numFmt w:val="decimal"/>
      <w:suff w:val="nothing"/>
      <w:lvlText w:val="19.%1 "/>
      <w:lvlJc w:val="left"/>
      <w:pPr>
        <w:tabs>
          <w:tab w:val="left" w:pos="0"/>
        </w:tabs>
        <w:ind w:left="0" w:firstLine="40"/>
      </w:pPr>
      <w:rPr>
        <w:rFonts w:hint="default" w:ascii="宋体" w:hAnsi="宋体" w:eastAsia="宋体" w:cs="宋体"/>
      </w:rPr>
    </w:lvl>
  </w:abstractNum>
  <w:abstractNum w:abstractNumId="7">
    <w:nsid w:val="C88B87FA"/>
    <w:multiLevelType w:val="singleLevel"/>
    <w:tmpl w:val="C88B87FA"/>
    <w:lvl w:ilvl="0" w:tentative="0">
      <w:start w:val="1"/>
      <w:numFmt w:val="decimal"/>
      <w:suff w:val="nothing"/>
      <w:lvlText w:val="22.%1 "/>
      <w:lvlJc w:val="left"/>
      <w:pPr>
        <w:tabs>
          <w:tab w:val="left" w:pos="0"/>
        </w:tabs>
        <w:ind w:left="0" w:firstLine="40"/>
      </w:pPr>
      <w:rPr>
        <w:rFonts w:hint="default" w:ascii="宋体" w:hAnsi="宋体" w:eastAsia="宋体" w:cs="宋体"/>
      </w:rPr>
    </w:lvl>
  </w:abstractNum>
  <w:abstractNum w:abstractNumId="8">
    <w:nsid w:val="CA005832"/>
    <w:multiLevelType w:val="singleLevel"/>
    <w:tmpl w:val="CA005832"/>
    <w:lvl w:ilvl="0" w:tentative="0">
      <w:start w:val="1"/>
      <w:numFmt w:val="decimal"/>
      <w:suff w:val="nothing"/>
      <w:lvlText w:val="6.%1 "/>
      <w:lvlJc w:val="left"/>
      <w:pPr>
        <w:tabs>
          <w:tab w:val="left" w:pos="0"/>
        </w:tabs>
        <w:ind w:left="0" w:firstLine="40"/>
      </w:pPr>
      <w:rPr>
        <w:rFonts w:hint="default" w:ascii="宋体" w:hAnsi="宋体" w:eastAsia="宋体" w:cs="宋体"/>
      </w:rPr>
    </w:lvl>
  </w:abstractNum>
  <w:abstractNum w:abstractNumId="9">
    <w:nsid w:val="D5C663A9"/>
    <w:multiLevelType w:val="singleLevel"/>
    <w:tmpl w:val="D5C663A9"/>
    <w:lvl w:ilvl="0" w:tentative="0">
      <w:start w:val="1"/>
      <w:numFmt w:val="decimalEnclosedCircleChinese"/>
      <w:suff w:val="nothing"/>
      <w:lvlText w:val="%1　"/>
      <w:lvlJc w:val="left"/>
      <w:pPr>
        <w:ind w:left="0" w:firstLine="1134"/>
      </w:pPr>
      <w:rPr>
        <w:rFonts w:hint="eastAsia"/>
      </w:rPr>
    </w:lvl>
  </w:abstractNum>
  <w:abstractNum w:abstractNumId="10">
    <w:nsid w:val="DE8EBEF4"/>
    <w:multiLevelType w:val="singleLevel"/>
    <w:tmpl w:val="DE8EBEF4"/>
    <w:lvl w:ilvl="0" w:tentative="0">
      <w:start w:val="1"/>
      <w:numFmt w:val="decimal"/>
      <w:suff w:val="nothing"/>
      <w:lvlText w:val="25.%1 "/>
      <w:lvlJc w:val="left"/>
      <w:pPr>
        <w:tabs>
          <w:tab w:val="left" w:pos="0"/>
        </w:tabs>
        <w:ind w:left="0" w:firstLine="40"/>
      </w:pPr>
      <w:rPr>
        <w:rFonts w:hint="default" w:ascii="宋体" w:hAnsi="宋体" w:eastAsia="宋体" w:cs="宋体"/>
      </w:rPr>
    </w:lvl>
  </w:abstractNum>
  <w:abstractNum w:abstractNumId="11">
    <w:nsid w:val="E3D28C86"/>
    <w:multiLevelType w:val="singleLevel"/>
    <w:tmpl w:val="E3D28C86"/>
    <w:lvl w:ilvl="0" w:tentative="0">
      <w:start w:val="1"/>
      <w:numFmt w:val="decimal"/>
      <w:suff w:val="nothing"/>
      <w:lvlText w:val="18.%1 "/>
      <w:lvlJc w:val="left"/>
      <w:pPr>
        <w:tabs>
          <w:tab w:val="left" w:pos="0"/>
        </w:tabs>
        <w:ind w:left="0" w:firstLine="40"/>
      </w:pPr>
      <w:rPr>
        <w:rFonts w:hint="default" w:ascii="宋体" w:hAnsi="宋体" w:eastAsia="宋体" w:cs="宋体"/>
      </w:rPr>
    </w:lvl>
  </w:abstractNum>
  <w:abstractNum w:abstractNumId="12">
    <w:nsid w:val="EDC34A36"/>
    <w:multiLevelType w:val="singleLevel"/>
    <w:tmpl w:val="EDC34A36"/>
    <w:lvl w:ilvl="0" w:tentative="0">
      <w:start w:val="1"/>
      <w:numFmt w:val="decimal"/>
      <w:suff w:val="nothing"/>
      <w:lvlText w:val="12.%1 "/>
      <w:lvlJc w:val="left"/>
      <w:pPr>
        <w:tabs>
          <w:tab w:val="left" w:pos="0"/>
        </w:tabs>
        <w:ind w:left="0" w:firstLine="40"/>
      </w:pPr>
      <w:rPr>
        <w:rFonts w:hint="default" w:ascii="宋体" w:hAnsi="宋体" w:eastAsia="宋体" w:cs="宋体"/>
      </w:rPr>
    </w:lvl>
  </w:abstractNum>
  <w:abstractNum w:abstractNumId="13">
    <w:nsid w:val="FF8E5FC9"/>
    <w:multiLevelType w:val="singleLevel"/>
    <w:tmpl w:val="FF8E5FC9"/>
    <w:lvl w:ilvl="0" w:tentative="0">
      <w:start w:val="1"/>
      <w:numFmt w:val="decimal"/>
      <w:suff w:val="nothing"/>
      <w:lvlText w:val="%1．"/>
      <w:lvlJc w:val="left"/>
      <w:pPr>
        <w:ind w:left="0" w:firstLine="397"/>
      </w:pPr>
      <w:rPr>
        <w:rFonts w:hint="default"/>
      </w:rPr>
    </w:lvl>
  </w:abstractNum>
  <w:abstractNum w:abstractNumId="14">
    <w:nsid w:val="0486B618"/>
    <w:multiLevelType w:val="singleLevel"/>
    <w:tmpl w:val="0486B618"/>
    <w:lvl w:ilvl="0" w:tentative="0">
      <w:start w:val="1"/>
      <w:numFmt w:val="decimalEnclosedCircleChinese"/>
      <w:suff w:val="nothing"/>
      <w:lvlText w:val="%1　"/>
      <w:lvlJc w:val="left"/>
      <w:pPr>
        <w:ind w:left="0" w:firstLine="1134"/>
      </w:pPr>
      <w:rPr>
        <w:rFonts w:hint="eastAsia"/>
      </w:rPr>
    </w:lvl>
  </w:abstractNum>
  <w:abstractNum w:abstractNumId="15">
    <w:nsid w:val="139B6DF6"/>
    <w:multiLevelType w:val="singleLevel"/>
    <w:tmpl w:val="139B6DF6"/>
    <w:lvl w:ilvl="0" w:tentative="0">
      <w:start w:val="1"/>
      <w:numFmt w:val="decimal"/>
      <w:suff w:val="nothing"/>
      <w:lvlText w:val="9.%1 "/>
      <w:lvlJc w:val="left"/>
      <w:pPr>
        <w:tabs>
          <w:tab w:val="left" w:pos="0"/>
        </w:tabs>
        <w:ind w:left="0" w:firstLine="40"/>
      </w:pPr>
      <w:rPr>
        <w:rFonts w:hint="default" w:ascii="宋体" w:hAnsi="宋体" w:eastAsia="宋体" w:cs="宋体"/>
      </w:rPr>
    </w:lvl>
  </w:abstractNum>
  <w:abstractNum w:abstractNumId="16">
    <w:nsid w:val="1DBCF645"/>
    <w:multiLevelType w:val="singleLevel"/>
    <w:tmpl w:val="1DBCF645"/>
    <w:lvl w:ilvl="0" w:tentative="0">
      <w:start w:val="1"/>
      <w:numFmt w:val="decimalEnclosedCircleChinese"/>
      <w:suff w:val="nothing"/>
      <w:lvlText w:val="%1　"/>
      <w:lvlJc w:val="left"/>
      <w:pPr>
        <w:ind w:left="0" w:firstLine="397"/>
      </w:pPr>
      <w:rPr>
        <w:rFonts w:hint="eastAsia"/>
      </w:rPr>
    </w:lvl>
  </w:abstractNum>
  <w:abstractNum w:abstractNumId="17">
    <w:nsid w:val="1EC1A361"/>
    <w:multiLevelType w:val="singleLevel"/>
    <w:tmpl w:val="1EC1A361"/>
    <w:lvl w:ilvl="0" w:tentative="0">
      <w:start w:val="1"/>
      <w:numFmt w:val="decimalEnclosedCircleChinese"/>
      <w:suff w:val="nothing"/>
      <w:lvlText w:val="%1　"/>
      <w:lvlJc w:val="left"/>
      <w:pPr>
        <w:ind w:left="0" w:firstLine="397"/>
      </w:pPr>
      <w:rPr>
        <w:rFonts w:hint="eastAsia"/>
      </w:rPr>
    </w:lvl>
  </w:abstractNum>
  <w:abstractNum w:abstractNumId="18">
    <w:nsid w:val="22CAA529"/>
    <w:multiLevelType w:val="singleLevel"/>
    <w:tmpl w:val="22CAA529"/>
    <w:lvl w:ilvl="0" w:tentative="0">
      <w:start w:val="1"/>
      <w:numFmt w:val="decimal"/>
      <w:suff w:val="nothing"/>
      <w:lvlText w:val="16.%1 "/>
      <w:lvlJc w:val="left"/>
      <w:pPr>
        <w:ind w:left="0" w:firstLine="1134"/>
      </w:pPr>
      <w:rPr>
        <w:rFonts w:hint="default"/>
      </w:rPr>
    </w:lvl>
  </w:abstractNum>
  <w:abstractNum w:abstractNumId="19">
    <w:nsid w:val="2317690E"/>
    <w:multiLevelType w:val="multilevel"/>
    <w:tmpl w:val="2317690E"/>
    <w:lvl w:ilvl="0" w:tentative="0">
      <w:start w:val="1"/>
      <w:numFmt w:val="decimalEnclosedCircleChinese"/>
      <w:suff w:val="nothing"/>
      <w:lvlText w:val="%1　"/>
      <w:lvlJc w:val="left"/>
      <w:pPr>
        <w:ind w:left="0" w:firstLine="1134"/>
      </w:pPr>
      <w:rPr>
        <w:rFonts w:hint="eastAsia" w:ascii="宋体" w:hAnsi="宋体" w:eastAsia="宋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0">
    <w:nsid w:val="25F33ADD"/>
    <w:multiLevelType w:val="singleLevel"/>
    <w:tmpl w:val="25F33ADD"/>
    <w:lvl w:ilvl="0" w:tentative="0">
      <w:start w:val="1"/>
      <w:numFmt w:val="decimalEnclosedCircleChinese"/>
      <w:suff w:val="nothing"/>
      <w:lvlText w:val="%1　"/>
      <w:lvlJc w:val="left"/>
      <w:pPr>
        <w:ind w:left="0" w:firstLine="1134"/>
      </w:pPr>
      <w:rPr>
        <w:rFonts w:hint="eastAsia"/>
      </w:rPr>
    </w:lvl>
  </w:abstractNum>
  <w:abstractNum w:abstractNumId="21">
    <w:nsid w:val="27029FB5"/>
    <w:multiLevelType w:val="singleLevel"/>
    <w:tmpl w:val="27029FB5"/>
    <w:lvl w:ilvl="0" w:tentative="0">
      <w:start w:val="1"/>
      <w:numFmt w:val="decimal"/>
      <w:suff w:val="nothing"/>
      <w:lvlText w:val="11.%1 "/>
      <w:lvlJc w:val="left"/>
      <w:pPr>
        <w:tabs>
          <w:tab w:val="left" w:pos="0"/>
        </w:tabs>
        <w:ind w:left="0" w:firstLine="40"/>
      </w:pPr>
      <w:rPr>
        <w:rFonts w:hint="default" w:ascii="宋体" w:hAnsi="宋体" w:eastAsia="宋体" w:cs="宋体"/>
      </w:rPr>
    </w:lvl>
  </w:abstractNum>
  <w:abstractNum w:abstractNumId="22">
    <w:nsid w:val="272BB4B6"/>
    <w:multiLevelType w:val="singleLevel"/>
    <w:tmpl w:val="272BB4B6"/>
    <w:lvl w:ilvl="0" w:tentative="0">
      <w:start w:val="1"/>
      <w:numFmt w:val="decimal"/>
      <w:suff w:val="nothing"/>
      <w:lvlText w:val="1.%1 "/>
      <w:lvlJc w:val="left"/>
      <w:pPr>
        <w:ind w:left="0" w:firstLine="397"/>
      </w:pPr>
      <w:rPr>
        <w:rFonts w:hint="default"/>
      </w:rPr>
    </w:lvl>
  </w:abstractNum>
  <w:abstractNum w:abstractNumId="23">
    <w:nsid w:val="31FBB5E1"/>
    <w:multiLevelType w:val="singleLevel"/>
    <w:tmpl w:val="31FBB5E1"/>
    <w:lvl w:ilvl="0" w:tentative="0">
      <w:start w:val="1"/>
      <w:numFmt w:val="decimal"/>
      <w:suff w:val="nothing"/>
      <w:lvlText w:val="23.%1 "/>
      <w:lvlJc w:val="left"/>
      <w:pPr>
        <w:tabs>
          <w:tab w:val="left" w:pos="668"/>
        </w:tabs>
        <w:ind w:left="668" w:firstLine="40"/>
      </w:pPr>
      <w:rPr>
        <w:rFonts w:hint="default" w:ascii="宋体" w:hAnsi="宋体" w:eastAsia="宋体" w:cs="宋体"/>
      </w:rPr>
    </w:lvl>
  </w:abstractNum>
  <w:abstractNum w:abstractNumId="24">
    <w:nsid w:val="3543FC97"/>
    <w:multiLevelType w:val="singleLevel"/>
    <w:tmpl w:val="3543FC97"/>
    <w:lvl w:ilvl="0" w:tentative="0">
      <w:start w:val="1"/>
      <w:numFmt w:val="decimal"/>
      <w:suff w:val="nothing"/>
      <w:lvlText w:val="17.%1 "/>
      <w:lvlJc w:val="left"/>
      <w:pPr>
        <w:tabs>
          <w:tab w:val="left" w:pos="0"/>
        </w:tabs>
        <w:ind w:left="0" w:firstLine="40"/>
      </w:pPr>
      <w:rPr>
        <w:rFonts w:hint="default" w:ascii="宋体" w:hAnsi="宋体" w:eastAsia="宋体" w:cs="宋体"/>
      </w:rPr>
    </w:lvl>
  </w:abstractNum>
  <w:abstractNum w:abstractNumId="25">
    <w:nsid w:val="37BA15E8"/>
    <w:multiLevelType w:val="multilevel"/>
    <w:tmpl w:val="37BA15E8"/>
    <w:lvl w:ilvl="0" w:tentative="0">
      <w:start w:val="1"/>
      <w:numFmt w:val="bullet"/>
      <w:pStyle w:val="135"/>
      <w:lvlText w:val="­"/>
      <w:lvlJc w:val="left"/>
      <w:pPr>
        <w:ind w:left="1411" w:hanging="420"/>
      </w:pPr>
      <w:rPr>
        <w:rFonts w:hint="default" w:ascii="Times New Roman" w:hAnsi="Times New Roman" w:cs="Times New Roman"/>
        <w:b w:val="0"/>
        <w:bCs w:val="0"/>
        <w:i w:val="0"/>
        <w:iCs w:val="0"/>
        <w:caps w:val="0"/>
        <w:smallCaps w:val="0"/>
        <w:strike w:val="0"/>
        <w:dstrike w:val="0"/>
        <w:outline w:val="0"/>
        <w:shadow w:val="0"/>
        <w:emboss w:val="0"/>
        <w:imprint w:val="0"/>
        <w:vanish w:val="0"/>
        <w:spacing w:val="0"/>
        <w:position w:val="0"/>
        <w:u w:val="none"/>
        <w:vertAlign w:val="baseline"/>
      </w:rPr>
    </w:lvl>
    <w:lvl w:ilvl="1" w:tentative="0">
      <w:start w:val="1"/>
      <w:numFmt w:val="bullet"/>
      <w:lvlText w:val=""/>
      <w:lvlJc w:val="left"/>
      <w:pPr>
        <w:ind w:left="1831" w:hanging="420"/>
      </w:pPr>
      <w:rPr>
        <w:rFonts w:hint="default" w:ascii="Wingdings" w:hAnsi="Wingdings"/>
      </w:rPr>
    </w:lvl>
    <w:lvl w:ilvl="2" w:tentative="0">
      <w:start w:val="1"/>
      <w:numFmt w:val="bullet"/>
      <w:lvlText w:val=""/>
      <w:lvlJc w:val="left"/>
      <w:pPr>
        <w:ind w:left="2251" w:hanging="420"/>
      </w:pPr>
      <w:rPr>
        <w:rFonts w:hint="default" w:ascii="Wingdings" w:hAnsi="Wingdings"/>
      </w:rPr>
    </w:lvl>
    <w:lvl w:ilvl="3" w:tentative="0">
      <w:start w:val="1"/>
      <w:numFmt w:val="bullet"/>
      <w:lvlText w:val=""/>
      <w:lvlJc w:val="left"/>
      <w:pPr>
        <w:ind w:left="2671" w:hanging="420"/>
      </w:pPr>
      <w:rPr>
        <w:rFonts w:hint="default" w:ascii="Wingdings" w:hAnsi="Wingdings"/>
      </w:rPr>
    </w:lvl>
    <w:lvl w:ilvl="4" w:tentative="0">
      <w:start w:val="1"/>
      <w:numFmt w:val="bullet"/>
      <w:lvlText w:val=""/>
      <w:lvlJc w:val="left"/>
      <w:pPr>
        <w:ind w:left="3091" w:hanging="420"/>
      </w:pPr>
      <w:rPr>
        <w:rFonts w:hint="default" w:ascii="Wingdings" w:hAnsi="Wingdings"/>
      </w:rPr>
    </w:lvl>
    <w:lvl w:ilvl="5" w:tentative="0">
      <w:start w:val="1"/>
      <w:numFmt w:val="bullet"/>
      <w:lvlText w:val=""/>
      <w:lvlJc w:val="left"/>
      <w:pPr>
        <w:ind w:left="3511" w:hanging="420"/>
      </w:pPr>
      <w:rPr>
        <w:rFonts w:hint="default" w:ascii="Wingdings" w:hAnsi="Wingdings"/>
      </w:rPr>
    </w:lvl>
    <w:lvl w:ilvl="6" w:tentative="0">
      <w:start w:val="1"/>
      <w:numFmt w:val="bullet"/>
      <w:lvlText w:val=""/>
      <w:lvlJc w:val="left"/>
      <w:pPr>
        <w:ind w:left="3931" w:hanging="420"/>
      </w:pPr>
      <w:rPr>
        <w:rFonts w:hint="default" w:ascii="Wingdings" w:hAnsi="Wingdings"/>
      </w:rPr>
    </w:lvl>
    <w:lvl w:ilvl="7" w:tentative="0">
      <w:start w:val="1"/>
      <w:numFmt w:val="bullet"/>
      <w:lvlText w:val=""/>
      <w:lvlJc w:val="left"/>
      <w:pPr>
        <w:ind w:left="4351" w:hanging="420"/>
      </w:pPr>
      <w:rPr>
        <w:rFonts w:hint="default" w:ascii="Wingdings" w:hAnsi="Wingdings"/>
      </w:rPr>
    </w:lvl>
    <w:lvl w:ilvl="8" w:tentative="0">
      <w:start w:val="1"/>
      <w:numFmt w:val="bullet"/>
      <w:lvlText w:val=""/>
      <w:lvlJc w:val="left"/>
      <w:pPr>
        <w:ind w:left="4771" w:hanging="420"/>
      </w:pPr>
      <w:rPr>
        <w:rFonts w:hint="default" w:ascii="Wingdings" w:hAnsi="Wingdings"/>
      </w:rPr>
    </w:lvl>
  </w:abstractNum>
  <w:abstractNum w:abstractNumId="26">
    <w:nsid w:val="3F34804C"/>
    <w:multiLevelType w:val="singleLevel"/>
    <w:tmpl w:val="3F34804C"/>
    <w:lvl w:ilvl="0" w:tentative="0">
      <w:start w:val="1"/>
      <w:numFmt w:val="decimal"/>
      <w:suff w:val="nothing"/>
      <w:lvlText w:val="21.%1 "/>
      <w:lvlJc w:val="left"/>
      <w:pPr>
        <w:tabs>
          <w:tab w:val="left" w:pos="0"/>
        </w:tabs>
        <w:ind w:left="0" w:firstLine="40"/>
      </w:pPr>
      <w:rPr>
        <w:rFonts w:hint="default" w:ascii="宋体" w:hAnsi="宋体" w:eastAsia="宋体" w:cs="宋体"/>
      </w:rPr>
    </w:lvl>
  </w:abstractNum>
  <w:abstractNum w:abstractNumId="27">
    <w:nsid w:val="43F94463"/>
    <w:multiLevelType w:val="singleLevel"/>
    <w:tmpl w:val="43F94463"/>
    <w:lvl w:ilvl="0" w:tentative="0">
      <w:start w:val="1"/>
      <w:numFmt w:val="decimalEnclosedCircleChinese"/>
      <w:suff w:val="nothing"/>
      <w:lvlText w:val="%1　"/>
      <w:lvlJc w:val="left"/>
      <w:pPr>
        <w:ind w:left="0" w:firstLine="1134"/>
      </w:pPr>
      <w:rPr>
        <w:rFonts w:hint="eastAsia"/>
      </w:rPr>
    </w:lvl>
  </w:abstractNum>
  <w:abstractNum w:abstractNumId="28">
    <w:nsid w:val="466C6E1F"/>
    <w:multiLevelType w:val="multilevel"/>
    <w:tmpl w:val="466C6E1F"/>
    <w:lvl w:ilvl="0" w:tentative="0">
      <w:start w:val="1"/>
      <w:numFmt w:val="upperLetter"/>
      <w:pStyle w:val="5"/>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29">
    <w:nsid w:val="474E1A63"/>
    <w:multiLevelType w:val="singleLevel"/>
    <w:tmpl w:val="474E1A63"/>
    <w:lvl w:ilvl="0" w:tentative="0">
      <w:start w:val="1"/>
      <w:numFmt w:val="decimalEnclosedCircleChinese"/>
      <w:suff w:val="nothing"/>
      <w:lvlText w:val="%1　"/>
      <w:lvlJc w:val="left"/>
      <w:pPr>
        <w:ind w:left="0" w:firstLine="1134"/>
      </w:pPr>
      <w:rPr>
        <w:rFonts w:hint="eastAsia"/>
      </w:rPr>
    </w:lvl>
  </w:abstractNum>
  <w:abstractNum w:abstractNumId="30">
    <w:nsid w:val="4D4A2151"/>
    <w:multiLevelType w:val="singleLevel"/>
    <w:tmpl w:val="4D4A2151"/>
    <w:lvl w:ilvl="0" w:tentative="0">
      <w:start w:val="1"/>
      <w:numFmt w:val="decimal"/>
      <w:suff w:val="nothing"/>
      <w:lvlText w:val="%1．"/>
      <w:lvlJc w:val="left"/>
      <w:pPr>
        <w:ind w:left="0" w:firstLine="397"/>
      </w:pPr>
      <w:rPr>
        <w:rFonts w:hint="default"/>
      </w:rPr>
    </w:lvl>
  </w:abstractNum>
  <w:abstractNum w:abstractNumId="31">
    <w:nsid w:val="552648CC"/>
    <w:multiLevelType w:val="multilevel"/>
    <w:tmpl w:val="552648CC"/>
    <w:lvl w:ilvl="0" w:tentative="0">
      <w:start w:val="1"/>
      <w:numFmt w:val="bullet"/>
      <w:pStyle w:val="132"/>
      <w:lvlText w:val="●"/>
      <w:lvlJc w:val="left"/>
      <w:pPr>
        <w:ind w:left="980" w:hanging="420"/>
      </w:pPr>
      <w:rPr>
        <w:rFonts w:hint="default" w:ascii="Times New Roman" w:hAnsi="Times New Roman" w:cs="Times New Roman"/>
      </w:rPr>
    </w:lvl>
    <w:lvl w:ilvl="1" w:tentative="0">
      <w:start w:val="1"/>
      <w:numFmt w:val="bullet"/>
      <w:lvlText w:val=""/>
      <w:lvlJc w:val="left"/>
      <w:pPr>
        <w:ind w:left="1400" w:hanging="420"/>
      </w:pPr>
      <w:rPr>
        <w:rFonts w:hint="default" w:ascii="Wingdings" w:hAnsi="Wingdings"/>
      </w:rPr>
    </w:lvl>
    <w:lvl w:ilvl="2" w:tentative="0">
      <w:start w:val="1"/>
      <w:numFmt w:val="bullet"/>
      <w:lvlText w:val=""/>
      <w:lvlJc w:val="left"/>
      <w:pPr>
        <w:ind w:left="1820" w:hanging="420"/>
      </w:pPr>
      <w:rPr>
        <w:rFonts w:hint="default" w:ascii="Wingdings" w:hAnsi="Wingdings"/>
      </w:rPr>
    </w:lvl>
    <w:lvl w:ilvl="3" w:tentative="0">
      <w:start w:val="1"/>
      <w:numFmt w:val="bullet"/>
      <w:lvlText w:val=""/>
      <w:lvlJc w:val="left"/>
      <w:pPr>
        <w:ind w:left="2240" w:hanging="420"/>
      </w:pPr>
      <w:rPr>
        <w:rFonts w:hint="default" w:ascii="Wingdings" w:hAnsi="Wingdings"/>
      </w:rPr>
    </w:lvl>
    <w:lvl w:ilvl="4" w:tentative="0">
      <w:start w:val="1"/>
      <w:numFmt w:val="bullet"/>
      <w:lvlText w:val=""/>
      <w:lvlJc w:val="left"/>
      <w:pPr>
        <w:ind w:left="2660" w:hanging="420"/>
      </w:pPr>
      <w:rPr>
        <w:rFonts w:hint="default" w:ascii="Wingdings" w:hAnsi="Wingdings"/>
      </w:rPr>
    </w:lvl>
    <w:lvl w:ilvl="5" w:tentative="0">
      <w:start w:val="1"/>
      <w:numFmt w:val="bullet"/>
      <w:lvlText w:val=""/>
      <w:lvlJc w:val="left"/>
      <w:pPr>
        <w:ind w:left="3080" w:hanging="420"/>
      </w:pPr>
      <w:rPr>
        <w:rFonts w:hint="default" w:ascii="Wingdings" w:hAnsi="Wingdings"/>
      </w:rPr>
    </w:lvl>
    <w:lvl w:ilvl="6" w:tentative="0">
      <w:start w:val="1"/>
      <w:numFmt w:val="bullet"/>
      <w:lvlText w:val=""/>
      <w:lvlJc w:val="left"/>
      <w:pPr>
        <w:ind w:left="3500" w:hanging="420"/>
      </w:pPr>
      <w:rPr>
        <w:rFonts w:hint="default" w:ascii="Wingdings" w:hAnsi="Wingdings"/>
      </w:rPr>
    </w:lvl>
    <w:lvl w:ilvl="7" w:tentative="0">
      <w:start w:val="1"/>
      <w:numFmt w:val="bullet"/>
      <w:lvlText w:val=""/>
      <w:lvlJc w:val="left"/>
      <w:pPr>
        <w:ind w:left="3920" w:hanging="420"/>
      </w:pPr>
      <w:rPr>
        <w:rFonts w:hint="default" w:ascii="Wingdings" w:hAnsi="Wingdings"/>
      </w:rPr>
    </w:lvl>
    <w:lvl w:ilvl="8" w:tentative="0">
      <w:start w:val="1"/>
      <w:numFmt w:val="bullet"/>
      <w:lvlText w:val=""/>
      <w:lvlJc w:val="left"/>
      <w:pPr>
        <w:ind w:left="4340" w:hanging="420"/>
      </w:pPr>
      <w:rPr>
        <w:rFonts w:hint="default" w:ascii="Wingdings" w:hAnsi="Wingdings"/>
      </w:rPr>
    </w:lvl>
  </w:abstractNum>
  <w:abstractNum w:abstractNumId="32">
    <w:nsid w:val="5541E354"/>
    <w:multiLevelType w:val="singleLevel"/>
    <w:tmpl w:val="5541E354"/>
    <w:lvl w:ilvl="0" w:tentative="0">
      <w:start w:val="1"/>
      <w:numFmt w:val="decimal"/>
      <w:suff w:val="nothing"/>
      <w:lvlText w:val="24.17.%1 "/>
      <w:lvlJc w:val="left"/>
      <w:pPr>
        <w:tabs>
          <w:tab w:val="left" w:pos="0"/>
        </w:tabs>
        <w:ind w:left="0" w:firstLine="40"/>
      </w:pPr>
      <w:rPr>
        <w:rFonts w:hint="default" w:ascii="宋体" w:hAnsi="宋体" w:eastAsia="宋体" w:cs="宋体"/>
      </w:rPr>
    </w:lvl>
  </w:abstractNum>
  <w:abstractNum w:abstractNumId="33">
    <w:nsid w:val="56581EFE"/>
    <w:multiLevelType w:val="singleLevel"/>
    <w:tmpl w:val="56581EFE"/>
    <w:lvl w:ilvl="0" w:tentative="0">
      <w:start w:val="1"/>
      <w:numFmt w:val="decimal"/>
      <w:suff w:val="nothing"/>
      <w:lvlText w:val="24.%1 "/>
      <w:lvlJc w:val="left"/>
      <w:pPr>
        <w:ind w:left="0" w:firstLine="397"/>
      </w:pPr>
      <w:rPr>
        <w:rFonts w:hint="default"/>
      </w:rPr>
    </w:lvl>
  </w:abstractNum>
  <w:abstractNum w:abstractNumId="34">
    <w:nsid w:val="62705028"/>
    <w:multiLevelType w:val="singleLevel"/>
    <w:tmpl w:val="62705028"/>
    <w:lvl w:ilvl="0" w:tentative="0">
      <w:start w:val="1"/>
      <w:numFmt w:val="decimalEnclosedCircleChinese"/>
      <w:suff w:val="nothing"/>
      <w:lvlText w:val="%1　"/>
      <w:lvlJc w:val="left"/>
      <w:pPr>
        <w:ind w:left="0" w:firstLine="397"/>
      </w:pPr>
      <w:rPr>
        <w:rFonts w:hint="eastAsia"/>
      </w:rPr>
    </w:lvl>
  </w:abstractNum>
  <w:abstractNum w:abstractNumId="35">
    <w:nsid w:val="6271A596"/>
    <w:multiLevelType w:val="singleLevel"/>
    <w:tmpl w:val="6271A596"/>
    <w:lvl w:ilvl="0" w:tentative="0">
      <w:start w:val="1"/>
      <w:numFmt w:val="decimal"/>
      <w:suff w:val="nothing"/>
      <w:lvlText w:val="5.%1 "/>
      <w:lvlJc w:val="left"/>
      <w:pPr>
        <w:tabs>
          <w:tab w:val="left" w:pos="0"/>
        </w:tabs>
        <w:ind w:left="0" w:firstLine="40"/>
      </w:pPr>
      <w:rPr>
        <w:rFonts w:hint="default" w:ascii="宋体" w:hAnsi="宋体" w:eastAsia="宋体" w:cs="宋体"/>
      </w:rPr>
    </w:lvl>
  </w:abstractNum>
  <w:abstractNum w:abstractNumId="36">
    <w:nsid w:val="63557B35"/>
    <w:multiLevelType w:val="singleLevel"/>
    <w:tmpl w:val="63557B35"/>
    <w:lvl w:ilvl="0" w:tentative="0">
      <w:start w:val="1"/>
      <w:numFmt w:val="upperLetter"/>
      <w:pStyle w:val="6"/>
      <w:lvlText w:val="%1、"/>
      <w:lvlJc w:val="left"/>
      <w:pPr>
        <w:tabs>
          <w:tab w:val="left" w:pos="1035"/>
        </w:tabs>
        <w:ind w:left="1035" w:hanging="420"/>
      </w:pPr>
      <w:rPr>
        <w:rFonts w:hint="eastAsia"/>
      </w:rPr>
    </w:lvl>
  </w:abstractNum>
  <w:abstractNum w:abstractNumId="37">
    <w:nsid w:val="6E230785"/>
    <w:multiLevelType w:val="multilevel"/>
    <w:tmpl w:val="6E230785"/>
    <w:lvl w:ilvl="0" w:tentative="0">
      <w:start w:val="1"/>
      <w:numFmt w:val="bullet"/>
      <w:pStyle w:val="106"/>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lowerLetter"/>
      <w:lvlText w:val="%2."/>
      <w:lvlJc w:val="left"/>
      <w:pPr>
        <w:tabs>
          <w:tab w:val="left" w:pos="284"/>
        </w:tabs>
        <w:ind w:left="568" w:hanging="284"/>
      </w:pPr>
      <w:rPr>
        <w:rFonts w:hint="default" w:ascii="Times New Roman" w:hAnsi="Times New Roman" w:cs="Book Antiqua"/>
        <w:b w:val="0"/>
        <w:bCs/>
        <w:i w:val="0"/>
        <w:iCs w:val="0"/>
        <w:sz w:val="21"/>
        <w:szCs w:val="21"/>
        <w:u w:val="none"/>
      </w:rPr>
    </w:lvl>
    <w:lvl w:ilvl="2" w:tentative="0">
      <w:start w:val="1"/>
      <w:numFmt w:val="bullet"/>
      <w:pStyle w:val="144"/>
      <w:lvlText w:val="−"/>
      <w:lvlJc w:val="left"/>
      <w:pPr>
        <w:tabs>
          <w:tab w:val="left" w:pos="568"/>
        </w:tabs>
        <w:ind w:left="568" w:hanging="284"/>
      </w:pPr>
      <w:rPr>
        <w:rFonts w:hint="default" w:ascii="Times New Roman" w:hAnsi="Times New Roman" w:cs="Times New Roman"/>
        <w:sz w:val="16"/>
        <w:szCs w:val="16"/>
      </w:rPr>
    </w:lvl>
    <w:lvl w:ilvl="3" w:tentative="0">
      <w:start w:val="1"/>
      <w:numFmt w:val="decimal"/>
      <w:lvlText w:val="%4."/>
      <w:lvlJc w:val="left"/>
      <w:pPr>
        <w:tabs>
          <w:tab w:val="left" w:pos="284"/>
        </w:tabs>
        <w:ind w:left="568" w:hanging="284"/>
      </w:pPr>
      <w:rPr>
        <w:rFonts w:hint="default" w:ascii="Times New Roman" w:hAnsi="Times New Roman" w:cs="Book Antiqua"/>
        <w:b w:val="0"/>
        <w:bCs/>
        <w:i w:val="0"/>
        <w:iCs w:val="0"/>
        <w:sz w:val="21"/>
        <w:szCs w:val="21"/>
        <w:u w:val="none"/>
      </w:rPr>
    </w:lvl>
    <w:lvl w:ilvl="4" w:tentative="0">
      <w:start w:val="1"/>
      <w:numFmt w:val="bullet"/>
      <w:lvlText w:val=""/>
      <w:lvlJc w:val="left"/>
      <w:pPr>
        <w:tabs>
          <w:tab w:val="left" w:pos="568"/>
        </w:tabs>
        <w:ind w:left="568" w:hanging="284"/>
      </w:pPr>
      <w:rPr>
        <w:rFonts w:hint="default" w:ascii="Wingdings" w:hAnsi="Wingdings" w:eastAsia="宋体"/>
        <w:b w:val="0"/>
        <w:i w:val="0"/>
        <w:color w:val="auto"/>
        <w:position w:val="3"/>
        <w:sz w:val="13"/>
        <w:szCs w:val="13"/>
      </w:rPr>
    </w:lvl>
    <w:lvl w:ilvl="5" w:tentative="0">
      <w:start w:val="1"/>
      <w:numFmt w:val="decimal"/>
      <w:lvlText w:val="%6."/>
      <w:lvlJc w:val="left"/>
      <w:pPr>
        <w:tabs>
          <w:tab w:val="left" w:pos="1985"/>
        </w:tabs>
        <w:ind w:left="1985" w:hanging="284"/>
      </w:pPr>
      <w:rPr>
        <w:rFonts w:hint="default" w:ascii="Times New Roman" w:hAnsi="Times New Roman" w:cs="Book Antiqua"/>
        <w:color w:val="auto"/>
        <w:spacing w:val="0"/>
        <w:w w:val="100"/>
        <w:position w:val="1"/>
        <w:sz w:val="21"/>
        <w:szCs w:val="21"/>
      </w:rPr>
    </w:lvl>
    <w:lvl w:ilvl="6" w:tentative="0">
      <w:start w:val="1"/>
      <w:numFmt w:val="decimal"/>
      <w:lvlText w:val="%7."/>
      <w:lvlJc w:val="left"/>
      <w:pPr>
        <w:tabs>
          <w:tab w:val="left" w:pos="2359"/>
        </w:tabs>
        <w:ind w:left="2359" w:hanging="284"/>
      </w:pPr>
      <w:rPr>
        <w:rFonts w:hint="default" w:ascii="Times New Roman" w:hAnsi="Times New Roman" w:cs="Book Antiqua"/>
        <w:color w:val="auto"/>
        <w:spacing w:val="0"/>
        <w:w w:val="100"/>
        <w:position w:val="1"/>
        <w:sz w:val="18"/>
        <w:szCs w:val="18"/>
      </w:rPr>
    </w:lvl>
    <w:lvl w:ilvl="7" w:tentative="0">
      <w:start w:val="1"/>
      <w:numFmt w:val="decimal"/>
      <w:lvlText w:val="%8."/>
      <w:lvlJc w:val="left"/>
      <w:pPr>
        <w:tabs>
          <w:tab w:val="left" w:pos="454"/>
        </w:tabs>
        <w:ind w:left="454" w:hanging="284"/>
      </w:pPr>
      <w:rPr>
        <w:rFonts w:hint="default" w:ascii="Times New Roman" w:hAnsi="Times New Roman" w:cs="Book Antiqua"/>
        <w:color w:val="auto"/>
        <w:spacing w:val="0"/>
        <w:w w:val="100"/>
        <w:position w:val="1"/>
        <w:sz w:val="18"/>
        <w:szCs w:val="18"/>
      </w:rPr>
    </w:lvl>
    <w:lvl w:ilvl="8" w:tentative="0">
      <w:start w:val="1"/>
      <w:numFmt w:val="bullet"/>
      <w:lvlText w:val=""/>
      <w:lvlJc w:val="left"/>
      <w:pPr>
        <w:tabs>
          <w:tab w:val="left" w:pos="3780"/>
        </w:tabs>
        <w:ind w:left="3780" w:hanging="420"/>
      </w:pPr>
      <w:rPr>
        <w:rFonts w:hint="default" w:ascii="Wingdings" w:hAnsi="Wingdings"/>
      </w:rPr>
    </w:lvl>
  </w:abstractNum>
  <w:abstractNum w:abstractNumId="38">
    <w:nsid w:val="6EF32394"/>
    <w:multiLevelType w:val="singleLevel"/>
    <w:tmpl w:val="6EF32394"/>
    <w:lvl w:ilvl="0" w:tentative="0">
      <w:start w:val="1"/>
      <w:numFmt w:val="decimal"/>
      <w:suff w:val="nothing"/>
      <w:lvlText w:val="7.%1 "/>
      <w:lvlJc w:val="left"/>
      <w:pPr>
        <w:tabs>
          <w:tab w:val="left" w:pos="0"/>
        </w:tabs>
        <w:ind w:left="0" w:firstLine="40"/>
      </w:pPr>
      <w:rPr>
        <w:rFonts w:hint="default" w:ascii="宋体" w:hAnsi="宋体" w:eastAsia="宋体" w:cs="宋体"/>
      </w:rPr>
    </w:lvl>
  </w:abstractNum>
  <w:abstractNum w:abstractNumId="39">
    <w:nsid w:val="6F596645"/>
    <w:multiLevelType w:val="singleLevel"/>
    <w:tmpl w:val="6F596645"/>
    <w:lvl w:ilvl="0" w:tentative="0">
      <w:start w:val="1"/>
      <w:numFmt w:val="decimal"/>
      <w:suff w:val="nothing"/>
      <w:lvlText w:val="27.%1 "/>
      <w:lvlJc w:val="left"/>
      <w:pPr>
        <w:tabs>
          <w:tab w:val="left" w:pos="385"/>
        </w:tabs>
        <w:ind w:left="385" w:firstLine="40"/>
      </w:pPr>
      <w:rPr>
        <w:rFonts w:hint="default" w:ascii="宋体" w:hAnsi="宋体" w:eastAsia="宋体" w:cs="宋体"/>
      </w:rPr>
    </w:lvl>
  </w:abstractNum>
  <w:abstractNum w:abstractNumId="40">
    <w:nsid w:val="7AAE2EB9"/>
    <w:multiLevelType w:val="multilevel"/>
    <w:tmpl w:val="7AAE2EB9"/>
    <w:lvl w:ilvl="0" w:tentative="0">
      <w:start w:val="1"/>
      <w:numFmt w:val="decimal"/>
      <w:pStyle w:val="159"/>
      <w:suff w:val="space"/>
      <w:lvlText w:val="（%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1">
    <w:nsid w:val="7B2826C6"/>
    <w:multiLevelType w:val="singleLevel"/>
    <w:tmpl w:val="7B2826C6"/>
    <w:lvl w:ilvl="0" w:tentative="0">
      <w:start w:val="1"/>
      <w:numFmt w:val="decimal"/>
      <w:suff w:val="nothing"/>
      <w:lvlText w:val="%1．"/>
      <w:lvlJc w:val="left"/>
      <w:pPr>
        <w:ind w:left="0" w:firstLine="397"/>
      </w:pPr>
      <w:rPr>
        <w:rFonts w:hint="default"/>
      </w:rPr>
    </w:lvl>
  </w:abstractNum>
  <w:num w:numId="1">
    <w:abstractNumId w:val="28"/>
  </w:num>
  <w:num w:numId="2">
    <w:abstractNumId w:val="36"/>
  </w:num>
  <w:num w:numId="3">
    <w:abstractNumId w:val="37"/>
  </w:num>
  <w:num w:numId="4">
    <w:abstractNumId w:val="31"/>
  </w:num>
  <w:num w:numId="5">
    <w:abstractNumId w:val="25"/>
  </w:num>
  <w:num w:numId="6">
    <w:abstractNumId w:val="40"/>
  </w:num>
  <w:num w:numId="7">
    <w:abstractNumId w:val="13"/>
  </w:num>
  <w:num w:numId="8">
    <w:abstractNumId w:val="30"/>
  </w:num>
  <w:num w:numId="9">
    <w:abstractNumId w:val="16"/>
  </w:num>
  <w:num w:numId="10">
    <w:abstractNumId w:val="41"/>
  </w:num>
  <w:num w:numId="11">
    <w:abstractNumId w:val="17"/>
  </w:num>
  <w:num w:numId="12">
    <w:abstractNumId w:val="34"/>
  </w:num>
  <w:num w:numId="13">
    <w:abstractNumId w:val="0"/>
  </w:num>
  <w:num w:numId="14">
    <w:abstractNumId w:val="22"/>
  </w:num>
  <w:num w:numId="15">
    <w:abstractNumId w:val="4"/>
  </w:num>
  <w:num w:numId="16">
    <w:abstractNumId w:val="5"/>
  </w:num>
  <w:num w:numId="17">
    <w:abstractNumId w:val="14"/>
  </w:num>
  <w:num w:numId="18">
    <w:abstractNumId w:val="35"/>
  </w:num>
  <w:num w:numId="19">
    <w:abstractNumId w:val="8"/>
  </w:num>
  <w:num w:numId="20">
    <w:abstractNumId w:val="38"/>
  </w:num>
  <w:num w:numId="21">
    <w:abstractNumId w:val="15"/>
  </w:num>
  <w:num w:numId="22">
    <w:abstractNumId w:val="29"/>
  </w:num>
  <w:num w:numId="23">
    <w:abstractNumId w:val="27"/>
  </w:num>
  <w:num w:numId="24">
    <w:abstractNumId w:val="9"/>
  </w:num>
  <w:num w:numId="25">
    <w:abstractNumId w:val="2"/>
  </w:num>
  <w:num w:numId="26">
    <w:abstractNumId w:val="21"/>
  </w:num>
  <w:num w:numId="27">
    <w:abstractNumId w:val="12"/>
  </w:num>
  <w:num w:numId="28">
    <w:abstractNumId w:val="3"/>
  </w:num>
  <w:num w:numId="29">
    <w:abstractNumId w:val="18"/>
  </w:num>
  <w:num w:numId="30">
    <w:abstractNumId w:val="24"/>
  </w:num>
  <w:num w:numId="31">
    <w:abstractNumId w:val="11"/>
  </w:num>
  <w:num w:numId="32">
    <w:abstractNumId w:val="6"/>
  </w:num>
  <w:num w:numId="33">
    <w:abstractNumId w:val="26"/>
  </w:num>
  <w:num w:numId="34">
    <w:abstractNumId w:val="7"/>
  </w:num>
  <w:num w:numId="35">
    <w:abstractNumId w:val="23"/>
  </w:num>
  <w:num w:numId="36">
    <w:abstractNumId w:val="33"/>
  </w:num>
  <w:num w:numId="37">
    <w:abstractNumId w:val="32"/>
  </w:num>
  <w:num w:numId="38">
    <w:abstractNumId w:val="10"/>
  </w:num>
  <w:num w:numId="39">
    <w:abstractNumId w:val="20"/>
  </w:num>
  <w:num w:numId="40">
    <w:abstractNumId w:val="39"/>
  </w:num>
  <w:num w:numId="41">
    <w:abstractNumId w:val="1"/>
  </w:num>
  <w:num w:numId="4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FlMGYwMTkxOGQ0NTUwYjNhNTZiOTA2MWFjZjZkMTYifQ=="/>
  </w:docVars>
  <w:rsids>
    <w:rsidRoot w:val="00172A27"/>
    <w:rsid w:val="00001DA3"/>
    <w:rsid w:val="00006818"/>
    <w:rsid w:val="000075DA"/>
    <w:rsid w:val="000077D0"/>
    <w:rsid w:val="00007F0A"/>
    <w:rsid w:val="000148D6"/>
    <w:rsid w:val="00015D59"/>
    <w:rsid w:val="00017390"/>
    <w:rsid w:val="00017802"/>
    <w:rsid w:val="00020033"/>
    <w:rsid w:val="0002122F"/>
    <w:rsid w:val="000213B6"/>
    <w:rsid w:val="00023D4F"/>
    <w:rsid w:val="00023FB1"/>
    <w:rsid w:val="00024B66"/>
    <w:rsid w:val="00027239"/>
    <w:rsid w:val="000328AC"/>
    <w:rsid w:val="00033CE5"/>
    <w:rsid w:val="00034160"/>
    <w:rsid w:val="00045CF2"/>
    <w:rsid w:val="000464E5"/>
    <w:rsid w:val="00046D1B"/>
    <w:rsid w:val="0004792A"/>
    <w:rsid w:val="0004794A"/>
    <w:rsid w:val="00047BDF"/>
    <w:rsid w:val="00050858"/>
    <w:rsid w:val="00050A83"/>
    <w:rsid w:val="000510A3"/>
    <w:rsid w:val="00051355"/>
    <w:rsid w:val="00052D30"/>
    <w:rsid w:val="00053264"/>
    <w:rsid w:val="000536AD"/>
    <w:rsid w:val="00054D27"/>
    <w:rsid w:val="00055F1C"/>
    <w:rsid w:val="00056840"/>
    <w:rsid w:val="000575C7"/>
    <w:rsid w:val="00057694"/>
    <w:rsid w:val="000602AD"/>
    <w:rsid w:val="000611ED"/>
    <w:rsid w:val="00063E4F"/>
    <w:rsid w:val="00066466"/>
    <w:rsid w:val="00067276"/>
    <w:rsid w:val="00067CF7"/>
    <w:rsid w:val="00070161"/>
    <w:rsid w:val="000708A0"/>
    <w:rsid w:val="00070FE2"/>
    <w:rsid w:val="00071029"/>
    <w:rsid w:val="00071C5B"/>
    <w:rsid w:val="00073548"/>
    <w:rsid w:val="00074863"/>
    <w:rsid w:val="00076F53"/>
    <w:rsid w:val="000842B4"/>
    <w:rsid w:val="00086021"/>
    <w:rsid w:val="00087E65"/>
    <w:rsid w:val="00091253"/>
    <w:rsid w:val="000912C7"/>
    <w:rsid w:val="0009279F"/>
    <w:rsid w:val="00093879"/>
    <w:rsid w:val="0009767A"/>
    <w:rsid w:val="00097953"/>
    <w:rsid w:val="00097E66"/>
    <w:rsid w:val="000A241D"/>
    <w:rsid w:val="000A5490"/>
    <w:rsid w:val="000B0DE4"/>
    <w:rsid w:val="000B1C23"/>
    <w:rsid w:val="000B1CDD"/>
    <w:rsid w:val="000B3611"/>
    <w:rsid w:val="000B4627"/>
    <w:rsid w:val="000B4B08"/>
    <w:rsid w:val="000B5F6E"/>
    <w:rsid w:val="000B5FA8"/>
    <w:rsid w:val="000C2631"/>
    <w:rsid w:val="000C2AC6"/>
    <w:rsid w:val="000C663A"/>
    <w:rsid w:val="000C6E71"/>
    <w:rsid w:val="000D05CC"/>
    <w:rsid w:val="000D263B"/>
    <w:rsid w:val="000D2BAD"/>
    <w:rsid w:val="000D3021"/>
    <w:rsid w:val="000D3604"/>
    <w:rsid w:val="000D3E6D"/>
    <w:rsid w:val="000D4E3C"/>
    <w:rsid w:val="000D504A"/>
    <w:rsid w:val="000E136C"/>
    <w:rsid w:val="000E1A92"/>
    <w:rsid w:val="000E1C3E"/>
    <w:rsid w:val="000E1D06"/>
    <w:rsid w:val="000E21F5"/>
    <w:rsid w:val="000E32DB"/>
    <w:rsid w:val="000E38B1"/>
    <w:rsid w:val="000E4664"/>
    <w:rsid w:val="000E4978"/>
    <w:rsid w:val="000E526A"/>
    <w:rsid w:val="000E5496"/>
    <w:rsid w:val="000E57E4"/>
    <w:rsid w:val="000E730F"/>
    <w:rsid w:val="000F02FC"/>
    <w:rsid w:val="000F032D"/>
    <w:rsid w:val="000F1FF4"/>
    <w:rsid w:val="000F2FF9"/>
    <w:rsid w:val="000F3AB8"/>
    <w:rsid w:val="000F45D5"/>
    <w:rsid w:val="000F50EA"/>
    <w:rsid w:val="000F5F2A"/>
    <w:rsid w:val="000F65E6"/>
    <w:rsid w:val="000F7138"/>
    <w:rsid w:val="000F7272"/>
    <w:rsid w:val="000F7D1F"/>
    <w:rsid w:val="00102B8C"/>
    <w:rsid w:val="001049C2"/>
    <w:rsid w:val="0010598A"/>
    <w:rsid w:val="00106DAD"/>
    <w:rsid w:val="00107709"/>
    <w:rsid w:val="00110A92"/>
    <w:rsid w:val="00116DAA"/>
    <w:rsid w:val="0012072A"/>
    <w:rsid w:val="001207CD"/>
    <w:rsid w:val="00120FD6"/>
    <w:rsid w:val="001221B6"/>
    <w:rsid w:val="0012256C"/>
    <w:rsid w:val="001239D4"/>
    <w:rsid w:val="001306A4"/>
    <w:rsid w:val="00130B31"/>
    <w:rsid w:val="00131E4E"/>
    <w:rsid w:val="00131F44"/>
    <w:rsid w:val="00132490"/>
    <w:rsid w:val="001330B0"/>
    <w:rsid w:val="001346A9"/>
    <w:rsid w:val="00136306"/>
    <w:rsid w:val="00137D67"/>
    <w:rsid w:val="00141DA5"/>
    <w:rsid w:val="0014267B"/>
    <w:rsid w:val="00142A39"/>
    <w:rsid w:val="00142AFF"/>
    <w:rsid w:val="00145D2A"/>
    <w:rsid w:val="00145DEA"/>
    <w:rsid w:val="001468A0"/>
    <w:rsid w:val="00147101"/>
    <w:rsid w:val="00147454"/>
    <w:rsid w:val="00154F16"/>
    <w:rsid w:val="00157B09"/>
    <w:rsid w:val="00160BF9"/>
    <w:rsid w:val="00162113"/>
    <w:rsid w:val="001623A6"/>
    <w:rsid w:val="00164064"/>
    <w:rsid w:val="00167BCB"/>
    <w:rsid w:val="001707F1"/>
    <w:rsid w:val="0017220F"/>
    <w:rsid w:val="0017302D"/>
    <w:rsid w:val="00175A80"/>
    <w:rsid w:val="00181AB5"/>
    <w:rsid w:val="001840F0"/>
    <w:rsid w:val="0018546D"/>
    <w:rsid w:val="0018562F"/>
    <w:rsid w:val="00185753"/>
    <w:rsid w:val="00185B9D"/>
    <w:rsid w:val="0018644D"/>
    <w:rsid w:val="00186A09"/>
    <w:rsid w:val="00186EB5"/>
    <w:rsid w:val="00187DD3"/>
    <w:rsid w:val="00190204"/>
    <w:rsid w:val="00190420"/>
    <w:rsid w:val="001908FE"/>
    <w:rsid w:val="00191FD8"/>
    <w:rsid w:val="001937DC"/>
    <w:rsid w:val="001940F2"/>
    <w:rsid w:val="001945FF"/>
    <w:rsid w:val="00194D4C"/>
    <w:rsid w:val="0019559D"/>
    <w:rsid w:val="00196477"/>
    <w:rsid w:val="00196875"/>
    <w:rsid w:val="001A06AD"/>
    <w:rsid w:val="001A09BA"/>
    <w:rsid w:val="001A1935"/>
    <w:rsid w:val="001A493D"/>
    <w:rsid w:val="001A5F98"/>
    <w:rsid w:val="001A647A"/>
    <w:rsid w:val="001B1329"/>
    <w:rsid w:val="001B260D"/>
    <w:rsid w:val="001B2755"/>
    <w:rsid w:val="001B4867"/>
    <w:rsid w:val="001B6049"/>
    <w:rsid w:val="001B71A5"/>
    <w:rsid w:val="001B7285"/>
    <w:rsid w:val="001C22F6"/>
    <w:rsid w:val="001C26B1"/>
    <w:rsid w:val="001C4168"/>
    <w:rsid w:val="001C462F"/>
    <w:rsid w:val="001C48E8"/>
    <w:rsid w:val="001C53F8"/>
    <w:rsid w:val="001C6443"/>
    <w:rsid w:val="001C770C"/>
    <w:rsid w:val="001C795C"/>
    <w:rsid w:val="001D0151"/>
    <w:rsid w:val="001D0B98"/>
    <w:rsid w:val="001D26EF"/>
    <w:rsid w:val="001D3140"/>
    <w:rsid w:val="001D6654"/>
    <w:rsid w:val="001D7857"/>
    <w:rsid w:val="001E04B8"/>
    <w:rsid w:val="001E32A6"/>
    <w:rsid w:val="001E48F2"/>
    <w:rsid w:val="001E65BA"/>
    <w:rsid w:val="001E71CF"/>
    <w:rsid w:val="001E7840"/>
    <w:rsid w:val="001E7F7C"/>
    <w:rsid w:val="001F0C21"/>
    <w:rsid w:val="001F0E66"/>
    <w:rsid w:val="001F201E"/>
    <w:rsid w:val="001F300C"/>
    <w:rsid w:val="001F390F"/>
    <w:rsid w:val="001F4C6E"/>
    <w:rsid w:val="001F596D"/>
    <w:rsid w:val="001F5E72"/>
    <w:rsid w:val="001F63FD"/>
    <w:rsid w:val="00201ADE"/>
    <w:rsid w:val="00204834"/>
    <w:rsid w:val="002054EF"/>
    <w:rsid w:val="00206B09"/>
    <w:rsid w:val="00207B4A"/>
    <w:rsid w:val="00211B28"/>
    <w:rsid w:val="0022084E"/>
    <w:rsid w:val="0022104A"/>
    <w:rsid w:val="00221186"/>
    <w:rsid w:val="00221F74"/>
    <w:rsid w:val="00222CE1"/>
    <w:rsid w:val="00226C15"/>
    <w:rsid w:val="00230842"/>
    <w:rsid w:val="00233994"/>
    <w:rsid w:val="002364CF"/>
    <w:rsid w:val="00236ADE"/>
    <w:rsid w:val="002375BB"/>
    <w:rsid w:val="0024409C"/>
    <w:rsid w:val="00244106"/>
    <w:rsid w:val="00244D02"/>
    <w:rsid w:val="00245C61"/>
    <w:rsid w:val="002474AC"/>
    <w:rsid w:val="00247E15"/>
    <w:rsid w:val="00250084"/>
    <w:rsid w:val="00252A03"/>
    <w:rsid w:val="00254070"/>
    <w:rsid w:val="0025652F"/>
    <w:rsid w:val="002606EC"/>
    <w:rsid w:val="00260EDD"/>
    <w:rsid w:val="0026116F"/>
    <w:rsid w:val="00262439"/>
    <w:rsid w:val="00267F13"/>
    <w:rsid w:val="00270E2D"/>
    <w:rsid w:val="0027356C"/>
    <w:rsid w:val="002737DE"/>
    <w:rsid w:val="00274F9A"/>
    <w:rsid w:val="00275072"/>
    <w:rsid w:val="00275157"/>
    <w:rsid w:val="002751D8"/>
    <w:rsid w:val="00280D86"/>
    <w:rsid w:val="00284635"/>
    <w:rsid w:val="00285F7E"/>
    <w:rsid w:val="0028694A"/>
    <w:rsid w:val="0029041C"/>
    <w:rsid w:val="0029087D"/>
    <w:rsid w:val="002916B1"/>
    <w:rsid w:val="00295155"/>
    <w:rsid w:val="00296D5E"/>
    <w:rsid w:val="002972FE"/>
    <w:rsid w:val="002A2ACF"/>
    <w:rsid w:val="002A50C8"/>
    <w:rsid w:val="002A64CA"/>
    <w:rsid w:val="002A697F"/>
    <w:rsid w:val="002B166C"/>
    <w:rsid w:val="002B17BF"/>
    <w:rsid w:val="002B223A"/>
    <w:rsid w:val="002B7653"/>
    <w:rsid w:val="002C1925"/>
    <w:rsid w:val="002C1D7D"/>
    <w:rsid w:val="002C37F2"/>
    <w:rsid w:val="002C3840"/>
    <w:rsid w:val="002C480E"/>
    <w:rsid w:val="002C4A0E"/>
    <w:rsid w:val="002C5223"/>
    <w:rsid w:val="002C791D"/>
    <w:rsid w:val="002C7A2D"/>
    <w:rsid w:val="002D11D9"/>
    <w:rsid w:val="002D424C"/>
    <w:rsid w:val="002D6B41"/>
    <w:rsid w:val="002E2739"/>
    <w:rsid w:val="002E30A6"/>
    <w:rsid w:val="002E35E9"/>
    <w:rsid w:val="002E7C43"/>
    <w:rsid w:val="002E7E69"/>
    <w:rsid w:val="002F08B1"/>
    <w:rsid w:val="002F097F"/>
    <w:rsid w:val="002F2A93"/>
    <w:rsid w:val="002F2E8D"/>
    <w:rsid w:val="002F378A"/>
    <w:rsid w:val="002F4F8D"/>
    <w:rsid w:val="00301375"/>
    <w:rsid w:val="003023F8"/>
    <w:rsid w:val="00303976"/>
    <w:rsid w:val="003072EC"/>
    <w:rsid w:val="0031129B"/>
    <w:rsid w:val="00311484"/>
    <w:rsid w:val="00311554"/>
    <w:rsid w:val="003120E2"/>
    <w:rsid w:val="00317185"/>
    <w:rsid w:val="00317584"/>
    <w:rsid w:val="00317884"/>
    <w:rsid w:val="003178DC"/>
    <w:rsid w:val="0032106B"/>
    <w:rsid w:val="0032607A"/>
    <w:rsid w:val="00327130"/>
    <w:rsid w:val="00330619"/>
    <w:rsid w:val="003349E6"/>
    <w:rsid w:val="0033593F"/>
    <w:rsid w:val="00335F6A"/>
    <w:rsid w:val="00336801"/>
    <w:rsid w:val="00343AD4"/>
    <w:rsid w:val="00346F9B"/>
    <w:rsid w:val="003503F3"/>
    <w:rsid w:val="00350F99"/>
    <w:rsid w:val="003510DB"/>
    <w:rsid w:val="0035370E"/>
    <w:rsid w:val="00354D93"/>
    <w:rsid w:val="00355E84"/>
    <w:rsid w:val="00355E89"/>
    <w:rsid w:val="00356805"/>
    <w:rsid w:val="00361B43"/>
    <w:rsid w:val="00361F52"/>
    <w:rsid w:val="00363BE4"/>
    <w:rsid w:val="0036471B"/>
    <w:rsid w:val="00365265"/>
    <w:rsid w:val="00365DEC"/>
    <w:rsid w:val="00366048"/>
    <w:rsid w:val="003666A9"/>
    <w:rsid w:val="00370309"/>
    <w:rsid w:val="00370AC7"/>
    <w:rsid w:val="00372D8A"/>
    <w:rsid w:val="0037377A"/>
    <w:rsid w:val="0038062E"/>
    <w:rsid w:val="00380EBB"/>
    <w:rsid w:val="00381BBB"/>
    <w:rsid w:val="00383AA4"/>
    <w:rsid w:val="00383F96"/>
    <w:rsid w:val="003860F2"/>
    <w:rsid w:val="00387074"/>
    <w:rsid w:val="00391200"/>
    <w:rsid w:val="00392324"/>
    <w:rsid w:val="00392CCA"/>
    <w:rsid w:val="00395EFF"/>
    <w:rsid w:val="003A7835"/>
    <w:rsid w:val="003B254E"/>
    <w:rsid w:val="003B3212"/>
    <w:rsid w:val="003B5E1A"/>
    <w:rsid w:val="003B5F9F"/>
    <w:rsid w:val="003B6AF4"/>
    <w:rsid w:val="003B7747"/>
    <w:rsid w:val="003C045D"/>
    <w:rsid w:val="003C05AC"/>
    <w:rsid w:val="003C2615"/>
    <w:rsid w:val="003C2BEF"/>
    <w:rsid w:val="003C37EA"/>
    <w:rsid w:val="003C3C1C"/>
    <w:rsid w:val="003C41F6"/>
    <w:rsid w:val="003C64E7"/>
    <w:rsid w:val="003D234F"/>
    <w:rsid w:val="003D2FE1"/>
    <w:rsid w:val="003D54F9"/>
    <w:rsid w:val="003E03D0"/>
    <w:rsid w:val="003E0923"/>
    <w:rsid w:val="003E1983"/>
    <w:rsid w:val="003E2076"/>
    <w:rsid w:val="003E4A85"/>
    <w:rsid w:val="003E650C"/>
    <w:rsid w:val="003E724B"/>
    <w:rsid w:val="003E75CD"/>
    <w:rsid w:val="003F0068"/>
    <w:rsid w:val="003F6C24"/>
    <w:rsid w:val="003F73DB"/>
    <w:rsid w:val="00402880"/>
    <w:rsid w:val="00403983"/>
    <w:rsid w:val="00405DD4"/>
    <w:rsid w:val="00407B18"/>
    <w:rsid w:val="00411B98"/>
    <w:rsid w:val="004126DD"/>
    <w:rsid w:val="00412A01"/>
    <w:rsid w:val="00415B8C"/>
    <w:rsid w:val="0042158E"/>
    <w:rsid w:val="00423F56"/>
    <w:rsid w:val="00431075"/>
    <w:rsid w:val="0043130F"/>
    <w:rsid w:val="00432945"/>
    <w:rsid w:val="00432A66"/>
    <w:rsid w:val="004336B0"/>
    <w:rsid w:val="0043576F"/>
    <w:rsid w:val="0044078E"/>
    <w:rsid w:val="004418AB"/>
    <w:rsid w:val="004420EA"/>
    <w:rsid w:val="00442E77"/>
    <w:rsid w:val="00443A4F"/>
    <w:rsid w:val="00445CAB"/>
    <w:rsid w:val="0044612F"/>
    <w:rsid w:val="004544B9"/>
    <w:rsid w:val="00455B4C"/>
    <w:rsid w:val="00463657"/>
    <w:rsid w:val="00464C4C"/>
    <w:rsid w:val="00465A05"/>
    <w:rsid w:val="004707ED"/>
    <w:rsid w:val="00470C83"/>
    <w:rsid w:val="004738DF"/>
    <w:rsid w:val="0047666E"/>
    <w:rsid w:val="00477C97"/>
    <w:rsid w:val="00480341"/>
    <w:rsid w:val="004811FE"/>
    <w:rsid w:val="00481376"/>
    <w:rsid w:val="00481EE1"/>
    <w:rsid w:val="00482174"/>
    <w:rsid w:val="004821D3"/>
    <w:rsid w:val="00483ECB"/>
    <w:rsid w:val="00484007"/>
    <w:rsid w:val="004840E1"/>
    <w:rsid w:val="00485252"/>
    <w:rsid w:val="00486913"/>
    <w:rsid w:val="00487344"/>
    <w:rsid w:val="004875E1"/>
    <w:rsid w:val="0049055D"/>
    <w:rsid w:val="00490DDE"/>
    <w:rsid w:val="00490F49"/>
    <w:rsid w:val="0049290F"/>
    <w:rsid w:val="004951D5"/>
    <w:rsid w:val="0049797C"/>
    <w:rsid w:val="004A17A2"/>
    <w:rsid w:val="004A3D7D"/>
    <w:rsid w:val="004A4142"/>
    <w:rsid w:val="004A6F58"/>
    <w:rsid w:val="004B05F4"/>
    <w:rsid w:val="004B0811"/>
    <w:rsid w:val="004B1F90"/>
    <w:rsid w:val="004B22CF"/>
    <w:rsid w:val="004B3910"/>
    <w:rsid w:val="004B46C4"/>
    <w:rsid w:val="004B5330"/>
    <w:rsid w:val="004B5AB3"/>
    <w:rsid w:val="004B6001"/>
    <w:rsid w:val="004B6A5A"/>
    <w:rsid w:val="004B6B83"/>
    <w:rsid w:val="004B7EA3"/>
    <w:rsid w:val="004C1318"/>
    <w:rsid w:val="004C1BA6"/>
    <w:rsid w:val="004C267F"/>
    <w:rsid w:val="004D35C6"/>
    <w:rsid w:val="004D44EE"/>
    <w:rsid w:val="004D57AE"/>
    <w:rsid w:val="004E269B"/>
    <w:rsid w:val="004E3A69"/>
    <w:rsid w:val="004E3F19"/>
    <w:rsid w:val="004E52B0"/>
    <w:rsid w:val="004E60DF"/>
    <w:rsid w:val="004E6516"/>
    <w:rsid w:val="004F06CB"/>
    <w:rsid w:val="004F1B98"/>
    <w:rsid w:val="004F1EF6"/>
    <w:rsid w:val="004F4A0C"/>
    <w:rsid w:val="004F675C"/>
    <w:rsid w:val="004F6D1A"/>
    <w:rsid w:val="00500D57"/>
    <w:rsid w:val="005016DA"/>
    <w:rsid w:val="0050250C"/>
    <w:rsid w:val="00503B44"/>
    <w:rsid w:val="00503EAE"/>
    <w:rsid w:val="005057F0"/>
    <w:rsid w:val="005109C4"/>
    <w:rsid w:val="00511898"/>
    <w:rsid w:val="00511D3E"/>
    <w:rsid w:val="00512BBB"/>
    <w:rsid w:val="00517C29"/>
    <w:rsid w:val="00521532"/>
    <w:rsid w:val="005245BA"/>
    <w:rsid w:val="00525303"/>
    <w:rsid w:val="00525C33"/>
    <w:rsid w:val="0052677F"/>
    <w:rsid w:val="00526A08"/>
    <w:rsid w:val="005306F4"/>
    <w:rsid w:val="00531CDE"/>
    <w:rsid w:val="00532809"/>
    <w:rsid w:val="00533931"/>
    <w:rsid w:val="00533DC9"/>
    <w:rsid w:val="005356ED"/>
    <w:rsid w:val="00536C08"/>
    <w:rsid w:val="00536D4A"/>
    <w:rsid w:val="0053713B"/>
    <w:rsid w:val="00537173"/>
    <w:rsid w:val="005378CB"/>
    <w:rsid w:val="005404A5"/>
    <w:rsid w:val="00540CB5"/>
    <w:rsid w:val="005445DF"/>
    <w:rsid w:val="00546A76"/>
    <w:rsid w:val="005500A4"/>
    <w:rsid w:val="005514E6"/>
    <w:rsid w:val="00551596"/>
    <w:rsid w:val="00554E93"/>
    <w:rsid w:val="00557696"/>
    <w:rsid w:val="005605A9"/>
    <w:rsid w:val="00560B4F"/>
    <w:rsid w:val="00560EA2"/>
    <w:rsid w:val="00560EF5"/>
    <w:rsid w:val="00560FC0"/>
    <w:rsid w:val="00561242"/>
    <w:rsid w:val="00561E6A"/>
    <w:rsid w:val="005648E0"/>
    <w:rsid w:val="00564E8F"/>
    <w:rsid w:val="00566308"/>
    <w:rsid w:val="00571B49"/>
    <w:rsid w:val="0057210E"/>
    <w:rsid w:val="00575F6F"/>
    <w:rsid w:val="00577904"/>
    <w:rsid w:val="0058006C"/>
    <w:rsid w:val="00581BE5"/>
    <w:rsid w:val="00582FCE"/>
    <w:rsid w:val="00583338"/>
    <w:rsid w:val="0058535A"/>
    <w:rsid w:val="005853D2"/>
    <w:rsid w:val="00586526"/>
    <w:rsid w:val="005900B5"/>
    <w:rsid w:val="00590B9C"/>
    <w:rsid w:val="00591521"/>
    <w:rsid w:val="00591734"/>
    <w:rsid w:val="00591FA1"/>
    <w:rsid w:val="00592B43"/>
    <w:rsid w:val="00592DF2"/>
    <w:rsid w:val="00592E7B"/>
    <w:rsid w:val="005938BD"/>
    <w:rsid w:val="00594041"/>
    <w:rsid w:val="00594F19"/>
    <w:rsid w:val="00594F8E"/>
    <w:rsid w:val="005965F2"/>
    <w:rsid w:val="005976AD"/>
    <w:rsid w:val="005A02D2"/>
    <w:rsid w:val="005A030B"/>
    <w:rsid w:val="005A5048"/>
    <w:rsid w:val="005A61F4"/>
    <w:rsid w:val="005A6DCA"/>
    <w:rsid w:val="005B61AE"/>
    <w:rsid w:val="005B7C66"/>
    <w:rsid w:val="005C1EDC"/>
    <w:rsid w:val="005C2015"/>
    <w:rsid w:val="005C23DA"/>
    <w:rsid w:val="005C40A5"/>
    <w:rsid w:val="005C515B"/>
    <w:rsid w:val="005C7DA4"/>
    <w:rsid w:val="005D098F"/>
    <w:rsid w:val="005D3369"/>
    <w:rsid w:val="005D44DD"/>
    <w:rsid w:val="005D4538"/>
    <w:rsid w:val="005D509B"/>
    <w:rsid w:val="005D59F7"/>
    <w:rsid w:val="005D6FDE"/>
    <w:rsid w:val="005E2379"/>
    <w:rsid w:val="005E435B"/>
    <w:rsid w:val="005E45D4"/>
    <w:rsid w:val="005E5B93"/>
    <w:rsid w:val="005E781A"/>
    <w:rsid w:val="005F0356"/>
    <w:rsid w:val="005F0902"/>
    <w:rsid w:val="005F20C3"/>
    <w:rsid w:val="005F3640"/>
    <w:rsid w:val="005F3EA6"/>
    <w:rsid w:val="005F4076"/>
    <w:rsid w:val="005F5C9B"/>
    <w:rsid w:val="005F7503"/>
    <w:rsid w:val="005F798D"/>
    <w:rsid w:val="005F7D07"/>
    <w:rsid w:val="006014E3"/>
    <w:rsid w:val="0060337E"/>
    <w:rsid w:val="006037E7"/>
    <w:rsid w:val="00605B60"/>
    <w:rsid w:val="00605B63"/>
    <w:rsid w:val="00606C14"/>
    <w:rsid w:val="00607067"/>
    <w:rsid w:val="00607DF3"/>
    <w:rsid w:val="006108E4"/>
    <w:rsid w:val="00610BEB"/>
    <w:rsid w:val="0061277F"/>
    <w:rsid w:val="006179A0"/>
    <w:rsid w:val="0062063A"/>
    <w:rsid w:val="00620CCE"/>
    <w:rsid w:val="00626AD6"/>
    <w:rsid w:val="0062753E"/>
    <w:rsid w:val="00627A68"/>
    <w:rsid w:val="00627BE7"/>
    <w:rsid w:val="00627CD0"/>
    <w:rsid w:val="00627E2D"/>
    <w:rsid w:val="0063140B"/>
    <w:rsid w:val="00633569"/>
    <w:rsid w:val="00634F2A"/>
    <w:rsid w:val="00635132"/>
    <w:rsid w:val="00635612"/>
    <w:rsid w:val="00640797"/>
    <w:rsid w:val="00641865"/>
    <w:rsid w:val="006418B2"/>
    <w:rsid w:val="00642080"/>
    <w:rsid w:val="006435A9"/>
    <w:rsid w:val="00644CB6"/>
    <w:rsid w:val="006460DE"/>
    <w:rsid w:val="006503B5"/>
    <w:rsid w:val="0065060D"/>
    <w:rsid w:val="00657F9C"/>
    <w:rsid w:val="0066072C"/>
    <w:rsid w:val="00665413"/>
    <w:rsid w:val="00666201"/>
    <w:rsid w:val="006708AA"/>
    <w:rsid w:val="00670DA8"/>
    <w:rsid w:val="00671382"/>
    <w:rsid w:val="006733B7"/>
    <w:rsid w:val="00684CC6"/>
    <w:rsid w:val="00684E9E"/>
    <w:rsid w:val="00687399"/>
    <w:rsid w:val="00687A0A"/>
    <w:rsid w:val="00691327"/>
    <w:rsid w:val="00691830"/>
    <w:rsid w:val="00692449"/>
    <w:rsid w:val="00693E45"/>
    <w:rsid w:val="00694609"/>
    <w:rsid w:val="006951A4"/>
    <w:rsid w:val="00695EAD"/>
    <w:rsid w:val="006974EF"/>
    <w:rsid w:val="006A1152"/>
    <w:rsid w:val="006A294C"/>
    <w:rsid w:val="006A2E32"/>
    <w:rsid w:val="006A4354"/>
    <w:rsid w:val="006A545D"/>
    <w:rsid w:val="006A5E66"/>
    <w:rsid w:val="006A6D3D"/>
    <w:rsid w:val="006B16D2"/>
    <w:rsid w:val="006B18A5"/>
    <w:rsid w:val="006B464F"/>
    <w:rsid w:val="006B5750"/>
    <w:rsid w:val="006B57B8"/>
    <w:rsid w:val="006B5B09"/>
    <w:rsid w:val="006B6948"/>
    <w:rsid w:val="006B6E7A"/>
    <w:rsid w:val="006C0A94"/>
    <w:rsid w:val="006C0D27"/>
    <w:rsid w:val="006C252F"/>
    <w:rsid w:val="006C38BB"/>
    <w:rsid w:val="006C4339"/>
    <w:rsid w:val="006C6289"/>
    <w:rsid w:val="006C6B02"/>
    <w:rsid w:val="006C78AF"/>
    <w:rsid w:val="006C7BC3"/>
    <w:rsid w:val="006D0D78"/>
    <w:rsid w:val="006D127E"/>
    <w:rsid w:val="006D1606"/>
    <w:rsid w:val="006D1EB8"/>
    <w:rsid w:val="006D31BD"/>
    <w:rsid w:val="006D6835"/>
    <w:rsid w:val="006D6D42"/>
    <w:rsid w:val="006D79C2"/>
    <w:rsid w:val="006E03F0"/>
    <w:rsid w:val="006E132F"/>
    <w:rsid w:val="006E5766"/>
    <w:rsid w:val="006E62AA"/>
    <w:rsid w:val="006E77A8"/>
    <w:rsid w:val="006F16AA"/>
    <w:rsid w:val="006F3E38"/>
    <w:rsid w:val="006F56FF"/>
    <w:rsid w:val="006F770E"/>
    <w:rsid w:val="00702AEC"/>
    <w:rsid w:val="00703C8C"/>
    <w:rsid w:val="00703F26"/>
    <w:rsid w:val="00704022"/>
    <w:rsid w:val="00705C4B"/>
    <w:rsid w:val="0071043E"/>
    <w:rsid w:val="007120A5"/>
    <w:rsid w:val="0071212F"/>
    <w:rsid w:val="00712CFA"/>
    <w:rsid w:val="00713E72"/>
    <w:rsid w:val="00720140"/>
    <w:rsid w:val="00720ECC"/>
    <w:rsid w:val="00722047"/>
    <w:rsid w:val="0072335E"/>
    <w:rsid w:val="00725A5E"/>
    <w:rsid w:val="007266DF"/>
    <w:rsid w:val="00726B46"/>
    <w:rsid w:val="00727242"/>
    <w:rsid w:val="00727A9C"/>
    <w:rsid w:val="007317F3"/>
    <w:rsid w:val="007318D9"/>
    <w:rsid w:val="00731A9A"/>
    <w:rsid w:val="00732283"/>
    <w:rsid w:val="00733A0A"/>
    <w:rsid w:val="00734B2C"/>
    <w:rsid w:val="00734C51"/>
    <w:rsid w:val="0073530B"/>
    <w:rsid w:val="007353C8"/>
    <w:rsid w:val="00735F37"/>
    <w:rsid w:val="007400BE"/>
    <w:rsid w:val="00741801"/>
    <w:rsid w:val="0074230B"/>
    <w:rsid w:val="00743CE7"/>
    <w:rsid w:val="007446BC"/>
    <w:rsid w:val="00745BBA"/>
    <w:rsid w:val="00750AE3"/>
    <w:rsid w:val="00751C16"/>
    <w:rsid w:val="00752005"/>
    <w:rsid w:val="00752348"/>
    <w:rsid w:val="00753397"/>
    <w:rsid w:val="0075385E"/>
    <w:rsid w:val="00753F62"/>
    <w:rsid w:val="0075462D"/>
    <w:rsid w:val="00757337"/>
    <w:rsid w:val="007576B6"/>
    <w:rsid w:val="00757800"/>
    <w:rsid w:val="00757915"/>
    <w:rsid w:val="00762733"/>
    <w:rsid w:val="00762B3D"/>
    <w:rsid w:val="00766552"/>
    <w:rsid w:val="00770F92"/>
    <w:rsid w:val="00771B65"/>
    <w:rsid w:val="007731A3"/>
    <w:rsid w:val="007742D0"/>
    <w:rsid w:val="0077430C"/>
    <w:rsid w:val="00776940"/>
    <w:rsid w:val="007800A5"/>
    <w:rsid w:val="00780F42"/>
    <w:rsid w:val="0078537A"/>
    <w:rsid w:val="00785BE9"/>
    <w:rsid w:val="00786247"/>
    <w:rsid w:val="00786F83"/>
    <w:rsid w:val="007877D6"/>
    <w:rsid w:val="007935D6"/>
    <w:rsid w:val="00793F36"/>
    <w:rsid w:val="00796A41"/>
    <w:rsid w:val="00796F96"/>
    <w:rsid w:val="00797CAE"/>
    <w:rsid w:val="007A336D"/>
    <w:rsid w:val="007A5FA8"/>
    <w:rsid w:val="007B2FF7"/>
    <w:rsid w:val="007B33BF"/>
    <w:rsid w:val="007B653B"/>
    <w:rsid w:val="007B70B3"/>
    <w:rsid w:val="007C1AF4"/>
    <w:rsid w:val="007C2B64"/>
    <w:rsid w:val="007C46D9"/>
    <w:rsid w:val="007C5553"/>
    <w:rsid w:val="007C69F0"/>
    <w:rsid w:val="007D16EC"/>
    <w:rsid w:val="007D3620"/>
    <w:rsid w:val="007D4799"/>
    <w:rsid w:val="007D53CB"/>
    <w:rsid w:val="007D7907"/>
    <w:rsid w:val="007E3946"/>
    <w:rsid w:val="007E4563"/>
    <w:rsid w:val="007E460E"/>
    <w:rsid w:val="007E66C4"/>
    <w:rsid w:val="007F3D48"/>
    <w:rsid w:val="007F455F"/>
    <w:rsid w:val="0080010D"/>
    <w:rsid w:val="0080289B"/>
    <w:rsid w:val="0080361E"/>
    <w:rsid w:val="00804465"/>
    <w:rsid w:val="00805A94"/>
    <w:rsid w:val="008064EF"/>
    <w:rsid w:val="008068C4"/>
    <w:rsid w:val="0080750F"/>
    <w:rsid w:val="008106B3"/>
    <w:rsid w:val="008112C2"/>
    <w:rsid w:val="0081686A"/>
    <w:rsid w:val="00817FD3"/>
    <w:rsid w:val="00823A92"/>
    <w:rsid w:val="00824F2B"/>
    <w:rsid w:val="008258A9"/>
    <w:rsid w:val="008276AE"/>
    <w:rsid w:val="0083040C"/>
    <w:rsid w:val="00833198"/>
    <w:rsid w:val="00833BF9"/>
    <w:rsid w:val="008341CE"/>
    <w:rsid w:val="0083519D"/>
    <w:rsid w:val="00836471"/>
    <w:rsid w:val="00843413"/>
    <w:rsid w:val="008509B5"/>
    <w:rsid w:val="00851F7A"/>
    <w:rsid w:val="0085321B"/>
    <w:rsid w:val="008537AC"/>
    <w:rsid w:val="00856F40"/>
    <w:rsid w:val="00863021"/>
    <w:rsid w:val="00865063"/>
    <w:rsid w:val="00865AF7"/>
    <w:rsid w:val="008660C6"/>
    <w:rsid w:val="008705F0"/>
    <w:rsid w:val="00870803"/>
    <w:rsid w:val="00871057"/>
    <w:rsid w:val="008710CB"/>
    <w:rsid w:val="00876039"/>
    <w:rsid w:val="00876D91"/>
    <w:rsid w:val="00880511"/>
    <w:rsid w:val="00881169"/>
    <w:rsid w:val="00881590"/>
    <w:rsid w:val="00881C19"/>
    <w:rsid w:val="00882269"/>
    <w:rsid w:val="0088229B"/>
    <w:rsid w:val="00884273"/>
    <w:rsid w:val="0088781D"/>
    <w:rsid w:val="0089235D"/>
    <w:rsid w:val="00894884"/>
    <w:rsid w:val="008948CC"/>
    <w:rsid w:val="00894E12"/>
    <w:rsid w:val="00894E79"/>
    <w:rsid w:val="00894EF5"/>
    <w:rsid w:val="008963A2"/>
    <w:rsid w:val="008964D5"/>
    <w:rsid w:val="00896554"/>
    <w:rsid w:val="008A02CC"/>
    <w:rsid w:val="008A19FB"/>
    <w:rsid w:val="008A220C"/>
    <w:rsid w:val="008A7EBD"/>
    <w:rsid w:val="008B0B06"/>
    <w:rsid w:val="008B1049"/>
    <w:rsid w:val="008B442F"/>
    <w:rsid w:val="008B598D"/>
    <w:rsid w:val="008B7D14"/>
    <w:rsid w:val="008C0D07"/>
    <w:rsid w:val="008C2010"/>
    <w:rsid w:val="008C36C7"/>
    <w:rsid w:val="008C429A"/>
    <w:rsid w:val="008C5011"/>
    <w:rsid w:val="008C516E"/>
    <w:rsid w:val="008C570E"/>
    <w:rsid w:val="008C60CD"/>
    <w:rsid w:val="008C6CE7"/>
    <w:rsid w:val="008C767C"/>
    <w:rsid w:val="008D11F5"/>
    <w:rsid w:val="008D4BCF"/>
    <w:rsid w:val="008E06E2"/>
    <w:rsid w:val="008E1011"/>
    <w:rsid w:val="008E1905"/>
    <w:rsid w:val="008E2A88"/>
    <w:rsid w:val="008E57DF"/>
    <w:rsid w:val="008E6CC5"/>
    <w:rsid w:val="008F0B77"/>
    <w:rsid w:val="008F290B"/>
    <w:rsid w:val="008F2E02"/>
    <w:rsid w:val="008F62A7"/>
    <w:rsid w:val="00904FB2"/>
    <w:rsid w:val="0090595C"/>
    <w:rsid w:val="009072F4"/>
    <w:rsid w:val="00913166"/>
    <w:rsid w:val="00920EF0"/>
    <w:rsid w:val="009210AE"/>
    <w:rsid w:val="00922517"/>
    <w:rsid w:val="009227B3"/>
    <w:rsid w:val="00925172"/>
    <w:rsid w:val="00925914"/>
    <w:rsid w:val="009264EB"/>
    <w:rsid w:val="00926B40"/>
    <w:rsid w:val="0093191A"/>
    <w:rsid w:val="00933187"/>
    <w:rsid w:val="009332A3"/>
    <w:rsid w:val="00934303"/>
    <w:rsid w:val="009373F5"/>
    <w:rsid w:val="00937B5B"/>
    <w:rsid w:val="00940966"/>
    <w:rsid w:val="00940AC7"/>
    <w:rsid w:val="00940CE4"/>
    <w:rsid w:val="0094293E"/>
    <w:rsid w:val="00943077"/>
    <w:rsid w:val="00951C07"/>
    <w:rsid w:val="00953B72"/>
    <w:rsid w:val="00954825"/>
    <w:rsid w:val="00955691"/>
    <w:rsid w:val="009557E9"/>
    <w:rsid w:val="00956B6F"/>
    <w:rsid w:val="00963254"/>
    <w:rsid w:val="009636B7"/>
    <w:rsid w:val="00967340"/>
    <w:rsid w:val="009674B0"/>
    <w:rsid w:val="00967F48"/>
    <w:rsid w:val="009701C5"/>
    <w:rsid w:val="00970487"/>
    <w:rsid w:val="00970B38"/>
    <w:rsid w:val="00971108"/>
    <w:rsid w:val="0097133A"/>
    <w:rsid w:val="0097423A"/>
    <w:rsid w:val="00977D16"/>
    <w:rsid w:val="00981D24"/>
    <w:rsid w:val="0098205C"/>
    <w:rsid w:val="00983B0B"/>
    <w:rsid w:val="00984340"/>
    <w:rsid w:val="009849C5"/>
    <w:rsid w:val="009932DC"/>
    <w:rsid w:val="00993C5B"/>
    <w:rsid w:val="00993D04"/>
    <w:rsid w:val="009944AC"/>
    <w:rsid w:val="00994E03"/>
    <w:rsid w:val="00997463"/>
    <w:rsid w:val="00997484"/>
    <w:rsid w:val="0099788C"/>
    <w:rsid w:val="009A0EF2"/>
    <w:rsid w:val="009A1276"/>
    <w:rsid w:val="009A194B"/>
    <w:rsid w:val="009A588B"/>
    <w:rsid w:val="009A76C5"/>
    <w:rsid w:val="009B0797"/>
    <w:rsid w:val="009B1189"/>
    <w:rsid w:val="009B15F7"/>
    <w:rsid w:val="009B19A2"/>
    <w:rsid w:val="009B1A96"/>
    <w:rsid w:val="009B4771"/>
    <w:rsid w:val="009C05E8"/>
    <w:rsid w:val="009C4D08"/>
    <w:rsid w:val="009C5701"/>
    <w:rsid w:val="009C663B"/>
    <w:rsid w:val="009C7B33"/>
    <w:rsid w:val="009D0791"/>
    <w:rsid w:val="009D20A7"/>
    <w:rsid w:val="009D219F"/>
    <w:rsid w:val="009D258E"/>
    <w:rsid w:val="009D2BEA"/>
    <w:rsid w:val="009D2DC1"/>
    <w:rsid w:val="009D4EFC"/>
    <w:rsid w:val="009D62D4"/>
    <w:rsid w:val="009D7469"/>
    <w:rsid w:val="009E227A"/>
    <w:rsid w:val="009E5D1E"/>
    <w:rsid w:val="009E79A0"/>
    <w:rsid w:val="009F0C7C"/>
    <w:rsid w:val="009F12B8"/>
    <w:rsid w:val="009F1C9F"/>
    <w:rsid w:val="009F3362"/>
    <w:rsid w:val="009F384C"/>
    <w:rsid w:val="009F3AC9"/>
    <w:rsid w:val="009F50B7"/>
    <w:rsid w:val="009F62F4"/>
    <w:rsid w:val="009F6F77"/>
    <w:rsid w:val="009F75D9"/>
    <w:rsid w:val="00A00AF1"/>
    <w:rsid w:val="00A0323C"/>
    <w:rsid w:val="00A032AD"/>
    <w:rsid w:val="00A03D5D"/>
    <w:rsid w:val="00A04CD8"/>
    <w:rsid w:val="00A05187"/>
    <w:rsid w:val="00A0624B"/>
    <w:rsid w:val="00A06FDB"/>
    <w:rsid w:val="00A0765D"/>
    <w:rsid w:val="00A10A06"/>
    <w:rsid w:val="00A11C4E"/>
    <w:rsid w:val="00A13AF7"/>
    <w:rsid w:val="00A14C4D"/>
    <w:rsid w:val="00A159BF"/>
    <w:rsid w:val="00A165B8"/>
    <w:rsid w:val="00A16B1D"/>
    <w:rsid w:val="00A16B37"/>
    <w:rsid w:val="00A1724A"/>
    <w:rsid w:val="00A20580"/>
    <w:rsid w:val="00A209F1"/>
    <w:rsid w:val="00A20B8C"/>
    <w:rsid w:val="00A2186F"/>
    <w:rsid w:val="00A220D3"/>
    <w:rsid w:val="00A242F2"/>
    <w:rsid w:val="00A25EC2"/>
    <w:rsid w:val="00A3022A"/>
    <w:rsid w:val="00A317D3"/>
    <w:rsid w:val="00A32040"/>
    <w:rsid w:val="00A3259F"/>
    <w:rsid w:val="00A32A2B"/>
    <w:rsid w:val="00A32E73"/>
    <w:rsid w:val="00A3757F"/>
    <w:rsid w:val="00A42993"/>
    <w:rsid w:val="00A448A6"/>
    <w:rsid w:val="00A44BBB"/>
    <w:rsid w:val="00A44E69"/>
    <w:rsid w:val="00A44FEF"/>
    <w:rsid w:val="00A454C2"/>
    <w:rsid w:val="00A4589E"/>
    <w:rsid w:val="00A46BCA"/>
    <w:rsid w:val="00A46C58"/>
    <w:rsid w:val="00A47780"/>
    <w:rsid w:val="00A477A6"/>
    <w:rsid w:val="00A4785E"/>
    <w:rsid w:val="00A50F43"/>
    <w:rsid w:val="00A515E1"/>
    <w:rsid w:val="00A52293"/>
    <w:rsid w:val="00A5304B"/>
    <w:rsid w:val="00A53BE4"/>
    <w:rsid w:val="00A54209"/>
    <w:rsid w:val="00A55163"/>
    <w:rsid w:val="00A556D4"/>
    <w:rsid w:val="00A56108"/>
    <w:rsid w:val="00A5762D"/>
    <w:rsid w:val="00A57A3B"/>
    <w:rsid w:val="00A6065D"/>
    <w:rsid w:val="00A606DD"/>
    <w:rsid w:val="00A60C5F"/>
    <w:rsid w:val="00A610E5"/>
    <w:rsid w:val="00A61583"/>
    <w:rsid w:val="00A624EC"/>
    <w:rsid w:val="00A62BB5"/>
    <w:rsid w:val="00A653FA"/>
    <w:rsid w:val="00A659BC"/>
    <w:rsid w:val="00A660B0"/>
    <w:rsid w:val="00A67145"/>
    <w:rsid w:val="00A723C1"/>
    <w:rsid w:val="00A74926"/>
    <w:rsid w:val="00A755D2"/>
    <w:rsid w:val="00A82586"/>
    <w:rsid w:val="00A82743"/>
    <w:rsid w:val="00A82D06"/>
    <w:rsid w:val="00A8307D"/>
    <w:rsid w:val="00A85C0D"/>
    <w:rsid w:val="00A85F63"/>
    <w:rsid w:val="00A877F1"/>
    <w:rsid w:val="00A87B67"/>
    <w:rsid w:val="00A87E79"/>
    <w:rsid w:val="00A90C66"/>
    <w:rsid w:val="00A927FA"/>
    <w:rsid w:val="00A95870"/>
    <w:rsid w:val="00A95BBA"/>
    <w:rsid w:val="00A974CC"/>
    <w:rsid w:val="00AA1EB5"/>
    <w:rsid w:val="00AA4B4A"/>
    <w:rsid w:val="00AA52CE"/>
    <w:rsid w:val="00AB0897"/>
    <w:rsid w:val="00AB102C"/>
    <w:rsid w:val="00AB1332"/>
    <w:rsid w:val="00AB190E"/>
    <w:rsid w:val="00AB2FF7"/>
    <w:rsid w:val="00AB5CA2"/>
    <w:rsid w:val="00AB6F1F"/>
    <w:rsid w:val="00AC092A"/>
    <w:rsid w:val="00AC0A04"/>
    <w:rsid w:val="00AC2BD0"/>
    <w:rsid w:val="00AC5324"/>
    <w:rsid w:val="00AD0D59"/>
    <w:rsid w:val="00AD190C"/>
    <w:rsid w:val="00AD26A9"/>
    <w:rsid w:val="00AD2FFF"/>
    <w:rsid w:val="00AD34EC"/>
    <w:rsid w:val="00AD43C6"/>
    <w:rsid w:val="00AD4406"/>
    <w:rsid w:val="00AD5D1C"/>
    <w:rsid w:val="00AD7E80"/>
    <w:rsid w:val="00AE1D53"/>
    <w:rsid w:val="00AE3C10"/>
    <w:rsid w:val="00AE3EBC"/>
    <w:rsid w:val="00AE5AE4"/>
    <w:rsid w:val="00AE5BC0"/>
    <w:rsid w:val="00AE5DA8"/>
    <w:rsid w:val="00AE73C1"/>
    <w:rsid w:val="00AE7E22"/>
    <w:rsid w:val="00AF1A06"/>
    <w:rsid w:val="00AF2AC2"/>
    <w:rsid w:val="00AF3BED"/>
    <w:rsid w:val="00AF4498"/>
    <w:rsid w:val="00AF4C7A"/>
    <w:rsid w:val="00AF593E"/>
    <w:rsid w:val="00AF62F6"/>
    <w:rsid w:val="00B00DB3"/>
    <w:rsid w:val="00B0166D"/>
    <w:rsid w:val="00B01E5E"/>
    <w:rsid w:val="00B028BA"/>
    <w:rsid w:val="00B0422F"/>
    <w:rsid w:val="00B045E2"/>
    <w:rsid w:val="00B05835"/>
    <w:rsid w:val="00B07134"/>
    <w:rsid w:val="00B106F8"/>
    <w:rsid w:val="00B11163"/>
    <w:rsid w:val="00B11C04"/>
    <w:rsid w:val="00B127F3"/>
    <w:rsid w:val="00B13F87"/>
    <w:rsid w:val="00B146C2"/>
    <w:rsid w:val="00B209A0"/>
    <w:rsid w:val="00B213B6"/>
    <w:rsid w:val="00B238AF"/>
    <w:rsid w:val="00B251A7"/>
    <w:rsid w:val="00B269EA"/>
    <w:rsid w:val="00B31128"/>
    <w:rsid w:val="00B33CCF"/>
    <w:rsid w:val="00B34A88"/>
    <w:rsid w:val="00B354EC"/>
    <w:rsid w:val="00B4109D"/>
    <w:rsid w:val="00B42597"/>
    <w:rsid w:val="00B43764"/>
    <w:rsid w:val="00B445CF"/>
    <w:rsid w:val="00B463C0"/>
    <w:rsid w:val="00B4652A"/>
    <w:rsid w:val="00B4657A"/>
    <w:rsid w:val="00B53BA1"/>
    <w:rsid w:val="00B54777"/>
    <w:rsid w:val="00B54848"/>
    <w:rsid w:val="00B5518D"/>
    <w:rsid w:val="00B5541E"/>
    <w:rsid w:val="00B565DB"/>
    <w:rsid w:val="00B56CBD"/>
    <w:rsid w:val="00B56E8A"/>
    <w:rsid w:val="00B57128"/>
    <w:rsid w:val="00B5726D"/>
    <w:rsid w:val="00B574CB"/>
    <w:rsid w:val="00B5798E"/>
    <w:rsid w:val="00B60381"/>
    <w:rsid w:val="00B61F4E"/>
    <w:rsid w:val="00B6276A"/>
    <w:rsid w:val="00B629C0"/>
    <w:rsid w:val="00B62B53"/>
    <w:rsid w:val="00B63F41"/>
    <w:rsid w:val="00B64F6F"/>
    <w:rsid w:val="00B74938"/>
    <w:rsid w:val="00B75C85"/>
    <w:rsid w:val="00B7625E"/>
    <w:rsid w:val="00B774BB"/>
    <w:rsid w:val="00B77B77"/>
    <w:rsid w:val="00B81257"/>
    <w:rsid w:val="00B81D00"/>
    <w:rsid w:val="00B83083"/>
    <w:rsid w:val="00B836F0"/>
    <w:rsid w:val="00B83F65"/>
    <w:rsid w:val="00B83FF5"/>
    <w:rsid w:val="00B8439D"/>
    <w:rsid w:val="00B84B09"/>
    <w:rsid w:val="00B8581D"/>
    <w:rsid w:val="00B86D8A"/>
    <w:rsid w:val="00B87DD8"/>
    <w:rsid w:val="00B90D25"/>
    <w:rsid w:val="00B91637"/>
    <w:rsid w:val="00B91765"/>
    <w:rsid w:val="00B91C43"/>
    <w:rsid w:val="00B922A9"/>
    <w:rsid w:val="00B92D96"/>
    <w:rsid w:val="00B9312D"/>
    <w:rsid w:val="00B9367D"/>
    <w:rsid w:val="00B93C16"/>
    <w:rsid w:val="00B943B0"/>
    <w:rsid w:val="00B95556"/>
    <w:rsid w:val="00B97E0A"/>
    <w:rsid w:val="00BA05F5"/>
    <w:rsid w:val="00BA06A5"/>
    <w:rsid w:val="00BA2198"/>
    <w:rsid w:val="00BA3F8A"/>
    <w:rsid w:val="00BA5D48"/>
    <w:rsid w:val="00BB3EE5"/>
    <w:rsid w:val="00BB6002"/>
    <w:rsid w:val="00BC1753"/>
    <w:rsid w:val="00BC2423"/>
    <w:rsid w:val="00BC3410"/>
    <w:rsid w:val="00BC3EB7"/>
    <w:rsid w:val="00BC416F"/>
    <w:rsid w:val="00BC42E7"/>
    <w:rsid w:val="00BC6A23"/>
    <w:rsid w:val="00BD0B30"/>
    <w:rsid w:val="00BD1053"/>
    <w:rsid w:val="00BD137B"/>
    <w:rsid w:val="00BD15EA"/>
    <w:rsid w:val="00BD1B50"/>
    <w:rsid w:val="00BD2A6B"/>
    <w:rsid w:val="00BD306A"/>
    <w:rsid w:val="00BD37A0"/>
    <w:rsid w:val="00BD4A1A"/>
    <w:rsid w:val="00BD5A7B"/>
    <w:rsid w:val="00BD5A9C"/>
    <w:rsid w:val="00BE0BE0"/>
    <w:rsid w:val="00BE0EF9"/>
    <w:rsid w:val="00BE1154"/>
    <w:rsid w:val="00BE11B2"/>
    <w:rsid w:val="00BE1538"/>
    <w:rsid w:val="00BE41E1"/>
    <w:rsid w:val="00BE5318"/>
    <w:rsid w:val="00BE58B5"/>
    <w:rsid w:val="00BE5A1F"/>
    <w:rsid w:val="00BE5F32"/>
    <w:rsid w:val="00BE6365"/>
    <w:rsid w:val="00BE723C"/>
    <w:rsid w:val="00BE7689"/>
    <w:rsid w:val="00BF1174"/>
    <w:rsid w:val="00BF1AC3"/>
    <w:rsid w:val="00BF1D92"/>
    <w:rsid w:val="00BF2F3C"/>
    <w:rsid w:val="00BF3D26"/>
    <w:rsid w:val="00BF579F"/>
    <w:rsid w:val="00BF57DA"/>
    <w:rsid w:val="00C00B39"/>
    <w:rsid w:val="00C02692"/>
    <w:rsid w:val="00C03345"/>
    <w:rsid w:val="00C03E5B"/>
    <w:rsid w:val="00C04267"/>
    <w:rsid w:val="00C04A40"/>
    <w:rsid w:val="00C050B7"/>
    <w:rsid w:val="00C055F3"/>
    <w:rsid w:val="00C0614A"/>
    <w:rsid w:val="00C0689F"/>
    <w:rsid w:val="00C071CF"/>
    <w:rsid w:val="00C07994"/>
    <w:rsid w:val="00C106FD"/>
    <w:rsid w:val="00C1315D"/>
    <w:rsid w:val="00C15AF4"/>
    <w:rsid w:val="00C17640"/>
    <w:rsid w:val="00C20BFB"/>
    <w:rsid w:val="00C21BD6"/>
    <w:rsid w:val="00C237B0"/>
    <w:rsid w:val="00C23838"/>
    <w:rsid w:val="00C26131"/>
    <w:rsid w:val="00C27086"/>
    <w:rsid w:val="00C3078D"/>
    <w:rsid w:val="00C3475E"/>
    <w:rsid w:val="00C34A70"/>
    <w:rsid w:val="00C35FF3"/>
    <w:rsid w:val="00C367BC"/>
    <w:rsid w:val="00C37091"/>
    <w:rsid w:val="00C43F77"/>
    <w:rsid w:val="00C50119"/>
    <w:rsid w:val="00C51D35"/>
    <w:rsid w:val="00C53A8C"/>
    <w:rsid w:val="00C53DBA"/>
    <w:rsid w:val="00C54622"/>
    <w:rsid w:val="00C55F10"/>
    <w:rsid w:val="00C56089"/>
    <w:rsid w:val="00C56885"/>
    <w:rsid w:val="00C60227"/>
    <w:rsid w:val="00C6104B"/>
    <w:rsid w:val="00C63CB0"/>
    <w:rsid w:val="00C6418C"/>
    <w:rsid w:val="00C64542"/>
    <w:rsid w:val="00C645E3"/>
    <w:rsid w:val="00C664FC"/>
    <w:rsid w:val="00C70FB5"/>
    <w:rsid w:val="00C71EE9"/>
    <w:rsid w:val="00C814E0"/>
    <w:rsid w:val="00C8309F"/>
    <w:rsid w:val="00C847E4"/>
    <w:rsid w:val="00C85331"/>
    <w:rsid w:val="00C85369"/>
    <w:rsid w:val="00C86D93"/>
    <w:rsid w:val="00C92459"/>
    <w:rsid w:val="00C93AF7"/>
    <w:rsid w:val="00C94501"/>
    <w:rsid w:val="00C95CBB"/>
    <w:rsid w:val="00C95FF4"/>
    <w:rsid w:val="00CA599F"/>
    <w:rsid w:val="00CA5DCF"/>
    <w:rsid w:val="00CA6A63"/>
    <w:rsid w:val="00CA73F3"/>
    <w:rsid w:val="00CB0147"/>
    <w:rsid w:val="00CB5F36"/>
    <w:rsid w:val="00CC276A"/>
    <w:rsid w:val="00CC27C7"/>
    <w:rsid w:val="00CD022A"/>
    <w:rsid w:val="00CD3127"/>
    <w:rsid w:val="00CD4DC4"/>
    <w:rsid w:val="00CD518F"/>
    <w:rsid w:val="00CD5B6D"/>
    <w:rsid w:val="00CD68FE"/>
    <w:rsid w:val="00CD7C7A"/>
    <w:rsid w:val="00CE0F9A"/>
    <w:rsid w:val="00CE1964"/>
    <w:rsid w:val="00CE3ED8"/>
    <w:rsid w:val="00CE5B8D"/>
    <w:rsid w:val="00CE64D6"/>
    <w:rsid w:val="00CF0E38"/>
    <w:rsid w:val="00CF0E55"/>
    <w:rsid w:val="00CF117F"/>
    <w:rsid w:val="00CF15A4"/>
    <w:rsid w:val="00CF1E39"/>
    <w:rsid w:val="00CF2226"/>
    <w:rsid w:val="00CF2389"/>
    <w:rsid w:val="00CF2712"/>
    <w:rsid w:val="00D0165B"/>
    <w:rsid w:val="00D01A14"/>
    <w:rsid w:val="00D03360"/>
    <w:rsid w:val="00D036E4"/>
    <w:rsid w:val="00D0576E"/>
    <w:rsid w:val="00D1174A"/>
    <w:rsid w:val="00D11C6D"/>
    <w:rsid w:val="00D12C4D"/>
    <w:rsid w:val="00D16F4B"/>
    <w:rsid w:val="00D20B2B"/>
    <w:rsid w:val="00D228FE"/>
    <w:rsid w:val="00D229E6"/>
    <w:rsid w:val="00D23330"/>
    <w:rsid w:val="00D23990"/>
    <w:rsid w:val="00D251F6"/>
    <w:rsid w:val="00D343D1"/>
    <w:rsid w:val="00D3456D"/>
    <w:rsid w:val="00D35025"/>
    <w:rsid w:val="00D35822"/>
    <w:rsid w:val="00D3624E"/>
    <w:rsid w:val="00D37FD7"/>
    <w:rsid w:val="00D40343"/>
    <w:rsid w:val="00D41189"/>
    <w:rsid w:val="00D412DE"/>
    <w:rsid w:val="00D41480"/>
    <w:rsid w:val="00D4348D"/>
    <w:rsid w:val="00D43DD6"/>
    <w:rsid w:val="00D45011"/>
    <w:rsid w:val="00D45133"/>
    <w:rsid w:val="00D45255"/>
    <w:rsid w:val="00D4583C"/>
    <w:rsid w:val="00D46D40"/>
    <w:rsid w:val="00D46EE0"/>
    <w:rsid w:val="00D47747"/>
    <w:rsid w:val="00D503DD"/>
    <w:rsid w:val="00D51CFA"/>
    <w:rsid w:val="00D523E4"/>
    <w:rsid w:val="00D53CC4"/>
    <w:rsid w:val="00D56715"/>
    <w:rsid w:val="00D56D0C"/>
    <w:rsid w:val="00D57D37"/>
    <w:rsid w:val="00D57D6E"/>
    <w:rsid w:val="00D61567"/>
    <w:rsid w:val="00D641C9"/>
    <w:rsid w:val="00D70B53"/>
    <w:rsid w:val="00D72737"/>
    <w:rsid w:val="00D72882"/>
    <w:rsid w:val="00D729DA"/>
    <w:rsid w:val="00D73694"/>
    <w:rsid w:val="00D75178"/>
    <w:rsid w:val="00D75556"/>
    <w:rsid w:val="00D76264"/>
    <w:rsid w:val="00D765E6"/>
    <w:rsid w:val="00D8416F"/>
    <w:rsid w:val="00D84603"/>
    <w:rsid w:val="00D859BC"/>
    <w:rsid w:val="00D8634B"/>
    <w:rsid w:val="00D866D4"/>
    <w:rsid w:val="00D87718"/>
    <w:rsid w:val="00D87875"/>
    <w:rsid w:val="00D87A96"/>
    <w:rsid w:val="00D90006"/>
    <w:rsid w:val="00D92227"/>
    <w:rsid w:val="00D93914"/>
    <w:rsid w:val="00D94783"/>
    <w:rsid w:val="00D9530D"/>
    <w:rsid w:val="00D96CC8"/>
    <w:rsid w:val="00D978B3"/>
    <w:rsid w:val="00DA124D"/>
    <w:rsid w:val="00DA18FA"/>
    <w:rsid w:val="00DA32AB"/>
    <w:rsid w:val="00DA54A3"/>
    <w:rsid w:val="00DA720F"/>
    <w:rsid w:val="00DB1105"/>
    <w:rsid w:val="00DB1B29"/>
    <w:rsid w:val="00DB207F"/>
    <w:rsid w:val="00DB356C"/>
    <w:rsid w:val="00DB6309"/>
    <w:rsid w:val="00DC0050"/>
    <w:rsid w:val="00DC0FBD"/>
    <w:rsid w:val="00DC2CC3"/>
    <w:rsid w:val="00DC4473"/>
    <w:rsid w:val="00DD02AD"/>
    <w:rsid w:val="00DD15BC"/>
    <w:rsid w:val="00DD3B2B"/>
    <w:rsid w:val="00DD5F9B"/>
    <w:rsid w:val="00DD7A26"/>
    <w:rsid w:val="00DE0587"/>
    <w:rsid w:val="00DE07CB"/>
    <w:rsid w:val="00DE1AF9"/>
    <w:rsid w:val="00DE230E"/>
    <w:rsid w:val="00DE473A"/>
    <w:rsid w:val="00DE5804"/>
    <w:rsid w:val="00DE6D72"/>
    <w:rsid w:val="00DF0906"/>
    <w:rsid w:val="00DF35CA"/>
    <w:rsid w:val="00DF521F"/>
    <w:rsid w:val="00DF5D57"/>
    <w:rsid w:val="00DF60A0"/>
    <w:rsid w:val="00E030DA"/>
    <w:rsid w:val="00E03173"/>
    <w:rsid w:val="00E049D9"/>
    <w:rsid w:val="00E04B46"/>
    <w:rsid w:val="00E04FAC"/>
    <w:rsid w:val="00E06275"/>
    <w:rsid w:val="00E10432"/>
    <w:rsid w:val="00E10929"/>
    <w:rsid w:val="00E109E1"/>
    <w:rsid w:val="00E15361"/>
    <w:rsid w:val="00E16EDD"/>
    <w:rsid w:val="00E16F3D"/>
    <w:rsid w:val="00E172C2"/>
    <w:rsid w:val="00E219AA"/>
    <w:rsid w:val="00E22793"/>
    <w:rsid w:val="00E25BD8"/>
    <w:rsid w:val="00E25C36"/>
    <w:rsid w:val="00E2645F"/>
    <w:rsid w:val="00E2696D"/>
    <w:rsid w:val="00E30DB3"/>
    <w:rsid w:val="00E31DDA"/>
    <w:rsid w:val="00E31EC9"/>
    <w:rsid w:val="00E332DC"/>
    <w:rsid w:val="00E336BC"/>
    <w:rsid w:val="00E37368"/>
    <w:rsid w:val="00E4084C"/>
    <w:rsid w:val="00E4158F"/>
    <w:rsid w:val="00E42EC5"/>
    <w:rsid w:val="00E50A7F"/>
    <w:rsid w:val="00E51FBF"/>
    <w:rsid w:val="00E52540"/>
    <w:rsid w:val="00E542E0"/>
    <w:rsid w:val="00E55034"/>
    <w:rsid w:val="00E55E62"/>
    <w:rsid w:val="00E62286"/>
    <w:rsid w:val="00E64D87"/>
    <w:rsid w:val="00E659E7"/>
    <w:rsid w:val="00E664F1"/>
    <w:rsid w:val="00E76BC1"/>
    <w:rsid w:val="00E76E52"/>
    <w:rsid w:val="00E82477"/>
    <w:rsid w:val="00E84803"/>
    <w:rsid w:val="00E851BE"/>
    <w:rsid w:val="00E857EC"/>
    <w:rsid w:val="00E8674F"/>
    <w:rsid w:val="00E91AB1"/>
    <w:rsid w:val="00E93983"/>
    <w:rsid w:val="00E943A5"/>
    <w:rsid w:val="00E94A08"/>
    <w:rsid w:val="00E960B8"/>
    <w:rsid w:val="00E96689"/>
    <w:rsid w:val="00E967F2"/>
    <w:rsid w:val="00EA1381"/>
    <w:rsid w:val="00EA4340"/>
    <w:rsid w:val="00EA5AC0"/>
    <w:rsid w:val="00EB0543"/>
    <w:rsid w:val="00EB2F4E"/>
    <w:rsid w:val="00EB32B5"/>
    <w:rsid w:val="00EB33A0"/>
    <w:rsid w:val="00EC1976"/>
    <w:rsid w:val="00EC2995"/>
    <w:rsid w:val="00EC670D"/>
    <w:rsid w:val="00ED0948"/>
    <w:rsid w:val="00ED1489"/>
    <w:rsid w:val="00ED3018"/>
    <w:rsid w:val="00ED56CF"/>
    <w:rsid w:val="00ED5FE2"/>
    <w:rsid w:val="00ED7899"/>
    <w:rsid w:val="00EE0A8D"/>
    <w:rsid w:val="00EE1945"/>
    <w:rsid w:val="00EE4218"/>
    <w:rsid w:val="00EE447F"/>
    <w:rsid w:val="00EE5DCB"/>
    <w:rsid w:val="00EE74D4"/>
    <w:rsid w:val="00EE7B28"/>
    <w:rsid w:val="00EF03DF"/>
    <w:rsid w:val="00EF20E4"/>
    <w:rsid w:val="00EF25EF"/>
    <w:rsid w:val="00EF6DF1"/>
    <w:rsid w:val="00F0176E"/>
    <w:rsid w:val="00F01C18"/>
    <w:rsid w:val="00F02038"/>
    <w:rsid w:val="00F0265F"/>
    <w:rsid w:val="00F02680"/>
    <w:rsid w:val="00F032AD"/>
    <w:rsid w:val="00F03993"/>
    <w:rsid w:val="00F125B0"/>
    <w:rsid w:val="00F12CA2"/>
    <w:rsid w:val="00F13964"/>
    <w:rsid w:val="00F14408"/>
    <w:rsid w:val="00F16394"/>
    <w:rsid w:val="00F16A4E"/>
    <w:rsid w:val="00F17B15"/>
    <w:rsid w:val="00F22167"/>
    <w:rsid w:val="00F2370C"/>
    <w:rsid w:val="00F24468"/>
    <w:rsid w:val="00F2693B"/>
    <w:rsid w:val="00F27222"/>
    <w:rsid w:val="00F300B3"/>
    <w:rsid w:val="00F3156E"/>
    <w:rsid w:val="00F319C7"/>
    <w:rsid w:val="00F31F40"/>
    <w:rsid w:val="00F3330E"/>
    <w:rsid w:val="00F3526A"/>
    <w:rsid w:val="00F35275"/>
    <w:rsid w:val="00F3782F"/>
    <w:rsid w:val="00F37C74"/>
    <w:rsid w:val="00F40C38"/>
    <w:rsid w:val="00F4206E"/>
    <w:rsid w:val="00F42B6B"/>
    <w:rsid w:val="00F4329C"/>
    <w:rsid w:val="00F439FF"/>
    <w:rsid w:val="00F43EC8"/>
    <w:rsid w:val="00F45431"/>
    <w:rsid w:val="00F511A3"/>
    <w:rsid w:val="00F54D4C"/>
    <w:rsid w:val="00F55F1F"/>
    <w:rsid w:val="00F5718E"/>
    <w:rsid w:val="00F57A53"/>
    <w:rsid w:val="00F60D25"/>
    <w:rsid w:val="00F645DA"/>
    <w:rsid w:val="00F66168"/>
    <w:rsid w:val="00F6758C"/>
    <w:rsid w:val="00F6784C"/>
    <w:rsid w:val="00F703CA"/>
    <w:rsid w:val="00F72E39"/>
    <w:rsid w:val="00F74C4C"/>
    <w:rsid w:val="00F74E91"/>
    <w:rsid w:val="00F754A9"/>
    <w:rsid w:val="00F76235"/>
    <w:rsid w:val="00F76AE2"/>
    <w:rsid w:val="00F76F09"/>
    <w:rsid w:val="00F76F45"/>
    <w:rsid w:val="00F8178D"/>
    <w:rsid w:val="00F835C1"/>
    <w:rsid w:val="00F83BE8"/>
    <w:rsid w:val="00F84444"/>
    <w:rsid w:val="00F8526C"/>
    <w:rsid w:val="00F85560"/>
    <w:rsid w:val="00F8799E"/>
    <w:rsid w:val="00F917B9"/>
    <w:rsid w:val="00F91AD6"/>
    <w:rsid w:val="00F9304F"/>
    <w:rsid w:val="00F93C2E"/>
    <w:rsid w:val="00F93CCD"/>
    <w:rsid w:val="00F951A6"/>
    <w:rsid w:val="00F967F2"/>
    <w:rsid w:val="00F97392"/>
    <w:rsid w:val="00FA08C3"/>
    <w:rsid w:val="00FB2B85"/>
    <w:rsid w:val="00FB3CC0"/>
    <w:rsid w:val="00FB61C1"/>
    <w:rsid w:val="00FC2987"/>
    <w:rsid w:val="00FC3B9B"/>
    <w:rsid w:val="00FC4B71"/>
    <w:rsid w:val="00FC6A2D"/>
    <w:rsid w:val="00FC6F4D"/>
    <w:rsid w:val="00FC76DA"/>
    <w:rsid w:val="00FC7A6E"/>
    <w:rsid w:val="00FD0622"/>
    <w:rsid w:val="00FD26FC"/>
    <w:rsid w:val="00FD648C"/>
    <w:rsid w:val="00FD7A6D"/>
    <w:rsid w:val="00FE0BD4"/>
    <w:rsid w:val="00FE1C26"/>
    <w:rsid w:val="00FE2073"/>
    <w:rsid w:val="00FE20F7"/>
    <w:rsid w:val="00FE42AB"/>
    <w:rsid w:val="00FE5C9D"/>
    <w:rsid w:val="00FE5DF6"/>
    <w:rsid w:val="00FE71A9"/>
    <w:rsid w:val="00FF0446"/>
    <w:rsid w:val="00FF2C73"/>
    <w:rsid w:val="00FF34FE"/>
    <w:rsid w:val="00FF60DA"/>
    <w:rsid w:val="00FF6BAA"/>
    <w:rsid w:val="00FF6C58"/>
    <w:rsid w:val="01290489"/>
    <w:rsid w:val="01350E74"/>
    <w:rsid w:val="016B3DED"/>
    <w:rsid w:val="0177562D"/>
    <w:rsid w:val="020636EB"/>
    <w:rsid w:val="02394659"/>
    <w:rsid w:val="02445A7A"/>
    <w:rsid w:val="02A0457E"/>
    <w:rsid w:val="031F2043"/>
    <w:rsid w:val="03662242"/>
    <w:rsid w:val="036D47BA"/>
    <w:rsid w:val="038C1C81"/>
    <w:rsid w:val="039E1912"/>
    <w:rsid w:val="03B81AEF"/>
    <w:rsid w:val="04682B30"/>
    <w:rsid w:val="047B784B"/>
    <w:rsid w:val="04933986"/>
    <w:rsid w:val="04AE305E"/>
    <w:rsid w:val="05080FE1"/>
    <w:rsid w:val="05332283"/>
    <w:rsid w:val="05A47B2D"/>
    <w:rsid w:val="06063755"/>
    <w:rsid w:val="06294701"/>
    <w:rsid w:val="06334523"/>
    <w:rsid w:val="066A604B"/>
    <w:rsid w:val="06B20DF5"/>
    <w:rsid w:val="06F7533A"/>
    <w:rsid w:val="0701192F"/>
    <w:rsid w:val="072145DC"/>
    <w:rsid w:val="07612B93"/>
    <w:rsid w:val="076B700F"/>
    <w:rsid w:val="077661DF"/>
    <w:rsid w:val="07862A94"/>
    <w:rsid w:val="07AB1419"/>
    <w:rsid w:val="07D67372"/>
    <w:rsid w:val="08107515"/>
    <w:rsid w:val="08D648E1"/>
    <w:rsid w:val="08E46FFA"/>
    <w:rsid w:val="08EA5DF2"/>
    <w:rsid w:val="0903622E"/>
    <w:rsid w:val="092F65B6"/>
    <w:rsid w:val="09910188"/>
    <w:rsid w:val="099B7E85"/>
    <w:rsid w:val="09DC2A3C"/>
    <w:rsid w:val="09EC47F4"/>
    <w:rsid w:val="0A766471"/>
    <w:rsid w:val="0AC00944"/>
    <w:rsid w:val="0B785D82"/>
    <w:rsid w:val="0BA27BAC"/>
    <w:rsid w:val="0C051E37"/>
    <w:rsid w:val="0C8C2F50"/>
    <w:rsid w:val="0C970F7A"/>
    <w:rsid w:val="0CBF4E94"/>
    <w:rsid w:val="0D216673"/>
    <w:rsid w:val="0D2D5153"/>
    <w:rsid w:val="0D696CDD"/>
    <w:rsid w:val="0D907EFE"/>
    <w:rsid w:val="0DBA0D85"/>
    <w:rsid w:val="0E1726E8"/>
    <w:rsid w:val="0E707BF7"/>
    <w:rsid w:val="0E8A3C32"/>
    <w:rsid w:val="0EC93A2B"/>
    <w:rsid w:val="0ED06D37"/>
    <w:rsid w:val="0ED434D5"/>
    <w:rsid w:val="0EF401AF"/>
    <w:rsid w:val="0F057CA8"/>
    <w:rsid w:val="0F4821BE"/>
    <w:rsid w:val="0F5E1584"/>
    <w:rsid w:val="0F696B20"/>
    <w:rsid w:val="0F956C90"/>
    <w:rsid w:val="0F967639"/>
    <w:rsid w:val="0FEF7B5F"/>
    <w:rsid w:val="0FFE2478"/>
    <w:rsid w:val="105B4E4C"/>
    <w:rsid w:val="111D7BC2"/>
    <w:rsid w:val="11541461"/>
    <w:rsid w:val="120D20DB"/>
    <w:rsid w:val="1232350F"/>
    <w:rsid w:val="1318274F"/>
    <w:rsid w:val="13875F66"/>
    <w:rsid w:val="13A908E5"/>
    <w:rsid w:val="13B1699B"/>
    <w:rsid w:val="13B87ED6"/>
    <w:rsid w:val="13C77173"/>
    <w:rsid w:val="13CE5AEB"/>
    <w:rsid w:val="142B3126"/>
    <w:rsid w:val="147B6FAB"/>
    <w:rsid w:val="14880C8A"/>
    <w:rsid w:val="151E6A62"/>
    <w:rsid w:val="155170AE"/>
    <w:rsid w:val="15681D19"/>
    <w:rsid w:val="15970A6C"/>
    <w:rsid w:val="15970E66"/>
    <w:rsid w:val="15C106BE"/>
    <w:rsid w:val="160C24C1"/>
    <w:rsid w:val="16342DA7"/>
    <w:rsid w:val="16E3365C"/>
    <w:rsid w:val="16E724CA"/>
    <w:rsid w:val="171464B3"/>
    <w:rsid w:val="17390594"/>
    <w:rsid w:val="17981ECF"/>
    <w:rsid w:val="1815010D"/>
    <w:rsid w:val="183754F3"/>
    <w:rsid w:val="189C5C7D"/>
    <w:rsid w:val="18A9531C"/>
    <w:rsid w:val="18CD0120"/>
    <w:rsid w:val="199128EC"/>
    <w:rsid w:val="1A98287D"/>
    <w:rsid w:val="1A9E0B9D"/>
    <w:rsid w:val="1AA475A6"/>
    <w:rsid w:val="1AB071EB"/>
    <w:rsid w:val="1AC03753"/>
    <w:rsid w:val="1AC123F5"/>
    <w:rsid w:val="1AEF0B99"/>
    <w:rsid w:val="1B6C77AD"/>
    <w:rsid w:val="1B7725C5"/>
    <w:rsid w:val="1BFC314F"/>
    <w:rsid w:val="1C2C1601"/>
    <w:rsid w:val="1C511068"/>
    <w:rsid w:val="1C9E1B58"/>
    <w:rsid w:val="1CCE7CD7"/>
    <w:rsid w:val="1CE11AE5"/>
    <w:rsid w:val="1D37577B"/>
    <w:rsid w:val="1D44582C"/>
    <w:rsid w:val="1D504783"/>
    <w:rsid w:val="1DAD3C0B"/>
    <w:rsid w:val="1DB54D46"/>
    <w:rsid w:val="1E2D550A"/>
    <w:rsid w:val="1E7B27D2"/>
    <w:rsid w:val="1EA64A27"/>
    <w:rsid w:val="1F1360DB"/>
    <w:rsid w:val="1F3D3B25"/>
    <w:rsid w:val="1F640DC2"/>
    <w:rsid w:val="1F867E8F"/>
    <w:rsid w:val="1FBB212F"/>
    <w:rsid w:val="205840C2"/>
    <w:rsid w:val="206E7A43"/>
    <w:rsid w:val="20715C91"/>
    <w:rsid w:val="207F1225"/>
    <w:rsid w:val="20A30097"/>
    <w:rsid w:val="20E750A2"/>
    <w:rsid w:val="210C1A46"/>
    <w:rsid w:val="211E4815"/>
    <w:rsid w:val="21456A1F"/>
    <w:rsid w:val="21BC38A4"/>
    <w:rsid w:val="22131B6D"/>
    <w:rsid w:val="222B517D"/>
    <w:rsid w:val="22321601"/>
    <w:rsid w:val="22517CB1"/>
    <w:rsid w:val="22B275D1"/>
    <w:rsid w:val="22BC1BC3"/>
    <w:rsid w:val="233C678E"/>
    <w:rsid w:val="23947812"/>
    <w:rsid w:val="23BF0E1F"/>
    <w:rsid w:val="23F67170"/>
    <w:rsid w:val="241E0857"/>
    <w:rsid w:val="243E15C5"/>
    <w:rsid w:val="244C6C69"/>
    <w:rsid w:val="24601156"/>
    <w:rsid w:val="25201C97"/>
    <w:rsid w:val="25E14C56"/>
    <w:rsid w:val="2613738E"/>
    <w:rsid w:val="26325691"/>
    <w:rsid w:val="264D0AF2"/>
    <w:rsid w:val="27550FA4"/>
    <w:rsid w:val="2793660C"/>
    <w:rsid w:val="27BF7AE3"/>
    <w:rsid w:val="27F73724"/>
    <w:rsid w:val="280D40E1"/>
    <w:rsid w:val="28246BCA"/>
    <w:rsid w:val="285215B4"/>
    <w:rsid w:val="288A05AD"/>
    <w:rsid w:val="28CB554F"/>
    <w:rsid w:val="28D64439"/>
    <w:rsid w:val="298F5F82"/>
    <w:rsid w:val="29A23BD4"/>
    <w:rsid w:val="29F62207"/>
    <w:rsid w:val="29F87845"/>
    <w:rsid w:val="2A3F0751"/>
    <w:rsid w:val="2A4915D0"/>
    <w:rsid w:val="2A5A558B"/>
    <w:rsid w:val="2A6D04C4"/>
    <w:rsid w:val="2A736BE0"/>
    <w:rsid w:val="2AC5334C"/>
    <w:rsid w:val="2B27650D"/>
    <w:rsid w:val="2B802500"/>
    <w:rsid w:val="2C165DD0"/>
    <w:rsid w:val="2C45620F"/>
    <w:rsid w:val="2C5C3886"/>
    <w:rsid w:val="2CA721F8"/>
    <w:rsid w:val="2CA758D3"/>
    <w:rsid w:val="2CE43832"/>
    <w:rsid w:val="2D183281"/>
    <w:rsid w:val="2D624770"/>
    <w:rsid w:val="2D67758F"/>
    <w:rsid w:val="2DA81050"/>
    <w:rsid w:val="2DE67921"/>
    <w:rsid w:val="2DEB7DA8"/>
    <w:rsid w:val="2E2D19E1"/>
    <w:rsid w:val="2E353FF1"/>
    <w:rsid w:val="2E5C6996"/>
    <w:rsid w:val="2F2041C5"/>
    <w:rsid w:val="2F773147"/>
    <w:rsid w:val="2F922799"/>
    <w:rsid w:val="2F965BE8"/>
    <w:rsid w:val="301C48FC"/>
    <w:rsid w:val="306E73C0"/>
    <w:rsid w:val="307C436A"/>
    <w:rsid w:val="3196072F"/>
    <w:rsid w:val="323111FF"/>
    <w:rsid w:val="323304CD"/>
    <w:rsid w:val="323C59AF"/>
    <w:rsid w:val="325A14A9"/>
    <w:rsid w:val="32D8556D"/>
    <w:rsid w:val="32F5040A"/>
    <w:rsid w:val="32F80153"/>
    <w:rsid w:val="33B77309"/>
    <w:rsid w:val="33E06739"/>
    <w:rsid w:val="33EA2EAA"/>
    <w:rsid w:val="341E1DF8"/>
    <w:rsid w:val="342A07E1"/>
    <w:rsid w:val="348778C5"/>
    <w:rsid w:val="3490100C"/>
    <w:rsid w:val="34AE4C08"/>
    <w:rsid w:val="34D9124A"/>
    <w:rsid w:val="34FE09D0"/>
    <w:rsid w:val="350F2286"/>
    <w:rsid w:val="35375AB9"/>
    <w:rsid w:val="3540269B"/>
    <w:rsid w:val="35A95619"/>
    <w:rsid w:val="35BB25F2"/>
    <w:rsid w:val="35C84F6A"/>
    <w:rsid w:val="35ED6770"/>
    <w:rsid w:val="361F5DE1"/>
    <w:rsid w:val="36461ED7"/>
    <w:rsid w:val="36EB544A"/>
    <w:rsid w:val="370545F8"/>
    <w:rsid w:val="37092C79"/>
    <w:rsid w:val="371C6747"/>
    <w:rsid w:val="37792110"/>
    <w:rsid w:val="379B1AD8"/>
    <w:rsid w:val="37E45315"/>
    <w:rsid w:val="381A20B5"/>
    <w:rsid w:val="382122A2"/>
    <w:rsid w:val="385B53B3"/>
    <w:rsid w:val="387800E6"/>
    <w:rsid w:val="389116EE"/>
    <w:rsid w:val="38BC005D"/>
    <w:rsid w:val="38D32CE2"/>
    <w:rsid w:val="39697599"/>
    <w:rsid w:val="39833C10"/>
    <w:rsid w:val="3A0451BC"/>
    <w:rsid w:val="3A166AE9"/>
    <w:rsid w:val="3A944AE9"/>
    <w:rsid w:val="3AA868F8"/>
    <w:rsid w:val="3AE803AA"/>
    <w:rsid w:val="3B132CA2"/>
    <w:rsid w:val="3B8D6278"/>
    <w:rsid w:val="3BBA4787"/>
    <w:rsid w:val="3BC92571"/>
    <w:rsid w:val="3C520EFB"/>
    <w:rsid w:val="3C9030E6"/>
    <w:rsid w:val="3CB22CF7"/>
    <w:rsid w:val="3CD70CBD"/>
    <w:rsid w:val="3CFD4234"/>
    <w:rsid w:val="3D1572B3"/>
    <w:rsid w:val="3D3711B6"/>
    <w:rsid w:val="3E2B12A9"/>
    <w:rsid w:val="3E2F0AFD"/>
    <w:rsid w:val="3F395C5F"/>
    <w:rsid w:val="3F964E60"/>
    <w:rsid w:val="3FB172E0"/>
    <w:rsid w:val="3FD57038"/>
    <w:rsid w:val="404A47AD"/>
    <w:rsid w:val="40876E61"/>
    <w:rsid w:val="40B43400"/>
    <w:rsid w:val="40E86FF4"/>
    <w:rsid w:val="40F462E2"/>
    <w:rsid w:val="41AF51B5"/>
    <w:rsid w:val="41E974C9"/>
    <w:rsid w:val="42052432"/>
    <w:rsid w:val="421F2EEA"/>
    <w:rsid w:val="427A5A83"/>
    <w:rsid w:val="42F457C3"/>
    <w:rsid w:val="43042FD3"/>
    <w:rsid w:val="430671A8"/>
    <w:rsid w:val="430736DD"/>
    <w:rsid w:val="442C5D93"/>
    <w:rsid w:val="44563EF2"/>
    <w:rsid w:val="44572895"/>
    <w:rsid w:val="44887757"/>
    <w:rsid w:val="44A406E8"/>
    <w:rsid w:val="44B16DCE"/>
    <w:rsid w:val="44FD7E75"/>
    <w:rsid w:val="44FF704D"/>
    <w:rsid w:val="452C38F0"/>
    <w:rsid w:val="456D30D1"/>
    <w:rsid w:val="463909CD"/>
    <w:rsid w:val="464A2DC6"/>
    <w:rsid w:val="4710374A"/>
    <w:rsid w:val="471A472E"/>
    <w:rsid w:val="473A4323"/>
    <w:rsid w:val="47456DDE"/>
    <w:rsid w:val="47555600"/>
    <w:rsid w:val="476D294A"/>
    <w:rsid w:val="47855EE6"/>
    <w:rsid w:val="47FB06DB"/>
    <w:rsid w:val="4831420C"/>
    <w:rsid w:val="483E1008"/>
    <w:rsid w:val="48C06C85"/>
    <w:rsid w:val="48C90054"/>
    <w:rsid w:val="490E5CBB"/>
    <w:rsid w:val="497A2586"/>
    <w:rsid w:val="499E0F95"/>
    <w:rsid w:val="49CD5416"/>
    <w:rsid w:val="4A03543C"/>
    <w:rsid w:val="4A1009F9"/>
    <w:rsid w:val="4A1A5BB8"/>
    <w:rsid w:val="4A216DB7"/>
    <w:rsid w:val="4A4A0D21"/>
    <w:rsid w:val="4A5212A1"/>
    <w:rsid w:val="4A6D4140"/>
    <w:rsid w:val="4B400741"/>
    <w:rsid w:val="4B5A1B72"/>
    <w:rsid w:val="4BB664A0"/>
    <w:rsid w:val="4C4D3A7C"/>
    <w:rsid w:val="4CC34DBA"/>
    <w:rsid w:val="4CF50638"/>
    <w:rsid w:val="4CF654B9"/>
    <w:rsid w:val="4D071093"/>
    <w:rsid w:val="4D6825F5"/>
    <w:rsid w:val="4DEC6396"/>
    <w:rsid w:val="4DF23116"/>
    <w:rsid w:val="4E5305CF"/>
    <w:rsid w:val="4E872F75"/>
    <w:rsid w:val="4F181265"/>
    <w:rsid w:val="4F1F0BF7"/>
    <w:rsid w:val="4F7B7D71"/>
    <w:rsid w:val="4FB1194D"/>
    <w:rsid w:val="4FCF06B5"/>
    <w:rsid w:val="500C52C0"/>
    <w:rsid w:val="50124405"/>
    <w:rsid w:val="50854B05"/>
    <w:rsid w:val="50B574B7"/>
    <w:rsid w:val="50D457E8"/>
    <w:rsid w:val="512C261D"/>
    <w:rsid w:val="517B63AD"/>
    <w:rsid w:val="51A3705C"/>
    <w:rsid w:val="51AB3CB4"/>
    <w:rsid w:val="521A7E41"/>
    <w:rsid w:val="52591EBD"/>
    <w:rsid w:val="534A70A8"/>
    <w:rsid w:val="538F23C7"/>
    <w:rsid w:val="539E07FC"/>
    <w:rsid w:val="53E144A4"/>
    <w:rsid w:val="54300F87"/>
    <w:rsid w:val="544464C4"/>
    <w:rsid w:val="547C3284"/>
    <w:rsid w:val="5484285B"/>
    <w:rsid w:val="54DA3745"/>
    <w:rsid w:val="55BD0710"/>
    <w:rsid w:val="55EF39CF"/>
    <w:rsid w:val="566771C8"/>
    <w:rsid w:val="56961923"/>
    <w:rsid w:val="57030BD5"/>
    <w:rsid w:val="57062127"/>
    <w:rsid w:val="57550F07"/>
    <w:rsid w:val="57812BC2"/>
    <w:rsid w:val="578E53C8"/>
    <w:rsid w:val="578F64F0"/>
    <w:rsid w:val="57B10719"/>
    <w:rsid w:val="58276B45"/>
    <w:rsid w:val="5884388F"/>
    <w:rsid w:val="58B47BD3"/>
    <w:rsid w:val="58D565A1"/>
    <w:rsid w:val="58ED1A83"/>
    <w:rsid w:val="595C55B8"/>
    <w:rsid w:val="596F5259"/>
    <w:rsid w:val="59AC44CF"/>
    <w:rsid w:val="59DA3ECF"/>
    <w:rsid w:val="59F130A5"/>
    <w:rsid w:val="5A0A4C8A"/>
    <w:rsid w:val="5AC75938"/>
    <w:rsid w:val="5ACE5E3E"/>
    <w:rsid w:val="5AEA4476"/>
    <w:rsid w:val="5B1C518E"/>
    <w:rsid w:val="5B2E3F11"/>
    <w:rsid w:val="5B2F0801"/>
    <w:rsid w:val="5B711788"/>
    <w:rsid w:val="5B7406A2"/>
    <w:rsid w:val="5BAE34C5"/>
    <w:rsid w:val="5BB22859"/>
    <w:rsid w:val="5C463BC8"/>
    <w:rsid w:val="5C6B4FA1"/>
    <w:rsid w:val="5C9B21DE"/>
    <w:rsid w:val="5CE26471"/>
    <w:rsid w:val="5CEE19DF"/>
    <w:rsid w:val="5D09088A"/>
    <w:rsid w:val="5D184CAE"/>
    <w:rsid w:val="5D4B165C"/>
    <w:rsid w:val="5D985B70"/>
    <w:rsid w:val="5D9B172C"/>
    <w:rsid w:val="5DB70023"/>
    <w:rsid w:val="5E1A6F8C"/>
    <w:rsid w:val="5E356FB8"/>
    <w:rsid w:val="5E603F4A"/>
    <w:rsid w:val="5F55079B"/>
    <w:rsid w:val="5F630AD3"/>
    <w:rsid w:val="5F6A7D66"/>
    <w:rsid w:val="5F8605F5"/>
    <w:rsid w:val="5FE1582B"/>
    <w:rsid w:val="60137CC6"/>
    <w:rsid w:val="60511079"/>
    <w:rsid w:val="60A46F85"/>
    <w:rsid w:val="611063C8"/>
    <w:rsid w:val="611312F2"/>
    <w:rsid w:val="615D7134"/>
    <w:rsid w:val="62103CE8"/>
    <w:rsid w:val="62F30C40"/>
    <w:rsid w:val="62FD1D35"/>
    <w:rsid w:val="630649F3"/>
    <w:rsid w:val="6309230E"/>
    <w:rsid w:val="63617019"/>
    <w:rsid w:val="63683893"/>
    <w:rsid w:val="63B41654"/>
    <w:rsid w:val="641B0A80"/>
    <w:rsid w:val="644B6D24"/>
    <w:rsid w:val="64714CC7"/>
    <w:rsid w:val="64DB7FED"/>
    <w:rsid w:val="65026A60"/>
    <w:rsid w:val="652502A7"/>
    <w:rsid w:val="654241FB"/>
    <w:rsid w:val="65452F09"/>
    <w:rsid w:val="65AA7C28"/>
    <w:rsid w:val="65F104CD"/>
    <w:rsid w:val="65F37830"/>
    <w:rsid w:val="65F64B98"/>
    <w:rsid w:val="66385FA9"/>
    <w:rsid w:val="665F45AA"/>
    <w:rsid w:val="66617445"/>
    <w:rsid w:val="666217AF"/>
    <w:rsid w:val="67790932"/>
    <w:rsid w:val="6787046D"/>
    <w:rsid w:val="67A552C8"/>
    <w:rsid w:val="67DF08A2"/>
    <w:rsid w:val="67F03D35"/>
    <w:rsid w:val="68076E0B"/>
    <w:rsid w:val="681933D4"/>
    <w:rsid w:val="682677EC"/>
    <w:rsid w:val="68330A3C"/>
    <w:rsid w:val="6859366D"/>
    <w:rsid w:val="68A015FA"/>
    <w:rsid w:val="68F36A2E"/>
    <w:rsid w:val="68FD73A5"/>
    <w:rsid w:val="694A4AFE"/>
    <w:rsid w:val="6953779A"/>
    <w:rsid w:val="697C7DB1"/>
    <w:rsid w:val="69B558FE"/>
    <w:rsid w:val="69ED596F"/>
    <w:rsid w:val="6A265A8D"/>
    <w:rsid w:val="6B765F3D"/>
    <w:rsid w:val="6BB64010"/>
    <w:rsid w:val="6C411B2C"/>
    <w:rsid w:val="6C4A2CA5"/>
    <w:rsid w:val="6C4B0FB7"/>
    <w:rsid w:val="6CB56076"/>
    <w:rsid w:val="6D6C2303"/>
    <w:rsid w:val="6DD00F54"/>
    <w:rsid w:val="6E407BC7"/>
    <w:rsid w:val="6E4B4CE0"/>
    <w:rsid w:val="6E863529"/>
    <w:rsid w:val="6ED175BF"/>
    <w:rsid w:val="6EE01868"/>
    <w:rsid w:val="6F4D6995"/>
    <w:rsid w:val="6F8B00D3"/>
    <w:rsid w:val="6FC34F87"/>
    <w:rsid w:val="6FC42866"/>
    <w:rsid w:val="701B08E6"/>
    <w:rsid w:val="7041655F"/>
    <w:rsid w:val="706D67CB"/>
    <w:rsid w:val="70A07936"/>
    <w:rsid w:val="70D07E75"/>
    <w:rsid w:val="70D81058"/>
    <w:rsid w:val="71045389"/>
    <w:rsid w:val="716027CE"/>
    <w:rsid w:val="73322A00"/>
    <w:rsid w:val="7340761E"/>
    <w:rsid w:val="734E3FF8"/>
    <w:rsid w:val="739A2334"/>
    <w:rsid w:val="74410803"/>
    <w:rsid w:val="74B531D5"/>
    <w:rsid w:val="74D86FD2"/>
    <w:rsid w:val="750549FF"/>
    <w:rsid w:val="7506715F"/>
    <w:rsid w:val="752C4421"/>
    <w:rsid w:val="755421F2"/>
    <w:rsid w:val="75721269"/>
    <w:rsid w:val="759C4277"/>
    <w:rsid w:val="75B467ED"/>
    <w:rsid w:val="75B66448"/>
    <w:rsid w:val="75BE5B4D"/>
    <w:rsid w:val="76002828"/>
    <w:rsid w:val="76484006"/>
    <w:rsid w:val="76577867"/>
    <w:rsid w:val="76894C9D"/>
    <w:rsid w:val="768D1F11"/>
    <w:rsid w:val="76C012AD"/>
    <w:rsid w:val="77712277"/>
    <w:rsid w:val="78113C9B"/>
    <w:rsid w:val="781567D1"/>
    <w:rsid w:val="78327A5B"/>
    <w:rsid w:val="784F6DCD"/>
    <w:rsid w:val="790C0D17"/>
    <w:rsid w:val="79154E31"/>
    <w:rsid w:val="792A5615"/>
    <w:rsid w:val="79515378"/>
    <w:rsid w:val="7A100D8F"/>
    <w:rsid w:val="7A616751"/>
    <w:rsid w:val="7A66004B"/>
    <w:rsid w:val="7ACA0554"/>
    <w:rsid w:val="7AFB0585"/>
    <w:rsid w:val="7B0E29B1"/>
    <w:rsid w:val="7C3A2CC2"/>
    <w:rsid w:val="7C665B94"/>
    <w:rsid w:val="7CDD45F1"/>
    <w:rsid w:val="7D306F57"/>
    <w:rsid w:val="7D5D77BB"/>
    <w:rsid w:val="7D9D6EC5"/>
    <w:rsid w:val="7E9877D0"/>
    <w:rsid w:val="7EEB3689"/>
    <w:rsid w:val="7F043992"/>
    <w:rsid w:val="7F963EA4"/>
    <w:rsid w:val="7F9976FC"/>
    <w:rsid w:val="7FE500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39" w:semiHidden="0" w:name="toc 1"/>
    <w:lsdException w:unhideWhenUsed="0" w:uiPriority="39" w:semiHidden="0" w:name="toc 2"/>
    <w:lsdException w:unhideWhenUsed="0" w:uiPriority="39" w:semiHidden="0" w:name="toc 3"/>
    <w:lsdException w:unhideWhenUsed="0" w:uiPriority="0" w:name="toc 4"/>
    <w:lsdException w:unhideWhenUsed="0" w:uiPriority="0" w:name="toc 5"/>
    <w:lsdException w:unhideWhenUsed="0" w:uiPriority="0" w:name="toc 6"/>
    <w:lsdException w:unhideWhenUsed="0" w:uiPriority="0" w:name="toc 7"/>
    <w:lsdException w:unhideWhenUsed="0" w:uiPriority="0" w:name="toc 8"/>
    <w:lsdException w:unhideWhenUsed="0" w:uiPriority="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cs="宋体"/>
      <w:szCs w:val="21"/>
      <w:lang w:val="en-US" w:eastAsia="zh-CN" w:bidi="ar-SA"/>
    </w:rPr>
  </w:style>
  <w:style w:type="paragraph" w:styleId="4">
    <w:name w:val="heading 1"/>
    <w:basedOn w:val="1"/>
    <w:next w:val="1"/>
    <w:link w:val="52"/>
    <w:qFormat/>
    <w:uiPriority w:val="0"/>
    <w:pPr>
      <w:keepNext/>
      <w:spacing w:line="216" w:lineRule="auto"/>
      <w:jc w:val="center"/>
      <w:outlineLvl w:val="0"/>
    </w:pPr>
    <w:rPr>
      <w:rFonts w:cs="Times New Roman"/>
      <w:b/>
      <w:kern w:val="2"/>
      <w:sz w:val="30"/>
      <w:szCs w:val="20"/>
    </w:rPr>
  </w:style>
  <w:style w:type="paragraph" w:styleId="2">
    <w:name w:val="heading 2"/>
    <w:basedOn w:val="1"/>
    <w:next w:val="3"/>
    <w:link w:val="50"/>
    <w:qFormat/>
    <w:uiPriority w:val="9"/>
    <w:pPr>
      <w:keepNext/>
      <w:spacing w:line="216" w:lineRule="auto"/>
      <w:outlineLvl w:val="1"/>
    </w:pPr>
    <w:rPr>
      <w:rFonts w:hAnsi="Times New Roman" w:cs="Times New Roman"/>
      <w:b/>
      <w:kern w:val="2"/>
      <w:sz w:val="28"/>
      <w:szCs w:val="20"/>
    </w:rPr>
  </w:style>
  <w:style w:type="paragraph" w:styleId="5">
    <w:name w:val="heading 3"/>
    <w:basedOn w:val="1"/>
    <w:next w:val="1"/>
    <w:link w:val="53"/>
    <w:qFormat/>
    <w:uiPriority w:val="0"/>
    <w:pPr>
      <w:keepNext/>
      <w:numPr>
        <w:ilvl w:val="0"/>
        <w:numId w:val="1"/>
      </w:numPr>
      <w:spacing w:line="216" w:lineRule="auto"/>
      <w:outlineLvl w:val="2"/>
    </w:pPr>
    <w:rPr>
      <w:rFonts w:hAnsi="Times New Roman" w:cs="Times New Roman"/>
      <w:b/>
      <w:bCs/>
      <w:kern w:val="2"/>
      <w:sz w:val="28"/>
      <w:szCs w:val="20"/>
    </w:rPr>
  </w:style>
  <w:style w:type="paragraph" w:styleId="6">
    <w:name w:val="heading 4"/>
    <w:basedOn w:val="1"/>
    <w:next w:val="1"/>
    <w:link w:val="54"/>
    <w:qFormat/>
    <w:uiPriority w:val="0"/>
    <w:pPr>
      <w:keepNext/>
      <w:numPr>
        <w:ilvl w:val="0"/>
        <w:numId w:val="2"/>
      </w:numPr>
      <w:spacing w:line="216" w:lineRule="auto"/>
      <w:outlineLvl w:val="3"/>
    </w:pPr>
    <w:rPr>
      <w:rFonts w:ascii="黑体" w:hAnsi="Times New Roman" w:eastAsia="黑体" w:cs="Times New Roman"/>
      <w:b/>
      <w:kern w:val="2"/>
      <w:sz w:val="24"/>
      <w:szCs w:val="20"/>
    </w:rPr>
  </w:style>
  <w:style w:type="paragraph" w:styleId="7">
    <w:name w:val="heading 5"/>
    <w:basedOn w:val="1"/>
    <w:next w:val="1"/>
    <w:link w:val="55"/>
    <w:qFormat/>
    <w:uiPriority w:val="0"/>
    <w:pPr>
      <w:keepNext/>
      <w:widowControl/>
      <w:tabs>
        <w:tab w:val="left" w:pos="405"/>
      </w:tabs>
      <w:jc w:val="left"/>
      <w:outlineLvl w:val="4"/>
    </w:pPr>
    <w:rPr>
      <w:rFonts w:ascii="Calibri" w:hAnsi="Calibri" w:cs="Times New Roman"/>
      <w:sz w:val="24"/>
      <w:szCs w:val="20"/>
    </w:rPr>
  </w:style>
  <w:style w:type="paragraph" w:styleId="8">
    <w:name w:val="heading 6"/>
    <w:basedOn w:val="1"/>
    <w:next w:val="1"/>
    <w:link w:val="56"/>
    <w:qFormat/>
    <w:uiPriority w:val="0"/>
    <w:pPr>
      <w:keepNext/>
      <w:tabs>
        <w:tab w:val="left" w:pos="-20"/>
      </w:tabs>
      <w:snapToGrid w:val="0"/>
      <w:spacing w:line="300" w:lineRule="auto"/>
      <w:outlineLvl w:val="5"/>
    </w:pPr>
    <w:rPr>
      <w:rFonts w:hAnsi="Calibri" w:cs="Times New Roman"/>
      <w:kern w:val="2"/>
      <w:sz w:val="28"/>
      <w:szCs w:val="20"/>
    </w:rPr>
  </w:style>
  <w:style w:type="character" w:default="1" w:styleId="36">
    <w:name w:val="Default Paragraph Font"/>
    <w:semiHidden/>
    <w:uiPriority w:val="0"/>
  </w:style>
  <w:style w:type="table" w:default="1" w:styleId="34">
    <w:name w:val="Normal Table"/>
    <w:semiHidden/>
    <w:uiPriority w:val="0"/>
    <w:tblPr>
      <w:tblStyle w:val="34"/>
      <w:tblCellMar>
        <w:top w:w="0" w:type="dxa"/>
        <w:left w:w="108" w:type="dxa"/>
        <w:bottom w:w="0" w:type="dxa"/>
        <w:right w:w="108" w:type="dxa"/>
      </w:tblCellMar>
    </w:tblPr>
  </w:style>
  <w:style w:type="paragraph" w:styleId="3">
    <w:name w:val="Normal Indent"/>
    <w:basedOn w:val="1"/>
    <w:link w:val="51"/>
    <w:qFormat/>
    <w:uiPriority w:val="0"/>
    <w:pPr>
      <w:ind w:firstLine="420"/>
    </w:pPr>
    <w:rPr>
      <w:rFonts w:ascii="Times New Roman" w:hAnsi="Times New Roman" w:cs="Times New Roman"/>
      <w:kern w:val="2"/>
      <w:sz w:val="21"/>
      <w:szCs w:val="20"/>
    </w:rPr>
  </w:style>
  <w:style w:type="paragraph" w:styleId="9">
    <w:name w:val="toc 7"/>
    <w:basedOn w:val="1"/>
    <w:next w:val="1"/>
    <w:semiHidden/>
    <w:uiPriority w:val="0"/>
    <w:pPr>
      <w:ind w:left="1200"/>
      <w:jc w:val="left"/>
    </w:pPr>
    <w:rPr>
      <w:rFonts w:ascii="等线" w:eastAsia="等线"/>
      <w:szCs w:val="20"/>
    </w:rPr>
  </w:style>
  <w:style w:type="paragraph" w:styleId="10">
    <w:name w:val="caption"/>
    <w:basedOn w:val="1"/>
    <w:next w:val="1"/>
    <w:qFormat/>
    <w:uiPriority w:val="0"/>
    <w:pPr>
      <w:jc w:val="center"/>
    </w:pPr>
    <w:rPr>
      <w:rFonts w:cs="Times New Roman"/>
      <w:sz w:val="21"/>
      <w:szCs w:val="20"/>
    </w:rPr>
  </w:style>
  <w:style w:type="paragraph" w:styleId="11">
    <w:name w:val="Document Map"/>
    <w:basedOn w:val="1"/>
    <w:link w:val="57"/>
    <w:uiPriority w:val="0"/>
    <w:pPr>
      <w:shd w:val="clear" w:color="auto" w:fill="000080"/>
    </w:pPr>
    <w:rPr>
      <w:rFonts w:ascii="Calibri" w:hAnsi="Calibri" w:cs="Times New Roman"/>
      <w:kern w:val="2"/>
      <w:sz w:val="21"/>
      <w:szCs w:val="24"/>
    </w:rPr>
  </w:style>
  <w:style w:type="paragraph" w:styleId="12">
    <w:name w:val="annotation text"/>
    <w:basedOn w:val="1"/>
    <w:link w:val="58"/>
    <w:uiPriority w:val="0"/>
    <w:pPr>
      <w:adjustRightInd w:val="0"/>
      <w:jc w:val="left"/>
    </w:pPr>
    <w:rPr>
      <w:rFonts w:ascii="Times New Roman" w:hAnsi="Times New Roman" w:cs="Times New Roman"/>
      <w:kern w:val="2"/>
      <w:sz w:val="21"/>
      <w:szCs w:val="24"/>
    </w:rPr>
  </w:style>
  <w:style w:type="paragraph" w:styleId="13">
    <w:name w:val="Body Text"/>
    <w:basedOn w:val="1"/>
    <w:uiPriority w:val="0"/>
    <w:pPr>
      <w:autoSpaceDE w:val="0"/>
      <w:autoSpaceDN w:val="0"/>
      <w:adjustRightInd w:val="0"/>
      <w:spacing w:line="360" w:lineRule="auto"/>
    </w:pPr>
    <w:rPr>
      <w:rFonts w:ascii="宋体" w:hAnsi="Arial" w:cs="Arial"/>
      <w:snapToGrid w:val="0"/>
      <w:sz w:val="24"/>
      <w:szCs w:val="21"/>
      <w:lang w:val="zh-CN"/>
    </w:rPr>
  </w:style>
  <w:style w:type="paragraph" w:styleId="14">
    <w:name w:val="Body Text Indent"/>
    <w:basedOn w:val="1"/>
    <w:link w:val="59"/>
    <w:qFormat/>
    <w:uiPriority w:val="0"/>
    <w:pPr>
      <w:spacing w:after="120"/>
      <w:ind w:left="420" w:leftChars="200"/>
    </w:pPr>
    <w:rPr>
      <w:rFonts w:ascii="Times New Roman" w:hAnsi="Times New Roman" w:cs="Times New Roman"/>
      <w:kern w:val="2"/>
      <w:sz w:val="21"/>
      <w:szCs w:val="24"/>
    </w:rPr>
  </w:style>
  <w:style w:type="paragraph" w:styleId="15">
    <w:name w:val="toc 5"/>
    <w:basedOn w:val="1"/>
    <w:next w:val="1"/>
    <w:semiHidden/>
    <w:uiPriority w:val="0"/>
    <w:pPr>
      <w:ind w:left="800"/>
      <w:jc w:val="left"/>
    </w:pPr>
    <w:rPr>
      <w:rFonts w:ascii="等线" w:eastAsia="等线"/>
      <w:szCs w:val="20"/>
    </w:rPr>
  </w:style>
  <w:style w:type="paragraph" w:styleId="16">
    <w:name w:val="toc 3"/>
    <w:basedOn w:val="1"/>
    <w:next w:val="1"/>
    <w:uiPriority w:val="39"/>
    <w:pPr>
      <w:ind w:left="400"/>
      <w:jc w:val="left"/>
    </w:pPr>
    <w:rPr>
      <w:rFonts w:ascii="等线" w:eastAsia="等线"/>
      <w:szCs w:val="20"/>
    </w:rPr>
  </w:style>
  <w:style w:type="paragraph" w:styleId="17">
    <w:name w:val="Plain Text"/>
    <w:basedOn w:val="1"/>
    <w:next w:val="1"/>
    <w:link w:val="60"/>
    <w:qFormat/>
    <w:uiPriority w:val="0"/>
    <w:rPr>
      <w:rFonts w:hAnsi="Courier New" w:cs="Courier New"/>
      <w:kern w:val="2"/>
      <w:sz w:val="21"/>
    </w:rPr>
  </w:style>
  <w:style w:type="paragraph" w:styleId="18">
    <w:name w:val="toc 8"/>
    <w:basedOn w:val="1"/>
    <w:next w:val="1"/>
    <w:semiHidden/>
    <w:uiPriority w:val="0"/>
    <w:pPr>
      <w:ind w:left="1400"/>
      <w:jc w:val="left"/>
    </w:pPr>
    <w:rPr>
      <w:rFonts w:ascii="等线" w:eastAsia="等线"/>
      <w:szCs w:val="20"/>
    </w:rPr>
  </w:style>
  <w:style w:type="paragraph" w:styleId="19">
    <w:name w:val="Date"/>
    <w:basedOn w:val="1"/>
    <w:next w:val="1"/>
    <w:link w:val="61"/>
    <w:uiPriority w:val="0"/>
    <w:pPr>
      <w:ind w:left="100" w:leftChars="2500"/>
    </w:pPr>
    <w:rPr>
      <w:rFonts w:cs="Times New Roman"/>
      <w:color w:val="000000"/>
      <w:kern w:val="2"/>
      <w:sz w:val="24"/>
      <w:szCs w:val="24"/>
    </w:rPr>
  </w:style>
  <w:style w:type="paragraph" w:styleId="20">
    <w:name w:val="Balloon Text"/>
    <w:basedOn w:val="1"/>
    <w:link w:val="62"/>
    <w:uiPriority w:val="0"/>
    <w:rPr>
      <w:rFonts w:ascii="Times New Roman" w:hAnsi="Times New Roman" w:cs="Times New Roman"/>
      <w:kern w:val="2"/>
      <w:sz w:val="18"/>
      <w:szCs w:val="18"/>
    </w:rPr>
  </w:style>
  <w:style w:type="paragraph" w:styleId="21">
    <w:name w:val="footer"/>
    <w:basedOn w:val="1"/>
    <w:link w:val="63"/>
    <w:qFormat/>
    <w:uiPriority w:val="99"/>
    <w:pPr>
      <w:tabs>
        <w:tab w:val="center" w:pos="4153"/>
        <w:tab w:val="right" w:pos="8306"/>
      </w:tabs>
      <w:snapToGrid w:val="0"/>
      <w:jc w:val="left"/>
    </w:pPr>
    <w:rPr>
      <w:rFonts w:ascii="Times New Roman" w:hAnsi="Times New Roman" w:cs="Times New Roman"/>
      <w:kern w:val="2"/>
      <w:sz w:val="18"/>
      <w:szCs w:val="18"/>
    </w:rPr>
  </w:style>
  <w:style w:type="paragraph" w:styleId="22">
    <w:name w:val="header"/>
    <w:basedOn w:val="1"/>
    <w:link w:val="64"/>
    <w:qFormat/>
    <w:uiPriority w:val="0"/>
    <w:pPr>
      <w:pBdr>
        <w:bottom w:val="single" w:color="auto" w:sz="6" w:space="1"/>
      </w:pBdr>
      <w:tabs>
        <w:tab w:val="center" w:pos="4153"/>
        <w:tab w:val="right" w:pos="8306"/>
      </w:tabs>
      <w:adjustRightInd w:val="0"/>
      <w:snapToGrid w:val="0"/>
      <w:spacing w:line="240" w:lineRule="atLeast"/>
      <w:jc w:val="center"/>
      <w:textAlignment w:val="baseline"/>
    </w:pPr>
    <w:rPr>
      <w:rFonts w:hAnsi="Times New Roman" w:cs="Times New Roman"/>
      <w:sz w:val="18"/>
      <w:szCs w:val="20"/>
    </w:rPr>
  </w:style>
  <w:style w:type="paragraph" w:styleId="23">
    <w:name w:val="toc 1"/>
    <w:basedOn w:val="1"/>
    <w:next w:val="1"/>
    <w:uiPriority w:val="39"/>
    <w:pPr>
      <w:spacing w:before="240" w:after="120"/>
      <w:jc w:val="left"/>
    </w:pPr>
    <w:rPr>
      <w:rFonts w:ascii="等线" w:eastAsia="等线"/>
      <w:b/>
      <w:bCs/>
      <w:szCs w:val="20"/>
    </w:rPr>
  </w:style>
  <w:style w:type="paragraph" w:styleId="24">
    <w:name w:val="toc 4"/>
    <w:basedOn w:val="1"/>
    <w:next w:val="1"/>
    <w:semiHidden/>
    <w:uiPriority w:val="0"/>
    <w:pPr>
      <w:ind w:left="600"/>
      <w:jc w:val="left"/>
    </w:pPr>
    <w:rPr>
      <w:rFonts w:ascii="等线" w:eastAsia="等线"/>
      <w:szCs w:val="20"/>
    </w:rPr>
  </w:style>
  <w:style w:type="paragraph" w:styleId="25">
    <w:name w:val="toc 6"/>
    <w:basedOn w:val="1"/>
    <w:next w:val="1"/>
    <w:semiHidden/>
    <w:uiPriority w:val="0"/>
    <w:pPr>
      <w:ind w:left="1000"/>
      <w:jc w:val="left"/>
    </w:pPr>
    <w:rPr>
      <w:rFonts w:ascii="等线" w:eastAsia="等线"/>
      <w:szCs w:val="20"/>
    </w:rPr>
  </w:style>
  <w:style w:type="paragraph" w:styleId="26">
    <w:name w:val="Body Text Indent 3"/>
    <w:basedOn w:val="1"/>
    <w:link w:val="65"/>
    <w:uiPriority w:val="0"/>
    <w:pPr>
      <w:spacing w:after="120"/>
      <w:ind w:left="420" w:leftChars="200"/>
    </w:pPr>
    <w:rPr>
      <w:rFonts w:ascii="Times New Roman" w:hAnsi="Times New Roman" w:cs="Times New Roman"/>
      <w:kern w:val="2"/>
      <w:sz w:val="16"/>
      <w:szCs w:val="16"/>
    </w:rPr>
  </w:style>
  <w:style w:type="paragraph" w:styleId="27">
    <w:name w:val="toc 2"/>
    <w:basedOn w:val="1"/>
    <w:next w:val="1"/>
    <w:uiPriority w:val="39"/>
    <w:pPr>
      <w:spacing w:before="120"/>
      <w:ind w:left="200"/>
      <w:jc w:val="left"/>
    </w:pPr>
    <w:rPr>
      <w:rFonts w:ascii="等线" w:eastAsia="等线"/>
      <w:i/>
      <w:iCs/>
      <w:szCs w:val="20"/>
    </w:rPr>
  </w:style>
  <w:style w:type="paragraph" w:styleId="28">
    <w:name w:val="toc 9"/>
    <w:basedOn w:val="1"/>
    <w:next w:val="1"/>
    <w:semiHidden/>
    <w:uiPriority w:val="0"/>
    <w:pPr>
      <w:ind w:left="1600"/>
      <w:jc w:val="left"/>
    </w:pPr>
    <w:rPr>
      <w:rFonts w:ascii="等线" w:eastAsia="等线"/>
      <w:szCs w:val="20"/>
    </w:rPr>
  </w:style>
  <w:style w:type="paragraph" w:styleId="29">
    <w:name w:val="HTML Preformatted"/>
    <w:basedOn w:val="1"/>
    <w:link w:val="66"/>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微软雅黑" w:hAnsi="微软雅黑" w:cs="Times New Roman"/>
      <w:sz w:val="24"/>
      <w:szCs w:val="24"/>
    </w:rPr>
  </w:style>
  <w:style w:type="paragraph" w:styleId="30">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1">
    <w:name w:val="Title"/>
    <w:basedOn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32">
    <w:name w:val="annotation subject"/>
    <w:basedOn w:val="12"/>
    <w:next w:val="12"/>
    <w:link w:val="67"/>
    <w:uiPriority w:val="0"/>
    <w:pPr>
      <w:adjustRightInd/>
    </w:pPr>
    <w:rPr>
      <w:b/>
      <w:bCs/>
    </w:rPr>
  </w:style>
  <w:style w:type="paragraph" w:styleId="33">
    <w:name w:val="Body Text First Indent 2"/>
    <w:basedOn w:val="14"/>
    <w:link w:val="68"/>
    <w:uiPriority w:val="0"/>
    <w:pPr>
      <w:ind w:firstLine="420" w:firstLineChars="200"/>
    </w:pPr>
  </w:style>
  <w:style w:type="table" w:styleId="35">
    <w:name w:val="Table Grid"/>
    <w:basedOn w:val="34"/>
    <w:qFormat/>
    <w:uiPriority w:val="0"/>
    <w:pPr>
      <w:widowControl w:val="0"/>
      <w:spacing w:beforeLines="50" w:afterLines="50"/>
      <w:jc w:val="both"/>
    </w:pPr>
    <w:rPr>
      <w:rFonts w:ascii="Arial" w:hAnsi="Arial" w:cs="宋体"/>
    </w:rPr>
    <w:tblPr>
      <w:tblStyle w:val="34"/>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7">
    <w:name w:val="Strong"/>
    <w:qFormat/>
    <w:uiPriority w:val="0"/>
    <w:rPr>
      <w:b/>
      <w:bCs/>
    </w:rPr>
  </w:style>
  <w:style w:type="character" w:styleId="38">
    <w:name w:val="page number"/>
    <w:uiPriority w:val="0"/>
  </w:style>
  <w:style w:type="character" w:styleId="39">
    <w:name w:val="FollowedHyperlink"/>
    <w:uiPriority w:val="99"/>
    <w:rPr>
      <w:color w:val="800080"/>
      <w:u w:val="none"/>
    </w:rPr>
  </w:style>
  <w:style w:type="character" w:styleId="40">
    <w:name w:val="HTML Definition"/>
    <w:uiPriority w:val="0"/>
  </w:style>
  <w:style w:type="character" w:styleId="41">
    <w:name w:val="HTML Typewriter"/>
    <w:uiPriority w:val="0"/>
    <w:rPr>
      <w:rFonts w:hint="default" w:ascii="monospace" w:hAnsi="monospace" w:eastAsia="monospace" w:cs="monospace"/>
      <w:sz w:val="20"/>
    </w:rPr>
  </w:style>
  <w:style w:type="character" w:styleId="42">
    <w:name w:val="HTML Acronym"/>
    <w:uiPriority w:val="0"/>
  </w:style>
  <w:style w:type="character" w:styleId="43">
    <w:name w:val="HTML Variable"/>
    <w:uiPriority w:val="0"/>
  </w:style>
  <w:style w:type="character" w:styleId="44">
    <w:name w:val="Hyperlink"/>
    <w:qFormat/>
    <w:uiPriority w:val="99"/>
    <w:rPr>
      <w:color w:val="0000FF"/>
      <w:u w:val="none"/>
    </w:rPr>
  </w:style>
  <w:style w:type="character" w:styleId="45">
    <w:name w:val="HTML Code"/>
    <w:uiPriority w:val="0"/>
    <w:rPr>
      <w:rFonts w:hint="default" w:ascii="monospace" w:hAnsi="monospace" w:eastAsia="monospace" w:cs="monospace"/>
      <w:sz w:val="20"/>
    </w:rPr>
  </w:style>
  <w:style w:type="character" w:styleId="46">
    <w:name w:val="annotation reference"/>
    <w:uiPriority w:val="0"/>
    <w:rPr>
      <w:sz w:val="21"/>
      <w:szCs w:val="21"/>
    </w:rPr>
  </w:style>
  <w:style w:type="character" w:styleId="47">
    <w:name w:val="HTML Cite"/>
    <w:uiPriority w:val="0"/>
  </w:style>
  <w:style w:type="character" w:styleId="48">
    <w:name w:val="HTML Keyboard"/>
    <w:uiPriority w:val="0"/>
    <w:rPr>
      <w:rFonts w:ascii="monospace" w:hAnsi="monospace" w:eastAsia="monospace" w:cs="monospace"/>
      <w:sz w:val="20"/>
    </w:rPr>
  </w:style>
  <w:style w:type="character" w:styleId="49">
    <w:name w:val="HTML Sample"/>
    <w:uiPriority w:val="0"/>
    <w:rPr>
      <w:rFonts w:hint="default" w:ascii="monospace" w:hAnsi="monospace" w:eastAsia="monospace" w:cs="monospace"/>
    </w:rPr>
  </w:style>
  <w:style w:type="character" w:customStyle="1" w:styleId="50">
    <w:name w:val="标题 2 Char"/>
    <w:link w:val="2"/>
    <w:uiPriority w:val="9"/>
    <w:rPr>
      <w:rFonts w:ascii="宋体"/>
      <w:b/>
      <w:kern w:val="2"/>
      <w:sz w:val="28"/>
    </w:rPr>
  </w:style>
  <w:style w:type="character" w:customStyle="1" w:styleId="51">
    <w:name w:val="正文缩进 Char"/>
    <w:link w:val="3"/>
    <w:qFormat/>
    <w:uiPriority w:val="0"/>
    <w:rPr>
      <w:kern w:val="2"/>
      <w:sz w:val="21"/>
    </w:rPr>
  </w:style>
  <w:style w:type="character" w:customStyle="1" w:styleId="52">
    <w:name w:val="标题 1 Char"/>
    <w:link w:val="4"/>
    <w:uiPriority w:val="0"/>
    <w:rPr>
      <w:rFonts w:ascii="宋体" w:hAnsi="宋体"/>
      <w:b/>
      <w:kern w:val="2"/>
      <w:sz w:val="30"/>
    </w:rPr>
  </w:style>
  <w:style w:type="character" w:customStyle="1" w:styleId="53">
    <w:name w:val="标题 3 Char"/>
    <w:link w:val="5"/>
    <w:uiPriority w:val="0"/>
    <w:rPr>
      <w:rFonts w:ascii="宋体"/>
      <w:b/>
      <w:bCs/>
      <w:kern w:val="2"/>
      <w:sz w:val="28"/>
    </w:rPr>
  </w:style>
  <w:style w:type="character" w:customStyle="1" w:styleId="54">
    <w:name w:val="标题 4 Char"/>
    <w:link w:val="6"/>
    <w:uiPriority w:val="0"/>
    <w:rPr>
      <w:rFonts w:ascii="黑体" w:eastAsia="黑体"/>
      <w:b/>
      <w:kern w:val="2"/>
      <w:sz w:val="24"/>
    </w:rPr>
  </w:style>
  <w:style w:type="character" w:customStyle="1" w:styleId="55">
    <w:name w:val="标题 5 Char"/>
    <w:link w:val="7"/>
    <w:uiPriority w:val="0"/>
    <w:rPr>
      <w:rFonts w:ascii="Calibri" w:hAnsi="Calibri"/>
      <w:sz w:val="24"/>
    </w:rPr>
  </w:style>
  <w:style w:type="character" w:customStyle="1" w:styleId="56">
    <w:name w:val="标题 6 Char"/>
    <w:link w:val="8"/>
    <w:uiPriority w:val="0"/>
    <w:rPr>
      <w:rFonts w:ascii="宋体" w:hAnsi="Calibri"/>
      <w:kern w:val="2"/>
      <w:sz w:val="28"/>
    </w:rPr>
  </w:style>
  <w:style w:type="character" w:customStyle="1" w:styleId="57">
    <w:name w:val="文档结构图 Char"/>
    <w:link w:val="11"/>
    <w:uiPriority w:val="0"/>
    <w:rPr>
      <w:rFonts w:ascii="Calibri" w:hAnsi="Calibri"/>
      <w:kern w:val="2"/>
      <w:sz w:val="21"/>
      <w:szCs w:val="24"/>
      <w:shd w:val="clear" w:color="auto" w:fill="000080"/>
    </w:rPr>
  </w:style>
  <w:style w:type="character" w:customStyle="1" w:styleId="58">
    <w:name w:val="批注文字 Char"/>
    <w:link w:val="12"/>
    <w:uiPriority w:val="0"/>
    <w:rPr>
      <w:kern w:val="2"/>
      <w:sz w:val="21"/>
      <w:szCs w:val="24"/>
      <w:lang w:bidi="ar-SA"/>
    </w:rPr>
  </w:style>
  <w:style w:type="character" w:customStyle="1" w:styleId="59">
    <w:name w:val="正文文本缩进 Char"/>
    <w:link w:val="14"/>
    <w:qFormat/>
    <w:uiPriority w:val="0"/>
    <w:rPr>
      <w:kern w:val="2"/>
      <w:sz w:val="21"/>
      <w:szCs w:val="24"/>
    </w:rPr>
  </w:style>
  <w:style w:type="character" w:customStyle="1" w:styleId="60">
    <w:name w:val="纯文本 Char"/>
    <w:link w:val="17"/>
    <w:locked/>
    <w:uiPriority w:val="0"/>
    <w:rPr>
      <w:rFonts w:ascii="宋体" w:hAnsi="Courier New" w:eastAsia="宋体" w:cs="Courier New"/>
      <w:kern w:val="2"/>
      <w:sz w:val="21"/>
      <w:szCs w:val="21"/>
      <w:lang w:val="en-US" w:eastAsia="zh-CN" w:bidi="ar-SA"/>
    </w:rPr>
  </w:style>
  <w:style w:type="character" w:customStyle="1" w:styleId="61">
    <w:name w:val="日期 Char"/>
    <w:link w:val="19"/>
    <w:uiPriority w:val="0"/>
    <w:rPr>
      <w:rFonts w:ascii="宋体" w:hAnsi="宋体"/>
      <w:color w:val="000000"/>
      <w:kern w:val="2"/>
      <w:sz w:val="24"/>
      <w:szCs w:val="24"/>
    </w:rPr>
  </w:style>
  <w:style w:type="character" w:customStyle="1" w:styleId="62">
    <w:name w:val="批注框文本 Char"/>
    <w:link w:val="20"/>
    <w:uiPriority w:val="0"/>
    <w:rPr>
      <w:kern w:val="2"/>
      <w:sz w:val="18"/>
      <w:szCs w:val="18"/>
    </w:rPr>
  </w:style>
  <w:style w:type="character" w:customStyle="1" w:styleId="63">
    <w:name w:val="页脚 Char"/>
    <w:link w:val="21"/>
    <w:uiPriority w:val="99"/>
    <w:rPr>
      <w:kern w:val="2"/>
      <w:sz w:val="18"/>
      <w:szCs w:val="18"/>
    </w:rPr>
  </w:style>
  <w:style w:type="character" w:customStyle="1" w:styleId="64">
    <w:name w:val="页眉 Char"/>
    <w:link w:val="22"/>
    <w:uiPriority w:val="0"/>
    <w:rPr>
      <w:rFonts w:ascii="宋体"/>
      <w:sz w:val="18"/>
    </w:rPr>
  </w:style>
  <w:style w:type="character" w:customStyle="1" w:styleId="65">
    <w:name w:val="正文文本缩进 3 Char"/>
    <w:link w:val="26"/>
    <w:uiPriority w:val="0"/>
    <w:rPr>
      <w:kern w:val="2"/>
      <w:sz w:val="16"/>
      <w:szCs w:val="16"/>
    </w:rPr>
  </w:style>
  <w:style w:type="character" w:customStyle="1" w:styleId="66">
    <w:name w:val="HTML 预设格式 Char"/>
    <w:link w:val="29"/>
    <w:uiPriority w:val="0"/>
    <w:rPr>
      <w:rFonts w:ascii="微软雅黑" w:hAnsi="微软雅黑" w:cs="Arial"/>
      <w:sz w:val="24"/>
      <w:szCs w:val="24"/>
    </w:rPr>
  </w:style>
  <w:style w:type="character" w:customStyle="1" w:styleId="67">
    <w:name w:val="批注主题 Char"/>
    <w:link w:val="32"/>
    <w:uiPriority w:val="0"/>
    <w:rPr>
      <w:b/>
      <w:bCs/>
      <w:kern w:val="2"/>
      <w:sz w:val="21"/>
      <w:szCs w:val="24"/>
      <w:lang w:bidi="ar-SA"/>
    </w:rPr>
  </w:style>
  <w:style w:type="character" w:customStyle="1" w:styleId="68">
    <w:name w:val="正文首行缩进 2 Char"/>
    <w:link w:val="33"/>
    <w:uiPriority w:val="0"/>
  </w:style>
  <w:style w:type="character" w:customStyle="1" w:styleId="69">
    <w:name w:val="标题 3 字符"/>
    <w:uiPriority w:val="0"/>
    <w:rPr>
      <w:rFonts w:ascii="Times New Roman" w:hAnsi="Times New Roman" w:eastAsia="宋体" w:cs="Times New Roman"/>
      <w:b/>
      <w:bCs/>
      <w:sz w:val="28"/>
      <w:szCs w:val="28"/>
    </w:rPr>
  </w:style>
  <w:style w:type="character" w:customStyle="1" w:styleId="70">
    <w:name w:val="普通文字 Char Char Char1"/>
    <w:aliases w:val="普通文字 Char Char1,普通文字 Char1,纯文本 Char Char1,纯文本 Char Char Char,普通文字 Char Char Char Char Char,普通文字 Char Char Char Char1,小 Char,Texte Char,正 文 1 Char,普通文字1 Char,普通文字2 Char,普通文字3 Char,普通文字4 Char,普通文字5 Char,普通文字6 Char,普通文字11 Char,普通文字7 Ch"/>
    <w:uiPriority w:val="0"/>
    <w:rPr>
      <w:rFonts w:ascii="宋体" w:hAnsi="Courier New" w:eastAsia="宋体"/>
      <w:kern w:val="2"/>
      <w:sz w:val="21"/>
      <w:lang w:val="en-US" w:eastAsia="zh-CN" w:bidi="ar-SA"/>
    </w:rPr>
  </w:style>
  <w:style w:type="character" w:customStyle="1" w:styleId="71">
    <w:name w:val="font51"/>
    <w:qFormat/>
    <w:uiPriority w:val="0"/>
    <w:rPr>
      <w:rFonts w:hint="eastAsia" w:ascii="宋体" w:hAnsi="宋体" w:eastAsia="宋体" w:cs="宋体"/>
      <w:color w:val="000000"/>
      <w:sz w:val="21"/>
      <w:szCs w:val="21"/>
      <w:u w:val="none"/>
    </w:rPr>
  </w:style>
  <w:style w:type="character" w:customStyle="1" w:styleId="72">
    <w:name w:val="font61"/>
    <w:qFormat/>
    <w:uiPriority w:val="0"/>
    <w:rPr>
      <w:rFonts w:hint="eastAsia" w:ascii="等线" w:hAnsi="等线" w:eastAsia="等线" w:cs="等线"/>
      <w:color w:val="000000"/>
      <w:sz w:val="21"/>
      <w:szCs w:val="21"/>
      <w:u w:val="none"/>
      <w:vertAlign w:val="superscript"/>
    </w:rPr>
  </w:style>
  <w:style w:type="character" w:customStyle="1" w:styleId="73">
    <w:name w:val="标题 4 字符"/>
    <w:uiPriority w:val="0"/>
    <w:rPr>
      <w:rFonts w:ascii="Cambria" w:hAnsi="Cambria" w:eastAsia="宋体" w:cs="Times New Roman"/>
      <w:b/>
      <w:bCs/>
      <w:sz w:val="28"/>
      <w:szCs w:val="28"/>
    </w:rPr>
  </w:style>
  <w:style w:type="character" w:customStyle="1" w:styleId="74">
    <w:name w:val="标题 6 字符"/>
    <w:uiPriority w:val="0"/>
    <w:rPr>
      <w:rFonts w:ascii="等线 Light" w:hAnsi="等线 Light" w:eastAsia="等线 Light" w:cs="Times New Roman"/>
      <w:b/>
      <w:bCs/>
      <w:sz w:val="24"/>
      <w:szCs w:val="24"/>
    </w:rPr>
  </w:style>
  <w:style w:type="character" w:customStyle="1" w:styleId="75">
    <w:name w:val="样式 标题 2 + (符号) 宋体 Char"/>
    <w:link w:val="76"/>
    <w:uiPriority w:val="0"/>
    <w:rPr>
      <w:bCs/>
      <w:sz w:val="32"/>
      <w:szCs w:val="32"/>
    </w:rPr>
  </w:style>
  <w:style w:type="paragraph" w:customStyle="1" w:styleId="76">
    <w:name w:val="样式 标题 2 + (符号) 宋体"/>
    <w:basedOn w:val="2"/>
    <w:link w:val="75"/>
    <w:uiPriority w:val="0"/>
    <w:pPr>
      <w:keepLines/>
      <w:adjustRightInd w:val="0"/>
      <w:snapToGrid w:val="0"/>
      <w:spacing w:line="360" w:lineRule="auto"/>
    </w:pPr>
    <w:rPr>
      <w:rFonts w:ascii="Times New Roman"/>
      <w:b w:val="0"/>
      <w:bCs/>
      <w:kern w:val="0"/>
      <w:sz w:val="32"/>
      <w:szCs w:val="32"/>
    </w:rPr>
  </w:style>
  <w:style w:type="character" w:customStyle="1" w:styleId="77">
    <w:name w:val="日期 字符"/>
    <w:uiPriority w:val="99"/>
    <w:rPr>
      <w:rFonts w:ascii="宋体" w:hAnsi="宋体"/>
      <w:color w:val="000000"/>
      <w:kern w:val="2"/>
      <w:sz w:val="24"/>
      <w:szCs w:val="24"/>
    </w:rPr>
  </w:style>
  <w:style w:type="character" w:customStyle="1" w:styleId="78">
    <w:name w:val="标题 5 字符"/>
    <w:uiPriority w:val="0"/>
    <w:rPr>
      <w:rFonts w:ascii="Calibri" w:hAnsi="Calibri" w:eastAsia="宋体" w:cs="Times New Roman"/>
      <w:b/>
      <w:bCs/>
      <w:sz w:val="28"/>
      <w:szCs w:val="28"/>
    </w:rPr>
  </w:style>
  <w:style w:type="character" w:customStyle="1" w:styleId="79">
    <w:name w:val="正文2 Char Char"/>
    <w:link w:val="80"/>
    <w:qFormat/>
    <w:uiPriority w:val="0"/>
    <w:rPr>
      <w:rFonts w:eastAsia="宋体"/>
      <w:kern w:val="2"/>
      <w:sz w:val="24"/>
      <w:lang w:val="en-US" w:eastAsia="zh-CN" w:bidi="ar-SA"/>
    </w:rPr>
  </w:style>
  <w:style w:type="paragraph" w:customStyle="1" w:styleId="80">
    <w:name w:val="正文2"/>
    <w:basedOn w:val="1"/>
    <w:link w:val="79"/>
    <w:qFormat/>
    <w:uiPriority w:val="0"/>
    <w:pPr>
      <w:adjustRightInd w:val="0"/>
      <w:spacing w:before="156" w:line="360" w:lineRule="auto"/>
      <w:ind w:firstLine="510" w:firstLineChars="200"/>
    </w:pPr>
    <w:rPr>
      <w:rFonts w:ascii="Times New Roman" w:hAnsi="Times New Roman" w:cs="Times New Roman"/>
      <w:kern w:val="2"/>
      <w:sz w:val="24"/>
      <w:szCs w:val="20"/>
    </w:rPr>
  </w:style>
  <w:style w:type="character" w:customStyle="1" w:styleId="81">
    <w:name w:val=" Char Char26"/>
    <w:qFormat/>
    <w:uiPriority w:val="0"/>
    <w:rPr>
      <w:rFonts w:ascii="宋体" w:hAnsi="Courier New" w:eastAsia="宋体" w:cs="Arial"/>
      <w:snapToGrid w:val="0"/>
      <w:kern w:val="2"/>
      <w:sz w:val="21"/>
      <w:szCs w:val="21"/>
      <w:lang w:val="en-US" w:eastAsia="zh-CN" w:bidi="ar-SA"/>
    </w:rPr>
  </w:style>
  <w:style w:type="character" w:customStyle="1" w:styleId="82">
    <w:name w:val="font71"/>
    <w:qFormat/>
    <w:uiPriority w:val="0"/>
    <w:rPr>
      <w:rFonts w:hint="eastAsia" w:ascii="等线" w:hAnsi="等线" w:eastAsia="等线" w:cs="等线"/>
      <w:color w:val="000000"/>
      <w:sz w:val="20"/>
      <w:szCs w:val="20"/>
      <w:u w:val="none"/>
      <w:vertAlign w:val="superscript"/>
    </w:rPr>
  </w:style>
  <w:style w:type="character" w:customStyle="1" w:styleId="83">
    <w:name w:val="font31"/>
    <w:qFormat/>
    <w:uiPriority w:val="0"/>
    <w:rPr>
      <w:rFonts w:hint="eastAsia" w:ascii="等线" w:hAnsi="等线" w:eastAsia="等线" w:cs="等线"/>
      <w:color w:val="000000"/>
      <w:sz w:val="21"/>
      <w:szCs w:val="21"/>
      <w:u w:val="none"/>
    </w:rPr>
  </w:style>
  <w:style w:type="character" w:customStyle="1" w:styleId="84">
    <w:name w:val="font81"/>
    <w:qFormat/>
    <w:uiPriority w:val="0"/>
    <w:rPr>
      <w:rFonts w:hint="eastAsia" w:ascii="等线" w:hAnsi="等线" w:eastAsia="等线" w:cs="等线"/>
      <w:color w:val="000000"/>
      <w:sz w:val="20"/>
      <w:szCs w:val="20"/>
      <w:u w:val="none"/>
    </w:rPr>
  </w:style>
  <w:style w:type="character" w:customStyle="1" w:styleId="85">
    <w:name w:val="标题 1 字符"/>
    <w:uiPriority w:val="0"/>
    <w:rPr>
      <w:rFonts w:ascii="Calibri" w:hAnsi="Calibri" w:eastAsia="宋体" w:cs="Times New Roman"/>
      <w:b/>
      <w:bCs/>
      <w:kern w:val="44"/>
      <w:sz w:val="44"/>
      <w:szCs w:val="44"/>
    </w:rPr>
  </w:style>
  <w:style w:type="character" w:customStyle="1" w:styleId="86">
    <w:name w:val="font11"/>
    <w:qFormat/>
    <w:uiPriority w:val="0"/>
    <w:rPr>
      <w:rFonts w:hint="eastAsia" w:ascii="宋体" w:hAnsi="宋体" w:eastAsia="宋体" w:cs="宋体"/>
      <w:color w:val="000000"/>
      <w:sz w:val="21"/>
      <w:szCs w:val="21"/>
      <w:u w:val="none"/>
    </w:rPr>
  </w:style>
  <w:style w:type="character" w:customStyle="1" w:styleId="87">
    <w:name w:val="二级样式 Char"/>
    <w:link w:val="88"/>
    <w:uiPriority w:val="0"/>
    <w:rPr>
      <w:rFonts w:ascii="黑体" w:hAnsi="Wingdings" w:eastAsia="黑体" w:cs="IOBAEE+TimesNewRoman,Bold"/>
      <w:b/>
      <w:color w:val="000000"/>
      <w:sz w:val="24"/>
      <w:szCs w:val="24"/>
    </w:rPr>
  </w:style>
  <w:style w:type="paragraph" w:customStyle="1" w:styleId="88">
    <w:name w:val="二级样式"/>
    <w:basedOn w:val="1"/>
    <w:link w:val="87"/>
    <w:uiPriority w:val="0"/>
    <w:pPr>
      <w:autoSpaceDE w:val="0"/>
      <w:autoSpaceDN w:val="0"/>
      <w:adjustRightInd w:val="0"/>
      <w:spacing w:line="360" w:lineRule="auto"/>
      <w:ind w:firstLine="420"/>
      <w:jc w:val="left"/>
      <w:outlineLvl w:val="1"/>
    </w:pPr>
    <w:rPr>
      <w:rFonts w:ascii="黑体" w:hAnsi="Wingdings" w:eastAsia="黑体" w:cs="Times New Roman"/>
      <w:b/>
      <w:color w:val="000000"/>
      <w:sz w:val="24"/>
      <w:szCs w:val="24"/>
    </w:rPr>
  </w:style>
  <w:style w:type="character" w:customStyle="1" w:styleId="89">
    <w:name w:val="正文文本缩进 字符"/>
    <w:uiPriority w:val="0"/>
    <w:rPr>
      <w:rFonts w:ascii="Calibri" w:hAnsi="Calibri" w:eastAsia="宋体" w:cs="Times New Roman"/>
      <w:szCs w:val="24"/>
    </w:rPr>
  </w:style>
  <w:style w:type="character" w:customStyle="1" w:styleId="90">
    <w:name w:val="font01"/>
    <w:qFormat/>
    <w:uiPriority w:val="0"/>
    <w:rPr>
      <w:rFonts w:ascii="Calibri" w:hAnsi="Calibri" w:cs="Calibri"/>
      <w:color w:val="000000"/>
      <w:sz w:val="21"/>
      <w:szCs w:val="21"/>
      <w:u w:val="none"/>
    </w:rPr>
  </w:style>
  <w:style w:type="character" w:customStyle="1" w:styleId="91">
    <w:name w:val="批注框文本 字符"/>
    <w:uiPriority w:val="0"/>
    <w:rPr>
      <w:sz w:val="18"/>
      <w:szCs w:val="18"/>
    </w:rPr>
  </w:style>
  <w:style w:type="character" w:customStyle="1" w:styleId="92">
    <w:name w:val="标题 2 字符"/>
    <w:uiPriority w:val="0"/>
    <w:rPr>
      <w:rFonts w:ascii="等线 Light" w:hAnsi="等线 Light" w:eastAsia="等线 Light" w:cs="Times New Roman"/>
      <w:b/>
      <w:bCs/>
      <w:sz w:val="32"/>
      <w:szCs w:val="32"/>
    </w:rPr>
  </w:style>
  <w:style w:type="character" w:customStyle="1" w:styleId="93">
    <w:name w:val="页脚 字符"/>
    <w:uiPriority w:val="99"/>
    <w:rPr>
      <w:rFonts w:ascii="Calibri" w:hAnsi="Calibri" w:eastAsia="宋体" w:cs="Times New Roman"/>
      <w:sz w:val="18"/>
      <w:szCs w:val="18"/>
    </w:rPr>
  </w:style>
  <w:style w:type="character" w:customStyle="1" w:styleId="94">
    <w:name w:val="页眉 字符"/>
    <w:uiPriority w:val="99"/>
    <w:rPr>
      <w:rFonts w:ascii="Calibri" w:hAnsi="Calibri" w:eastAsia="宋体" w:cs="Times New Roman"/>
      <w:sz w:val="18"/>
      <w:szCs w:val="18"/>
    </w:rPr>
  </w:style>
  <w:style w:type="character" w:customStyle="1" w:styleId="95">
    <w:name w:val="纯文本 字符"/>
    <w:uiPriority w:val="99"/>
    <w:rPr>
      <w:rFonts w:ascii="宋体" w:hAnsi="Courier New" w:cs="Courier New"/>
      <w:kern w:val="2"/>
      <w:sz w:val="21"/>
      <w:szCs w:val="21"/>
    </w:rPr>
  </w:style>
  <w:style w:type="paragraph" w:customStyle="1" w:styleId="96">
    <w:name w:val="font6"/>
    <w:basedOn w:val="1"/>
    <w:uiPriority w:val="0"/>
    <w:pPr>
      <w:widowControl/>
      <w:spacing w:before="100" w:beforeAutospacing="1" w:after="100" w:afterAutospacing="1"/>
      <w:jc w:val="left"/>
    </w:pPr>
    <w:rPr>
      <w:rFonts w:ascii="宋体" w:hAnsi="宋体" w:cs="宋体"/>
      <w:kern w:val="0"/>
      <w:sz w:val="18"/>
      <w:szCs w:val="18"/>
    </w:rPr>
  </w:style>
  <w:style w:type="paragraph" w:customStyle="1" w:styleId="97">
    <w:name w:val="xl8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color w:val="FF0000"/>
      <w:kern w:val="0"/>
      <w:sz w:val="20"/>
      <w:szCs w:val="20"/>
    </w:rPr>
  </w:style>
  <w:style w:type="paragraph" w:customStyle="1" w:styleId="98">
    <w:name w:val="Table Text"/>
    <w:basedOn w:val="1"/>
    <w:uiPriority w:val="0"/>
    <w:pPr>
      <w:topLinePunct/>
      <w:adjustRightInd w:val="0"/>
      <w:snapToGrid w:val="0"/>
      <w:spacing w:before="80" w:after="80" w:line="240" w:lineRule="atLeast"/>
      <w:jc w:val="left"/>
    </w:pPr>
    <w:rPr>
      <w:rFonts w:ascii="Times New Roman" w:hAnsi="Times New Roman" w:cs="Arial"/>
      <w:snapToGrid w:val="0"/>
      <w:kern w:val="0"/>
      <w:szCs w:val="21"/>
    </w:rPr>
  </w:style>
  <w:style w:type="paragraph" w:customStyle="1" w:styleId="99">
    <w:name w:val="样式 正文有缩进 + 行距: 1.5 倍行距"/>
    <w:basedOn w:val="1"/>
    <w:qFormat/>
    <w:uiPriority w:val="0"/>
    <w:pPr>
      <w:ind w:firstLine="560" w:firstLineChars="200"/>
    </w:pPr>
    <w:rPr>
      <w:rFonts w:ascii="Calibri" w:hAnsi="Calibri"/>
      <w:sz w:val="28"/>
    </w:rPr>
  </w:style>
  <w:style w:type="paragraph" w:customStyle="1" w:styleId="100">
    <w:name w:val="正文21"/>
    <w:basedOn w:val="1"/>
    <w:uiPriority w:val="99"/>
    <w:pPr>
      <w:widowControl/>
      <w:adjustRightInd w:val="0"/>
      <w:snapToGrid w:val="0"/>
      <w:spacing w:line="440" w:lineRule="atLeast"/>
      <w:ind w:firstLine="510"/>
      <w:jc w:val="left"/>
    </w:pPr>
    <w:rPr>
      <w:rFonts w:ascii="Calibri" w:hAnsi="Calibri"/>
      <w:szCs w:val="20"/>
    </w:rPr>
  </w:style>
  <w:style w:type="paragraph" w:customStyle="1" w:styleId="101">
    <w:name w:val="xl8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02">
    <w:name w:val="xl7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3">
    <w:name w:val="p0"/>
    <w:basedOn w:val="1"/>
    <w:uiPriority w:val="0"/>
    <w:pPr>
      <w:widowControl/>
      <w:spacing w:line="360" w:lineRule="auto"/>
      <w:ind w:firstLine="420"/>
    </w:pPr>
    <w:rPr>
      <w:kern w:val="0"/>
      <w:sz w:val="24"/>
    </w:rPr>
  </w:style>
  <w:style w:type="paragraph" w:customStyle="1" w:styleId="104">
    <w:name w:val="Normal"/>
    <w:basedOn w:val="1"/>
    <w:uiPriority w:val="0"/>
    <w:rPr>
      <w:rFonts w:ascii="宋体" w:hAnsi="宋体" w:cs="宋体"/>
      <w:szCs w:val="21"/>
    </w:rPr>
  </w:style>
  <w:style w:type="paragraph" w:customStyle="1" w:styleId="105">
    <w:name w:val="Table Heading"/>
    <w:basedOn w:val="1"/>
    <w:uiPriority w:val="0"/>
    <w:pPr>
      <w:topLinePunct/>
      <w:adjustRightInd w:val="0"/>
      <w:snapToGrid w:val="0"/>
      <w:spacing w:before="80" w:after="80" w:line="240" w:lineRule="atLeast"/>
      <w:jc w:val="left"/>
    </w:pPr>
    <w:rPr>
      <w:rFonts w:hint="eastAsia" w:ascii="Book Antiqua" w:hAnsi="Book Antiqua" w:eastAsia="黑体" w:cs="Book Antiqua"/>
      <w:bCs/>
      <w:snapToGrid w:val="0"/>
      <w:kern w:val="0"/>
      <w:szCs w:val="21"/>
    </w:rPr>
  </w:style>
  <w:style w:type="paragraph" w:customStyle="1" w:styleId="106">
    <w:name w:val="Item List in Table"/>
    <w:basedOn w:val="1"/>
    <w:qFormat/>
    <w:uiPriority w:val="0"/>
    <w:pPr>
      <w:widowControl/>
      <w:numPr>
        <w:ilvl w:val="0"/>
        <w:numId w:val="3"/>
      </w:numPr>
      <w:tabs>
        <w:tab w:val="left" w:pos="284"/>
        <w:tab w:val="clear" w:pos="170"/>
      </w:tabs>
      <w:topLinePunct/>
      <w:adjustRightInd w:val="0"/>
      <w:snapToGrid w:val="0"/>
      <w:spacing w:before="80" w:after="80" w:line="240" w:lineRule="atLeast"/>
      <w:ind w:left="284" w:hanging="284"/>
      <w:jc w:val="left"/>
    </w:pPr>
    <w:rPr>
      <w:rFonts w:hint="eastAsia" w:ascii="Times New Roman" w:hAnsi="Times New Roman" w:cs="Arial"/>
      <w:kern w:val="0"/>
      <w:szCs w:val="21"/>
    </w:rPr>
  </w:style>
  <w:style w:type="paragraph" w:customStyle="1" w:styleId="107">
    <w:name w:val="p16"/>
    <w:basedOn w:val="1"/>
    <w:uiPriority w:val="0"/>
    <w:pPr>
      <w:widowControl/>
      <w:spacing w:line="360" w:lineRule="auto"/>
      <w:ind w:firstLine="420"/>
    </w:pPr>
    <w:rPr>
      <w:kern w:val="0"/>
      <w:sz w:val="24"/>
    </w:rPr>
  </w:style>
  <w:style w:type="paragraph" w:customStyle="1" w:styleId="108">
    <w:name w:val="xl8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09">
    <w:name w:val="xl8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10">
    <w:name w:val="xl91"/>
    <w:basedOn w:val="1"/>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jc w:val="left"/>
      <w:textAlignment w:val="bottom"/>
    </w:pPr>
    <w:rPr>
      <w:rFonts w:ascii="宋体" w:hAnsi="宋体" w:cs="宋体"/>
      <w:kern w:val="0"/>
      <w:sz w:val="20"/>
      <w:szCs w:val="20"/>
    </w:rPr>
  </w:style>
  <w:style w:type="paragraph" w:customStyle="1" w:styleId="111">
    <w:name w:val="xl8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12">
    <w:name w:val="xl8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13">
    <w:name w:val="xl7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4">
    <w:name w:val="Item List in Table Text"/>
    <w:basedOn w:val="98"/>
    <w:qFormat/>
    <w:uiPriority w:val="0"/>
    <w:pPr>
      <w:ind w:left="284"/>
    </w:pPr>
  </w:style>
  <w:style w:type="paragraph" w:customStyle="1" w:styleId="115">
    <w:name w:val="正文1"/>
    <w:qFormat/>
    <w:uiPriority w:val="0"/>
    <w:pPr>
      <w:framePr w:wrap="around" w:vAnchor="margin" w:hAnchor="text" w:y="1"/>
    </w:pPr>
    <w:rPr>
      <w:rFonts w:ascii="Helvetica Neue" w:hAnsi="Helvetica Neue" w:eastAsia="Arial Unicode MS" w:cs="Arial Unicode MS"/>
      <w:color w:val="000000"/>
      <w:sz w:val="22"/>
      <w:szCs w:val="22"/>
      <w:lang w:val="zh-CN" w:eastAsia="zh-CN" w:bidi="ar-SA"/>
    </w:rPr>
  </w:style>
  <w:style w:type="paragraph" w:customStyle="1" w:styleId="116">
    <w:name w:val=" Char Char Char Char Char Char Char Char Char"/>
    <w:basedOn w:val="1"/>
    <w:uiPriority w:val="0"/>
    <w:pPr>
      <w:widowControl/>
      <w:spacing w:after="160" w:line="240" w:lineRule="exact"/>
      <w:jc w:val="left"/>
    </w:pPr>
    <w:rPr>
      <w:rFonts w:ascii="Calibri" w:hAnsi="Calibri"/>
    </w:rPr>
  </w:style>
  <w:style w:type="paragraph" w:customStyle="1" w:styleId="117">
    <w:name w:val="xl9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color w:val="000000"/>
      <w:kern w:val="0"/>
      <w:sz w:val="18"/>
      <w:szCs w:val="18"/>
    </w:rPr>
  </w:style>
  <w:style w:type="paragraph" w:customStyle="1" w:styleId="118">
    <w:name w:val=" Char"/>
    <w:basedOn w:val="1"/>
    <w:uiPriority w:val="0"/>
    <w:pPr>
      <w:spacing w:line="360" w:lineRule="auto"/>
      <w:ind w:firstLine="200" w:firstLineChars="200"/>
    </w:pPr>
    <w:rPr>
      <w:rFonts w:ascii="宋体" w:hAnsi="宋体" w:cs="宋体"/>
      <w:sz w:val="24"/>
    </w:rPr>
  </w:style>
  <w:style w:type="paragraph" w:customStyle="1" w:styleId="119">
    <w:name w:val="xl8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20">
    <w:name w:val="xl92"/>
    <w:basedOn w:val="1"/>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jc w:val="left"/>
      <w:textAlignment w:val="bottom"/>
    </w:pPr>
    <w:rPr>
      <w:rFonts w:ascii="宋体" w:hAnsi="宋体" w:cs="宋体"/>
      <w:kern w:val="0"/>
      <w:sz w:val="20"/>
      <w:szCs w:val="20"/>
    </w:rPr>
  </w:style>
  <w:style w:type="paragraph" w:customStyle="1" w:styleId="121">
    <w:name w:val="xl93"/>
    <w:basedOn w:val="1"/>
    <w:uiPriority w:val="0"/>
    <w:pPr>
      <w:widowControl/>
      <w:pBdr>
        <w:top w:val="single" w:color="auto" w:sz="4" w:space="0"/>
        <w:left w:val="single" w:color="auto" w:sz="4" w:space="0"/>
        <w:bottom w:val="single" w:color="auto" w:sz="4" w:space="0"/>
        <w:right w:val="single" w:color="auto" w:sz="4" w:space="0"/>
      </w:pBdr>
      <w:shd w:val="clear" w:color="000000" w:fill="00B050"/>
      <w:spacing w:before="100" w:beforeAutospacing="1" w:after="100" w:afterAutospacing="1"/>
      <w:jc w:val="left"/>
    </w:pPr>
    <w:rPr>
      <w:rFonts w:ascii="宋体" w:hAnsi="宋体" w:cs="宋体"/>
      <w:kern w:val="0"/>
      <w:sz w:val="20"/>
      <w:szCs w:val="20"/>
    </w:rPr>
  </w:style>
  <w:style w:type="paragraph" w:customStyle="1" w:styleId="122">
    <w:name w:val="Char Char Char Char1"/>
    <w:basedOn w:val="1"/>
    <w:uiPriority w:val="0"/>
    <w:rPr>
      <w:rFonts w:ascii="Tahoma" w:hAnsi="Tahoma"/>
      <w:sz w:val="24"/>
      <w:szCs w:val="20"/>
    </w:rPr>
  </w:style>
  <w:style w:type="paragraph" w:customStyle="1" w:styleId="123">
    <w:name w:val="xl94"/>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bottom"/>
    </w:pPr>
    <w:rPr>
      <w:rFonts w:ascii="宋体" w:hAnsi="宋体" w:cs="宋体"/>
      <w:color w:val="000000"/>
      <w:kern w:val="0"/>
      <w:sz w:val="18"/>
      <w:szCs w:val="18"/>
    </w:rPr>
  </w:style>
  <w:style w:type="paragraph" w:customStyle="1" w:styleId="124">
    <w:name w:val="xl8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color w:val="FF0000"/>
      <w:kern w:val="0"/>
      <w:sz w:val="20"/>
      <w:szCs w:val="20"/>
    </w:rPr>
  </w:style>
  <w:style w:type="paragraph" w:customStyle="1" w:styleId="125">
    <w:name w:val="xl8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26">
    <w:name w:val="xl8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27">
    <w:name w:val="xl90"/>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textAlignment w:val="bottom"/>
    </w:pPr>
    <w:rPr>
      <w:rFonts w:ascii="宋体" w:hAnsi="宋体" w:cs="宋体"/>
      <w:kern w:val="0"/>
      <w:sz w:val="20"/>
      <w:szCs w:val="20"/>
    </w:rPr>
  </w:style>
  <w:style w:type="paragraph" w:customStyle="1" w:styleId="128">
    <w:name w:val="xl6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29">
    <w:name w:val="xl7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30">
    <w:name w:val="xl6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31">
    <w:name w:val="无间隔1"/>
    <w:qFormat/>
    <w:uiPriority w:val="1"/>
    <w:pPr>
      <w:widowControl w:val="0"/>
      <w:spacing w:line="360" w:lineRule="auto"/>
      <w:ind w:firstLine="200" w:firstLineChars="200"/>
      <w:jc w:val="both"/>
    </w:pPr>
    <w:rPr>
      <w:rFonts w:ascii="Calibri" w:hAnsi="Calibri"/>
      <w:kern w:val="2"/>
      <w:sz w:val="24"/>
      <w:szCs w:val="22"/>
      <w:lang w:val="en-US" w:eastAsia="zh-CN" w:bidi="ar-SA"/>
    </w:rPr>
  </w:style>
  <w:style w:type="paragraph" w:customStyle="1" w:styleId="132">
    <w:name w:val="uList1"/>
    <w:qFormat/>
    <w:uiPriority w:val="0"/>
    <w:pPr>
      <w:numPr>
        <w:ilvl w:val="0"/>
        <w:numId w:val="4"/>
      </w:numPr>
      <w:spacing w:line="360" w:lineRule="auto"/>
      <w:ind w:left="849" w:leftChars="201" w:hanging="286" w:hangingChars="102"/>
      <w:jc w:val="both"/>
    </w:pPr>
    <w:rPr>
      <w:kern w:val="2"/>
      <w:sz w:val="28"/>
      <w:szCs w:val="28"/>
      <w:lang w:val="en-US" w:eastAsia="zh-CN" w:bidi="ar-SA"/>
    </w:rPr>
  </w:style>
  <w:style w:type="paragraph" w:customStyle="1" w:styleId="133">
    <w:name w:val="p17"/>
    <w:basedOn w:val="1"/>
    <w:uiPriority w:val="0"/>
    <w:pPr>
      <w:widowControl/>
      <w:spacing w:line="360" w:lineRule="auto"/>
      <w:ind w:firstLine="420"/>
    </w:pPr>
    <w:rPr>
      <w:rFonts w:ascii="Calibri" w:hAnsi="Calibri" w:cs="宋体"/>
      <w:kern w:val="0"/>
      <w:sz w:val="24"/>
    </w:rPr>
  </w:style>
  <w:style w:type="paragraph" w:customStyle="1" w:styleId="134">
    <w:name w:val="xl7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35">
    <w:name w:val="uList2"/>
    <w:basedOn w:val="132"/>
    <w:qFormat/>
    <w:uiPriority w:val="0"/>
    <w:pPr>
      <w:numPr>
        <w:numId w:val="5"/>
      </w:numPr>
      <w:ind w:left="1131" w:leftChars="304" w:hanging="280" w:hangingChars="100"/>
    </w:pPr>
  </w:style>
  <w:style w:type="paragraph" w:styleId="136">
    <w:name w:val="List Paragraph"/>
    <w:basedOn w:val="1"/>
    <w:qFormat/>
    <w:uiPriority w:val="34"/>
    <w:pPr>
      <w:ind w:firstLine="420" w:firstLineChars="200"/>
    </w:pPr>
    <w:rPr>
      <w:rFonts w:ascii="Calibri" w:hAnsi="Calibri"/>
    </w:rPr>
  </w:style>
  <w:style w:type="paragraph" w:customStyle="1" w:styleId="137">
    <w:name w:val="xl6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38">
    <w:name w:val="Body Text Indent 3"/>
    <w:basedOn w:val="1"/>
    <w:uiPriority w:val="0"/>
    <w:pPr>
      <w:adjustRightInd w:val="0"/>
      <w:ind w:firstLine="560"/>
      <w:textAlignment w:val="baseline"/>
    </w:pPr>
    <w:rPr>
      <w:rFonts w:ascii="Calibri" w:hAnsi="Calibri"/>
      <w:sz w:val="28"/>
      <w:szCs w:val="20"/>
    </w:rPr>
  </w:style>
  <w:style w:type="paragraph" w:customStyle="1" w:styleId="139">
    <w:name w:val="xl6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styleId="140">
    <w:name w:val=""/>
    <w:basedOn w:val="4"/>
    <w:next w:val="1"/>
    <w:qFormat/>
    <w:uiPriority w:val="39"/>
    <w:pPr>
      <w:keepLines/>
      <w:widowControl/>
      <w:spacing w:before="480" w:line="276" w:lineRule="auto"/>
      <w:jc w:val="left"/>
      <w:outlineLvl w:val="9"/>
    </w:pPr>
    <w:rPr>
      <w:rFonts w:ascii="等线 Light" w:hAnsi="等线 Light" w:eastAsia="等线 Light" w:cs="Times New Roman"/>
      <w:bCs/>
      <w:color w:val="2F5496"/>
      <w:kern w:val="0"/>
      <w:sz w:val="28"/>
      <w:szCs w:val="28"/>
      <w:lang w:val="en-US" w:eastAsia="zh-CN"/>
    </w:rPr>
  </w:style>
  <w:style w:type="paragraph" w:customStyle="1" w:styleId="141">
    <w:name w:val="标题1"/>
    <w:basedOn w:val="4"/>
    <w:qFormat/>
    <w:uiPriority w:val="0"/>
    <w:pPr>
      <w:widowControl/>
      <w:tabs>
        <w:tab w:val="left" w:pos="420"/>
        <w:tab w:val="left" w:pos="540"/>
        <w:tab w:val="left" w:pos="1275"/>
      </w:tabs>
      <w:spacing w:before="156" w:beforeLines="50" w:after="156" w:afterLines="50" w:line="240" w:lineRule="auto"/>
      <w:ind w:left="1275" w:hanging="720"/>
      <w:jc w:val="left"/>
    </w:pPr>
    <w:rPr>
      <w:rFonts w:ascii="Arial" w:hAnsi="Arial" w:eastAsia="黑体"/>
      <w:b w:val="0"/>
      <w:bCs/>
      <w:smallCaps/>
      <w:spacing w:val="20"/>
      <w:kern w:val="28"/>
      <w:szCs w:val="44"/>
    </w:rPr>
  </w:style>
  <w:style w:type="paragraph" w:customStyle="1" w:styleId="142">
    <w:name w:val="xl71"/>
    <w:basedOn w:val="1"/>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43">
    <w:name w:val="xl6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18"/>
      <w:szCs w:val="18"/>
    </w:rPr>
  </w:style>
  <w:style w:type="paragraph" w:customStyle="1" w:styleId="144">
    <w:name w:val="Sub Item List in Table"/>
    <w:basedOn w:val="1"/>
    <w:qFormat/>
    <w:uiPriority w:val="0"/>
    <w:pPr>
      <w:widowControl/>
      <w:numPr>
        <w:ilvl w:val="2"/>
        <w:numId w:val="3"/>
      </w:numPr>
      <w:topLinePunct/>
      <w:adjustRightInd w:val="0"/>
      <w:snapToGrid w:val="0"/>
      <w:spacing w:before="80" w:after="80" w:line="240" w:lineRule="atLeast"/>
      <w:jc w:val="left"/>
    </w:pPr>
    <w:rPr>
      <w:rFonts w:hint="eastAsia" w:ascii="Times New Roman" w:hAnsi="Times New Roman" w:cs="Arial"/>
      <w:szCs w:val="21"/>
    </w:rPr>
  </w:style>
  <w:style w:type="paragraph" w:customStyle="1" w:styleId="145">
    <w:name w:val="xl9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6">
    <w:name w:val="xl7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47">
    <w:name w:val="xl72"/>
    <w:basedOn w:val="1"/>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48">
    <w:name w:val=" Char Char Char Char"/>
    <w:basedOn w:val="1"/>
    <w:uiPriority w:val="0"/>
    <w:rPr>
      <w:rFonts w:ascii="Calibri" w:hAnsi="Calibri"/>
      <w:sz w:val="24"/>
    </w:rPr>
  </w:style>
  <w:style w:type="paragraph" w:customStyle="1" w:styleId="149">
    <w:name w:val="font5"/>
    <w:basedOn w:val="1"/>
    <w:uiPriority w:val="0"/>
    <w:pPr>
      <w:widowControl/>
      <w:spacing w:before="100" w:beforeAutospacing="1" w:after="100" w:afterAutospacing="1"/>
      <w:jc w:val="left"/>
    </w:pPr>
    <w:rPr>
      <w:rFonts w:ascii="宋体" w:hAnsi="宋体" w:cs="宋体"/>
      <w:kern w:val="0"/>
      <w:sz w:val="18"/>
      <w:szCs w:val="18"/>
    </w:rPr>
  </w:style>
  <w:style w:type="paragraph" w:customStyle="1" w:styleId="150">
    <w:name w:val="xl7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51">
    <w:name w:val="xl7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bottom"/>
    </w:pPr>
    <w:rPr>
      <w:rFonts w:ascii="宋体" w:hAnsi="宋体" w:cs="宋体"/>
      <w:kern w:val="0"/>
      <w:sz w:val="20"/>
      <w:szCs w:val="20"/>
    </w:rPr>
  </w:style>
  <w:style w:type="paragraph" w:customStyle="1" w:styleId="152">
    <w:name w:val="xl95"/>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bottom"/>
    </w:pPr>
    <w:rPr>
      <w:rFonts w:ascii="宋体" w:hAnsi="宋体" w:cs="宋体"/>
      <w:color w:val="000000"/>
      <w:kern w:val="0"/>
      <w:sz w:val="18"/>
      <w:szCs w:val="18"/>
    </w:rPr>
  </w:style>
  <w:style w:type="paragraph" w:customStyle="1" w:styleId="153">
    <w:name w:val="_正文段落，宋体四号"/>
    <w:qFormat/>
    <w:uiPriority w:val="0"/>
    <w:pPr>
      <w:spacing w:line="360" w:lineRule="auto"/>
      <w:ind w:firstLine="560" w:firstLineChars="200"/>
      <w:jc w:val="both"/>
    </w:pPr>
    <w:rPr>
      <w:kern w:val="2"/>
      <w:sz w:val="28"/>
      <w:szCs w:val="28"/>
      <w:lang w:val="en-US" w:eastAsia="zh-CN" w:bidi="ar-SA"/>
    </w:rPr>
  </w:style>
  <w:style w:type="paragraph" w:customStyle="1" w:styleId="154">
    <w:name w:val="xl9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55">
    <w:name w:val="msonormal"/>
    <w:basedOn w:val="1"/>
    <w:uiPriority w:val="0"/>
    <w:pPr>
      <w:widowControl/>
      <w:spacing w:before="100" w:beforeAutospacing="1" w:after="100" w:afterAutospacing="1"/>
      <w:jc w:val="left"/>
    </w:pPr>
    <w:rPr>
      <w:rFonts w:ascii="宋体" w:hAnsi="宋体" w:cs="宋体"/>
      <w:kern w:val="0"/>
      <w:sz w:val="24"/>
    </w:rPr>
  </w:style>
  <w:style w:type="paragraph" w:customStyle="1" w:styleId="156">
    <w:name w:val="编号1"/>
    <w:basedOn w:val="1"/>
    <w:qFormat/>
    <w:uiPriority w:val="0"/>
    <w:pPr>
      <w:widowControl/>
      <w:tabs>
        <w:tab w:val="left" w:pos="840"/>
        <w:tab w:val="left" w:pos="1035"/>
      </w:tabs>
      <w:ind w:left="862" w:hanging="431"/>
      <w:jc w:val="left"/>
    </w:pPr>
    <w:rPr>
      <w:rFonts w:ascii="Calibri" w:hAnsi="Calibri"/>
      <w:kern w:val="0"/>
      <w:sz w:val="28"/>
      <w:szCs w:val="20"/>
    </w:rPr>
  </w:style>
  <w:style w:type="paragraph" w:customStyle="1" w:styleId="157">
    <w:name w:val="正文 A"/>
    <w:qFormat/>
    <w:uiPriority w:val="0"/>
    <w:pPr>
      <w:framePr w:wrap="around" w:vAnchor="margin" w:hAnchor="text" w:y="1"/>
      <w:widowControl w:val="0"/>
      <w:jc w:val="both"/>
    </w:pPr>
    <w:rPr>
      <w:rFonts w:ascii="Calibri" w:hAnsi="Calibri" w:eastAsia="Arial Unicode MS" w:cs="Arial Unicode MS"/>
      <w:color w:val="000000"/>
      <w:kern w:val="2"/>
      <w:sz w:val="21"/>
      <w:szCs w:val="21"/>
      <w:u w:val="none" w:color="000000"/>
      <w:lang w:val="en-US" w:eastAsia="zh-CN" w:bidi="ar-SA"/>
    </w:rPr>
  </w:style>
  <w:style w:type="paragraph" w:customStyle="1" w:styleId="158">
    <w:name w:val="xl7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159">
    <w:name w:val="oList1"/>
    <w:basedOn w:val="1"/>
    <w:qFormat/>
    <w:uiPriority w:val="0"/>
    <w:pPr>
      <w:numPr>
        <w:ilvl w:val="0"/>
        <w:numId w:val="6"/>
      </w:numPr>
      <w:spacing w:line="360" w:lineRule="auto"/>
      <w:ind w:left="567" w:hanging="147"/>
    </w:p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media/image5.png" Type="http://schemas.openxmlformats.org/officeDocument/2006/relationships/image"/><Relationship Id="rId11" Target="media/image6.png" Type="http://schemas.openxmlformats.org/officeDocument/2006/relationships/image"/><Relationship Id="rId12" Target="media/image7.png" Type="http://schemas.openxmlformats.org/officeDocument/2006/relationships/image"/><Relationship Id="rId13" Target="media/image8.png" Type="http://schemas.openxmlformats.org/officeDocument/2006/relationships/image"/><Relationship Id="rId14" Target="media/image9.png" Type="http://schemas.openxmlformats.org/officeDocument/2006/relationships/image"/><Relationship Id="rId15" Target="media/image10.png" Type="http://schemas.openxmlformats.org/officeDocument/2006/relationships/image"/><Relationship Id="rId16" Target="numbering.xml" Type="http://schemas.openxmlformats.org/officeDocument/2006/relationships/numbering"/><Relationship Id="rId17"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footer1.xml" Type="http://schemas.openxmlformats.org/officeDocument/2006/relationships/footer"/><Relationship Id="rId5" Target="theme/theme1.xml" Type="http://schemas.openxmlformats.org/officeDocument/2006/relationships/theme"/><Relationship Id="rId6" Target="media/image1.png" Type="http://schemas.openxmlformats.org/officeDocument/2006/relationships/image"/><Relationship Id="rId7" Target="media/image2.png" Type="http://schemas.openxmlformats.org/officeDocument/2006/relationships/image"/><Relationship Id="rId8" Target="media/image3.png" Type="http://schemas.openxmlformats.org/officeDocument/2006/relationships/image"/><Relationship Id="rId9" Target="media/image4.png" Type="http://schemas.openxmlformats.org/officeDocument/2006/relationships/image"/></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72</Pages>
  <Words>36234</Words>
  <Characters>38571</Characters>
  <Lines>310</Lines>
  <Paragraphs>87</Paragraphs>
  <TotalTime>0</TotalTime>
  <ScaleCrop>false</ScaleCrop>
  <LinksUpToDate>false</LinksUpToDate>
  <CharactersWithSpaces>40342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2023-02-02T06:53:00Z</dcterms:created>
  <dc:creator>wxg</dc:creator>
  <cp:lastModifiedBy>WPS_1701756769</cp:lastModifiedBy>
  <cp:lastPrinted>2022-06-29T01:02:00Z</cp:lastPrinted>
  <dcterms:modified xsi:type="dcterms:W3CDTF">2024-02-22T06:03:11Z</dcterms:modified>
  <cp:revision>14</cp:revision>
  <dc:title>采购单位：</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GSEDS_HWMT_d46a6755">
    <vt:lpwstr>f2453e9a_mFV3wz84JSk2NspOl3v8qzL10WY=_8QYrr3ZpenFnI7o8+m6u8PnvnMKHrW85ZpAkhfsKvDjcINFtpciBldWDq8bEPWTFWWW/8/OnVSJSBmOx7yJj_0ea69b1e</vt:lpwstr>
  </property>
  <property fmtid="{D5CDD505-2E9C-101B-9397-08002B2CF9AE}" pid="4" name="ICV">
    <vt:lpwstr>2898320F733B4788BBD0F02AB7C74826_13</vt:lpwstr>
  </property>
</Properties>
</file>