
<file path=[Content_Types].xml><?xml version="1.0" encoding="utf-8"?>
<Types xmlns="http://schemas.openxmlformats.org/package/2006/content-types">
  <Default ContentType="image/png" Extension="png"/>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360" w:lineRule="auto"/>
        <w:jc w:val="center"/>
        <w:rPr>
          <w:rFonts w:hint="eastAsia" w:ascii="宋体" w:hAnsi="宋体"/>
          <w:b/>
          <w:bCs/>
          <w:color w:val="000000"/>
          <w:sz w:val="36"/>
        </w:rPr>
      </w:pPr>
      <w:bookmarkStart w:id="6" w:name="_GoBack"/>
      <w:bookmarkEnd w:id="6"/>
      <w:r>
        <w:rPr>
          <w:rFonts w:hint="eastAsia" w:ascii="宋体" w:hAnsi="宋体" w:cs="宋体"/>
          <w:b/>
          <w:bCs/>
          <w:sz w:val="30"/>
          <w:szCs w:val="30"/>
        </w:rPr>
        <w:t>绍兴虞宸招标代理有限公司关于绍兴市公安局上虞区分局**通四期项目（两年）的征求意见</w:t>
      </w:r>
    </w:p>
    <w:p>
      <w:pPr>
        <w:pStyle w:val="35"/>
        <w:shd w:val="clear" w:color="auto" w:fill="FFFFFF"/>
        <w:spacing w:before="0" w:beforeAutospacing="0" w:after="0" w:afterAutospacing="0" w:line="500" w:lineRule="exact"/>
      </w:pPr>
      <w:r>
        <w:rPr>
          <w:rFonts w:hint="eastAsia"/>
        </w:rPr>
        <w:t>一、征求意见范围：</w:t>
      </w:r>
    </w:p>
    <w:p>
      <w:pPr>
        <w:pStyle w:val="35"/>
        <w:shd w:val="clear" w:color="auto" w:fill="FFFFFF"/>
        <w:spacing w:before="0" w:beforeAutospacing="0" w:after="0" w:afterAutospacing="0" w:line="600" w:lineRule="exact"/>
        <w:ind w:firstLine="480" w:firstLineChars="200"/>
      </w:pPr>
      <w:r>
        <w:rPr>
          <w:rFonts w:hint="eastAsia"/>
        </w:rPr>
        <w:t>1、是否出现明显的倾向性意见和特定的性能指标；</w:t>
      </w:r>
    </w:p>
    <w:p>
      <w:pPr>
        <w:pStyle w:val="35"/>
        <w:shd w:val="clear" w:color="auto" w:fill="FFFFFF"/>
        <w:spacing w:before="0" w:beforeAutospacing="0" w:after="0" w:afterAutospacing="0" w:line="600" w:lineRule="exact"/>
        <w:ind w:firstLine="480" w:firstLineChars="200"/>
      </w:pPr>
      <w:r>
        <w:rPr>
          <w:rFonts w:hint="eastAsia"/>
        </w:rPr>
        <w:t>2、影响政府采购“公开、公平、公正”原则的其他情况。</w:t>
      </w:r>
    </w:p>
    <w:p>
      <w:pPr>
        <w:pStyle w:val="35"/>
        <w:shd w:val="clear" w:color="auto" w:fill="FFFFFF"/>
        <w:spacing w:before="0" w:beforeAutospacing="0" w:after="0" w:afterAutospacing="0" w:line="600" w:lineRule="exact"/>
      </w:pPr>
      <w:r>
        <w:rPr>
          <w:rFonts w:hint="eastAsia"/>
        </w:rPr>
        <w:t>二、合格投标人：</w:t>
      </w:r>
    </w:p>
    <w:p>
      <w:pPr>
        <w:pStyle w:val="35"/>
        <w:shd w:val="clear" w:color="auto" w:fill="FFFFFF"/>
        <w:spacing w:before="0" w:beforeAutospacing="0" w:after="0" w:afterAutospacing="0" w:line="600" w:lineRule="exact"/>
        <w:ind w:firstLine="480" w:firstLineChars="200"/>
      </w:pPr>
      <w:r>
        <w:rPr>
          <w:rFonts w:hint="eastAsia"/>
        </w:rPr>
        <w:t>1．符合政府采购法第二十二条，且未被“信用中国”（www.creditchina.gov.cn）、中国政府采购网（www.ccgp.gov.cn）列入失信被执行人、重大税收违法案件当事人名单、政府采购严重违法失信行为记录名单。</w:t>
      </w:r>
    </w:p>
    <w:p>
      <w:pPr>
        <w:pStyle w:val="35"/>
        <w:shd w:val="clear" w:color="auto" w:fill="FFFFFF"/>
        <w:spacing w:before="0" w:beforeAutospacing="0" w:after="0" w:afterAutospacing="0" w:line="600" w:lineRule="exact"/>
        <w:ind w:firstLine="480" w:firstLineChars="200"/>
      </w:pPr>
      <w:r>
        <w:rPr>
          <w:rFonts w:hint="eastAsia"/>
        </w:rPr>
        <w:t>2．落实政府采购政策需满足的资格要求：本项目预留了项目总预算金额80%以上专门面向中小微企业，预留份额通过下列措施进行：</w:t>
      </w:r>
    </w:p>
    <w:p>
      <w:pPr>
        <w:pStyle w:val="35"/>
        <w:shd w:val="clear" w:color="auto" w:fill="FFFFFF"/>
        <w:spacing w:before="0" w:beforeAutospacing="0" w:after="0" w:afterAutospacing="0" w:line="600" w:lineRule="exact"/>
        <w:ind w:firstLine="480" w:firstLineChars="200"/>
        <w:rPr>
          <w:rFonts w:hint="eastAsia"/>
        </w:rPr>
      </w:pPr>
      <w:r>
        <w:rPr>
          <w:rFonts w:hint="eastAsia"/>
        </w:rPr>
        <w:t>① 供应商可以以联合体形式参加采购活动，联合体中中小企业预留份额需约定项目总金额80%以上，采用联合体的需提供联合体协议书；</w:t>
      </w:r>
    </w:p>
    <w:p>
      <w:pPr>
        <w:pStyle w:val="35"/>
        <w:shd w:val="clear" w:color="auto" w:fill="FFFFFF"/>
        <w:spacing w:before="0" w:beforeAutospacing="0" w:after="0" w:afterAutospacing="0" w:line="600" w:lineRule="exact"/>
        <w:ind w:firstLine="480" w:firstLineChars="200"/>
        <w:rPr>
          <w:rFonts w:hint="eastAsia"/>
        </w:rPr>
      </w:pPr>
      <w:r>
        <w:rPr>
          <w:rFonts w:hint="eastAsia"/>
        </w:rPr>
        <w:t>② 获得采购合同的供应商可以将采购项目中80%以上采购份额分包给一家或者多家中小企业，采用分包的需提供分包协议书。</w:t>
      </w:r>
    </w:p>
    <w:p>
      <w:pPr>
        <w:pStyle w:val="35"/>
        <w:shd w:val="clear" w:color="auto" w:fill="FFFFFF"/>
        <w:spacing w:before="0" w:beforeAutospacing="0" w:after="0" w:afterAutospacing="0" w:line="600" w:lineRule="exact"/>
        <w:ind w:firstLine="480" w:firstLineChars="200"/>
        <w:rPr>
          <w:rFonts w:hint="eastAsia"/>
        </w:rPr>
      </w:pPr>
      <w:r>
        <w:rPr>
          <w:rFonts w:hint="eastAsia"/>
        </w:rPr>
        <w:t>3．本次招标</w:t>
      </w:r>
      <w:r>
        <w:rPr>
          <w:rFonts w:hint="eastAsia"/>
          <w:u w:val="single"/>
        </w:rPr>
        <w:t>接受</w:t>
      </w:r>
      <w:r>
        <w:rPr>
          <w:rFonts w:hint="eastAsia"/>
        </w:rPr>
        <w:t>联合体投标。</w:t>
      </w:r>
    </w:p>
    <w:p>
      <w:pPr>
        <w:pStyle w:val="35"/>
        <w:shd w:val="clear" w:color="auto" w:fill="FFFFFF"/>
        <w:spacing w:before="0" w:beforeAutospacing="0" w:after="0" w:afterAutospacing="0" w:line="600" w:lineRule="exact"/>
        <w:ind w:firstLine="480" w:firstLineChars="200"/>
        <w:rPr>
          <w:rFonts w:hint="eastAsia"/>
        </w:rPr>
      </w:pPr>
      <w:r>
        <w:rPr>
          <w:rFonts w:hint="eastAsia"/>
        </w:rPr>
        <w:t>4．本次招标采用资格后审的审查方式，由采购人负责审查</w:t>
      </w:r>
    </w:p>
    <w:p>
      <w:pPr>
        <w:pStyle w:val="35"/>
        <w:shd w:val="clear" w:color="auto" w:fill="FFFFFF"/>
        <w:spacing w:before="0" w:beforeAutospacing="0" w:after="0" w:afterAutospacing="0" w:line="600" w:lineRule="exact"/>
      </w:pPr>
      <w:r>
        <w:rPr>
          <w:rFonts w:hint="eastAsia"/>
        </w:rPr>
        <w:t>三、征求意见回复：</w:t>
      </w:r>
    </w:p>
    <w:p>
      <w:pPr>
        <w:pStyle w:val="35"/>
        <w:shd w:val="clear" w:color="auto" w:fill="FFFFFF"/>
        <w:spacing w:before="0" w:beforeAutospacing="0" w:after="0" w:afterAutospacing="0" w:line="600" w:lineRule="exact"/>
      </w:pPr>
      <w:r>
        <w:rPr>
          <w:rFonts w:hint="eastAsia"/>
        </w:rPr>
        <w:t>   1、意见递交时间：2023年2月24日16时30分前（节假日除外）递交</w:t>
      </w:r>
    </w:p>
    <w:p>
      <w:pPr>
        <w:pStyle w:val="35"/>
        <w:shd w:val="clear" w:color="auto" w:fill="FFFFFF"/>
        <w:spacing w:before="0" w:beforeAutospacing="0" w:after="0" w:afterAutospacing="0" w:line="600" w:lineRule="exact"/>
      </w:pPr>
      <w:r>
        <w:rPr>
          <w:rFonts w:hint="eastAsia"/>
        </w:rPr>
        <w:t>   2、意见递交方式：</w:t>
      </w:r>
      <w:r>
        <w:rPr>
          <w:rStyle w:val="142"/>
          <w:rFonts w:hint="eastAsia"/>
          <w:color w:val="333333"/>
        </w:rPr>
        <w:t>各供应商及专家提出修改理由和建议的，将书面材料签字（盖章）并密封后送至绍兴虞宸招标代理有限公司（上虞区新天龙大厦12楼），外地可发送邮箱，邮箱：2276218107@qq.com，传真件必须签字（盖章）</w:t>
      </w:r>
      <w:r>
        <w:rPr>
          <w:rFonts w:hint="eastAsia"/>
        </w:rPr>
        <w:t>。</w:t>
      </w:r>
    </w:p>
    <w:p>
      <w:pPr>
        <w:pStyle w:val="35"/>
        <w:shd w:val="clear" w:color="auto" w:fill="FFFFFF"/>
        <w:spacing w:before="0" w:beforeAutospacing="0" w:after="0" w:afterAutospacing="0" w:line="600" w:lineRule="exact"/>
      </w:pPr>
      <w:r>
        <w:rPr>
          <w:rFonts w:hint="eastAsia"/>
        </w:rPr>
        <w:t>   3、意见接收机构：绍兴市公安局上虞区分局 /绍兴虞宸招标代理有限公司</w:t>
      </w:r>
    </w:p>
    <w:p>
      <w:pPr>
        <w:pStyle w:val="35"/>
        <w:shd w:val="clear" w:color="auto" w:fill="FFFFFF"/>
        <w:spacing w:before="0" w:beforeAutospacing="0" w:after="0" w:afterAutospacing="0" w:line="600" w:lineRule="exact"/>
        <w:jc w:val="both"/>
      </w:pPr>
      <w:r>
        <w:rPr>
          <w:rFonts w:hint="eastAsia"/>
        </w:rPr>
        <w:t>   4、联系人：徐先生 / 夏女士</w:t>
      </w:r>
    </w:p>
    <w:p>
      <w:pPr>
        <w:pStyle w:val="35"/>
        <w:shd w:val="clear" w:color="auto" w:fill="FFFFFF"/>
        <w:spacing w:before="0" w:beforeAutospacing="0" w:after="0" w:afterAutospacing="0" w:line="600" w:lineRule="exact"/>
      </w:pPr>
      <w:r>
        <w:rPr>
          <w:rFonts w:hint="eastAsia"/>
        </w:rPr>
        <w:t>   5、联系电话：</w:t>
      </w:r>
      <w:r>
        <w:rPr>
          <w:rFonts w:hint="eastAsia"/>
          <w:color w:val="333333"/>
        </w:rPr>
        <w:t>0575-82766082</w:t>
      </w:r>
      <w:r>
        <w:rPr>
          <w:rFonts w:hint="eastAsia"/>
        </w:rPr>
        <w:t xml:space="preserve">/ </w:t>
      </w:r>
      <w:r>
        <w:rPr>
          <w:rFonts w:hint="eastAsia"/>
          <w:szCs w:val="21"/>
        </w:rPr>
        <w:t>13777330860</w:t>
      </w:r>
    </w:p>
    <w:p>
      <w:pPr>
        <w:widowControl/>
        <w:spacing w:line="324" w:lineRule="atLeast"/>
        <w:jc w:val="center"/>
        <w:rPr>
          <w:rFonts w:hint="eastAsia"/>
        </w:rPr>
      </w:pPr>
    </w:p>
    <w:p>
      <w:pPr>
        <w:pStyle w:val="35"/>
        <w:shd w:val="clear" w:color="auto" w:fill="FFFFFF"/>
        <w:spacing w:before="0" w:beforeAutospacing="0" w:after="0" w:afterAutospacing="0" w:line="500" w:lineRule="exact"/>
        <w:jc w:val="center"/>
        <w:rPr>
          <w:rFonts w:hint="eastAsia"/>
        </w:rPr>
      </w:pPr>
      <w:r>
        <w:rPr>
          <w:rFonts w:hint="eastAsia"/>
        </w:rPr>
        <w:t>绍兴市公安局上虞区分局</w:t>
      </w:r>
    </w:p>
    <w:p>
      <w:pPr>
        <w:pStyle w:val="35"/>
        <w:shd w:val="clear" w:color="auto" w:fill="FFFFFF"/>
        <w:spacing w:before="0" w:beforeAutospacing="0" w:after="0" w:afterAutospacing="0" w:line="500" w:lineRule="exact"/>
        <w:jc w:val="center"/>
        <w:rPr>
          <w:rFonts w:hint="eastAsia"/>
        </w:rPr>
      </w:pPr>
      <w:r>
        <w:rPr>
          <w:rFonts w:hint="eastAsia"/>
        </w:rPr>
        <w:t>绍兴虞宸招标代理有限公司</w:t>
      </w:r>
    </w:p>
    <w:p>
      <w:pPr>
        <w:pStyle w:val="35"/>
        <w:shd w:val="clear" w:color="auto" w:fill="FFFFFF"/>
        <w:spacing w:before="0" w:beforeAutospacing="0" w:after="0" w:afterAutospacing="0" w:line="500" w:lineRule="exact"/>
        <w:jc w:val="center"/>
        <w:rPr>
          <w:rFonts w:hint="eastAsia"/>
        </w:rPr>
      </w:pPr>
      <w:r>
        <w:rPr>
          <w:rFonts w:hint="eastAsia"/>
        </w:rPr>
        <w:t>2023年2月21日</w:t>
      </w: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pStyle w:val="35"/>
        <w:shd w:val="clear" w:color="auto" w:fill="FFFFFF"/>
        <w:spacing w:before="0" w:beforeAutospacing="0" w:after="0" w:afterAutospacing="0" w:line="500" w:lineRule="exact"/>
        <w:jc w:val="center"/>
        <w:rPr>
          <w:rFonts w:hint="eastAsia"/>
        </w:rPr>
      </w:pPr>
    </w:p>
    <w:p>
      <w:pPr>
        <w:rPr>
          <w:rFonts w:hint="eastAsia" w:ascii="宋体" w:hAnsi="宋体" w:cs="宋体"/>
          <w:kern w:val="0"/>
          <w:sz w:val="24"/>
        </w:rPr>
      </w:pPr>
    </w:p>
    <w:p>
      <w:pPr>
        <w:widowControl/>
        <w:rPr>
          <w:rFonts w:hint="eastAsia" w:ascii="宋体" w:hAnsi="宋体" w:cs="宋体"/>
          <w:b/>
          <w:bCs/>
          <w:kern w:val="0"/>
          <w:sz w:val="36"/>
          <w:szCs w:val="36"/>
        </w:rPr>
      </w:pPr>
      <w:r>
        <w:rPr>
          <w:rFonts w:hint="eastAsia" w:ascii="宋体" w:hAnsi="宋体" w:cs="宋体"/>
          <w:b/>
          <w:bCs/>
          <w:kern w:val="0"/>
          <w:sz w:val="32"/>
          <w:szCs w:val="32"/>
        </w:rPr>
        <w:t xml:space="preserve">附件 ：      </w:t>
      </w:r>
      <w:r>
        <w:rPr>
          <w:rFonts w:hint="eastAsia" w:ascii="宋体" w:hAnsi="宋体" w:cs="宋体"/>
          <w:b/>
          <w:bCs/>
          <w:kern w:val="0"/>
          <w:sz w:val="36"/>
          <w:szCs w:val="36"/>
        </w:rPr>
        <w:t>招标采购内容与技术规格书</w:t>
      </w:r>
      <w:bookmarkStart w:id="0" w:name="_Toc529960684"/>
      <w:bookmarkStart w:id="1" w:name="_Toc436041100"/>
    </w:p>
    <w:p>
      <w:pPr>
        <w:spacing w:line="360" w:lineRule="auto"/>
        <w:jc w:val="center"/>
        <w:outlineLvl w:val="0"/>
        <w:rPr>
          <w:rFonts w:hint="eastAsia" w:ascii="宋体" w:hAnsi="宋体" w:cs="宋体"/>
          <w:b/>
          <w:kern w:val="0"/>
          <w:sz w:val="28"/>
          <w:szCs w:val="28"/>
        </w:rPr>
      </w:pPr>
      <w:bookmarkStart w:id="2" w:name="_Toc121294583"/>
      <w:r>
        <w:rPr>
          <w:rFonts w:ascii="宋体" w:hAnsi="宋体" w:cs="宋体"/>
          <w:b/>
          <w:kern w:val="0"/>
          <w:sz w:val="28"/>
          <w:szCs w:val="28"/>
        </w:rPr>
        <w:t>第一章</w:t>
      </w:r>
      <w:r>
        <w:rPr>
          <w:rFonts w:hint="eastAsia" w:ascii="宋体" w:hAnsi="宋体" w:cs="宋体"/>
          <w:b/>
          <w:kern w:val="0"/>
          <w:sz w:val="28"/>
          <w:szCs w:val="28"/>
        </w:rPr>
        <w:t xml:space="preserve"> 技术规范及要求</w:t>
      </w:r>
      <w:bookmarkEnd w:id="2"/>
    </w:p>
    <w:p>
      <w:pPr>
        <w:spacing w:line="312" w:lineRule="auto"/>
        <w:ind w:firstLine="482" w:firstLineChars="200"/>
        <w:rPr>
          <w:rFonts w:ascii="宋体" w:hAnsi="宋体" w:cs="宋体"/>
          <w:b/>
          <w:kern w:val="0"/>
          <w:sz w:val="24"/>
          <w:szCs w:val="21"/>
        </w:rPr>
      </w:pPr>
      <w:r>
        <w:rPr>
          <w:rFonts w:hint="eastAsia" w:ascii="宋体" w:hAnsi="宋体" w:cs="宋体"/>
          <w:b/>
          <w:kern w:val="0"/>
          <w:sz w:val="24"/>
          <w:szCs w:val="21"/>
        </w:rPr>
        <w:t>1</w:t>
      </w:r>
      <w:r>
        <w:rPr>
          <w:rFonts w:ascii="宋体" w:hAnsi="宋体" w:cs="宋体"/>
          <w:b/>
          <w:kern w:val="0"/>
          <w:sz w:val="24"/>
          <w:szCs w:val="21"/>
        </w:rPr>
        <w:t xml:space="preserve">  总则</w:t>
      </w:r>
    </w:p>
    <w:p>
      <w:pPr>
        <w:autoSpaceDE w:val="0"/>
        <w:autoSpaceDN w:val="0"/>
        <w:adjustRightInd w:val="0"/>
        <w:spacing w:line="312" w:lineRule="auto"/>
        <w:ind w:firstLine="480" w:firstLineChars="200"/>
        <w:jc w:val="left"/>
        <w:rPr>
          <w:rFonts w:ascii="宋体" w:hAnsi="宋体" w:cs="宋体"/>
          <w:kern w:val="0"/>
          <w:sz w:val="24"/>
          <w:szCs w:val="21"/>
        </w:rPr>
      </w:pPr>
      <w:r>
        <w:rPr>
          <w:rFonts w:hint="eastAsia" w:ascii="宋体" w:hAnsi="宋体" w:cs="宋体"/>
          <w:kern w:val="0"/>
          <w:sz w:val="24"/>
          <w:szCs w:val="68"/>
        </w:rPr>
        <w:t>1.1　</w:t>
      </w:r>
      <w:r>
        <w:rPr>
          <w:rFonts w:hint="eastAsia" w:ascii="宋体" w:hAnsi="宋体" w:cs="宋体"/>
          <w:kern w:val="0"/>
          <w:sz w:val="24"/>
          <w:szCs w:val="21"/>
        </w:rPr>
        <w:t>本章提出了货物的功能设计、结构、性能、安装和试验等方面的技术要求。</w:t>
      </w:r>
    </w:p>
    <w:p>
      <w:pPr>
        <w:autoSpaceDE w:val="0"/>
        <w:autoSpaceDN w:val="0"/>
        <w:adjustRightInd w:val="0"/>
        <w:spacing w:line="312" w:lineRule="auto"/>
        <w:ind w:firstLine="480" w:firstLineChars="200"/>
        <w:jc w:val="left"/>
        <w:rPr>
          <w:rFonts w:ascii="宋体" w:hAnsi="宋体" w:cs="宋体"/>
          <w:kern w:val="0"/>
          <w:sz w:val="24"/>
          <w:szCs w:val="21"/>
        </w:rPr>
      </w:pPr>
      <w:r>
        <w:rPr>
          <w:rFonts w:hint="eastAsia" w:ascii="宋体" w:hAnsi="宋体" w:cs="宋体"/>
          <w:kern w:val="0"/>
          <w:sz w:val="24"/>
          <w:szCs w:val="68"/>
        </w:rPr>
        <w:t>1.2　</w:t>
      </w:r>
      <w:r>
        <w:rPr>
          <w:rFonts w:hint="eastAsia" w:ascii="宋体" w:hAnsi="宋体" w:cs="宋体"/>
          <w:kern w:val="0"/>
          <w:sz w:val="24"/>
          <w:szCs w:val="21"/>
        </w:rPr>
        <w:t>中标人提供的货物必须符合国家及浙江省等有关安全、环保等强制性标准的要求（如锅炉与压力容器、高电压货物等）。</w:t>
      </w:r>
    </w:p>
    <w:p>
      <w:pPr>
        <w:autoSpaceDE w:val="0"/>
        <w:autoSpaceDN w:val="0"/>
        <w:adjustRightInd w:val="0"/>
        <w:spacing w:line="312" w:lineRule="auto"/>
        <w:ind w:firstLine="480" w:firstLineChars="200"/>
        <w:jc w:val="left"/>
        <w:rPr>
          <w:rFonts w:ascii="宋体" w:hAnsi="宋体" w:cs="宋体"/>
          <w:kern w:val="0"/>
          <w:sz w:val="24"/>
          <w:szCs w:val="21"/>
        </w:rPr>
      </w:pPr>
      <w:r>
        <w:rPr>
          <w:rFonts w:hint="eastAsia" w:ascii="宋体" w:hAnsi="宋体" w:cs="宋体"/>
          <w:kern w:val="0"/>
          <w:sz w:val="24"/>
          <w:szCs w:val="68"/>
        </w:rPr>
        <w:t>1.3　</w:t>
      </w:r>
      <w:r>
        <w:rPr>
          <w:rFonts w:hint="eastAsia" w:ascii="宋体" w:hAnsi="宋体" w:cs="宋体"/>
          <w:kern w:val="0"/>
          <w:sz w:val="24"/>
          <w:szCs w:val="21"/>
        </w:rPr>
        <w:t>采购人在本章中还可提出本次采购的技术要求。</w:t>
      </w:r>
    </w:p>
    <w:p>
      <w:pPr>
        <w:autoSpaceDE w:val="0"/>
        <w:autoSpaceDN w:val="0"/>
        <w:adjustRightInd w:val="0"/>
        <w:spacing w:line="312" w:lineRule="auto"/>
        <w:ind w:firstLine="480" w:firstLineChars="200"/>
        <w:jc w:val="left"/>
        <w:rPr>
          <w:rFonts w:ascii="宋体" w:hAnsi="宋体" w:cs="宋体"/>
          <w:kern w:val="0"/>
          <w:sz w:val="24"/>
          <w:szCs w:val="68"/>
        </w:rPr>
      </w:pPr>
      <w:r>
        <w:rPr>
          <w:rFonts w:hint="eastAsia" w:ascii="宋体" w:hAnsi="宋体" w:cs="宋体"/>
          <w:kern w:val="0"/>
          <w:sz w:val="24"/>
          <w:szCs w:val="68"/>
        </w:rPr>
        <w:t>1.4　</w:t>
      </w:r>
      <w:r>
        <w:rPr>
          <w:rFonts w:hint="eastAsia" w:ascii="宋体" w:hAnsi="宋体" w:cs="宋体"/>
          <w:kern w:val="0"/>
          <w:sz w:val="24"/>
          <w:szCs w:val="21"/>
        </w:rPr>
        <w:t>中标人应提供一套满足本规范书和所列标准要求的高质量产品及其相应服务。</w:t>
      </w:r>
    </w:p>
    <w:p>
      <w:pPr>
        <w:autoSpaceDE w:val="0"/>
        <w:autoSpaceDN w:val="0"/>
        <w:adjustRightInd w:val="0"/>
        <w:spacing w:line="312" w:lineRule="auto"/>
        <w:ind w:firstLine="480" w:firstLineChars="200"/>
        <w:jc w:val="left"/>
        <w:rPr>
          <w:rFonts w:ascii="宋体" w:hAnsi="宋体" w:cs="宋体"/>
          <w:kern w:val="0"/>
          <w:sz w:val="24"/>
          <w:szCs w:val="21"/>
        </w:rPr>
      </w:pPr>
      <w:r>
        <w:rPr>
          <w:rFonts w:hint="eastAsia" w:ascii="宋体" w:hAnsi="宋体" w:cs="宋体"/>
          <w:kern w:val="0"/>
          <w:sz w:val="24"/>
          <w:szCs w:val="68"/>
        </w:rPr>
        <w:t>1.5　</w:t>
      </w:r>
      <w:r>
        <w:rPr>
          <w:rFonts w:hint="eastAsia" w:ascii="宋体" w:hAnsi="宋体" w:cs="宋体"/>
          <w:kern w:val="0"/>
          <w:sz w:val="24"/>
          <w:szCs w:val="21"/>
        </w:rPr>
        <w:t>如未对本规范书提出偏差，将认为中标人提供的货物符合规范书和标准的要求。偏差（无论多少）都必须清楚地表示在投标文件中（要求填写附件六</w:t>
      </w:r>
      <w:r>
        <w:rPr>
          <w:rFonts w:hint="eastAsia" w:ascii="宋体" w:hAnsi="宋体" w:cs="宋体"/>
          <w:kern w:val="0"/>
          <w:sz w:val="24"/>
          <w:szCs w:val="68"/>
        </w:rPr>
        <w:t>：</w:t>
      </w:r>
      <w:r>
        <w:rPr>
          <w:rFonts w:hint="eastAsia" w:ascii="宋体" w:hAnsi="宋体" w:cs="宋体"/>
          <w:kern w:val="0"/>
          <w:sz w:val="24"/>
          <w:szCs w:val="21"/>
        </w:rPr>
        <w:t>《技术响应及建议表》）。</w:t>
      </w:r>
    </w:p>
    <w:p>
      <w:pPr>
        <w:autoSpaceDE w:val="0"/>
        <w:autoSpaceDN w:val="0"/>
        <w:adjustRightInd w:val="0"/>
        <w:spacing w:line="312" w:lineRule="auto"/>
        <w:ind w:firstLine="480" w:firstLineChars="200"/>
        <w:jc w:val="left"/>
        <w:rPr>
          <w:rFonts w:ascii="宋体" w:hAnsi="宋体" w:cs="宋体"/>
          <w:kern w:val="0"/>
          <w:sz w:val="24"/>
          <w:szCs w:val="21"/>
        </w:rPr>
      </w:pPr>
      <w:r>
        <w:rPr>
          <w:rFonts w:hint="eastAsia" w:ascii="宋体" w:hAnsi="宋体" w:cs="宋体"/>
          <w:kern w:val="0"/>
          <w:sz w:val="24"/>
          <w:szCs w:val="68"/>
        </w:rPr>
        <w:t>1.6　</w:t>
      </w:r>
      <w:r>
        <w:rPr>
          <w:rFonts w:hint="eastAsia" w:ascii="宋体" w:hAnsi="宋体" w:cs="宋体"/>
          <w:kern w:val="0"/>
          <w:sz w:val="24"/>
          <w:szCs w:val="21"/>
        </w:rPr>
        <w:t>中标人须执行本规范书所列标准。标准若有矛盾时，按较高标准执行。</w:t>
      </w:r>
    </w:p>
    <w:p>
      <w:pPr>
        <w:autoSpaceDE w:val="0"/>
        <w:autoSpaceDN w:val="0"/>
        <w:adjustRightInd w:val="0"/>
        <w:spacing w:line="312" w:lineRule="auto"/>
        <w:ind w:firstLine="480" w:firstLineChars="200"/>
        <w:jc w:val="left"/>
        <w:rPr>
          <w:rFonts w:ascii="宋体" w:hAnsi="宋体" w:cs="宋体"/>
          <w:kern w:val="0"/>
          <w:sz w:val="24"/>
          <w:szCs w:val="21"/>
        </w:rPr>
      </w:pPr>
      <w:r>
        <w:rPr>
          <w:rFonts w:hint="eastAsia" w:ascii="宋体" w:hAnsi="宋体" w:cs="宋体"/>
          <w:kern w:val="0"/>
          <w:sz w:val="24"/>
          <w:szCs w:val="68"/>
        </w:rPr>
        <w:t>1.7　</w:t>
      </w:r>
      <w:r>
        <w:rPr>
          <w:rFonts w:hint="eastAsia" w:ascii="宋体" w:hAnsi="宋体" w:cs="宋体"/>
          <w:kern w:val="0"/>
          <w:sz w:val="24"/>
          <w:szCs w:val="21"/>
        </w:rPr>
        <w:t>按本章要求，中标人需提出合同货物的设计、制造、检验</w:t>
      </w:r>
      <w:r>
        <w:rPr>
          <w:rFonts w:hint="eastAsia" w:ascii="宋体" w:hAnsi="宋体" w:cs="宋体"/>
          <w:kern w:val="0"/>
          <w:sz w:val="24"/>
          <w:szCs w:val="68"/>
        </w:rPr>
        <w:t>和</w:t>
      </w:r>
      <w:r>
        <w:rPr>
          <w:rFonts w:hint="eastAsia" w:ascii="宋体" w:hAnsi="宋体" w:cs="宋体"/>
          <w:kern w:val="0"/>
          <w:sz w:val="24"/>
          <w:szCs w:val="21"/>
        </w:rPr>
        <w:t>试验、装配、安装、调试、试运、验收、试验、运行和维护等标准清单，并获得采购人确认。具体的时间要求为：合同签订后</w:t>
      </w:r>
      <w:r>
        <w:rPr>
          <w:rFonts w:hint="eastAsia" w:ascii="宋体" w:hAnsi="宋体" w:cs="宋体"/>
          <w:kern w:val="0"/>
          <w:sz w:val="24"/>
          <w:szCs w:val="21"/>
          <w:u w:val="single"/>
        </w:rPr>
        <w:t>　60　</w:t>
      </w:r>
      <w:r>
        <w:rPr>
          <w:rFonts w:hint="eastAsia" w:ascii="宋体" w:hAnsi="宋体" w:cs="宋体"/>
          <w:kern w:val="0"/>
          <w:sz w:val="24"/>
          <w:szCs w:val="21"/>
        </w:rPr>
        <w:t>天内。</w:t>
      </w:r>
    </w:p>
    <w:p>
      <w:pPr>
        <w:spacing w:line="312" w:lineRule="auto"/>
        <w:ind w:firstLine="482" w:firstLineChars="200"/>
        <w:rPr>
          <w:rFonts w:hint="eastAsia" w:ascii="宋体" w:hAnsi="宋体" w:cs="宋体"/>
          <w:b/>
          <w:kern w:val="0"/>
          <w:sz w:val="24"/>
          <w:szCs w:val="21"/>
        </w:rPr>
      </w:pPr>
      <w:r>
        <w:rPr>
          <w:rFonts w:hint="eastAsia" w:ascii="宋体" w:hAnsi="宋体" w:cs="宋体"/>
          <w:b/>
          <w:kern w:val="0"/>
          <w:sz w:val="24"/>
          <w:szCs w:val="21"/>
        </w:rPr>
        <w:t>2　项目概况</w:t>
      </w:r>
      <w:bookmarkStart w:id="3" w:name="_Toc533772441"/>
      <w:bookmarkStart w:id="4" w:name="_Toc492909722"/>
    </w:p>
    <w:p>
      <w:pPr>
        <w:autoSpaceDE w:val="0"/>
        <w:autoSpaceDN w:val="0"/>
        <w:adjustRightInd w:val="0"/>
        <w:spacing w:line="312" w:lineRule="auto"/>
        <w:ind w:firstLine="480" w:firstLineChars="200"/>
        <w:jc w:val="left"/>
        <w:rPr>
          <w:rFonts w:ascii="宋体" w:hAnsi="宋体" w:cs="宋体"/>
          <w:kern w:val="0"/>
          <w:sz w:val="24"/>
          <w:szCs w:val="21"/>
        </w:rPr>
      </w:pPr>
      <w:r>
        <w:rPr>
          <w:rFonts w:hint="eastAsia" w:ascii="宋体" w:hAnsi="宋体" w:cs="宋体"/>
          <w:kern w:val="0"/>
          <w:sz w:val="24"/>
          <w:szCs w:val="21"/>
        </w:rPr>
        <w:t>2.1　建设需求</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为贯彻落实省公安厅智慧**建设，扎实推进我局信息化实战**，充分发挥移动**在治安要素管控、信息核查、情报管控、移动指挥体系建设、信息采集等各项公安业务方面的作用，增强基层民警工作水平和实战能力，更好地打击犯罪、服务群众。根据《浙江省公安厅关于印发〈市、县两级公安机关“云上公安、智能防控“第一战略建设第一批任务清单〉的通知》（浙公办[2017]157号）中，关于执法执勤民警用于**活动的移动终端（**通）配备率达到100%的要求。现我局需采购民警移动**终端套餐740台。</w:t>
      </w:r>
    </w:p>
    <w:p>
      <w:pPr>
        <w:autoSpaceDE w:val="0"/>
        <w:autoSpaceDN w:val="0"/>
        <w:adjustRightInd w:val="0"/>
        <w:spacing w:line="312" w:lineRule="auto"/>
        <w:ind w:firstLine="480" w:firstLineChars="200"/>
        <w:jc w:val="left"/>
        <w:rPr>
          <w:rFonts w:hint="eastAsia" w:ascii="宋体" w:hAnsi="宋体" w:cs="宋体"/>
          <w:kern w:val="0"/>
          <w:sz w:val="24"/>
          <w:szCs w:val="21"/>
        </w:rPr>
      </w:pPr>
      <w:r>
        <w:rPr>
          <w:rFonts w:hint="eastAsia" w:ascii="宋体" w:hAnsi="宋体" w:cs="宋体"/>
          <w:kern w:val="0"/>
          <w:sz w:val="24"/>
          <w:szCs w:val="21"/>
        </w:rPr>
        <w:t>2.2  建设目的</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为适应公安工作的移动性、突发性、紧迫性等特点，公安移动**终端在公安机关和广大干警执行**工作中得到广泛应用，满足基层民警在基础信息采集、重点人员和单位管控、街面巡逻盘查、人员和车辆核查、任务指令接收等移动办公的需求，更好协助侦破案件、抓捕逃犯、核查车辆、打击和预防犯罪。因此，建立移动**系统是公安信息化建设的首要任务。</w:t>
      </w:r>
    </w:p>
    <w:p>
      <w:pPr>
        <w:spacing w:line="312" w:lineRule="auto"/>
        <w:ind w:firstLine="482" w:firstLineChars="200"/>
        <w:rPr>
          <w:rFonts w:hint="eastAsia" w:ascii="宋体" w:hAnsi="宋体" w:cs="宋体"/>
          <w:b/>
          <w:kern w:val="0"/>
          <w:sz w:val="24"/>
          <w:szCs w:val="21"/>
        </w:rPr>
      </w:pPr>
      <w:r>
        <w:rPr>
          <w:rFonts w:hint="eastAsia" w:ascii="宋体" w:hAnsi="宋体" w:cs="宋体"/>
          <w:b/>
          <w:kern w:val="0"/>
          <w:sz w:val="24"/>
          <w:szCs w:val="21"/>
        </w:rPr>
        <w:t>2.3  移动**服务建设要求</w:t>
      </w:r>
    </w:p>
    <w:p>
      <w:pPr>
        <w:autoSpaceDE w:val="0"/>
        <w:autoSpaceDN w:val="0"/>
        <w:adjustRightInd w:val="0"/>
        <w:spacing w:line="312" w:lineRule="auto"/>
        <w:ind w:firstLine="482" w:firstLineChars="200"/>
        <w:jc w:val="left"/>
        <w:rPr>
          <w:rFonts w:hint="eastAsia" w:ascii="宋体" w:hAnsi="宋体" w:cs="宋体"/>
          <w:b/>
          <w:bCs/>
          <w:color w:val="FF0000"/>
          <w:kern w:val="0"/>
          <w:sz w:val="24"/>
          <w:shd w:val="clear" w:color="auto" w:fill="C9E7FF"/>
        </w:rPr>
      </w:pPr>
      <w:r>
        <w:rPr>
          <w:rFonts w:hint="eastAsia" w:ascii="宋体" w:hAnsi="宋体" w:cs="宋体"/>
          <w:b/>
          <w:bCs/>
          <w:color w:val="FF0000"/>
          <w:kern w:val="0"/>
          <w:sz w:val="24"/>
          <w:shd w:val="clear" w:color="auto" w:fill="C9E7FF"/>
        </w:rPr>
        <w:t>移动应用管理平台已由浙江省公安厅建设完成，我局新采购移动**只</w:t>
      </w:r>
    </w:p>
    <w:p>
      <w:pPr>
        <w:autoSpaceDE w:val="0"/>
        <w:autoSpaceDN w:val="0"/>
        <w:adjustRightInd w:val="0"/>
        <w:spacing w:line="312" w:lineRule="auto"/>
        <w:jc w:val="left"/>
        <w:rPr>
          <w:rFonts w:hint="eastAsia" w:ascii="宋体" w:hAnsi="宋体" w:cs="宋体"/>
          <w:b/>
          <w:bCs/>
          <w:color w:val="FF0000"/>
          <w:kern w:val="0"/>
          <w:sz w:val="24"/>
        </w:rPr>
      </w:pPr>
      <w:r>
        <w:rPr>
          <w:rFonts w:hint="eastAsia" w:ascii="宋体" w:hAnsi="宋体" w:cs="宋体"/>
          <w:b/>
          <w:bCs/>
          <w:color w:val="FF0000"/>
          <w:kern w:val="0"/>
          <w:sz w:val="24"/>
          <w:shd w:val="clear" w:color="auto" w:fill="C9E7FF"/>
        </w:rPr>
        <w:t>需要完成接入平台即可使用，不涉及软件及平台建设。</w:t>
      </w:r>
    </w:p>
    <w:p>
      <w:pPr>
        <w:autoSpaceDE w:val="0"/>
        <w:autoSpaceDN w:val="0"/>
        <w:adjustRightInd w:val="0"/>
        <w:spacing w:line="312" w:lineRule="auto"/>
        <w:ind w:firstLine="480" w:firstLineChars="200"/>
        <w:jc w:val="left"/>
        <w:rPr>
          <w:rFonts w:hint="eastAsia" w:ascii="宋体" w:hAnsi="宋体" w:cs="宋体"/>
          <w:kern w:val="0"/>
          <w:sz w:val="24"/>
          <w:szCs w:val="21"/>
        </w:rPr>
      </w:pPr>
      <w:r>
        <w:rPr>
          <w:rFonts w:hint="eastAsia" w:ascii="宋体" w:hAnsi="宋体" w:cs="宋体"/>
          <w:kern w:val="0"/>
          <w:sz w:val="24"/>
          <w:szCs w:val="21"/>
        </w:rPr>
        <w:t>2.3.1  移动应用管理平台介绍</w:t>
      </w:r>
    </w:p>
    <w:p>
      <w:pPr>
        <w:autoSpaceDE w:val="0"/>
        <w:autoSpaceDN w:val="0"/>
        <w:adjustRightInd w:val="0"/>
        <w:spacing w:line="312" w:lineRule="auto"/>
        <w:ind w:firstLine="480" w:firstLineChars="200"/>
        <w:jc w:val="left"/>
        <w:rPr>
          <w:rFonts w:hint="eastAsia" w:ascii="宋体" w:hAnsi="宋体" w:cs="宋体"/>
          <w:kern w:val="0"/>
          <w:sz w:val="24"/>
          <w:szCs w:val="21"/>
        </w:rPr>
      </w:pPr>
      <w:r>
        <w:rPr>
          <w:rFonts w:hint="eastAsia" w:ascii="宋体" w:hAnsi="宋体" w:cs="宋体"/>
          <w:kern w:val="0"/>
          <w:sz w:val="24"/>
          <w:szCs w:val="21"/>
        </w:rPr>
        <w:t>具有完备的终端安全管控体系服务，安全管控服务客户端内置于终端，支持安全工作系统移动设备，在一台终端上将普通工作系统和安全工作系统分开进行管理，实现对终端的终端管理、用户管理、统计查询、接入管控、应用管理、安全工作系统管理、移动**应用仓库等功能，所有终端经过终端安全管控服务平台认证后才能进入**平台业务系统。</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集中部署分级管理</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管理平台采用集中部署和分级管理的模式，可以满足集中管理，分级权限设置等多种需求。对于各级管理员，只能查看并管理自己权限范围内设备，上级管理员可对下级所辖设备进行统一管理。</w:t>
      </w:r>
    </w:p>
    <w:p>
      <w:pPr>
        <w:spacing w:line="400" w:lineRule="exact"/>
        <w:ind w:firstLine="480" w:firstLineChars="200"/>
        <w:rPr>
          <w:rFonts w:hint="eastAsia" w:ascii="宋体" w:hAnsi="宋体" w:cs="宋体"/>
          <w:kern w:val="0"/>
          <w:sz w:val="24"/>
          <w:szCs w:val="21"/>
        </w:rPr>
      </w:pPr>
    </w:p>
    <w:p>
      <w:pPr>
        <w:keepNext/>
        <w:spacing w:line="216" w:lineRule="auto"/>
        <w:outlineLvl w:val="1"/>
        <w:rPr>
          <w:rFonts w:hint="eastAsia" w:ascii="宋体"/>
          <w:b/>
          <w:sz w:val="24"/>
          <w:szCs w:val="20"/>
        </w:rPr>
      </w:pPr>
      <w:r>
        <w:rPr>
          <w:rFonts w:ascii="宋体"/>
          <w:b/>
          <w:sz w:val="28"/>
          <w:szCs w:val="20"/>
        </w:rPr>
        <w:drawing>
          <wp:inline distT="0" distB="0" distL="114300" distR="114300">
            <wp:extent cx="5013960" cy="5139055"/>
            <wp:effectExtent l="0" t="0" r="15240" b="0"/>
            <wp:docPr id="2" name="图片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72"/>
                    <pic:cNvPicPr>
                      <a:picLocks noChangeAspect="1"/>
                    </pic:cNvPicPr>
                  </pic:nvPicPr>
                  <pic:blipFill>
                    <a:blip r:embed="rId7"/>
                    <a:stretch>
                      <a:fillRect/>
                    </a:stretch>
                  </pic:blipFill>
                  <pic:spPr>
                    <a:xfrm>
                      <a:off x="0" y="0"/>
                      <a:ext cx="5013960" cy="5139055"/>
                    </a:xfrm>
                    <a:prstGeom prst="rect">
                      <a:avLst/>
                    </a:prstGeom>
                    <a:noFill/>
                    <a:ln>
                      <a:noFill/>
                    </a:ln>
                  </pic:spPr>
                </pic:pic>
              </a:graphicData>
            </a:graphic>
          </wp:inline>
        </w:drawing>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支持纯内网部署模式：在纯内网环境，支持完整的Android设备管理功能</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数据库可根据企业要求采用企业内现有的系统</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移动设备通过企业内WiFi或者运营商的VPDN企业内网络</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移动设备管理平台由MDM服务器（执行服务器）和应用商店服务器（安装服务器）二部分构成。</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移动设备均不直接访问后台服务器，由DMZ接入区的接入服务器代理通过路由接入内网区域的管理。</w:t>
      </w:r>
    </w:p>
    <w:p>
      <w:pPr>
        <w:spacing w:line="400" w:lineRule="exact"/>
        <w:ind w:firstLine="480" w:firstLineChars="200"/>
        <w:rPr>
          <w:rFonts w:hint="eastAsia" w:ascii="宋体" w:hAnsi="宋体" w:cs="宋体"/>
          <w:kern w:val="0"/>
          <w:sz w:val="24"/>
          <w:szCs w:val="21"/>
        </w:rPr>
      </w:pP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设备全生命周期管理</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移动应用管理平台对从移动终端开始使用到设备退出使用的整个生命周期过程中进行管理，设备生命周期分为启用阶段、使用阶段和退出阶段三部分，在这三阶段的管理内容分别如下：</w:t>
      </w:r>
    </w:p>
    <w:p>
      <w:pPr>
        <w:keepNext/>
        <w:spacing w:line="216" w:lineRule="auto"/>
        <w:outlineLvl w:val="1"/>
        <w:rPr>
          <w:rFonts w:hint="eastAsia" w:ascii="宋体"/>
          <w:b/>
          <w:sz w:val="28"/>
          <w:szCs w:val="20"/>
        </w:rPr>
      </w:pPr>
      <w:r>
        <w:rPr>
          <w:rFonts w:ascii="宋体"/>
          <w:b/>
          <w:sz w:val="28"/>
          <w:szCs w:val="20"/>
        </w:rPr>
        <w:drawing>
          <wp:inline distT="0" distB="0" distL="114300" distR="114300">
            <wp:extent cx="5113655" cy="3572510"/>
            <wp:effectExtent l="0" t="0" r="0" b="0"/>
            <wp:docPr id="3"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5"/>
                    <pic:cNvPicPr>
                      <a:picLocks noChangeAspect="1"/>
                    </pic:cNvPicPr>
                  </pic:nvPicPr>
                  <pic:blipFill>
                    <a:blip r:embed="rId8"/>
                    <a:stretch>
                      <a:fillRect/>
                    </a:stretch>
                  </pic:blipFill>
                  <pic:spPr>
                    <a:xfrm>
                      <a:off x="0" y="0"/>
                      <a:ext cx="5113655" cy="3572510"/>
                    </a:xfrm>
                    <a:prstGeom prst="rect">
                      <a:avLst/>
                    </a:prstGeom>
                    <a:noFill/>
                    <a:ln>
                      <a:noFill/>
                    </a:ln>
                  </pic:spPr>
                </pic:pic>
              </a:graphicData>
            </a:graphic>
          </wp:inline>
        </w:drawing>
      </w:r>
    </w:p>
    <w:p>
      <w:pPr>
        <w:spacing w:line="400" w:lineRule="exact"/>
        <w:ind w:firstLine="480" w:firstLineChars="200"/>
        <w:rPr>
          <w:rFonts w:hint="eastAsia" w:ascii="宋体" w:hAnsi="宋体" w:cs="宋体"/>
          <w:kern w:val="0"/>
          <w:sz w:val="24"/>
          <w:szCs w:val="21"/>
        </w:rPr>
      </w:pP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启用阶段</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通过统一注册（包括批量注册和单设备注册）的方式把设备加入到系统。</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在注册时或注册后根据浙江省省公安厅内组织架构将移动设备分配给不同的部门或指定的员工。</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根据浙江省省公安厅管理技术规范，在设备进行注册时，下发IT管理策略：开机密码规则，无线网络配置，VPN的配置；在应用商店的配合下安装办公软件和应用软件。</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系统采用自带加密算法对终端安全工作空间数据进行加密。</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在设备进行注册时收集设备的硬件资产信息进行存档。</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使用阶段</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能够对设备硬件状态是否正常（监测设备有没有被置换）、哪个用户正在使用设备、设备是否越狱、是否有非法安装的应用进行检测，发现异常能够报警提示。报警方式为：系统内异常资产报表中显示。</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对已经指定的IT管理策略进行维护（包括：新增、更新、撤销）并及时更新到设备上。</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通过应用商店实现应用在设备上进行安装、升级、修改、卸载。</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可通过发送指令来对指定的设备进行锁屏、清除密码、擦除数据等操作。</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root的设备将禁止安装浙江省省公安厅管理局办公的软件、接入浙江省省公安厅管理局内的网络。</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移动设备管理系统的配置文件或客户端被删除后，将删除已安装的浙江省省公安厅内部软件及数据或禁止使用浙江省省公安厅办公软件。</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安装未经许可的应用后，一经发现，禁止用户使用浙江省省公安厅办公应用。</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根据不同的场景需要用户仅仅使用被允许的功能。</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禁止使用设备的数据接口（蓝牙、数据线、USB等外接存储）。</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提供对应用管理的黑/白名单方案，即哪些程序允许使用，哪些程序不允许使用。</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能够记录设备的使用日志（软件安装、下载次数、下载、安装成功情况等）。</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能够记录系统管理员的操作日志。</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终端策略可批量发送</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对不在线终端，可实现终端上线后自动发送相应策略。</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退出阶段</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当设备丢失或被盗，将擦除设备上的数据，对设备进行恢复到出厂设置。</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当设备使用者离职，将擦除设备上的数据，对设备进行恢复到出厂设置，供其他人员继续使用。</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当设备寿命到期，将擦除设备上的数据，对设备进行恢复到出厂设置后，交由相关部门处理。</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设备从本系统退出后，将无法使用应用商店的功能。</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设备退出时可自动删除配置、应用或数据。</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客户化定制服务</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针对采购方实际工作需求，管理平台可提供定制化服务，并通过开放的 API 与其他业务系统整合，提高应用的安全性和可管理性：</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部署定制化：可根据采购方的需求提供规模部署；</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可定制管理平台界面：根据使用需求提供不同的界面风格；</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可定制管理功能和流程；</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可定制设备激活方式；</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可定制应用仓库。</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终端注册</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通过统一注册的方式把设备加入到系统，可采取自助注册或管理员配置注册,以身份证号作为用户管理的主键，设备激活成功后，终端需将获取到的终端IMEI号、MSI号等数据上报给管理平台，管理平台可根据用户组信息开展统计查询；未注册的设备禁止使用资源。</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管理员在后台工作界面进行批量导入人员信息操作。首先完成EXCEL表的数据录入，然后上传，完成人员导入。单用户添加需要在后台录入终端IMEI、SIM卡IMSI等信息，完成人员录入。</w:t>
      </w:r>
    </w:p>
    <w:p>
      <w:pPr>
        <w:rPr>
          <w:rFonts w:hint="eastAsia" w:ascii="宋体" w:hAnsi="宋体" w:cs="宋体"/>
          <w:kern w:val="0"/>
          <w:sz w:val="20"/>
          <w:szCs w:val="21"/>
        </w:rPr>
      </w:pPr>
      <w:r>
        <w:rPr>
          <w:rFonts w:ascii="宋体" w:hAnsi="宋体" w:cs="宋体"/>
          <w:kern w:val="0"/>
          <w:sz w:val="20"/>
          <w:szCs w:val="21"/>
        </w:rPr>
        <w:drawing>
          <wp:inline distT="0" distB="0" distL="114300" distR="114300">
            <wp:extent cx="5615940" cy="960755"/>
            <wp:effectExtent l="0" t="0" r="3810" b="10795"/>
            <wp:docPr id="4" name="图片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82"/>
                    <pic:cNvPicPr>
                      <a:picLocks noChangeAspect="1"/>
                    </pic:cNvPicPr>
                  </pic:nvPicPr>
                  <pic:blipFill>
                    <a:blip r:embed="rId9"/>
                    <a:stretch>
                      <a:fillRect/>
                    </a:stretch>
                  </pic:blipFill>
                  <pic:spPr>
                    <a:xfrm>
                      <a:off x="0" y="0"/>
                      <a:ext cx="5615940" cy="960755"/>
                    </a:xfrm>
                    <a:prstGeom prst="rect">
                      <a:avLst/>
                    </a:prstGeom>
                    <a:noFill/>
                    <a:ln>
                      <a:noFill/>
                    </a:ln>
                  </pic:spPr>
                </pic:pic>
              </a:graphicData>
            </a:graphic>
          </wp:inline>
        </w:drawing>
      </w:r>
    </w:p>
    <w:p>
      <w:pPr>
        <w:spacing w:line="400" w:lineRule="exact"/>
        <w:rPr>
          <w:rFonts w:hint="eastAsia" w:ascii="宋体" w:hAnsi="宋体" w:cs="宋体"/>
          <w:kern w:val="0"/>
          <w:sz w:val="24"/>
          <w:szCs w:val="21"/>
        </w:rPr>
      </w:pPr>
      <w:r>
        <w:rPr>
          <w:rFonts w:hint="eastAsia" w:ascii="宋体" w:hAnsi="宋体" w:cs="宋体"/>
          <w:kern w:val="0"/>
          <w:sz w:val="24"/>
          <w:szCs w:val="21"/>
        </w:rPr>
        <w:t>批量导入用户功能界面如下图所示：</w:t>
      </w:r>
    </w:p>
    <w:p>
      <w:pPr>
        <w:keepNext/>
        <w:spacing w:line="216" w:lineRule="auto"/>
        <w:outlineLvl w:val="1"/>
        <w:rPr>
          <w:rFonts w:ascii="宋体"/>
          <w:b/>
          <w:sz w:val="28"/>
          <w:szCs w:val="20"/>
        </w:rPr>
      </w:pPr>
      <w:r>
        <w:rPr>
          <w:rFonts w:ascii="宋体"/>
          <w:b/>
          <w:sz w:val="28"/>
          <w:szCs w:val="20"/>
        </w:rPr>
        <w:drawing>
          <wp:inline distT="0" distB="0" distL="114300" distR="114300">
            <wp:extent cx="5464175" cy="1186815"/>
            <wp:effectExtent l="0" t="0" r="3175" b="13335"/>
            <wp:docPr id="5"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84"/>
                    <pic:cNvPicPr>
                      <a:picLocks noChangeAspect="1"/>
                    </pic:cNvPicPr>
                  </pic:nvPicPr>
                  <pic:blipFill>
                    <a:blip r:embed="rId10"/>
                    <a:stretch>
                      <a:fillRect/>
                    </a:stretch>
                  </pic:blipFill>
                  <pic:spPr>
                    <a:xfrm>
                      <a:off x="0" y="0"/>
                      <a:ext cx="5464175" cy="1186815"/>
                    </a:xfrm>
                    <a:prstGeom prst="rect">
                      <a:avLst/>
                    </a:prstGeom>
                    <a:noFill/>
                    <a:ln>
                      <a:noFill/>
                    </a:ln>
                  </pic:spPr>
                </pic:pic>
              </a:graphicData>
            </a:graphic>
          </wp:inline>
        </w:drawing>
      </w:r>
    </w:p>
    <w:p>
      <w:pPr>
        <w:keepNext/>
        <w:spacing w:line="216" w:lineRule="auto"/>
        <w:outlineLvl w:val="1"/>
        <w:rPr>
          <w:rFonts w:ascii="宋体"/>
          <w:b/>
          <w:sz w:val="28"/>
          <w:szCs w:val="20"/>
        </w:rPr>
      </w:pPr>
      <w:r>
        <w:rPr>
          <w:rFonts w:ascii="宋体"/>
          <w:b/>
          <w:sz w:val="28"/>
          <w:szCs w:val="20"/>
        </w:rPr>
        <w:drawing>
          <wp:inline distT="0" distB="0" distL="114300" distR="114300">
            <wp:extent cx="5615940" cy="1324610"/>
            <wp:effectExtent l="0" t="0" r="3810" b="8890"/>
            <wp:docPr id="6"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3"/>
                    <pic:cNvPicPr>
                      <a:picLocks noChangeAspect="1"/>
                    </pic:cNvPicPr>
                  </pic:nvPicPr>
                  <pic:blipFill>
                    <a:blip r:embed="rId11"/>
                    <a:stretch>
                      <a:fillRect/>
                    </a:stretch>
                  </pic:blipFill>
                  <pic:spPr>
                    <a:xfrm>
                      <a:off x="0" y="0"/>
                      <a:ext cx="5615940" cy="1324610"/>
                    </a:xfrm>
                    <a:prstGeom prst="rect">
                      <a:avLst/>
                    </a:prstGeom>
                    <a:noFill/>
                    <a:ln>
                      <a:noFill/>
                    </a:ln>
                  </pic:spPr>
                </pic:pic>
              </a:graphicData>
            </a:graphic>
          </wp:inline>
        </w:drawing>
      </w:r>
    </w:p>
    <w:p>
      <w:pPr>
        <w:keepNext/>
        <w:spacing w:line="216" w:lineRule="auto"/>
        <w:outlineLvl w:val="1"/>
        <w:rPr>
          <w:rFonts w:hint="eastAsia" w:ascii="宋体"/>
          <w:b/>
          <w:sz w:val="24"/>
          <w:szCs w:val="20"/>
        </w:rPr>
      </w:pPr>
      <w:r>
        <w:rPr>
          <w:rFonts w:hint="eastAsia" w:ascii="宋体"/>
          <w:b/>
          <w:sz w:val="24"/>
          <w:szCs w:val="20"/>
        </w:rPr>
        <w:t>单用户添加功能界面如下图所示：</w:t>
      </w:r>
    </w:p>
    <w:p>
      <w:pPr>
        <w:keepNext/>
        <w:spacing w:line="216" w:lineRule="auto"/>
        <w:outlineLvl w:val="1"/>
        <w:rPr>
          <w:rFonts w:hint="eastAsia" w:ascii="宋体"/>
          <w:b/>
          <w:sz w:val="28"/>
          <w:szCs w:val="20"/>
        </w:rPr>
      </w:pPr>
      <w:r>
        <w:rPr>
          <w:rFonts w:ascii="宋体"/>
          <w:b/>
          <w:sz w:val="28"/>
          <w:szCs w:val="20"/>
        </w:rPr>
        <w:drawing>
          <wp:inline distT="0" distB="0" distL="114300" distR="114300">
            <wp:extent cx="3352800" cy="2785745"/>
            <wp:effectExtent l="137160" t="137160" r="148590" b="144145"/>
            <wp:docPr id="14" name="图片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8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3986674" cy="3312308"/>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pic:spPr>
                </pic:pic>
              </a:graphicData>
            </a:graphic>
          </wp:inline>
        </w:drawing>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终端激活</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终端插入SIM卡后开机，出线注册界面。终端通过扫描注册二维码，安全管控服务平台审核终端注册信息，并验证后台导入相关的用户信息、SIM卡(IMSI)等验证后，进行关联绑定，激活设备，启用设备。如果验证失败，则终端无法接入工作模式或强制密码锁定终端。</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三卡绑定</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平台根据注册终端当前使用的SIM卡自动进行SIM卡、终端、加密号之间的三卡绑定。在每次终端启动时检查设定终端IMEI号、加密号、SIM卡号与服务器的绑定情况，一旦发现不一致，则禁止终端接入安全域管理平台或设定强制密码锁定终端，并发送相关信息给管理平台，从而防止终端的违规使用导致信息泄露的情况。</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如终端更换SIM卡后触发终端锁定，平台监控信息如下：</w:t>
      </w:r>
    </w:p>
    <w:p>
      <w:pPr>
        <w:rPr>
          <w:rFonts w:hint="eastAsia" w:ascii="宋体" w:hAnsi="宋体" w:cs="宋体"/>
          <w:kern w:val="0"/>
          <w:sz w:val="24"/>
          <w:szCs w:val="21"/>
        </w:rPr>
      </w:pPr>
      <w:r>
        <w:rPr>
          <w:rFonts w:hint="eastAsia" w:ascii="宋体" w:hAnsi="宋体" w:cs="宋体"/>
          <w:kern w:val="0"/>
          <w:sz w:val="24"/>
          <w:szCs w:val="21"/>
        </w:rPr>
        <w:drawing>
          <wp:inline distT="0" distB="0" distL="114300" distR="114300">
            <wp:extent cx="5242560" cy="1713865"/>
            <wp:effectExtent l="0" t="0" r="15240" b="635"/>
            <wp:docPr id="7" name="图片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94"/>
                    <pic:cNvPicPr>
                      <a:picLocks noChangeAspect="1"/>
                    </pic:cNvPicPr>
                  </pic:nvPicPr>
                  <pic:blipFill>
                    <a:blip r:embed="rId13"/>
                    <a:stretch>
                      <a:fillRect/>
                    </a:stretch>
                  </pic:blipFill>
                  <pic:spPr>
                    <a:xfrm>
                      <a:off x="0" y="0"/>
                      <a:ext cx="5242560" cy="1713865"/>
                    </a:xfrm>
                    <a:prstGeom prst="rect">
                      <a:avLst/>
                    </a:prstGeom>
                    <a:noFill/>
                    <a:ln>
                      <a:noFill/>
                    </a:ln>
                  </pic:spPr>
                </pic:pic>
              </a:graphicData>
            </a:graphic>
          </wp:inline>
        </w:drawing>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终端状态如下图所示：</w:t>
      </w:r>
    </w:p>
    <w:p>
      <w:pPr>
        <w:keepNext/>
        <w:spacing w:line="216" w:lineRule="auto"/>
        <w:outlineLvl w:val="1"/>
        <w:rPr>
          <w:rFonts w:hint="eastAsia" w:ascii="宋体"/>
          <w:b/>
          <w:sz w:val="28"/>
          <w:szCs w:val="20"/>
        </w:rPr>
      </w:pPr>
      <w:r>
        <w:rPr>
          <w:rFonts w:ascii="宋体"/>
          <w:b/>
          <w:sz w:val="28"/>
          <w:szCs w:val="20"/>
        </w:rPr>
        <w:drawing>
          <wp:inline distT="0" distB="0" distL="114300" distR="114300">
            <wp:extent cx="1974850" cy="3054985"/>
            <wp:effectExtent l="0" t="0" r="6350" b="12065"/>
            <wp:docPr id="8"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6"/>
                    <pic:cNvPicPr>
                      <a:picLocks noChangeAspect="1"/>
                    </pic:cNvPicPr>
                  </pic:nvPicPr>
                  <pic:blipFill>
                    <a:blip r:embed="rId14"/>
                    <a:stretch>
                      <a:fillRect/>
                    </a:stretch>
                  </pic:blipFill>
                  <pic:spPr>
                    <a:xfrm>
                      <a:off x="0" y="0"/>
                      <a:ext cx="1974850" cy="3054985"/>
                    </a:xfrm>
                    <a:prstGeom prst="rect">
                      <a:avLst/>
                    </a:prstGeom>
                    <a:noFill/>
                    <a:ln>
                      <a:noFill/>
                    </a:ln>
                  </pic:spPr>
                </pic:pic>
              </a:graphicData>
            </a:graphic>
          </wp:inline>
        </w:drawing>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终端解锁</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当终端丢失或者出现异常情况下，管理员可以通过管理平台远程锁定终端，锁定后的终端无法正常使用各项功能，包括拨打、接听电话，发送短信、使用App，当确定终端正常后可发送解锁命令给终端设备，激活启用终端设备。</w:t>
      </w:r>
    </w:p>
    <w:p>
      <w:pPr>
        <w:keepNext/>
        <w:spacing w:line="216" w:lineRule="auto"/>
        <w:outlineLvl w:val="1"/>
        <w:rPr>
          <w:rFonts w:hint="eastAsia" w:ascii="宋体"/>
          <w:b/>
          <w:sz w:val="28"/>
          <w:szCs w:val="20"/>
        </w:rPr>
      </w:pPr>
      <w:r>
        <w:rPr>
          <w:rFonts w:ascii="宋体"/>
          <w:b/>
          <w:sz w:val="28"/>
          <w:szCs w:val="20"/>
        </w:rPr>
        <w:drawing>
          <wp:inline distT="0" distB="0" distL="114300" distR="114300">
            <wp:extent cx="5161280" cy="1392555"/>
            <wp:effectExtent l="9525" t="9525" r="10795" b="26670"/>
            <wp:docPr id="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pic:cNvPicPr>
                      <a:picLocks noChangeAspect="1"/>
                    </pic:cNvPicPr>
                  </pic:nvPicPr>
                  <pic:blipFill>
                    <a:blip r:embed="rId15"/>
                    <a:stretch>
                      <a:fillRect/>
                    </a:stretch>
                  </pic:blipFill>
                  <pic:spPr>
                    <a:xfrm>
                      <a:off x="0" y="0"/>
                      <a:ext cx="5161280" cy="1392555"/>
                    </a:xfrm>
                    <a:prstGeom prst="rect">
                      <a:avLst/>
                    </a:prstGeom>
                    <a:noFill/>
                    <a:ln w="9525" cap="flat" cmpd="sng">
                      <a:solidFill>
                        <a:srgbClr val="000000"/>
                      </a:solidFill>
                      <a:prstDash val="solid"/>
                      <a:round/>
                      <a:headEnd type="none" w="med" len="med"/>
                      <a:tailEnd type="none" w="med" len="med"/>
                    </a:ln>
                  </pic:spPr>
                </pic:pic>
              </a:graphicData>
            </a:graphic>
          </wp:inline>
        </w:drawing>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终端挂失</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终端发生丢失时，后台支持远程擦除终端数据，并解除人员、终端、SIM卡绑定关系。如下图所示，当手机丢失后，可在后台将手机设置为丢失，进行恢复出厂设置，避免手机丢失导致数据泄漏。</w:t>
      </w:r>
    </w:p>
    <w:p>
      <w:pPr>
        <w:spacing w:line="400" w:lineRule="exact"/>
        <w:ind w:firstLine="402" w:firstLineChars="200"/>
        <w:rPr>
          <w:rFonts w:hint="eastAsia" w:ascii="宋体" w:hAnsi="宋体" w:cs="宋体"/>
          <w:b/>
          <w:bCs/>
          <w:kern w:val="0"/>
          <w:sz w:val="24"/>
          <w:szCs w:val="21"/>
        </w:rPr>
      </w:pPr>
      <w:r>
        <w:rPr>
          <w:rFonts w:ascii="宋体" w:hAnsi="宋体" w:cs="宋体"/>
          <w:b/>
          <w:bCs/>
          <w:kern w:val="0"/>
          <w:sz w:val="20"/>
          <w:szCs w:val="21"/>
        </w:rPr>
        <w:drawing>
          <wp:anchor distT="0" distB="0" distL="114300" distR="114300" simplePos="0" relativeHeight="251659264" behindDoc="1" locked="0" layoutInCell="1" allowOverlap="1">
            <wp:simplePos x="0" y="0"/>
            <wp:positionH relativeFrom="column">
              <wp:posOffset>-33655</wp:posOffset>
            </wp:positionH>
            <wp:positionV relativeFrom="paragraph">
              <wp:posOffset>246380</wp:posOffset>
            </wp:positionV>
            <wp:extent cx="5615940" cy="485775"/>
            <wp:effectExtent l="9525" t="9525" r="13335" b="19050"/>
            <wp:wrapTight wrapText="bothSides">
              <wp:wrapPolygon>
                <wp:start x="21592" y="-2"/>
                <wp:lineTo x="0" y="0"/>
                <wp:lineTo x="0" y="21600"/>
                <wp:lineTo x="21592" y="21602"/>
                <wp:lineTo x="8" y="21602"/>
                <wp:lineTo x="21600" y="21600"/>
                <wp:lineTo x="21600" y="0"/>
                <wp:lineTo x="8" y="-2"/>
                <wp:lineTo x="21592" y="-2"/>
              </wp:wrapPolygon>
            </wp:wrapTight>
            <wp:docPr id="1"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8"/>
                    <pic:cNvPicPr>
                      <a:picLocks noChangeAspect="1"/>
                    </pic:cNvPicPr>
                  </pic:nvPicPr>
                  <pic:blipFill>
                    <a:blip r:embed="rId16"/>
                    <a:stretch>
                      <a:fillRect/>
                    </a:stretch>
                  </pic:blipFill>
                  <pic:spPr>
                    <a:xfrm>
                      <a:off x="0" y="0"/>
                      <a:ext cx="5615940" cy="485775"/>
                    </a:xfrm>
                    <a:prstGeom prst="rect">
                      <a:avLst/>
                    </a:prstGeom>
                    <a:noFill/>
                    <a:ln w="3175" cap="flat" cmpd="sng">
                      <a:solidFill>
                        <a:srgbClr val="000000"/>
                      </a:solidFill>
                      <a:prstDash val="solid"/>
                      <a:round/>
                      <a:headEnd type="none" w="med" len="med"/>
                      <a:tailEnd type="none" w="med" len="med"/>
                    </a:ln>
                  </pic:spPr>
                </pic:pic>
              </a:graphicData>
            </a:graphic>
          </wp:anchor>
        </w:drawing>
      </w:r>
      <w:r>
        <w:rPr>
          <w:rFonts w:hint="eastAsia" w:ascii="宋体" w:hAnsi="宋体" w:cs="宋体"/>
          <w:b/>
          <w:bCs/>
          <w:kern w:val="0"/>
          <w:sz w:val="24"/>
          <w:szCs w:val="21"/>
        </w:rPr>
        <w:t>终端解绑</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平台可以解除不符合条件的终端以及有待注销淘汰的终端与平台的绑定关系。解绑后，终端不可接入管理平台，以及限制访问公安相关网络资源等。解绑手机可直接在平台上操作，注销后手机解除管理状态，清空管理指令，手机可以重复使用。</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终端资产查询</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可是根据关键字、终端品牌、单位查询终端资产信息。</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终端删除</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支持管理员对设备进行删除操作，删除不符合条件的终端。删除后，设备脱离后台管理。设备被删除后，其相关信息也会从系统中删除，包括：终端安全域、配置信息、应用和应用数据。</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设备功能管理</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管理设备功能，可以禁止/允许设备用户使用对应功能。禁用用户自行修改配置，控制蓝牙等接口，实现网络准入、互联网禁用、配置自动更新等功能，支持远程实现以下管理控制功能：</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控制WIFI开启/禁用，获取当前状态信息；</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控制蓝牙开启/禁用，获取当前状态信息；</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控制摄像头（录音、摄像、拍照）开启/禁用，支持用户根据应用APP的使用权限调用拍照及录音功能；</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控制I/O（USB）端口, 屏蔽开发模式和数据传输模式（双域手机）；</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控制终端实现加密码锁屏、解屏功能；</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获取手机应用软件安装信息；</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获取手机CPU、内存等使用信息；</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擦除手机终端安全工作域所有数据。</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违规终端处理</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针对丢失、root、私自安装、卸载软件等违规终端，管理人员可以通过管理平台对终端进行锁屏、关机、复位、GPS定位等操作。</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硬件资产管理</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管理设备的硬件资产信息，包括：设备唯一识别号、设备名称、电话号码、运营商、设备生产厂商、设备型号、序列号、设备电量、设备内存、存储容量、可用空间、CPU型号、WiFi MAC地址、蓝牙MAC地址等。</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软件资产管理</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管理平台可以查看终端上所有的软件资产信息，包括：系统版本信息，所安装的软件名称、大小、版本等信息。</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同时支持统计设备流量（APN和WiFi）、定位设备及地图显示。</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实时消息推送</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系统能通过管理端向指定设备实时推送消息，设备接收到消息后主动弹出通知，以提醒用户进行相应的操作，如安全警告、软件升级提醒等。消息推送支持全内网环境。根据客户需要，可支持定制消息的发送。</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远程协助</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员通过移动终端管控系统对安卓系统设备发起远程协助，用户终端会弹出请求，用户在接受协助请求后，管理员在管控PC上可以远程接管并操作该终端安全工作系统的界面，针对终端使用者的使用问题，提供远程协助，远程帮助终端使用者解决问题。如图所示终端远程协助功能（PC端接管终端界面展示，终端当前界面展示）。</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用户管理</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基于一体化平台提供的人员架构进行部署，当用户发生人事调动时，用户终端上的策略和应用都会自动做相应的调整，管理平台会自动推送人员当前部门相关应用和策略，并删除之前部门不相关应用和策略。</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用户信息添加</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支持文件导入，管理员可以通过指定格式的Excel文件文件形式导入用户，用户具体信息跟手动导入一样。</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手工添加用户</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管理员可以手动创建用户，手动输入方式创建用户效率较低，一般仅用于小规模添加用户的场景。手动添加时，需要填写终端号码、姓名、组织机构、职务等信息。</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用户信息查询</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用户信息可以通过终端号码、姓名、组织架构等三种不同纬度的信息来检索，所查看的人员信息包含姓名、联系方式、绑定的SIM卡信息、组织架构等信息。</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修改人员信息</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修改用户信息时，可根据用户信息查询到指定用户后，修改信息，包括组织架构、电子邮箱、职务、运营商等等信息都可根据实际情况修改。</w:t>
      </w:r>
    </w:p>
    <w:p>
      <w:pPr>
        <w:spacing w:line="400" w:lineRule="exact"/>
        <w:ind w:firstLine="482" w:firstLineChars="200"/>
        <w:rPr>
          <w:rFonts w:hint="eastAsia" w:ascii="宋体" w:hAnsi="宋体" w:cs="宋体"/>
          <w:kern w:val="0"/>
          <w:sz w:val="24"/>
          <w:szCs w:val="21"/>
        </w:rPr>
      </w:pPr>
      <w:r>
        <w:rPr>
          <w:rFonts w:hint="eastAsia" w:ascii="宋体" w:hAnsi="宋体" w:cs="宋体"/>
          <w:b/>
          <w:bCs/>
          <w:kern w:val="0"/>
          <w:sz w:val="24"/>
          <w:szCs w:val="21"/>
        </w:rPr>
        <w:t>部门组织机构</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支持组织部门的分级管理，可以对部门进行增、删、改、查、批量导入的操作。</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组织部门模块提供了编辑组织架构的功能，管理员在平台上可根据实际的组织情况新建、编辑、删除组织架构图。也可以批量导入。</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除了可根据组织机构的方式进行管理外，后台还可为根据管理要求创建不同的人员分组，通过分组进行策略管理。终端与用户是一一对应的，人员分组既是终端分组。管理员可根据实际情况设定组织架构，在组织架构中自由设定人员分组，管理员亦可通过批量导入方式建立组织架构。</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权限管理</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同时管理员自身亦可被分组，不同管理员管理不同的组织架构，实现分级分权管理。根据需要与统一认证授权系统进行集成，使用统一的用户认证、用户信息、组织机构信息。</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平台可创建多个管理员，分权分域管理，各类管理员角色分配清晰，职责明确。管理员权限模块分为两级，即超级管理员和组管理员。超级管理员拥有最高权限，可以对所有用户数据进行操作。各个组的管理员根据上层管理员分配的权限对属于本组的用户数据进行操作。该模块提供日志管理功能，记录所有管理员在系统上的操作。</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管理平台可以将管理员进行角色化区分，根据管理员的职能分配相应的功能权限：</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支持用户分组，可根据用户职能、区域、警种和部门等进行分组。</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支持设置省厅-二级管理员根据授权进行分级管理，省局管理员可以查看情况，各平级之间没有权限互相查看。</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在线用户数统计，实时显示当前在线用户数量统计信息；</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支持用户多组并存：用户可根据工作角色同时在多个组；</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支持用户动态分组：根据触发条件的变化，自动调整用户所在组</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支持通过用户关键字进行设备和应用统计，包括设备和应用的状态信息</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应用黑名单管理</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员通过MDM管控平台可以设置应用黑名单策略，实现对终端安全系统中应用的管理，设置在黑名单内的软件在禁止终端安全系统中运行，并能够卸载相关软件；下图是管理员添加黑白名单的应用包名库，可以手动添加或批量导入，支持增、删、改、查、导入操作。</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当应用黑白名单库丰富起来后，管理员下发应用黑名单策略时，可以直接选择库中的应用，生成策略后下发。如下图所示。</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应用白名单管理</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MDM管控平台支持应用白名单库，支持应用白名单的增、删、改、查、导入操作，管理员通过平台设置应用白名单策略，实现对终端应用的管理，终端上仅白名单应用可以下载安装并使用，禁止除白名单和预装软件外的软件安装运行。</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应用上传</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应用上传上传时需提供时应用相关信息，包括应用版本信息、应用名称、应用类型、应用介绍、应用图片信息。</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同时上传时，会对应用包进行自动化检验</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应用建设单位可自行上传其自行开发的各类应用APK（含界面、接口规范、应用范围等）到应用商店；</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安装控制</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员可通过平台端发送策略，实现对指定区域进行软件的强制安装和强制卸载。支持静默安装或者在终端自动弹出应用安装界面，提示用户安装；支持静默卸载或者自动弹出应用卸载界面，提示用户卸载；如不安装或者卸载，则无法正常开展其他业务；</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平台也可以控制终端安装应用功能的开启和关闭，当关闭安装功能后，终端上所有的软件安装包均无法安装（包括通过互联网下载、存放在SD卡上、通过蓝牙/红外传输、与电脑USB连接拷贝安装包），仅能通过管理平台进行静默安装。</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应用禁用</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管理员通过安全管控服务平台可分组、分条线按照角色禁止使用终端安全系统上的指定应用程序。</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应用更新</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终端定时检测新应用发布信息，提醒用户有新版本软件更新信息，支持手工开展批量更新。</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应用推送</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审核通过的软件，根据移动专网、公安网类环境对应的应用集中代理系统挂接相应接口后发布。终端用户登录应用仓库后可根据授权查看、安装相应应用。应用发布可针对不同分组、标签等进行灵活发布。如下图所示，应用仓库中添加的应用都根据手机、分组、组织结构、地区、职务等多条线进行发布。</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应用审批</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员根据开发规范审核应用的组别、用户范围、相关内容是否符合移动专网、公安网类环境及相关信息，包括：开发者信息、证书信息等等，满足规范的予以审核通过，不满足规范或者违规应用管理员可以发送审核不通过的原因给上传者；仅管理员审批通过的应用才能上架并下发。</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应用发布</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审核通过的软件，根据移动专网、公安网类环境对应的应用集中代理系统挂接相应接口后发布。终端用户登录应用仓库后可根据授权查看、安装相应应用。应用发布可针对不同分组、标签等进行灵活发布。</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应用安装</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安装方式包括：</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交互安装：应用程序在安装过程中有人机交互界面，并通过人机的交互才能完成安装过程。</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静默安装：安装时没有交互界面，后台推送静默下载完成后自动安装。</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同时，管理员可选择应用指定版本的推送策略（推送各个部门/分组的顺序、时间点，并指定版本启动的时间点和时间间隔）实现分时错峰下载、安装。</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卸载应用</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管理平台能够提供卸载指令来卸载通过应用仓库安装的应用。卸载应用支持静默卸载、非静默卸载。</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静默删除是指：在不需要设备用户介入的情况下，自动删除设备上的应用。</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非静默删除是指：删除应用时需要设备用户的介入才能完成。</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应用使用情况监控</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在应用发布后，后台可监控用户的应用下载和安装情况（未下载、已下载、未安装、已安装），非在线终端上线后立刻反馈；没有下载成功或安装成功的设备列表将会发送文件到相关部门/分组，并提醒用户手工下载或重新安装。</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分组统计</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应用安装后，可监测应用的使用情况并向后台服务器进行上报。能够支持按时间范围对用户所属地区、组织机构、使用者工作属性等多个维度进行统计，统计的时间范围可在后台进行设置，能够统计分析应用的访问量、使用时间、使用时段和地理位置等信息。</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提供了手机上网热力图，对工作和网络连接最频繁的设备筛选后进行管理，按照地图层次展开后，可单击某一台手机进行状态查看或者进入管理界面。地理围栏的表现如下图：</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安全管理</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修改密码</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管理平台可以对终端系统密码进行远程修改，支持对单台、多台终端修改系统锁屏密码。终端收到指令后会立即锁屏，只有输入修改后的密码方可登入。</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管理员通过MDM管控平台可以对终端系统密码进行远程清除，支持对单台、多台终端清除系统锁屏密码。终端收到指令后会立刻清除锁屏密码，无需输入密码即可登入</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远程锁机</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管理平台可以对终端进行远程锁定，锁定后无法正常使用终端的各项功能，包括拨打、接听电话，发送短信等。平台操作如下：</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当终端丢失或者出现异常情况下，管理员可以通过安全管控服务平台远程锁定安全工作系统，保证安全工作系统无法被访问，当确定终端正常后可远程取消锁定策略，对终端进行解锁。</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终端防控功能</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管理平台下发的应用/策略受系统保护，在不同的设备上可以实现防卸载、防停用、异常情况（例如客户端被破坏）下可删除的所有应用和数据；</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异常管理</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管理平台支持三种异常状态自动处理，可以根据需求进行擦除、停用以及发送管理策略等处理，并可发出相应的通知。三种异常状态包括：破解、超时未连结、空间不足。</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时间同步</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安全管控客户端可以限制手动修改“自动确定日期和时间”以及“自动确定时区”，通过禁止终端用户手工对安全系统下的终端时间进行调整设置，强制终端与服务器时间进行同步，确保相关应用数据准确性。如下图所示，在预装管控客户端后的系统中，时间修改按钮将禁止修改。</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策略管理</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管控平台的策略管理，首先需要建立模板。模板作为可复制的控制单元，可以很方便的在策略建立中编辑复制。可根据业务单位的需要以及业务警种的特殊性，对移动**终端设备进行部分功能的禁用：</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模板分为4类：限制模板、消息模板、网络黑名单、应用黑白名单。</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限制模板（蓝牙开关、摄像头开关、麦克风开关、GPS开关、定位、网络访问开关（WIFI开关、移动数据开关）、定位、锁机、擦除）</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消息模板可以自定义消息内容，批量发送</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新增时黑/白名单从维护库中获取，初始化包含所有数据，根据策略内容进行删减。</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模板增、删、改、查。</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已经被策略使用的模板不能修改、删除。</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模板建立好后，可以通过新建策略来选定哪些模板作为策略下发给终端。下发策略的过程如下：</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管理员通过安全管控服务平台可将终端管控策略信息按照部门、分组以及个人发送。</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管控策略支持创建、配置、修改、删除；</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终端管控策略支持批量发送和单人发送；</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对离线终端，可实现终端上线后自动发送相应策略。</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可制定终端本地策略，无论终端是否在线策略均可被调度生效。</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初始化设置</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通过预定义好的配置文件，在终端激活后，自动向设备下发配置信息，并可通过修改配置文件在线对已激活的设备进行配置信息修改，同时实现必要**应用的自动安装。</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时间围栏</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可配置时间围栏的管理，当终端到达设定的时间自动触发执行时间围栏配置的管理动作。</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地理围栏</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可配置地理围栏的管理，当终端到达设定的地理位置自动触发执行地理围栏配置的管理动作。</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离线管理</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当终端初始化以及在线状态下接收到MDM管控平台下发的管控指令和策略后，当设备断网或者拔卡后处于离线状态下，被预先设置的管控指令和管理策略仍然生效：执行系统锁屏、应用黑白名单管控、应用安装限制、限制热点分享、限制使用蓝牙、限制使用USB、限制使用GPS等管理。</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策略执行状态统计</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平台提供所有策略的执行统计数据，并以图标方式显示，方便管理员查看。</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当个策略点击查看后可查看到执行统计数据，包含执行结果、策略名称、下发人、下发时间等信息。</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系统监控</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通过管理系统可以实现对终端各个模式的终端数量统计，可以实现对ROOT、失联等异常状态的终端进行统计。在管理系统上可以通过仪表台来实时监控用户及终端数据信息，从仪表台可以查看已注册的终端数量，在线数量，已经被root的终端数量以及失联状态的终端数量等。同时根据每天的上线终端数量以及下发的指令数量，生成折线图标，清晰显示数据变化趋势，具体可查看的信息如下：</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 xml:space="preserve"> 已注册数：统计并展示当前管理范围内已注册终端数量。</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 xml:space="preserve"> 在线数：统计并展示当前管理范围内在线的终端数量。</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 xml:space="preserve"> 越狱数：统计并展示当前管理范围内被Root的终端数量。</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 xml:space="preserve"> 失联数：统计并展示当前管理范围内离线时间超过设置的失联时间的终端数量。</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 xml:space="preserve"> 日新增终端量统计图：以折线图形式展示一周内管理范围内每日新注册终端情况。</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 xml:space="preserve"> 日指令发送量折线图：以折线图形式展示一周内管理范围内管理员每日发送指令总数情况。</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 xml:space="preserve"> 终端失联监控：实时显示管理范围内的失联终端记录。</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可视化监控</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提供监控指挥中心实时展示终端情况和违规情况，以及人员热力分布图。</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统计报表</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统计报表是管理工作的重要手段，能加强工作规范化、制度化建设。移动应用管理平台提供统计报表功能服务，支持以下报表，所有报表能够根据管理员选择的内容不同，生成相应的图形化报表：</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设备报表</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设备报表统计所有已注册到管理平台的终端相关信息以及软硬件资产信息。</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注册相关信息：用户名，设备类型，设备状态，操作系统版本，所属区域，注册时间，激活时间，终端状态（已注册、注销等）；</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硬件信息：设备型号，运营商信息，存储信息，是否越狱，WiFi信息，设备限制状态；</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软件信息：设备上所有安装的软件名称，包名，版本等</w:t>
      </w:r>
    </w:p>
    <w:p>
      <w:pPr>
        <w:spacing w:line="400" w:lineRule="exact"/>
        <w:ind w:firstLine="482" w:firstLineChars="200"/>
        <w:rPr>
          <w:rFonts w:hint="eastAsia" w:ascii="宋体" w:hAnsi="宋体" w:cs="宋体"/>
          <w:kern w:val="0"/>
          <w:sz w:val="24"/>
          <w:szCs w:val="21"/>
        </w:rPr>
      </w:pPr>
      <w:r>
        <w:rPr>
          <w:rFonts w:hint="eastAsia" w:ascii="宋体" w:hAnsi="宋体" w:cs="宋体"/>
          <w:b/>
          <w:bCs/>
          <w:kern w:val="0"/>
          <w:sz w:val="24"/>
          <w:szCs w:val="21"/>
        </w:rPr>
        <w:t>应用报表</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移动终端管理平台管理员上传的所有应用相关报表，包括应用名称、包名、版本、下载量、安装量，可根据指定区域、时间针对每款软件的安装情况进行统计和查询</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管理员操作报表</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记录各级管理员的操作信息，并形成操作日志。包括管理员名称，管理员IP地址，服务器IP地址，操作时间，操作内容，操作结果等；</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用户报表</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记录并显示平台上的所有司法干职人员信息；</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策略执行报表</w:t>
      </w:r>
    </w:p>
    <w:p>
      <w:pPr>
        <w:spacing w:line="400" w:lineRule="exact"/>
        <w:ind w:firstLine="480" w:firstLineChars="200"/>
        <w:rPr>
          <w:rFonts w:hint="eastAsia" w:ascii="宋体" w:hAnsi="宋体" w:cs="宋体"/>
          <w:b/>
          <w:bCs/>
          <w:kern w:val="0"/>
          <w:sz w:val="24"/>
          <w:szCs w:val="21"/>
        </w:rPr>
      </w:pPr>
      <w:r>
        <w:rPr>
          <w:rFonts w:hint="eastAsia" w:ascii="宋体" w:hAnsi="宋体" w:cs="宋体"/>
          <w:kern w:val="0"/>
          <w:sz w:val="24"/>
          <w:szCs w:val="21"/>
        </w:rPr>
        <w:t>管理员下发的所有策略的执行情况报表，可以查看策略是否执行成功，对于未成功下发的策略可重新下发。</w:t>
      </w:r>
    </w:p>
    <w:p>
      <w:pPr>
        <w:spacing w:line="400" w:lineRule="exact"/>
        <w:ind w:firstLine="482" w:firstLineChars="200"/>
        <w:rPr>
          <w:rFonts w:hint="eastAsia" w:ascii="宋体" w:hAnsi="宋体" w:cs="宋体"/>
          <w:kern w:val="0"/>
          <w:sz w:val="24"/>
          <w:szCs w:val="21"/>
        </w:rPr>
      </w:pPr>
      <w:r>
        <w:rPr>
          <w:rFonts w:hint="eastAsia" w:ascii="宋体" w:hAnsi="宋体" w:cs="宋体"/>
          <w:b/>
          <w:bCs/>
          <w:kern w:val="0"/>
          <w:sz w:val="24"/>
          <w:szCs w:val="21"/>
        </w:rPr>
        <w:t>单点登录</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为了简化用户登录过程，实现**移动管理系统与**业务系统的账户统一，通过统一的用户管理系统，实现用户的统一管理，批量启用和禁用，移动终端管控系统能够提供第三方应用统一登录接口（提供本地身份证、用户名等身份认证接口服务），供第三方应用登录认证。在用户登录移动**门户后，可直接在门户中启动第三方应用，而不需要二次登录。</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信息服务接口</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移动终端管控系统提供相应的信息服务接口供第三方应用程序调用，第三方程序可根据需要调用监控终端获取的各类数据，开展各类业务应用。</w:t>
      </w:r>
    </w:p>
    <w:p>
      <w:pPr>
        <w:spacing w:line="400" w:lineRule="exact"/>
        <w:ind w:firstLine="482" w:firstLineChars="200"/>
        <w:rPr>
          <w:rFonts w:hint="eastAsia" w:ascii="宋体" w:hAnsi="宋体" w:cs="宋体"/>
          <w:b/>
          <w:bCs/>
          <w:kern w:val="0"/>
          <w:sz w:val="24"/>
          <w:szCs w:val="21"/>
        </w:rPr>
      </w:pPr>
      <w:r>
        <w:rPr>
          <w:rFonts w:hint="eastAsia" w:ascii="宋体" w:hAnsi="宋体" w:cs="宋体"/>
          <w:b/>
          <w:bCs/>
          <w:kern w:val="0"/>
          <w:sz w:val="24"/>
          <w:szCs w:val="21"/>
        </w:rPr>
        <w:t>安全监管平台接口</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根据政法体系以及公安相关的安全监管的要求，提供相应的信息接口，供统一安全监控平台建设时调用，提供的接口类型如下：</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管理类API：提供设备管理流程管理的接口，主要用于设备管理流程的定制</w:t>
      </w: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功能类API：提供设备管理功能的接口，主要用于在其他系统/应用中添加/整合设备管理的功能</w:t>
      </w:r>
    </w:p>
    <w:p>
      <w:pPr>
        <w:autoSpaceDE w:val="0"/>
        <w:autoSpaceDN w:val="0"/>
        <w:adjustRightInd w:val="0"/>
        <w:spacing w:line="312" w:lineRule="auto"/>
        <w:ind w:firstLine="480" w:firstLineChars="200"/>
        <w:jc w:val="left"/>
        <w:rPr>
          <w:rFonts w:hint="eastAsia" w:ascii="宋体" w:hAnsi="宋体" w:cs="宋体"/>
          <w:kern w:val="0"/>
          <w:sz w:val="24"/>
          <w:szCs w:val="21"/>
        </w:rPr>
      </w:pPr>
      <w:r>
        <w:rPr>
          <w:rFonts w:hint="eastAsia" w:ascii="宋体" w:hAnsi="宋体" w:cs="宋体"/>
          <w:kern w:val="0"/>
          <w:sz w:val="24"/>
          <w:szCs w:val="21"/>
        </w:rPr>
        <w:t>统计类API：提供设备管理行为的统计数据接口，主要用于其他系统对设备管理统计数据的复用</w:t>
      </w:r>
    </w:p>
    <w:p>
      <w:pPr>
        <w:autoSpaceDE w:val="0"/>
        <w:autoSpaceDN w:val="0"/>
        <w:adjustRightInd w:val="0"/>
        <w:spacing w:line="312" w:lineRule="auto"/>
        <w:ind w:firstLine="480" w:firstLineChars="200"/>
        <w:jc w:val="left"/>
        <w:rPr>
          <w:rFonts w:hint="eastAsia" w:ascii="宋体" w:hAnsi="宋体" w:cs="宋体"/>
          <w:kern w:val="0"/>
          <w:sz w:val="24"/>
          <w:szCs w:val="21"/>
        </w:rPr>
      </w:pPr>
      <w:r>
        <w:rPr>
          <w:rFonts w:hint="eastAsia" w:ascii="宋体" w:hAnsi="宋体" w:cs="宋体"/>
          <w:kern w:val="0"/>
          <w:sz w:val="24"/>
          <w:szCs w:val="21"/>
        </w:rPr>
        <w:t>2.3.2 **通专用加密</w:t>
      </w:r>
    </w:p>
    <w:p>
      <w:pPr>
        <w:spacing w:line="380" w:lineRule="exact"/>
        <w:ind w:firstLine="480" w:firstLineChars="200"/>
        <w:rPr>
          <w:rFonts w:hint="eastAsia" w:ascii="宋体" w:hAnsi="宋体" w:cs="宋体"/>
          <w:kern w:val="0"/>
          <w:sz w:val="24"/>
          <w:szCs w:val="21"/>
        </w:rPr>
      </w:pPr>
      <w:r>
        <w:rPr>
          <w:rFonts w:hint="eastAsia" w:ascii="宋体" w:hAnsi="宋体" w:cs="宋体"/>
          <w:kern w:val="0"/>
          <w:sz w:val="24"/>
          <w:szCs w:val="21"/>
        </w:rPr>
        <w:t>采用数学空间变换、知识拆分、协同密码运算等核心专利技术对密钥进行保护，确保密钥在生成、运算及存储等全过程不出现，达到硬件密码模块的密钥保护强度。满足国密二级要求（达到国密标准GM/T0028-2014《密码模块安全技术要求》第二级或以上的安全要求），符合《电子签名法》“可靠的电子签名”条件；</w:t>
      </w:r>
    </w:p>
    <w:p>
      <w:pPr>
        <w:spacing w:line="380" w:lineRule="exact"/>
        <w:ind w:firstLine="480" w:firstLineChars="200"/>
        <w:rPr>
          <w:rFonts w:hint="eastAsia" w:ascii="宋体" w:hAnsi="宋体" w:cs="宋体"/>
          <w:kern w:val="0"/>
          <w:sz w:val="24"/>
          <w:szCs w:val="21"/>
        </w:rPr>
      </w:pPr>
      <w:r>
        <w:rPr>
          <w:rFonts w:hint="eastAsia" w:ascii="宋体" w:hAnsi="宋体" w:cs="宋体"/>
          <w:kern w:val="0"/>
          <w:sz w:val="24"/>
          <w:szCs w:val="21"/>
        </w:rPr>
        <w:t>•</w:t>
      </w:r>
      <w:r>
        <w:rPr>
          <w:rFonts w:hint="eastAsia" w:ascii="宋体" w:hAnsi="宋体" w:cs="宋体"/>
          <w:kern w:val="0"/>
          <w:sz w:val="24"/>
          <w:szCs w:val="21"/>
        </w:rPr>
        <w:tab/>
      </w:r>
      <w:r>
        <w:rPr>
          <w:rFonts w:hint="eastAsia" w:ascii="宋体" w:hAnsi="宋体" w:cs="宋体"/>
          <w:kern w:val="0"/>
          <w:sz w:val="24"/>
          <w:szCs w:val="21"/>
        </w:rPr>
        <w:t>采用标准化对外接口提供服务，符合国密SKF接口标准。</w:t>
      </w:r>
    </w:p>
    <w:p>
      <w:pPr>
        <w:spacing w:line="380" w:lineRule="exact"/>
        <w:ind w:firstLine="480" w:firstLineChars="200"/>
        <w:rPr>
          <w:rFonts w:hint="eastAsia" w:ascii="宋体" w:hAnsi="宋体" w:cs="宋体"/>
          <w:kern w:val="0"/>
          <w:sz w:val="24"/>
          <w:szCs w:val="21"/>
        </w:rPr>
      </w:pPr>
      <w:r>
        <w:rPr>
          <w:rFonts w:hint="eastAsia" w:ascii="宋体" w:hAnsi="宋体" w:cs="宋体"/>
          <w:kern w:val="0"/>
          <w:sz w:val="24"/>
          <w:szCs w:val="21"/>
        </w:rPr>
        <w:t>•</w:t>
      </w:r>
      <w:r>
        <w:rPr>
          <w:rFonts w:hint="eastAsia" w:ascii="宋体" w:hAnsi="宋体" w:cs="宋体"/>
          <w:kern w:val="0"/>
          <w:sz w:val="24"/>
          <w:szCs w:val="21"/>
        </w:rPr>
        <w:tab/>
      </w:r>
      <w:r>
        <w:rPr>
          <w:rFonts w:hint="eastAsia" w:ascii="宋体" w:hAnsi="宋体" w:cs="宋体"/>
          <w:kern w:val="0"/>
          <w:sz w:val="24"/>
          <w:szCs w:val="21"/>
        </w:rPr>
        <w:t>产品全部采用中国自主密码算法：SM2/SM3/SM4，高强度、高效率、安全可靠。产品符合国家密码管理政策《商用密码管理条例》。</w:t>
      </w:r>
    </w:p>
    <w:p>
      <w:pPr>
        <w:spacing w:line="380" w:lineRule="exact"/>
        <w:ind w:firstLine="480" w:firstLineChars="200"/>
        <w:rPr>
          <w:rFonts w:hint="eastAsia" w:ascii="宋体" w:hAnsi="宋体" w:cs="宋体"/>
          <w:kern w:val="0"/>
          <w:sz w:val="24"/>
          <w:szCs w:val="21"/>
        </w:rPr>
      </w:pPr>
      <w:r>
        <w:rPr>
          <w:rFonts w:hint="eastAsia" w:ascii="宋体" w:hAnsi="宋体" w:cs="宋体"/>
          <w:kern w:val="0"/>
          <w:sz w:val="24"/>
          <w:szCs w:val="21"/>
        </w:rPr>
        <w:t>•</w:t>
      </w:r>
      <w:r>
        <w:rPr>
          <w:rFonts w:hint="eastAsia" w:ascii="宋体" w:hAnsi="宋体" w:cs="宋体"/>
          <w:kern w:val="0"/>
          <w:sz w:val="24"/>
          <w:szCs w:val="21"/>
        </w:rPr>
        <w:tab/>
      </w:r>
      <w:r>
        <w:rPr>
          <w:rFonts w:hint="eastAsia" w:ascii="宋体" w:hAnsi="宋体" w:cs="宋体"/>
          <w:kern w:val="0"/>
          <w:sz w:val="24"/>
          <w:szCs w:val="21"/>
        </w:rPr>
        <w:t>实现国密算法的签名、验签、加密、解密、杂凑等密码运算；</w:t>
      </w:r>
    </w:p>
    <w:p>
      <w:pPr>
        <w:spacing w:line="380" w:lineRule="exact"/>
        <w:ind w:firstLine="480" w:firstLineChars="200"/>
        <w:rPr>
          <w:rFonts w:hint="eastAsia" w:ascii="宋体" w:hAnsi="宋体" w:cs="宋体"/>
          <w:kern w:val="0"/>
          <w:sz w:val="24"/>
          <w:szCs w:val="21"/>
        </w:rPr>
      </w:pPr>
      <w:r>
        <w:rPr>
          <w:rFonts w:hint="eastAsia" w:ascii="宋体" w:hAnsi="宋体" w:cs="宋体"/>
          <w:kern w:val="0"/>
          <w:sz w:val="24"/>
          <w:szCs w:val="21"/>
        </w:rPr>
        <w:t>•</w:t>
      </w:r>
      <w:r>
        <w:rPr>
          <w:rFonts w:hint="eastAsia" w:ascii="宋体" w:hAnsi="宋体" w:cs="宋体"/>
          <w:kern w:val="0"/>
          <w:sz w:val="24"/>
          <w:szCs w:val="21"/>
        </w:rPr>
        <w:tab/>
      </w:r>
      <w:r>
        <w:rPr>
          <w:rFonts w:hint="eastAsia" w:ascii="宋体" w:hAnsi="宋体" w:cs="宋体"/>
          <w:kern w:val="0"/>
          <w:sz w:val="24"/>
          <w:szCs w:val="21"/>
        </w:rPr>
        <w:t>支持Android、iOS操作系统</w:t>
      </w:r>
    </w:p>
    <w:p>
      <w:pPr>
        <w:spacing w:line="380" w:lineRule="exact"/>
        <w:ind w:firstLine="480" w:firstLineChars="200"/>
        <w:rPr>
          <w:rFonts w:hint="eastAsia" w:ascii="宋体" w:hAnsi="宋体" w:cs="宋体"/>
          <w:kern w:val="0"/>
          <w:sz w:val="24"/>
          <w:szCs w:val="21"/>
        </w:rPr>
        <w:sectPr>
          <w:headerReference r:id="rId3" w:type="default"/>
          <w:footerReference r:id="rId4" w:type="default"/>
          <w:pgSz w:w="11906" w:h="16838"/>
          <w:pgMar w:top="1440" w:right="1797" w:bottom="1440" w:left="1797" w:header="851" w:footer="992" w:gutter="0"/>
          <w:cols w:space="720" w:num="1"/>
          <w:docGrid w:type="lines" w:linePitch="312" w:charSpace="0"/>
        </w:sectPr>
      </w:pPr>
      <w:r>
        <w:rPr>
          <w:rFonts w:hint="eastAsia" w:ascii="宋体" w:hAnsi="宋体" w:cs="宋体"/>
          <w:kern w:val="0"/>
          <w:sz w:val="24"/>
          <w:szCs w:val="21"/>
        </w:rPr>
        <w:t>•</w:t>
      </w:r>
      <w:r>
        <w:rPr>
          <w:rFonts w:hint="eastAsia" w:ascii="宋体" w:hAnsi="宋体" w:cs="宋体"/>
          <w:kern w:val="0"/>
          <w:sz w:val="24"/>
          <w:szCs w:val="21"/>
        </w:rPr>
        <w:tab/>
      </w:r>
      <w:r>
        <w:rPr>
          <w:rFonts w:hint="eastAsia" w:ascii="宋体" w:hAnsi="宋体" w:cs="宋体"/>
          <w:kern w:val="0"/>
          <w:sz w:val="24"/>
          <w:szCs w:val="21"/>
        </w:rPr>
        <w:t>终端侧没有硬件成本，部署使用成本相对较低，SDK集成方便，用户操作简单方便，不需要携带额外的硬件，用户体验好。</w:t>
      </w:r>
    </w:p>
    <w:p>
      <w:pPr>
        <w:keepNext/>
        <w:spacing w:line="216" w:lineRule="auto"/>
        <w:outlineLvl w:val="1"/>
        <w:rPr>
          <w:rFonts w:ascii="宋体" w:hAnsi="宋体" w:cs="宋体"/>
          <w:kern w:val="0"/>
          <w:sz w:val="24"/>
          <w:szCs w:val="21"/>
        </w:rPr>
      </w:pPr>
      <w:r>
        <w:rPr>
          <w:rFonts w:hint="eastAsia" w:ascii="宋体" w:hAnsi="宋体" w:cs="宋体"/>
          <w:kern w:val="0"/>
          <w:sz w:val="24"/>
          <w:szCs w:val="21"/>
        </w:rPr>
        <w:t>2.3.3  终端服务参数要求（各终端服务数量以实际采购数量统计为准）</w:t>
      </w:r>
    </w:p>
    <w:p>
      <w:pPr>
        <w:jc w:val="left"/>
        <w:rPr>
          <w:rFonts w:hint="eastAsia"/>
          <w:sz w:val="24"/>
          <w:szCs w:val="20"/>
        </w:rPr>
      </w:pPr>
    </w:p>
    <w:tbl>
      <w:tblPr>
        <w:tblStyle w:val="40"/>
        <w:tblW w:w="0" w:type="auto"/>
        <w:tblInd w:w="96" w:type="dxa"/>
        <w:tblLayout w:type="fixed"/>
        <w:tblCellMar>
          <w:top w:w="0" w:type="dxa"/>
          <w:left w:w="108" w:type="dxa"/>
          <w:bottom w:w="0" w:type="dxa"/>
          <w:right w:w="108" w:type="dxa"/>
        </w:tblCellMar>
      </w:tblPr>
      <w:tblGrid>
        <w:gridCol w:w="1406"/>
        <w:gridCol w:w="4418"/>
        <w:gridCol w:w="4111"/>
        <w:gridCol w:w="4111"/>
      </w:tblGrid>
      <w:tr>
        <w:tblPrEx>
          <w:tblCellMar>
            <w:top w:w="0" w:type="dxa"/>
            <w:left w:w="108" w:type="dxa"/>
            <w:bottom w:w="0" w:type="dxa"/>
            <w:right w:w="108" w:type="dxa"/>
          </w:tblCellMar>
        </w:tblPrEx>
        <w:trPr>
          <w:wBefore w:w="0" w:type="dxa"/>
          <w:wAfter w:w="0" w:type="dxa"/>
          <w:trHeight w:val="516" w:hRule="atLeast"/>
        </w:trPr>
        <w:tc>
          <w:tcPr>
            <w:tcW w:w="140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b/>
                <w:bCs/>
                <w:color w:val="000000"/>
                <w:kern w:val="0"/>
                <w:sz w:val="16"/>
                <w:szCs w:val="16"/>
              </w:rPr>
            </w:pPr>
            <w:r>
              <w:rPr>
                <w:rFonts w:hint="eastAsia" w:ascii="宋体" w:hAnsi="宋体" w:cs="宋体"/>
                <w:b/>
                <w:bCs/>
                <w:color w:val="000000"/>
                <w:kern w:val="0"/>
                <w:sz w:val="16"/>
                <w:szCs w:val="16"/>
                <w:lang w:bidi="ar"/>
              </w:rPr>
              <w:t>技术参数</w:t>
            </w:r>
          </w:p>
        </w:tc>
        <w:tc>
          <w:tcPr>
            <w:tcW w:w="441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hAnsi="宋体" w:cs="宋体"/>
                <w:b/>
                <w:bCs/>
                <w:color w:val="000000"/>
                <w:kern w:val="0"/>
                <w:sz w:val="16"/>
                <w:szCs w:val="16"/>
                <w:lang w:eastAsia="zh-Hans"/>
              </w:rPr>
            </w:pPr>
            <w:r>
              <w:rPr>
                <w:rFonts w:hint="eastAsia" w:ascii="宋体" w:hAnsi="宋体" w:cs="宋体"/>
                <w:b/>
                <w:bCs/>
                <w:color w:val="000000"/>
                <w:kern w:val="0"/>
                <w:sz w:val="16"/>
                <w:szCs w:val="16"/>
                <w:lang w:bidi="ar"/>
              </w:rPr>
              <w:t>终端服务三</w:t>
            </w:r>
            <w:r>
              <w:rPr>
                <w:rFonts w:hint="eastAsia" w:ascii="宋体" w:hAnsi="宋体" w:cs="宋体"/>
                <w:b/>
                <w:bCs/>
                <w:color w:val="000000"/>
                <w:kern w:val="0"/>
                <w:sz w:val="16"/>
                <w:szCs w:val="16"/>
                <w:lang w:eastAsia="zh-Hans" w:bidi="ar"/>
              </w:rPr>
              <w:t>华为mate</w:t>
            </w:r>
            <w:r>
              <w:rPr>
                <w:rFonts w:ascii="宋体" w:hAnsi="宋体" w:cs="宋体"/>
                <w:b/>
                <w:bCs/>
                <w:color w:val="000000"/>
                <w:kern w:val="0"/>
                <w:sz w:val="16"/>
                <w:szCs w:val="16"/>
                <w:lang w:eastAsia="zh-Hans" w:bidi="ar"/>
              </w:rPr>
              <w:t>50</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hAnsi="宋体" w:cs="宋体"/>
                <w:b/>
                <w:bCs/>
                <w:color w:val="000000"/>
                <w:kern w:val="0"/>
                <w:sz w:val="16"/>
                <w:szCs w:val="16"/>
                <w:lang w:eastAsia="zh-Hans"/>
              </w:rPr>
            </w:pPr>
            <w:r>
              <w:rPr>
                <w:rFonts w:hint="eastAsia" w:ascii="宋体" w:hAnsi="宋体" w:cs="宋体"/>
                <w:b/>
                <w:bCs/>
                <w:color w:val="000000"/>
                <w:kern w:val="0"/>
                <w:sz w:val="16"/>
                <w:szCs w:val="16"/>
                <w:lang w:bidi="ar"/>
              </w:rPr>
              <w:t>终端服务四</w:t>
            </w:r>
            <w:r>
              <w:rPr>
                <w:rFonts w:hint="eastAsia" w:ascii="宋体" w:hAnsi="宋体" w:cs="宋体"/>
                <w:b/>
                <w:bCs/>
                <w:color w:val="000000"/>
                <w:kern w:val="0"/>
                <w:sz w:val="16"/>
                <w:szCs w:val="16"/>
                <w:lang w:eastAsia="zh-Hans" w:bidi="ar"/>
              </w:rPr>
              <w:t>中兴a</w:t>
            </w:r>
            <w:r>
              <w:rPr>
                <w:rFonts w:ascii="宋体" w:hAnsi="宋体" w:cs="宋体"/>
                <w:b/>
                <w:bCs/>
                <w:color w:val="000000"/>
                <w:kern w:val="0"/>
                <w:sz w:val="16"/>
                <w:szCs w:val="16"/>
                <w:lang w:eastAsia="zh-Hans" w:bidi="ar"/>
              </w:rPr>
              <w:t>41</w:t>
            </w:r>
            <w:r>
              <w:rPr>
                <w:rFonts w:hint="eastAsia" w:ascii="宋体" w:hAnsi="宋体" w:cs="宋体"/>
                <w:b/>
                <w:bCs/>
                <w:color w:val="000000"/>
                <w:kern w:val="0"/>
                <w:sz w:val="16"/>
                <w:szCs w:val="16"/>
                <w:lang w:eastAsia="zh-Hans" w:bidi="ar"/>
              </w:rPr>
              <w:t>utra</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宋体" w:hAnsi="宋体" w:cs="宋体"/>
                <w:b/>
                <w:bCs/>
                <w:color w:val="000000"/>
                <w:kern w:val="0"/>
                <w:sz w:val="16"/>
                <w:szCs w:val="16"/>
                <w:lang w:eastAsia="zh-Hans"/>
              </w:rPr>
            </w:pPr>
            <w:r>
              <w:rPr>
                <w:rFonts w:hint="eastAsia" w:ascii="宋体" w:hAnsi="宋体" w:cs="宋体"/>
                <w:b/>
                <w:bCs/>
                <w:color w:val="000000"/>
                <w:kern w:val="0"/>
                <w:sz w:val="16"/>
                <w:szCs w:val="16"/>
                <w:lang w:bidi="ar"/>
              </w:rPr>
              <w:t>终端服务五</w:t>
            </w:r>
            <w:r>
              <w:rPr>
                <w:rFonts w:hint="eastAsia" w:ascii="宋体" w:hAnsi="宋体" w:cs="宋体"/>
                <w:b/>
                <w:bCs/>
                <w:color w:val="000000"/>
                <w:kern w:val="0"/>
                <w:sz w:val="16"/>
                <w:szCs w:val="16"/>
                <w:lang w:eastAsia="zh-Hans" w:bidi="ar"/>
              </w:rPr>
              <w:t>鼎桥p</w:t>
            </w:r>
            <w:r>
              <w:rPr>
                <w:rFonts w:ascii="宋体" w:hAnsi="宋体" w:cs="宋体"/>
                <w:b/>
                <w:bCs/>
                <w:color w:val="000000"/>
                <w:kern w:val="0"/>
                <w:sz w:val="16"/>
                <w:szCs w:val="16"/>
                <w:lang w:eastAsia="zh-Hans" w:bidi="ar"/>
              </w:rPr>
              <w:t>50</w:t>
            </w:r>
          </w:p>
        </w:tc>
      </w:tr>
      <w:tr>
        <w:tblPrEx>
          <w:tblCellMar>
            <w:top w:w="0" w:type="dxa"/>
            <w:left w:w="108" w:type="dxa"/>
            <w:bottom w:w="0" w:type="dxa"/>
            <w:right w:w="108" w:type="dxa"/>
          </w:tblCellMar>
        </w:tblPrEx>
        <w:trPr>
          <w:wBefore w:w="0" w:type="dxa"/>
          <w:wAfter w:w="0" w:type="dxa"/>
          <w:trHeight w:val="396"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FF0000"/>
                <w:kern w:val="0"/>
                <w:szCs w:val="21"/>
              </w:rPr>
              <w:t>▲</w:t>
            </w:r>
            <w:r>
              <w:rPr>
                <w:rFonts w:hint="eastAsia" w:ascii="宋体" w:hAnsi="宋体" w:cs="宋体"/>
                <w:color w:val="000000"/>
                <w:kern w:val="0"/>
                <w:sz w:val="16"/>
                <w:szCs w:val="16"/>
                <w:lang w:bidi="ar"/>
              </w:rPr>
              <w:t>屏幕</w:t>
            </w:r>
          </w:p>
        </w:tc>
        <w:tc>
          <w:tcPr>
            <w:tcW w:w="44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6.7英寸</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6.67英寸</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6.5英寸</w:t>
            </w:r>
          </w:p>
        </w:tc>
      </w:tr>
      <w:tr>
        <w:tblPrEx>
          <w:tblCellMar>
            <w:top w:w="0" w:type="dxa"/>
            <w:left w:w="108" w:type="dxa"/>
            <w:bottom w:w="0" w:type="dxa"/>
            <w:right w:w="108" w:type="dxa"/>
          </w:tblCellMar>
        </w:tblPrEx>
        <w:trPr>
          <w:wBefore w:w="0" w:type="dxa"/>
          <w:wAfter w:w="0" w:type="dxa"/>
          <w:trHeight w:val="572"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分辨率</w:t>
            </w:r>
          </w:p>
        </w:tc>
        <w:tc>
          <w:tcPr>
            <w:tcW w:w="44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2700x1224像素</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FHD+2400×1080像素</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FHD+ 2700 x 1224 像素，多点触控触摸屏</w:t>
            </w:r>
          </w:p>
        </w:tc>
      </w:tr>
      <w:tr>
        <w:tblPrEx>
          <w:tblCellMar>
            <w:top w:w="0" w:type="dxa"/>
            <w:left w:w="108" w:type="dxa"/>
            <w:bottom w:w="0" w:type="dxa"/>
            <w:right w:w="108" w:type="dxa"/>
          </w:tblCellMar>
        </w:tblPrEx>
        <w:trPr>
          <w:wBefore w:w="0" w:type="dxa"/>
          <w:wAfter w:w="0" w:type="dxa"/>
          <w:trHeight w:val="551"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操作系统</w:t>
            </w:r>
          </w:p>
        </w:tc>
        <w:tc>
          <w:tcPr>
            <w:tcW w:w="4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HarmonyOS 3</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MyOS 12.0（基于Android 12）</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Android 11</w:t>
            </w:r>
          </w:p>
        </w:tc>
      </w:tr>
      <w:tr>
        <w:tblPrEx>
          <w:tblCellMar>
            <w:top w:w="0" w:type="dxa"/>
            <w:left w:w="108" w:type="dxa"/>
            <w:bottom w:w="0" w:type="dxa"/>
            <w:right w:w="108" w:type="dxa"/>
          </w:tblCellMar>
        </w:tblPrEx>
        <w:trPr>
          <w:wBefore w:w="0" w:type="dxa"/>
          <w:wAfter w:w="0" w:type="dxa"/>
          <w:trHeight w:val="700" w:hRule="atLeast"/>
        </w:trPr>
        <w:tc>
          <w:tcPr>
            <w:tcW w:w="140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前置摄像头</w:t>
            </w:r>
          </w:p>
        </w:tc>
        <w:tc>
          <w:tcPr>
            <w:tcW w:w="441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前置超广角摄像头：1300万像素超广角摄像头，前置超广角摄像头：f/2.4</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4400万像素（f/2.45光圈 FF）</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1300万像素超广角摄像头（f/2.4光圈）</w:t>
            </w:r>
          </w:p>
        </w:tc>
      </w:tr>
      <w:tr>
        <w:tblPrEx>
          <w:tblCellMar>
            <w:top w:w="0" w:type="dxa"/>
            <w:left w:w="108" w:type="dxa"/>
            <w:bottom w:w="0" w:type="dxa"/>
            <w:right w:w="108" w:type="dxa"/>
          </w:tblCellMar>
        </w:tblPrEx>
        <w:trPr>
          <w:wBefore w:w="0" w:type="dxa"/>
          <w:wAfter w:w="0" w:type="dxa"/>
          <w:trHeight w:val="960" w:hRule="atLeast"/>
        </w:trPr>
        <w:tc>
          <w:tcPr>
            <w:tcW w:w="140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FF0000"/>
                <w:kern w:val="0"/>
                <w:szCs w:val="21"/>
              </w:rPr>
              <w:t>▲</w:t>
            </w:r>
            <w:r>
              <w:rPr>
                <w:rFonts w:hint="eastAsia" w:ascii="宋体" w:hAnsi="宋体" w:cs="宋体"/>
                <w:color w:val="000000"/>
                <w:kern w:val="0"/>
                <w:sz w:val="16"/>
                <w:szCs w:val="16"/>
                <w:lang w:bidi="ar"/>
              </w:rPr>
              <w:t>后置摄像头</w:t>
            </w:r>
          </w:p>
        </w:tc>
        <w:tc>
          <w:tcPr>
            <w:tcW w:w="441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后置超光变镜头：5000万像素</w:t>
            </w:r>
            <w:r>
              <w:rPr>
                <w:rFonts w:hint="eastAsia" w:ascii="宋体" w:hAnsi="宋体" w:cs="宋体"/>
                <w:color w:val="000000"/>
                <w:kern w:val="0"/>
                <w:sz w:val="16"/>
                <w:szCs w:val="16"/>
                <w:lang w:bidi="ar"/>
              </w:rPr>
              <w:br w:type="textWrapping"/>
            </w:r>
            <w:r>
              <w:rPr>
                <w:rFonts w:hint="eastAsia" w:ascii="宋体" w:hAnsi="宋体" w:cs="宋体"/>
                <w:color w:val="000000"/>
                <w:kern w:val="0"/>
                <w:sz w:val="16"/>
                <w:szCs w:val="16"/>
                <w:lang w:bidi="ar"/>
              </w:rPr>
              <w:t>后置超广角镜头：1300万像素</w:t>
            </w:r>
            <w:r>
              <w:rPr>
                <w:rFonts w:hint="eastAsia" w:ascii="宋体" w:hAnsi="宋体" w:cs="宋体"/>
                <w:color w:val="000000"/>
                <w:kern w:val="0"/>
                <w:sz w:val="16"/>
                <w:szCs w:val="16"/>
                <w:lang w:bidi="ar"/>
              </w:rPr>
              <w:br w:type="textWrapping"/>
            </w:r>
            <w:r>
              <w:rPr>
                <w:rFonts w:hint="eastAsia" w:ascii="宋体" w:hAnsi="宋体" w:cs="宋体"/>
                <w:color w:val="000000"/>
                <w:kern w:val="0"/>
                <w:sz w:val="16"/>
                <w:szCs w:val="16"/>
                <w:lang w:bidi="ar"/>
              </w:rPr>
              <w:t>后置潜望式长焦镜头：1200万像素</w:t>
            </w:r>
            <w:r>
              <w:rPr>
                <w:rFonts w:hint="eastAsia" w:ascii="宋体" w:hAnsi="宋体" w:cs="宋体"/>
                <w:color w:val="000000"/>
                <w:kern w:val="0"/>
                <w:sz w:val="16"/>
                <w:szCs w:val="16"/>
                <w:lang w:bidi="ar"/>
              </w:rPr>
              <w:br w:type="textWrapping"/>
            </w:r>
            <w:r>
              <w:rPr>
                <w:rFonts w:hint="eastAsia" w:ascii="宋体" w:hAnsi="宋体" w:cs="宋体"/>
                <w:color w:val="000000"/>
                <w:kern w:val="0"/>
                <w:sz w:val="16"/>
                <w:szCs w:val="16"/>
                <w:lang w:bidi="ar"/>
              </w:rPr>
              <w:t>后置超光变镜头：f/1.4～f/4.0</w:t>
            </w:r>
            <w:r>
              <w:rPr>
                <w:rFonts w:hint="eastAsia" w:ascii="宋体" w:hAnsi="宋体" w:cs="宋体"/>
                <w:color w:val="000000"/>
                <w:kern w:val="0"/>
                <w:sz w:val="16"/>
                <w:szCs w:val="16"/>
                <w:lang w:bidi="ar"/>
              </w:rPr>
              <w:br w:type="textWrapping"/>
            </w:r>
            <w:r>
              <w:rPr>
                <w:rFonts w:hint="eastAsia" w:ascii="宋体" w:hAnsi="宋体" w:cs="宋体"/>
                <w:color w:val="000000"/>
                <w:kern w:val="0"/>
                <w:sz w:val="16"/>
                <w:szCs w:val="16"/>
                <w:lang w:bidi="ar"/>
              </w:rPr>
              <w:t>后置超广角镜头：f/2.2</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6400万像素 (f/1.8光圈 AF)+5000万像素超广角 (f/2.2光圈 FF) +800万像素潜望（f/3.4光圈 FF)</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5000 万像素原色摄像头（彩色，f/1.8 光圈），1300万像素超广角摄像头（f/2.2 光圈），1200万像素长焦摄像头（f/3.4 光圈，OIS光学防抖）</w:t>
            </w:r>
          </w:p>
        </w:tc>
      </w:tr>
      <w:tr>
        <w:tblPrEx>
          <w:tblCellMar>
            <w:top w:w="0" w:type="dxa"/>
            <w:left w:w="108" w:type="dxa"/>
            <w:bottom w:w="0" w:type="dxa"/>
            <w:right w:w="108" w:type="dxa"/>
          </w:tblCellMar>
        </w:tblPrEx>
        <w:trPr>
          <w:wBefore w:w="0" w:type="dxa"/>
          <w:wAfter w:w="0" w:type="dxa"/>
          <w:trHeight w:val="549" w:hRule="atLeast"/>
        </w:trPr>
        <w:tc>
          <w:tcPr>
            <w:tcW w:w="140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Cs w:val="21"/>
              </w:rPr>
              <w:t>▲</w:t>
            </w:r>
            <w:r>
              <w:rPr>
                <w:rFonts w:hint="eastAsia" w:ascii="宋体" w:hAnsi="宋体" w:cs="宋体"/>
                <w:color w:val="000000"/>
                <w:kern w:val="0"/>
                <w:sz w:val="16"/>
                <w:szCs w:val="16"/>
                <w:lang w:bidi="ar"/>
              </w:rPr>
              <w:t>CPU型号</w:t>
            </w:r>
          </w:p>
        </w:tc>
        <w:tc>
          <w:tcPr>
            <w:tcW w:w="441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全新一代高通骁龙8+ 4G</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高通全新移动平台骁龙8 Gen1，八核，4纳米工艺</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高通 骁龙888，八核，5纳米工艺</w:t>
            </w:r>
          </w:p>
        </w:tc>
      </w:tr>
      <w:tr>
        <w:tblPrEx>
          <w:tblCellMar>
            <w:top w:w="0" w:type="dxa"/>
            <w:left w:w="108" w:type="dxa"/>
            <w:bottom w:w="0" w:type="dxa"/>
            <w:right w:w="108" w:type="dxa"/>
          </w:tblCellMar>
        </w:tblPrEx>
        <w:trPr>
          <w:wBefore w:w="0" w:type="dxa"/>
          <w:wAfter w:w="0" w:type="dxa"/>
          <w:trHeight w:val="557" w:hRule="atLeast"/>
        </w:trPr>
        <w:tc>
          <w:tcPr>
            <w:tcW w:w="140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CPU核数</w:t>
            </w:r>
          </w:p>
        </w:tc>
        <w:tc>
          <w:tcPr>
            <w:tcW w:w="441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八核</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八核</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八核</w:t>
            </w:r>
          </w:p>
        </w:tc>
      </w:tr>
      <w:tr>
        <w:tblPrEx>
          <w:tblCellMar>
            <w:top w:w="0" w:type="dxa"/>
            <w:left w:w="108" w:type="dxa"/>
            <w:bottom w:w="0" w:type="dxa"/>
            <w:right w:w="108" w:type="dxa"/>
          </w:tblCellMar>
        </w:tblPrEx>
        <w:trPr>
          <w:wBefore w:w="0" w:type="dxa"/>
          <w:wAfter w:w="0" w:type="dxa"/>
          <w:trHeight w:val="974"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CPU主频</w:t>
            </w:r>
          </w:p>
        </w:tc>
        <w:tc>
          <w:tcPr>
            <w:tcW w:w="44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3.2GHz X2*1+2.75GHz A710*3+2.0GHz A510*4</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 xml:space="preserve"> 1 x 3.0GHz （Cortex-X2 ）+ 3 x 2.5GHz（Cortex-A710） + 4 x 1.8GHz（Cortex-A510）</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2.84GHz X1*1+2.4GHz A78*3+1.8GHz A55*4</w:t>
            </w:r>
          </w:p>
        </w:tc>
      </w:tr>
      <w:tr>
        <w:tblPrEx>
          <w:tblCellMar>
            <w:top w:w="0" w:type="dxa"/>
            <w:left w:w="108" w:type="dxa"/>
            <w:bottom w:w="0" w:type="dxa"/>
            <w:right w:w="108" w:type="dxa"/>
          </w:tblCellMar>
        </w:tblPrEx>
        <w:trPr>
          <w:wBefore w:w="0" w:type="dxa"/>
          <w:wAfter w:w="0" w:type="dxa"/>
          <w:trHeight w:val="549"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Cs w:val="21"/>
              </w:rPr>
              <w:t>▲</w:t>
            </w:r>
            <w:r>
              <w:rPr>
                <w:rFonts w:hint="eastAsia" w:ascii="宋体" w:hAnsi="宋体" w:cs="宋体"/>
                <w:color w:val="000000"/>
                <w:kern w:val="0"/>
                <w:sz w:val="16"/>
                <w:szCs w:val="16"/>
                <w:lang w:bidi="ar"/>
              </w:rPr>
              <w:t>GPU</w:t>
            </w:r>
          </w:p>
        </w:tc>
        <w:tc>
          <w:tcPr>
            <w:tcW w:w="4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全新一代高通骁龙8+4G</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Adreno730</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高通 Adreno660</w:t>
            </w:r>
          </w:p>
        </w:tc>
      </w:tr>
      <w:tr>
        <w:tblPrEx>
          <w:tblCellMar>
            <w:top w:w="0" w:type="dxa"/>
            <w:left w:w="108" w:type="dxa"/>
            <w:bottom w:w="0" w:type="dxa"/>
            <w:right w:w="108" w:type="dxa"/>
          </w:tblCellMar>
        </w:tblPrEx>
        <w:trPr>
          <w:wBefore w:w="0" w:type="dxa"/>
          <w:wAfter w:w="0" w:type="dxa"/>
          <w:trHeight w:val="571" w:hRule="atLeast"/>
        </w:trPr>
        <w:tc>
          <w:tcPr>
            <w:tcW w:w="140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网络制式</w:t>
            </w:r>
          </w:p>
        </w:tc>
        <w:tc>
          <w:tcPr>
            <w:tcW w:w="441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4G/3G/2G</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 xml:space="preserve"> 5G/4G/3G/2G</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 xml:space="preserve"> 5G/4G/3G/2G</w:t>
            </w:r>
          </w:p>
        </w:tc>
      </w:tr>
      <w:tr>
        <w:tblPrEx>
          <w:tblCellMar>
            <w:top w:w="0" w:type="dxa"/>
            <w:left w:w="108" w:type="dxa"/>
            <w:bottom w:w="0" w:type="dxa"/>
            <w:right w:w="108" w:type="dxa"/>
          </w:tblCellMar>
        </w:tblPrEx>
        <w:trPr>
          <w:wBefore w:w="0" w:type="dxa"/>
          <w:wAfter w:w="0" w:type="dxa"/>
          <w:trHeight w:val="990"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网络频率</w:t>
            </w:r>
          </w:p>
        </w:tc>
        <w:tc>
          <w:tcPr>
            <w:tcW w:w="4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主卡：4G：LTE FDD B1/B2/B3/B4/B5/B7/B8/B12/B17/B18/B19/B20/B26/B28(上行:703MHz-733MHz,下行:758MHz-788MHz)4G：TD-LTE B34/B38/B39/B40/B41 3G：UMTS（WCDMA）/HSPA+/DC-HSDPA B1/B2/B4/B5/B6/B8/B19 3G：CDMA BC0（800MHz）（仅限中国电信（中国大陆+澳门）） 2G：GSM B2/B3/B5/B8（1900/1800/850/900 MHz） 副卡： 4G：LTE FDD B1/B2/B3/B4/B5/B7/B8/B12/B17/B18/B19/B20/B26/B28(上行:703MHz-733MHz,下行:758MHz-788MHz) 4G：TD-LTE B34/B38/B39/B40/B41 3G：WCDMA B1/B2/B4/B5/B6/B8/B19 3G：CDMA BC0（800MHz）（仅限中国电信（中国大陆+澳门）） 2G：GSM B2/B3/B5/B8（1900/1800/850/900 MHz）</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支持联通5G/4G+/4G/3G/2G，电信5G/4G+/4G/2G，移动 5G/4G+/4G/2G；</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支持联通5G/4G+/4G/3G/2G，电信5G/4G+/4G/2G，移动 5G/4G+/4G/2G；</w:t>
            </w:r>
          </w:p>
        </w:tc>
      </w:tr>
      <w:tr>
        <w:tblPrEx>
          <w:tblCellMar>
            <w:top w:w="0" w:type="dxa"/>
            <w:left w:w="108" w:type="dxa"/>
            <w:bottom w:w="0" w:type="dxa"/>
            <w:right w:w="108" w:type="dxa"/>
          </w:tblCellMar>
        </w:tblPrEx>
        <w:trPr>
          <w:wBefore w:w="0" w:type="dxa"/>
          <w:wAfter w:w="0" w:type="dxa"/>
          <w:trHeight w:val="772"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电池</w:t>
            </w:r>
          </w:p>
        </w:tc>
        <w:tc>
          <w:tcPr>
            <w:tcW w:w="4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4460mAh大电池</w:t>
            </w:r>
            <w:r>
              <w:rPr>
                <w:rFonts w:hint="eastAsia" w:ascii="宋体" w:hAnsi="宋体" w:cs="宋体"/>
                <w:color w:val="000000"/>
                <w:kern w:val="0"/>
                <w:sz w:val="16"/>
                <w:szCs w:val="16"/>
                <w:lang w:bidi="ar"/>
              </w:rPr>
              <w:br w:type="textWrapping"/>
            </w:r>
            <w:r>
              <w:rPr>
                <w:rFonts w:hint="eastAsia" w:ascii="宋体" w:hAnsi="宋体" w:cs="宋体"/>
                <w:color w:val="000000"/>
                <w:kern w:val="0"/>
                <w:sz w:val="16"/>
                <w:szCs w:val="16"/>
                <w:lang w:bidi="ar"/>
              </w:rPr>
              <w:t>66W有线超级快充</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5000mAh（典型值）</w:t>
            </w:r>
            <w:r>
              <w:rPr>
                <w:rFonts w:hint="eastAsia" w:ascii="宋体" w:hAnsi="宋体" w:cs="宋体"/>
                <w:color w:val="000000"/>
                <w:kern w:val="0"/>
                <w:sz w:val="16"/>
                <w:szCs w:val="16"/>
                <w:lang w:bidi="ar"/>
              </w:rPr>
              <w:br w:type="textWrapping"/>
            </w:r>
            <w:r>
              <w:rPr>
                <w:rFonts w:hint="eastAsia" w:ascii="宋体" w:hAnsi="宋体" w:cs="宋体"/>
                <w:color w:val="000000"/>
                <w:kern w:val="0"/>
                <w:sz w:val="16"/>
                <w:szCs w:val="16"/>
                <w:lang w:bidi="ar"/>
              </w:rPr>
              <w:t>66W有线超级快充</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4100mAh（典型值）</w:t>
            </w:r>
            <w:r>
              <w:rPr>
                <w:rFonts w:hint="eastAsia" w:ascii="宋体" w:hAnsi="宋体" w:cs="宋体"/>
                <w:color w:val="000000"/>
                <w:kern w:val="0"/>
                <w:sz w:val="16"/>
                <w:szCs w:val="16"/>
                <w:lang w:bidi="ar"/>
              </w:rPr>
              <w:br w:type="textWrapping"/>
            </w:r>
            <w:r>
              <w:rPr>
                <w:rFonts w:hint="eastAsia" w:ascii="宋体" w:hAnsi="宋体" w:cs="宋体"/>
                <w:color w:val="000000"/>
                <w:kern w:val="0"/>
                <w:sz w:val="16"/>
                <w:szCs w:val="16"/>
                <w:lang w:bidi="ar"/>
              </w:rPr>
              <w:t>66W有线超级快充</w:t>
            </w:r>
          </w:p>
        </w:tc>
      </w:tr>
      <w:tr>
        <w:tblPrEx>
          <w:tblCellMar>
            <w:top w:w="0" w:type="dxa"/>
            <w:left w:w="108" w:type="dxa"/>
            <w:bottom w:w="0" w:type="dxa"/>
            <w:right w:w="108" w:type="dxa"/>
          </w:tblCellMar>
        </w:tblPrEx>
        <w:trPr>
          <w:wBefore w:w="0" w:type="dxa"/>
          <w:wAfter w:w="0" w:type="dxa"/>
          <w:trHeight w:val="556"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NFC支付</w:t>
            </w:r>
          </w:p>
        </w:tc>
        <w:tc>
          <w:tcPr>
            <w:tcW w:w="4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支持NFC</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支持NFC</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支持NFC</w:t>
            </w:r>
          </w:p>
        </w:tc>
      </w:tr>
      <w:tr>
        <w:tblPrEx>
          <w:tblCellMar>
            <w:top w:w="0" w:type="dxa"/>
            <w:left w:w="108" w:type="dxa"/>
            <w:bottom w:w="0" w:type="dxa"/>
            <w:right w:w="108" w:type="dxa"/>
          </w:tblCellMar>
        </w:tblPrEx>
        <w:trPr>
          <w:wBefore w:w="0" w:type="dxa"/>
          <w:wAfter w:w="0" w:type="dxa"/>
          <w:trHeight w:val="576"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SIM卡</w:t>
            </w:r>
          </w:p>
        </w:tc>
        <w:tc>
          <w:tcPr>
            <w:tcW w:w="4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双卡（Nano SIM卡）&gt;</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双卡</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双卡</w:t>
            </w:r>
          </w:p>
        </w:tc>
      </w:tr>
      <w:tr>
        <w:tblPrEx>
          <w:tblCellMar>
            <w:top w:w="0" w:type="dxa"/>
            <w:left w:w="108" w:type="dxa"/>
            <w:bottom w:w="0" w:type="dxa"/>
            <w:right w:w="108" w:type="dxa"/>
          </w:tblCellMar>
        </w:tblPrEx>
        <w:trPr>
          <w:wBefore w:w="0" w:type="dxa"/>
          <w:wAfter w:w="0" w:type="dxa"/>
          <w:trHeight w:val="544"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Cs w:val="21"/>
              </w:rPr>
              <w:t>▲</w:t>
            </w:r>
            <w:r>
              <w:rPr>
                <w:rFonts w:hint="eastAsia" w:ascii="宋体" w:hAnsi="宋体" w:cs="宋体"/>
                <w:color w:val="000000"/>
                <w:kern w:val="0"/>
                <w:sz w:val="16"/>
                <w:szCs w:val="16"/>
                <w:lang w:bidi="ar"/>
              </w:rPr>
              <w:t>机身容量</w:t>
            </w:r>
          </w:p>
        </w:tc>
        <w:tc>
          <w:tcPr>
            <w:tcW w:w="4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8G+128G</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ascii="宋体" w:hAnsi="宋体" w:cs="宋体"/>
                <w:color w:val="000000"/>
                <w:kern w:val="0"/>
                <w:sz w:val="16"/>
                <w:szCs w:val="16"/>
                <w:lang w:bidi="ar"/>
              </w:rPr>
              <w:t>12</w:t>
            </w:r>
            <w:r>
              <w:rPr>
                <w:rFonts w:hint="eastAsia" w:ascii="宋体" w:hAnsi="宋体" w:cs="宋体"/>
                <w:color w:val="000000"/>
                <w:kern w:val="0"/>
                <w:sz w:val="16"/>
                <w:szCs w:val="16"/>
                <w:lang w:bidi="ar"/>
              </w:rPr>
              <w:t>G+256G</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rPr>
            </w:pPr>
            <w:r>
              <w:rPr>
                <w:rFonts w:hint="eastAsia" w:ascii="宋体" w:hAnsi="宋体" w:cs="宋体"/>
                <w:color w:val="000000"/>
                <w:kern w:val="0"/>
                <w:sz w:val="16"/>
                <w:szCs w:val="16"/>
                <w:lang w:bidi="ar"/>
              </w:rPr>
              <w:t>8G+256G</w:t>
            </w:r>
          </w:p>
        </w:tc>
      </w:tr>
    </w:tbl>
    <w:p>
      <w:pPr>
        <w:jc w:val="left"/>
        <w:rPr>
          <w:rFonts w:hint="eastAsia"/>
          <w:sz w:val="24"/>
          <w:szCs w:val="20"/>
        </w:rPr>
        <w:sectPr>
          <w:pgSz w:w="16838" w:h="11906" w:orient="landscape"/>
          <w:pgMar w:top="1797" w:right="1440" w:bottom="1797" w:left="1440" w:header="851" w:footer="992" w:gutter="0"/>
          <w:cols w:space="720" w:num="1"/>
          <w:docGrid w:type="lines" w:linePitch="312" w:charSpace="0"/>
        </w:sectPr>
      </w:pPr>
    </w:p>
    <w:p>
      <w:pPr>
        <w:spacing w:line="360" w:lineRule="auto"/>
        <w:jc w:val="center"/>
        <w:outlineLvl w:val="0"/>
        <w:rPr>
          <w:rFonts w:hint="eastAsia" w:ascii="宋体" w:hAnsi="宋体" w:cs="宋体"/>
          <w:b/>
          <w:kern w:val="0"/>
          <w:sz w:val="28"/>
          <w:szCs w:val="28"/>
        </w:rPr>
      </w:pPr>
      <w:bookmarkStart w:id="5" w:name="_Toc121294584"/>
      <w:r>
        <w:rPr>
          <w:rFonts w:hint="eastAsia" w:ascii="宋体" w:hAnsi="宋体" w:cs="宋体"/>
          <w:b/>
          <w:kern w:val="0"/>
          <w:sz w:val="28"/>
          <w:szCs w:val="28"/>
        </w:rPr>
        <w:t>第二章　供货范围及要求</w:t>
      </w:r>
      <w:bookmarkEnd w:id="3"/>
      <w:bookmarkEnd w:id="4"/>
      <w:bookmarkEnd w:id="5"/>
    </w:p>
    <w:p>
      <w:pPr>
        <w:spacing w:line="360" w:lineRule="auto"/>
        <w:ind w:firstLine="482" w:firstLineChars="200"/>
        <w:rPr>
          <w:rFonts w:ascii="宋体" w:hAnsi="宋体" w:cs="宋体"/>
          <w:b/>
          <w:bCs/>
          <w:color w:val="000000"/>
          <w:kern w:val="0"/>
          <w:sz w:val="20"/>
          <w:szCs w:val="21"/>
        </w:rPr>
      </w:pPr>
      <w:r>
        <w:rPr>
          <w:rFonts w:hint="eastAsia" w:ascii="宋体" w:hAnsi="宋体" w:cs="宋体"/>
          <w:b/>
          <w:kern w:val="0"/>
          <w:sz w:val="24"/>
          <w:szCs w:val="21"/>
        </w:rPr>
        <w:t xml:space="preserve">1 </w:t>
      </w:r>
      <w:r>
        <w:rPr>
          <w:rFonts w:ascii="宋体" w:hAnsi="宋体" w:cs="宋体"/>
          <w:b/>
          <w:kern w:val="0"/>
          <w:sz w:val="24"/>
          <w:szCs w:val="21"/>
        </w:rPr>
        <w:t xml:space="preserve"> </w:t>
      </w:r>
      <w:r>
        <w:rPr>
          <w:rFonts w:hint="eastAsia" w:ascii="宋体" w:hAnsi="宋体" w:cs="宋体"/>
          <w:b/>
          <w:kern w:val="0"/>
          <w:sz w:val="24"/>
          <w:szCs w:val="21"/>
        </w:rPr>
        <w:t>一般要求</w:t>
      </w:r>
    </w:p>
    <w:p>
      <w:pPr>
        <w:spacing w:line="360" w:lineRule="auto"/>
        <w:ind w:firstLine="480" w:firstLineChars="200"/>
        <w:rPr>
          <w:rFonts w:ascii="宋体" w:hAnsi="宋体" w:cs="宋体"/>
          <w:kern w:val="0"/>
          <w:sz w:val="24"/>
          <w:szCs w:val="21"/>
        </w:rPr>
      </w:pPr>
      <w:r>
        <w:rPr>
          <w:rFonts w:hint="eastAsia" w:ascii="宋体" w:hAnsi="宋体" w:cs="宋体"/>
          <w:kern w:val="0"/>
          <w:sz w:val="24"/>
          <w:szCs w:val="21"/>
        </w:rPr>
        <w:t>1.1　成交供应商须保证提供货物为全新的、先进的、成熟的、完整的和安全可靠的，且货物的技术经济性能符合本部分第一章规定的要求。</w:t>
      </w:r>
    </w:p>
    <w:p>
      <w:pPr>
        <w:spacing w:line="360" w:lineRule="auto"/>
        <w:ind w:firstLine="480" w:firstLineChars="200"/>
        <w:rPr>
          <w:rFonts w:ascii="宋体" w:hAnsi="宋体" w:cs="宋体"/>
          <w:kern w:val="0"/>
          <w:sz w:val="24"/>
          <w:szCs w:val="21"/>
        </w:rPr>
      </w:pPr>
      <w:r>
        <w:rPr>
          <w:rFonts w:hint="eastAsia" w:ascii="宋体" w:hAnsi="宋体" w:cs="宋体"/>
          <w:kern w:val="0"/>
          <w:sz w:val="24"/>
          <w:szCs w:val="21"/>
        </w:rPr>
        <w:t>1.2　成交供应商应提供详细供货清单，清单中依次说明型号、数量、产地、生产厂家等内容。</w:t>
      </w:r>
    </w:p>
    <w:p>
      <w:pPr>
        <w:spacing w:line="360" w:lineRule="auto"/>
        <w:ind w:firstLine="480" w:firstLineChars="200"/>
        <w:rPr>
          <w:rFonts w:ascii="宋体" w:hAnsi="宋体" w:cs="宋体"/>
          <w:kern w:val="0"/>
          <w:sz w:val="24"/>
          <w:szCs w:val="21"/>
        </w:rPr>
      </w:pPr>
      <w:r>
        <w:rPr>
          <w:rFonts w:hint="eastAsia" w:ascii="宋体" w:hAnsi="宋体" w:cs="宋体"/>
          <w:kern w:val="0"/>
          <w:sz w:val="24"/>
          <w:szCs w:val="21"/>
        </w:rPr>
        <w:t>1.3　除有特别注明外，所列数量均为一套（台）所需。对于属于整套货物运行和施工所必需的部件，即使在本部分第一章中未列出或数目不足，成交供应商仍须在执行合同时补足。</w:t>
      </w:r>
    </w:p>
    <w:p>
      <w:pPr>
        <w:spacing w:line="360" w:lineRule="auto"/>
        <w:ind w:firstLine="480" w:firstLineChars="200"/>
        <w:rPr>
          <w:rFonts w:ascii="宋体" w:hAnsi="宋体" w:cs="宋体"/>
          <w:kern w:val="0"/>
          <w:sz w:val="24"/>
          <w:szCs w:val="21"/>
        </w:rPr>
      </w:pPr>
      <w:r>
        <w:rPr>
          <w:rFonts w:hint="eastAsia" w:ascii="宋体" w:hAnsi="宋体" w:cs="宋体"/>
          <w:kern w:val="0"/>
          <w:sz w:val="24"/>
          <w:szCs w:val="21"/>
        </w:rPr>
        <w:t>1.4　成交供应商应提供所有安装和检修所需专用工具和消耗材料等，并提供详细供货清单。</w:t>
      </w:r>
    </w:p>
    <w:p>
      <w:pPr>
        <w:spacing w:line="360" w:lineRule="auto"/>
        <w:ind w:firstLine="480" w:firstLineChars="200"/>
        <w:rPr>
          <w:rFonts w:ascii="宋体" w:hAnsi="宋体" w:cs="宋体"/>
          <w:kern w:val="0"/>
          <w:sz w:val="24"/>
          <w:szCs w:val="21"/>
        </w:rPr>
      </w:pPr>
      <w:r>
        <w:rPr>
          <w:rFonts w:hint="eastAsia" w:ascii="宋体" w:hAnsi="宋体" w:cs="宋体"/>
          <w:kern w:val="0"/>
          <w:sz w:val="24"/>
          <w:szCs w:val="21"/>
        </w:rPr>
        <w:t>1.5　提供随机备品备件和</w:t>
      </w:r>
      <w:r>
        <w:rPr>
          <w:rFonts w:hint="eastAsia" w:ascii="宋体" w:hAnsi="宋体" w:cs="宋体"/>
          <w:kern w:val="0"/>
          <w:sz w:val="24"/>
          <w:szCs w:val="21"/>
          <w:u w:val="single"/>
        </w:rPr>
        <w:t>　2　</w:t>
      </w:r>
      <w:r>
        <w:rPr>
          <w:rFonts w:hint="eastAsia" w:ascii="宋体" w:hAnsi="宋体" w:cs="宋体"/>
          <w:kern w:val="0"/>
          <w:sz w:val="24"/>
          <w:szCs w:val="21"/>
        </w:rPr>
        <w:t>年运行所需的备品备件，并在招标文件中给出具体清单。</w:t>
      </w:r>
    </w:p>
    <w:p>
      <w:pPr>
        <w:spacing w:line="360" w:lineRule="auto"/>
        <w:ind w:firstLine="480" w:firstLineChars="200"/>
        <w:rPr>
          <w:rFonts w:ascii="宋体" w:hAnsi="宋体" w:cs="宋体"/>
          <w:kern w:val="0"/>
          <w:sz w:val="24"/>
          <w:szCs w:val="21"/>
        </w:rPr>
      </w:pPr>
      <w:r>
        <w:rPr>
          <w:rFonts w:hint="eastAsia" w:ascii="宋体" w:hAnsi="宋体" w:cs="宋体"/>
          <w:kern w:val="0"/>
          <w:sz w:val="24"/>
          <w:szCs w:val="21"/>
        </w:rPr>
        <w:t>1.6　提供所供货物中的进口件清单。</w:t>
      </w:r>
    </w:p>
    <w:p>
      <w:pPr>
        <w:spacing w:line="360" w:lineRule="auto"/>
        <w:ind w:firstLine="480" w:firstLineChars="200"/>
        <w:rPr>
          <w:rFonts w:ascii="宋体" w:hAnsi="宋体" w:cs="宋体"/>
          <w:kern w:val="0"/>
          <w:sz w:val="24"/>
          <w:szCs w:val="21"/>
        </w:rPr>
      </w:pPr>
      <w:r>
        <w:rPr>
          <w:rFonts w:hint="eastAsia" w:ascii="宋体" w:hAnsi="宋体" w:cs="宋体"/>
          <w:kern w:val="0"/>
          <w:sz w:val="24"/>
          <w:szCs w:val="21"/>
        </w:rPr>
        <w:t>1.7　成交供应商提供的技术资料清单见本部分第三章。</w:t>
      </w:r>
    </w:p>
    <w:p>
      <w:pPr>
        <w:spacing w:line="360" w:lineRule="auto"/>
        <w:ind w:firstLine="482" w:firstLineChars="200"/>
        <w:rPr>
          <w:rFonts w:hint="eastAsia" w:ascii="宋体" w:hAnsi="宋体" w:cs="宋体"/>
          <w:b/>
          <w:kern w:val="0"/>
          <w:sz w:val="24"/>
          <w:szCs w:val="21"/>
        </w:rPr>
      </w:pPr>
      <w:r>
        <w:rPr>
          <w:rFonts w:hint="eastAsia" w:ascii="宋体" w:hAnsi="宋体" w:cs="宋体"/>
          <w:b/>
          <w:kern w:val="0"/>
          <w:sz w:val="24"/>
          <w:szCs w:val="21"/>
        </w:rPr>
        <w:t xml:space="preserve">2 </w:t>
      </w:r>
      <w:r>
        <w:rPr>
          <w:rFonts w:ascii="宋体" w:hAnsi="宋体" w:cs="宋体"/>
          <w:b/>
          <w:kern w:val="0"/>
          <w:sz w:val="24"/>
          <w:szCs w:val="21"/>
        </w:rPr>
        <w:t xml:space="preserve"> </w:t>
      </w:r>
      <w:r>
        <w:rPr>
          <w:rFonts w:hint="eastAsia" w:ascii="宋体" w:hAnsi="宋体" w:cs="宋体"/>
          <w:b/>
          <w:kern w:val="0"/>
          <w:sz w:val="24"/>
          <w:szCs w:val="21"/>
        </w:rPr>
        <w:t>供货范围</w:t>
      </w:r>
    </w:p>
    <w:p>
      <w:pPr>
        <w:spacing w:line="360" w:lineRule="auto"/>
        <w:ind w:firstLine="480" w:firstLineChars="200"/>
        <w:rPr>
          <w:rFonts w:hint="eastAsia" w:ascii="宋体" w:hAnsi="宋体" w:cs="宋体"/>
          <w:b/>
          <w:kern w:val="0"/>
          <w:sz w:val="22"/>
          <w:szCs w:val="22"/>
        </w:rPr>
      </w:pPr>
      <w:r>
        <w:rPr>
          <w:rFonts w:hint="eastAsia" w:ascii="宋体" w:hAnsi="宋体" w:cs="宋体"/>
          <w:kern w:val="0"/>
          <w:sz w:val="24"/>
          <w:szCs w:val="21"/>
        </w:rPr>
        <w:t>2.1货物范围（详见下表）：</w:t>
      </w:r>
    </w:p>
    <w:tbl>
      <w:tblPr>
        <w:tblStyle w:val="40"/>
        <w:tblW w:w="88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2"/>
        <w:gridCol w:w="1725"/>
        <w:gridCol w:w="5242"/>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682" w:type="dxa"/>
            <w:noWrap w:val="0"/>
            <w:vAlign w:val="center"/>
          </w:tcPr>
          <w:p>
            <w:pPr>
              <w:widowControl/>
              <w:jc w:val="center"/>
              <w:rPr>
                <w:rFonts w:ascii="宋体" w:hAnsi="宋体" w:cs="宋体"/>
                <w:b/>
                <w:color w:val="000000"/>
                <w:kern w:val="0"/>
                <w:sz w:val="20"/>
                <w:szCs w:val="21"/>
              </w:rPr>
            </w:pPr>
            <w:r>
              <w:rPr>
                <w:rFonts w:hint="eastAsia" w:ascii="宋体" w:hAnsi="宋体" w:cs="宋体"/>
                <w:b/>
                <w:color w:val="000000"/>
                <w:kern w:val="0"/>
                <w:sz w:val="20"/>
                <w:szCs w:val="21"/>
              </w:rPr>
              <w:t>序号</w:t>
            </w:r>
          </w:p>
        </w:tc>
        <w:tc>
          <w:tcPr>
            <w:tcW w:w="1725" w:type="dxa"/>
            <w:noWrap w:val="0"/>
            <w:vAlign w:val="center"/>
          </w:tcPr>
          <w:p>
            <w:pPr>
              <w:widowControl/>
              <w:jc w:val="center"/>
              <w:rPr>
                <w:rFonts w:ascii="宋体" w:hAnsi="宋体" w:cs="宋体"/>
                <w:b/>
                <w:color w:val="000000"/>
                <w:kern w:val="0"/>
                <w:sz w:val="20"/>
                <w:szCs w:val="21"/>
              </w:rPr>
            </w:pPr>
            <w:r>
              <w:rPr>
                <w:rFonts w:hint="eastAsia" w:ascii="宋体" w:hAnsi="宋体" w:cs="宋体"/>
                <w:b/>
                <w:color w:val="000000"/>
                <w:kern w:val="0"/>
                <w:sz w:val="20"/>
                <w:szCs w:val="21"/>
              </w:rPr>
              <w:t>名称</w:t>
            </w:r>
          </w:p>
        </w:tc>
        <w:tc>
          <w:tcPr>
            <w:tcW w:w="5242" w:type="dxa"/>
            <w:noWrap w:val="0"/>
            <w:vAlign w:val="center"/>
          </w:tcPr>
          <w:p>
            <w:pPr>
              <w:widowControl/>
              <w:jc w:val="center"/>
              <w:rPr>
                <w:rFonts w:ascii="宋体" w:hAnsi="宋体" w:cs="宋体"/>
                <w:b/>
                <w:color w:val="000000"/>
                <w:kern w:val="0"/>
                <w:sz w:val="20"/>
                <w:szCs w:val="21"/>
              </w:rPr>
            </w:pPr>
            <w:r>
              <w:rPr>
                <w:rFonts w:hint="eastAsia" w:ascii="宋体" w:hAnsi="宋体" w:cs="宋体"/>
                <w:b/>
                <w:color w:val="000000"/>
                <w:kern w:val="0"/>
                <w:sz w:val="20"/>
                <w:szCs w:val="21"/>
              </w:rPr>
              <w:t>服务明细</w:t>
            </w:r>
          </w:p>
        </w:tc>
        <w:tc>
          <w:tcPr>
            <w:tcW w:w="1229" w:type="dxa"/>
            <w:noWrap w:val="0"/>
            <w:vAlign w:val="center"/>
          </w:tcPr>
          <w:p>
            <w:pPr>
              <w:widowControl/>
              <w:jc w:val="center"/>
              <w:rPr>
                <w:rFonts w:ascii="宋体" w:hAnsi="宋体" w:cs="宋体"/>
                <w:b/>
                <w:color w:val="000000"/>
                <w:kern w:val="0"/>
                <w:sz w:val="20"/>
                <w:szCs w:val="21"/>
              </w:rPr>
            </w:pPr>
            <w:r>
              <w:rPr>
                <w:rFonts w:hint="eastAsia" w:ascii="宋体" w:hAnsi="宋体" w:cs="宋体"/>
                <w:b/>
                <w:color w:val="000000"/>
                <w:kern w:val="0"/>
                <w:sz w:val="20"/>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trPr>
        <w:tc>
          <w:tcPr>
            <w:tcW w:w="682" w:type="dxa"/>
            <w:noWrap w:val="0"/>
            <w:vAlign w:val="center"/>
          </w:tcPr>
          <w:p>
            <w:pPr>
              <w:widowControl/>
              <w:jc w:val="center"/>
              <w:rPr>
                <w:rFonts w:ascii="宋体" w:hAnsi="宋体" w:cs="宋体"/>
                <w:bCs/>
                <w:color w:val="000000"/>
                <w:kern w:val="0"/>
                <w:sz w:val="20"/>
                <w:szCs w:val="21"/>
              </w:rPr>
            </w:pPr>
            <w:r>
              <w:rPr>
                <w:rFonts w:hint="eastAsia" w:ascii="宋体" w:hAnsi="宋体" w:cs="宋体"/>
                <w:bCs/>
                <w:color w:val="000000"/>
                <w:kern w:val="0"/>
                <w:sz w:val="20"/>
                <w:szCs w:val="21"/>
              </w:rPr>
              <w:t>1</w:t>
            </w:r>
          </w:p>
        </w:tc>
        <w:tc>
          <w:tcPr>
            <w:tcW w:w="1725" w:type="dxa"/>
            <w:noWrap w:val="0"/>
            <w:vAlign w:val="center"/>
          </w:tcPr>
          <w:p>
            <w:pPr>
              <w:jc w:val="center"/>
              <w:rPr>
                <w:rFonts w:ascii="宋体" w:hAnsi="宋体" w:cs="宋体"/>
                <w:bCs/>
                <w:color w:val="000000"/>
                <w:kern w:val="0"/>
                <w:sz w:val="20"/>
                <w:szCs w:val="21"/>
              </w:rPr>
            </w:pPr>
            <w:r>
              <w:rPr>
                <w:rFonts w:hint="eastAsia" w:ascii="宋体" w:hAnsi="宋体" w:cs="宋体"/>
                <w:bCs/>
                <w:color w:val="000000"/>
                <w:kern w:val="0"/>
                <w:sz w:val="20"/>
                <w:szCs w:val="21"/>
              </w:rPr>
              <w:t>**通终端服务（双操</w:t>
            </w:r>
            <w:r>
              <w:rPr>
                <w:rFonts w:ascii="宋体" w:hAnsi="宋体" w:cs="宋体"/>
                <w:bCs/>
                <w:color w:val="000000"/>
                <w:kern w:val="0"/>
                <w:sz w:val="20"/>
                <w:szCs w:val="21"/>
              </w:rPr>
              <w:t>作</w:t>
            </w:r>
            <w:r>
              <w:rPr>
                <w:rFonts w:hint="eastAsia" w:ascii="宋体" w:hAnsi="宋体" w:cs="宋体"/>
                <w:bCs/>
                <w:color w:val="000000"/>
                <w:kern w:val="0"/>
                <w:sz w:val="20"/>
                <w:szCs w:val="21"/>
              </w:rPr>
              <w:t>系统）</w:t>
            </w:r>
          </w:p>
        </w:tc>
        <w:tc>
          <w:tcPr>
            <w:tcW w:w="5242" w:type="dxa"/>
            <w:noWrap w:val="0"/>
            <w:vAlign w:val="center"/>
          </w:tcPr>
          <w:p>
            <w:pPr>
              <w:widowControl/>
              <w:ind w:firstLine="400" w:firstLineChars="200"/>
              <w:jc w:val="left"/>
              <w:rPr>
                <w:rFonts w:ascii="宋体" w:hAnsi="宋体" w:cs="宋体"/>
                <w:bCs/>
                <w:color w:val="000000"/>
                <w:kern w:val="0"/>
                <w:sz w:val="20"/>
                <w:szCs w:val="21"/>
              </w:rPr>
            </w:pPr>
            <w:r>
              <w:rPr>
                <w:rFonts w:hint="eastAsia" w:ascii="宋体" w:hAnsi="宋体" w:cs="宋体"/>
                <w:bCs/>
                <w:color w:val="000000"/>
                <w:kern w:val="0"/>
                <w:sz w:val="20"/>
                <w:szCs w:val="21"/>
              </w:rPr>
              <w:t>提供终端设备主机、电池、充电器、数据线，保护壳外套等硬件。</w:t>
            </w:r>
          </w:p>
        </w:tc>
        <w:tc>
          <w:tcPr>
            <w:tcW w:w="1229" w:type="dxa"/>
            <w:noWrap w:val="0"/>
            <w:vAlign w:val="center"/>
          </w:tcPr>
          <w:p>
            <w:pPr>
              <w:widowControl/>
              <w:jc w:val="center"/>
              <w:rPr>
                <w:rFonts w:hint="eastAsia" w:ascii="宋体" w:hAnsi="宋体" w:cs="宋体"/>
                <w:bCs/>
                <w:color w:val="000000"/>
                <w:kern w:val="0"/>
                <w:sz w:val="20"/>
                <w:szCs w:val="21"/>
              </w:rPr>
            </w:pPr>
            <w:r>
              <w:rPr>
                <w:rFonts w:hint="eastAsia" w:ascii="宋体" w:hAnsi="宋体" w:cs="宋体"/>
                <w:bCs/>
                <w:color w:val="000000"/>
                <w:kern w:val="0"/>
                <w:sz w:val="20"/>
                <w:szCs w:val="21"/>
              </w:rPr>
              <w:t>740套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trPr>
        <w:tc>
          <w:tcPr>
            <w:tcW w:w="682" w:type="dxa"/>
            <w:noWrap w:val="0"/>
            <w:vAlign w:val="center"/>
          </w:tcPr>
          <w:p>
            <w:pPr>
              <w:widowControl/>
              <w:jc w:val="center"/>
              <w:rPr>
                <w:rFonts w:ascii="宋体" w:hAnsi="宋体" w:cs="宋体"/>
                <w:bCs/>
                <w:color w:val="000000"/>
                <w:kern w:val="0"/>
                <w:sz w:val="20"/>
                <w:szCs w:val="21"/>
              </w:rPr>
            </w:pPr>
            <w:r>
              <w:rPr>
                <w:rFonts w:hint="eastAsia" w:ascii="宋体" w:hAnsi="宋体" w:cs="宋体"/>
                <w:bCs/>
                <w:color w:val="000000"/>
                <w:kern w:val="0"/>
                <w:sz w:val="20"/>
                <w:szCs w:val="21"/>
              </w:rPr>
              <w:t>2</w:t>
            </w:r>
          </w:p>
        </w:tc>
        <w:tc>
          <w:tcPr>
            <w:tcW w:w="1725" w:type="dxa"/>
            <w:noWrap w:val="0"/>
            <w:vAlign w:val="center"/>
          </w:tcPr>
          <w:p>
            <w:pPr>
              <w:jc w:val="center"/>
              <w:rPr>
                <w:rFonts w:ascii="宋体" w:hAnsi="宋体" w:cs="宋体"/>
                <w:bCs/>
                <w:color w:val="000000"/>
                <w:kern w:val="0"/>
                <w:sz w:val="20"/>
                <w:szCs w:val="21"/>
              </w:rPr>
            </w:pPr>
            <w:r>
              <w:rPr>
                <w:rFonts w:hint="eastAsia" w:ascii="宋体" w:hAnsi="宋体" w:cs="宋体"/>
                <w:bCs/>
                <w:color w:val="000000"/>
                <w:kern w:val="0"/>
                <w:sz w:val="20"/>
                <w:szCs w:val="21"/>
              </w:rPr>
              <w:t>**通专用加密服务</w:t>
            </w:r>
          </w:p>
        </w:tc>
        <w:tc>
          <w:tcPr>
            <w:tcW w:w="5242" w:type="dxa"/>
            <w:noWrap w:val="0"/>
            <w:vAlign w:val="center"/>
          </w:tcPr>
          <w:p>
            <w:pPr>
              <w:widowControl/>
              <w:ind w:firstLine="400" w:firstLineChars="200"/>
              <w:jc w:val="left"/>
              <w:rPr>
                <w:rFonts w:ascii="宋体" w:hAnsi="宋体" w:cs="宋体"/>
                <w:bCs/>
                <w:color w:val="000000"/>
                <w:kern w:val="0"/>
                <w:sz w:val="20"/>
                <w:szCs w:val="21"/>
              </w:rPr>
            </w:pPr>
            <w:r>
              <w:rPr>
                <w:rFonts w:hint="eastAsia" w:ascii="宋体" w:hAnsi="宋体" w:cs="宋体"/>
                <w:bCs/>
                <w:color w:val="000000"/>
                <w:kern w:val="0"/>
                <w:sz w:val="20"/>
                <w:szCs w:val="21"/>
              </w:rPr>
              <w:t>软加</w:t>
            </w:r>
            <w:r>
              <w:rPr>
                <w:rFonts w:ascii="宋体" w:hAnsi="宋体" w:cs="宋体"/>
                <w:bCs/>
                <w:color w:val="000000"/>
                <w:kern w:val="0"/>
                <w:sz w:val="20"/>
                <w:szCs w:val="21"/>
              </w:rPr>
              <w:t>密</w:t>
            </w:r>
            <w:r>
              <w:rPr>
                <w:rFonts w:hint="eastAsia" w:ascii="宋体" w:hAnsi="宋体" w:cs="宋体"/>
                <w:bCs/>
                <w:color w:val="000000"/>
                <w:kern w:val="0"/>
                <w:sz w:val="20"/>
                <w:szCs w:val="21"/>
              </w:rPr>
              <w:t>或硬加密服务。</w:t>
            </w:r>
          </w:p>
        </w:tc>
        <w:tc>
          <w:tcPr>
            <w:tcW w:w="1229" w:type="dxa"/>
            <w:noWrap w:val="0"/>
            <w:vAlign w:val="center"/>
          </w:tcPr>
          <w:p>
            <w:pPr>
              <w:widowControl/>
              <w:jc w:val="center"/>
              <w:rPr>
                <w:rFonts w:ascii="宋体" w:hAnsi="宋体" w:cs="宋体"/>
                <w:bCs/>
                <w:color w:val="000000"/>
                <w:kern w:val="0"/>
                <w:sz w:val="20"/>
                <w:szCs w:val="21"/>
              </w:rPr>
            </w:pPr>
            <w:r>
              <w:rPr>
                <w:rFonts w:hint="eastAsia" w:ascii="宋体" w:hAnsi="宋体" w:cs="宋体"/>
                <w:bCs/>
                <w:color w:val="000000"/>
                <w:kern w:val="0"/>
                <w:sz w:val="20"/>
                <w:szCs w:val="21"/>
              </w:rPr>
              <w:t>740套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trPr>
        <w:tc>
          <w:tcPr>
            <w:tcW w:w="682" w:type="dxa"/>
            <w:noWrap w:val="0"/>
            <w:vAlign w:val="center"/>
          </w:tcPr>
          <w:p>
            <w:pPr>
              <w:jc w:val="center"/>
              <w:rPr>
                <w:rFonts w:ascii="宋体" w:hAnsi="宋体" w:cs="宋体"/>
                <w:bCs/>
                <w:color w:val="000000"/>
                <w:kern w:val="0"/>
                <w:sz w:val="20"/>
                <w:szCs w:val="21"/>
              </w:rPr>
            </w:pPr>
            <w:r>
              <w:rPr>
                <w:rFonts w:hint="eastAsia" w:ascii="宋体" w:hAnsi="宋体" w:cs="宋体"/>
                <w:bCs/>
                <w:color w:val="000000"/>
                <w:kern w:val="0"/>
                <w:sz w:val="20"/>
                <w:szCs w:val="21"/>
              </w:rPr>
              <w:t>3</w:t>
            </w:r>
          </w:p>
        </w:tc>
        <w:tc>
          <w:tcPr>
            <w:tcW w:w="1725" w:type="dxa"/>
            <w:noWrap w:val="0"/>
            <w:vAlign w:val="center"/>
          </w:tcPr>
          <w:p>
            <w:pPr>
              <w:jc w:val="center"/>
              <w:rPr>
                <w:rFonts w:ascii="宋体" w:hAnsi="宋体" w:cs="宋体"/>
                <w:bCs/>
                <w:color w:val="000000"/>
                <w:kern w:val="0"/>
                <w:sz w:val="20"/>
                <w:szCs w:val="21"/>
              </w:rPr>
            </w:pPr>
            <w:r>
              <w:rPr>
                <w:rFonts w:hint="eastAsia" w:ascii="宋体" w:hAnsi="宋体" w:cs="宋体"/>
                <w:bCs/>
                <w:color w:val="000000"/>
                <w:kern w:val="0"/>
                <w:sz w:val="20"/>
                <w:szCs w:val="21"/>
              </w:rPr>
              <w:t>省厅平台接入服务</w:t>
            </w:r>
          </w:p>
        </w:tc>
        <w:tc>
          <w:tcPr>
            <w:tcW w:w="5242" w:type="dxa"/>
            <w:noWrap w:val="0"/>
            <w:vAlign w:val="center"/>
          </w:tcPr>
          <w:p>
            <w:pPr>
              <w:widowControl/>
              <w:ind w:firstLine="400" w:firstLineChars="200"/>
              <w:jc w:val="left"/>
              <w:rPr>
                <w:rFonts w:ascii="宋体" w:hAnsi="宋体" w:cs="宋体"/>
                <w:bCs/>
                <w:color w:val="000000"/>
                <w:kern w:val="0"/>
                <w:sz w:val="20"/>
                <w:szCs w:val="21"/>
              </w:rPr>
            </w:pPr>
            <w:r>
              <w:rPr>
                <w:rFonts w:hint="eastAsia" w:ascii="宋体" w:hAnsi="宋体" w:cs="宋体"/>
                <w:bCs/>
                <w:color w:val="000000"/>
                <w:kern w:val="0"/>
                <w:sz w:val="20"/>
                <w:szCs w:val="21"/>
              </w:rPr>
              <w:t>24个月接入服务。</w:t>
            </w:r>
          </w:p>
        </w:tc>
        <w:tc>
          <w:tcPr>
            <w:tcW w:w="1229" w:type="dxa"/>
            <w:noWrap w:val="0"/>
            <w:vAlign w:val="center"/>
          </w:tcPr>
          <w:p>
            <w:pPr>
              <w:widowControl/>
              <w:jc w:val="center"/>
              <w:rPr>
                <w:rFonts w:ascii="宋体" w:hAnsi="宋体" w:cs="宋体"/>
                <w:bCs/>
                <w:color w:val="000000"/>
                <w:kern w:val="0"/>
                <w:sz w:val="20"/>
                <w:szCs w:val="21"/>
              </w:rPr>
            </w:pPr>
            <w:r>
              <w:rPr>
                <w:rFonts w:hint="eastAsia" w:ascii="宋体" w:hAnsi="宋体" w:cs="宋体"/>
                <w:bCs/>
                <w:color w:val="000000"/>
                <w:kern w:val="0"/>
                <w:sz w:val="20"/>
                <w:szCs w:val="21"/>
              </w:rPr>
              <w:t>740套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atLeast"/>
        </w:trPr>
        <w:tc>
          <w:tcPr>
            <w:tcW w:w="682" w:type="dxa"/>
            <w:noWrap w:val="0"/>
            <w:vAlign w:val="center"/>
          </w:tcPr>
          <w:p>
            <w:pPr>
              <w:jc w:val="center"/>
              <w:rPr>
                <w:rFonts w:ascii="宋体" w:hAnsi="宋体" w:cs="宋体"/>
                <w:bCs/>
                <w:color w:val="000000"/>
                <w:kern w:val="0"/>
                <w:sz w:val="20"/>
                <w:szCs w:val="21"/>
              </w:rPr>
            </w:pPr>
            <w:r>
              <w:rPr>
                <w:rFonts w:hint="eastAsia" w:ascii="宋体" w:hAnsi="宋体" w:cs="宋体"/>
                <w:bCs/>
                <w:color w:val="000000"/>
                <w:kern w:val="0"/>
                <w:sz w:val="20"/>
                <w:szCs w:val="21"/>
              </w:rPr>
              <w:t>4</w:t>
            </w:r>
          </w:p>
        </w:tc>
        <w:tc>
          <w:tcPr>
            <w:tcW w:w="1725" w:type="dxa"/>
            <w:noWrap w:val="0"/>
            <w:vAlign w:val="center"/>
          </w:tcPr>
          <w:p>
            <w:pPr>
              <w:jc w:val="center"/>
              <w:rPr>
                <w:rFonts w:ascii="宋体" w:hAnsi="宋体" w:cs="宋体"/>
                <w:bCs/>
                <w:color w:val="000000"/>
                <w:kern w:val="0"/>
                <w:sz w:val="20"/>
                <w:szCs w:val="21"/>
              </w:rPr>
            </w:pPr>
            <w:r>
              <w:rPr>
                <w:rFonts w:hint="eastAsia" w:ascii="宋体" w:hAnsi="宋体" w:cs="宋体"/>
                <w:bCs/>
                <w:color w:val="000000"/>
                <w:kern w:val="0"/>
                <w:sz w:val="20"/>
                <w:szCs w:val="21"/>
              </w:rPr>
              <w:t>**通专用SIM卡流量服务</w:t>
            </w:r>
          </w:p>
        </w:tc>
        <w:tc>
          <w:tcPr>
            <w:tcW w:w="5242" w:type="dxa"/>
            <w:noWrap w:val="0"/>
            <w:vAlign w:val="center"/>
          </w:tcPr>
          <w:p>
            <w:pPr>
              <w:widowControl/>
              <w:ind w:firstLine="400" w:firstLineChars="200"/>
              <w:jc w:val="left"/>
              <w:rPr>
                <w:rFonts w:ascii="宋体" w:hAnsi="宋体" w:cs="宋体"/>
                <w:bCs/>
                <w:color w:val="000000"/>
                <w:kern w:val="0"/>
                <w:sz w:val="20"/>
                <w:szCs w:val="21"/>
              </w:rPr>
            </w:pPr>
            <w:r>
              <w:rPr>
                <w:rFonts w:hint="eastAsia" w:ascii="宋体" w:hAnsi="宋体" w:cs="宋体"/>
                <w:bCs/>
                <w:color w:val="000000"/>
                <w:kern w:val="0"/>
                <w:sz w:val="20"/>
                <w:szCs w:val="21"/>
              </w:rPr>
              <w:t>提供**通专用APN，每张卡包流量24个月，每月30 G流量、国内语音通话300分钟、100条短信功能服务，500分钟虚拟网。</w:t>
            </w:r>
          </w:p>
        </w:tc>
        <w:tc>
          <w:tcPr>
            <w:tcW w:w="1229" w:type="dxa"/>
            <w:noWrap w:val="0"/>
            <w:vAlign w:val="center"/>
          </w:tcPr>
          <w:p>
            <w:pPr>
              <w:widowControl/>
              <w:jc w:val="center"/>
              <w:rPr>
                <w:rFonts w:ascii="宋体" w:hAnsi="宋体" w:cs="宋体"/>
                <w:bCs/>
                <w:color w:val="000000"/>
                <w:kern w:val="0"/>
                <w:sz w:val="20"/>
                <w:szCs w:val="21"/>
              </w:rPr>
            </w:pPr>
            <w:r>
              <w:rPr>
                <w:rFonts w:hint="eastAsia" w:ascii="宋体" w:hAnsi="宋体" w:cs="宋体"/>
                <w:bCs/>
                <w:color w:val="000000"/>
                <w:kern w:val="0"/>
                <w:sz w:val="20"/>
                <w:szCs w:val="21"/>
              </w:rPr>
              <w:t>740张</w:t>
            </w:r>
          </w:p>
        </w:tc>
      </w:tr>
    </w:tbl>
    <w:p>
      <w:pPr>
        <w:ind w:firstLine="420"/>
        <w:rPr>
          <w:rFonts w:hint="eastAsia"/>
          <w:color w:val="000000"/>
          <w:szCs w:val="20"/>
        </w:rPr>
      </w:pPr>
    </w:p>
    <w:p>
      <w:pPr>
        <w:spacing w:line="400" w:lineRule="exact"/>
        <w:ind w:firstLine="480" w:firstLineChars="200"/>
        <w:rPr>
          <w:rFonts w:hint="eastAsia" w:ascii="宋体" w:hAnsi="宋体" w:cs="宋体"/>
          <w:kern w:val="0"/>
          <w:sz w:val="24"/>
          <w:szCs w:val="21"/>
        </w:rPr>
      </w:pPr>
      <w:r>
        <w:rPr>
          <w:rFonts w:hint="eastAsia" w:ascii="宋体" w:hAnsi="宋体" w:cs="宋体"/>
          <w:kern w:val="0"/>
          <w:sz w:val="24"/>
          <w:szCs w:val="21"/>
        </w:rPr>
        <w:t>2.2 供货要求：</w:t>
      </w:r>
    </w:p>
    <w:p>
      <w:pPr>
        <w:spacing w:line="360" w:lineRule="auto"/>
        <w:ind w:firstLine="480" w:firstLineChars="200"/>
        <w:rPr>
          <w:rFonts w:hint="eastAsia" w:ascii="宋体" w:hAnsi="宋体" w:cs="宋体"/>
          <w:kern w:val="0"/>
          <w:sz w:val="24"/>
          <w:szCs w:val="21"/>
        </w:rPr>
      </w:pPr>
      <w:r>
        <w:rPr>
          <w:rFonts w:hint="eastAsia" w:ascii="宋体" w:hAnsi="宋体" w:cs="宋体"/>
          <w:kern w:val="0"/>
          <w:sz w:val="24"/>
          <w:szCs w:val="21"/>
        </w:rPr>
        <w:t>1、供方所供的服务中涉及硬件的必须为全新的，符合国家标准的合格产品；</w:t>
      </w:r>
    </w:p>
    <w:p>
      <w:pPr>
        <w:spacing w:line="360" w:lineRule="auto"/>
        <w:ind w:firstLine="480" w:firstLineChars="200"/>
        <w:rPr>
          <w:rFonts w:hint="eastAsia" w:ascii="宋体" w:hAnsi="宋体" w:cs="宋体"/>
          <w:kern w:val="0"/>
          <w:sz w:val="24"/>
          <w:szCs w:val="21"/>
        </w:rPr>
      </w:pPr>
      <w:r>
        <w:rPr>
          <w:rFonts w:hint="eastAsia" w:ascii="宋体" w:hAnsi="宋体" w:cs="宋体"/>
          <w:kern w:val="0"/>
          <w:sz w:val="24"/>
          <w:szCs w:val="21"/>
        </w:rPr>
        <w:t>2、所供的服务中涉及软件的不会侵犯任何第三方知识产权；</w:t>
      </w:r>
    </w:p>
    <w:p>
      <w:pPr>
        <w:spacing w:line="360" w:lineRule="auto"/>
        <w:ind w:firstLine="480" w:firstLineChars="200"/>
        <w:rPr>
          <w:rFonts w:hint="eastAsia" w:ascii="宋体" w:hAnsi="宋体" w:cs="宋体"/>
          <w:kern w:val="0"/>
          <w:sz w:val="24"/>
          <w:szCs w:val="21"/>
        </w:rPr>
      </w:pPr>
      <w:r>
        <w:rPr>
          <w:rFonts w:hint="eastAsia" w:ascii="宋体" w:hAnsi="宋体" w:cs="宋体"/>
          <w:kern w:val="0"/>
          <w:sz w:val="24"/>
          <w:szCs w:val="21"/>
        </w:rPr>
        <w:t>3、中标方在合同签署后60日内完成服务内容所要求的所有项；</w:t>
      </w:r>
    </w:p>
    <w:p>
      <w:pPr>
        <w:spacing w:line="360" w:lineRule="auto"/>
        <w:ind w:firstLine="480" w:firstLineChars="200"/>
        <w:rPr>
          <w:rFonts w:hint="eastAsia" w:ascii="宋体" w:hAnsi="宋体" w:cs="宋体"/>
          <w:kern w:val="0"/>
          <w:sz w:val="24"/>
          <w:szCs w:val="21"/>
        </w:rPr>
      </w:pPr>
      <w:r>
        <w:rPr>
          <w:rFonts w:hint="eastAsia" w:ascii="宋体" w:hAnsi="宋体" w:cs="宋体"/>
          <w:kern w:val="0"/>
          <w:sz w:val="24"/>
          <w:szCs w:val="21"/>
        </w:rPr>
        <w:t>2.3 验收</w:t>
      </w:r>
    </w:p>
    <w:p>
      <w:pPr>
        <w:spacing w:line="360" w:lineRule="auto"/>
        <w:ind w:firstLine="480" w:firstLineChars="200"/>
        <w:rPr>
          <w:rFonts w:hint="eastAsia" w:ascii="宋体" w:hAnsi="宋体" w:cs="宋体"/>
          <w:kern w:val="0"/>
          <w:sz w:val="24"/>
          <w:szCs w:val="21"/>
        </w:rPr>
      </w:pPr>
      <w:r>
        <w:rPr>
          <w:rFonts w:hint="eastAsia" w:ascii="宋体" w:hAnsi="宋体" w:cs="宋体"/>
          <w:kern w:val="0"/>
          <w:sz w:val="24"/>
          <w:szCs w:val="21"/>
        </w:rPr>
        <w:t>绍兴市公安局上虞区分局依据招标文件、投标文件及其补充变更文件上的技术规格要求和公安**通有关质量标准，自行组织验收。</w:t>
      </w:r>
    </w:p>
    <w:p>
      <w:pPr>
        <w:spacing w:line="360" w:lineRule="auto"/>
        <w:ind w:firstLine="480" w:firstLineChars="200"/>
        <w:rPr>
          <w:rFonts w:hint="eastAsia" w:ascii="宋体" w:hAnsi="宋体" w:cs="宋体"/>
          <w:kern w:val="0"/>
          <w:sz w:val="24"/>
          <w:szCs w:val="21"/>
        </w:rPr>
      </w:pPr>
      <w:r>
        <w:rPr>
          <w:rFonts w:hint="eastAsia" w:ascii="宋体" w:hAnsi="宋体" w:cs="宋体"/>
          <w:kern w:val="0"/>
          <w:sz w:val="24"/>
          <w:szCs w:val="21"/>
        </w:rPr>
        <w:t>2.4 质保期和售后服务要求</w:t>
      </w:r>
    </w:p>
    <w:p>
      <w:pPr>
        <w:spacing w:line="360" w:lineRule="auto"/>
        <w:ind w:firstLine="480" w:firstLineChars="200"/>
        <w:rPr>
          <w:rFonts w:hint="eastAsia" w:ascii="宋体" w:hAnsi="宋体" w:cs="宋体"/>
          <w:kern w:val="0"/>
          <w:sz w:val="24"/>
          <w:szCs w:val="21"/>
        </w:rPr>
      </w:pPr>
      <w:r>
        <w:rPr>
          <w:rFonts w:hint="eastAsia" w:ascii="宋体" w:hAnsi="宋体" w:cs="宋体"/>
          <w:kern w:val="0"/>
          <w:sz w:val="24"/>
          <w:szCs w:val="21"/>
        </w:rPr>
        <w:t>租赁服务项目中提供的硬软件，质保期从项目验收合格后起算，质保期不得少于二年，质保内容：**通终端（含电池等附件）硬件维护，**通终端操作系统升级和APP软件升级。供应商须提供7*24小时免费技术服务。应标人应具有较强的本地化服务能力，非本地应标人应在上虞有常驻服务和技术支持机构，并配有较强的技术队伍，能提供快速的售后服务，并保证到现场服务响应时间小于12小时。质保期内除人为因素外人工、配件全免费。质保期满后，供应商继续提供一年维护服务，只收取维护成本费、免收人工费。</w:t>
      </w:r>
    </w:p>
    <w:p>
      <w:pPr>
        <w:spacing w:line="360" w:lineRule="auto"/>
        <w:ind w:firstLine="480" w:firstLineChars="200"/>
        <w:rPr>
          <w:rFonts w:hint="eastAsia" w:ascii="宋体" w:hAnsi="宋体" w:cs="宋体"/>
          <w:kern w:val="0"/>
          <w:sz w:val="24"/>
          <w:szCs w:val="21"/>
        </w:rPr>
      </w:pPr>
      <w:r>
        <w:rPr>
          <w:rFonts w:hint="eastAsia" w:ascii="宋体" w:hAnsi="宋体" w:cs="宋体"/>
          <w:kern w:val="0"/>
          <w:sz w:val="24"/>
          <w:szCs w:val="21"/>
        </w:rPr>
        <w:t>中标单位需和采购人签订安全保密协议。服务期满后，所涉**通终端服务、加密软件、SIM卡应交由采购人处置。</w:t>
      </w:r>
    </w:p>
    <w:p>
      <w:pPr>
        <w:spacing w:line="360" w:lineRule="auto"/>
        <w:jc w:val="center"/>
        <w:outlineLvl w:val="0"/>
        <w:rPr>
          <w:rFonts w:hint="eastAsia" w:ascii="宋体" w:hAnsi="宋体" w:cs="宋体"/>
          <w:b/>
          <w:sz w:val="32"/>
          <w:szCs w:val="32"/>
        </w:rPr>
      </w:pPr>
    </w:p>
    <w:bookmarkEnd w:id="0"/>
    <w:bookmarkEnd w:id="1"/>
    <w:p>
      <w:pPr>
        <w:spacing w:line="360" w:lineRule="auto"/>
        <w:jc w:val="center"/>
        <w:outlineLvl w:val="0"/>
        <w:rPr>
          <w:rFonts w:hint="eastAsia" w:ascii="宋体" w:hAnsi="宋体" w:cs="宋体"/>
          <w:b/>
          <w:sz w:val="32"/>
          <w:szCs w:val="32"/>
        </w:rPr>
      </w:pPr>
    </w:p>
    <w:sectPr>
      <w:footerReference r:id="rId5"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monospace">
    <w:altName w:val="微软雅黑"/>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1" w:usb1="080E0000" w:usb2="00000010" w:usb3="00000000" w:csb0="00040000"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Helvetica Neue">
    <w:altName w:val="Arial"/>
    <w:panose1 w:val="00000000000000000000"/>
    <w:charset w:val="00"/>
    <w:family w:val="auto"/>
    <w:pitch w:val="default"/>
    <w:sig w:usb0="00000000" w:usb1="00000000" w:usb2="00000010" w:usb3="00000000" w:csb0="00000001" w:csb1="00000000"/>
  </w:font>
  <w:font w:name="Arial Unicode MS">
    <w:altName w:val="宋体"/>
    <w:panose1 w:val="020B0604020202020204"/>
    <w:charset w:val="86"/>
    <w:family w:val="swiss"/>
    <w:pitch w:val="default"/>
    <w:sig w:usb0="F7FFAFFF" w:usb1="E9DFFFFF" w:usb2="0000003F" w:usb3="00000000" w:csb0="003F01FF"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right" w:y="1"/>
      <w:rPr>
        <w:rStyle w:val="44"/>
      </w:rPr>
    </w:pPr>
  </w:p>
  <w:p>
    <w:pPr>
      <w:pStyle w:val="26"/>
      <w:ind w:right="360"/>
      <w:jc w:val="center"/>
    </w:pPr>
    <w:r>
      <w:fldChar w:fldCharType="begin"/>
    </w:r>
    <w:r>
      <w:rPr>
        <w:rStyle w:val="44"/>
      </w:rPr>
      <w:instrText xml:space="preserve"> PAGE </w:instrText>
    </w:r>
    <w:r>
      <w:fldChar w:fldCharType="separate"/>
    </w:r>
    <w:r>
      <w:rPr>
        <w:rStyle w:val="44"/>
        <w:lang/>
      </w:rPr>
      <w:t>20</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right" w:y="1"/>
      <w:rPr>
        <w:rStyle w:val="44"/>
      </w:rPr>
    </w:pPr>
  </w:p>
  <w:p>
    <w:pPr>
      <w:pStyle w:val="26"/>
      <w:ind w:right="360" w:firstLine="3600" w:firstLineChars="2000"/>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lang/>
      </w:rPr>
      <w:t>21</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lang/>
      </w:rPr>
      <w:t>22</w:t>
    </w:r>
    <w:r>
      <w:rPr>
        <w:kern w:val="0"/>
        <w:szCs w:val="21"/>
      </w:rPr>
      <w:fldChar w:fldCharType="end"/>
    </w:r>
    <w:r>
      <w:rPr>
        <w:rFonts w:hint="eastAsia"/>
        <w:kern w:val="0"/>
        <w:szCs w:val="21"/>
      </w:rPr>
      <w:t xml:space="preserve"> 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0"/>
      </w:pBdr>
      <w:ind w:left="1080" w:hanging="1080" w:hangingChars="600"/>
      <w:jc w:val="both"/>
      <w:rPr>
        <w:rFonts w:hint="eastAsia"/>
        <w:color w:val="FF0000"/>
      </w:rPr>
    </w:pPr>
    <w:r>
      <w:rPr>
        <w:rFonts w:hint="eastAsia"/>
        <w:color w:val="FF0000"/>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multilevel"/>
    <w:tmpl w:val="00000000"/>
    <w:lvl w:ilvl="0" w:tentative="0">
      <w:start w:val="1"/>
      <w:numFmt w:val="decimal"/>
      <w:pStyle w:val="175"/>
      <w:lvlText w:val="%1"/>
      <w:lvlJc w:val="left"/>
      <w:pPr>
        <w:ind w:left="432" w:hanging="432"/>
      </w:pPr>
    </w:lvl>
    <w:lvl w:ilvl="1" w:tentative="0">
      <w:start w:val="1"/>
      <w:numFmt w:val="decimal"/>
      <w:pStyle w:val="3"/>
      <w:lvlText w:val="%1.%2"/>
      <w:lvlJc w:val="left"/>
      <w:pPr>
        <w:ind w:left="576" w:hanging="576"/>
      </w:pPr>
    </w:lvl>
    <w:lvl w:ilvl="2" w:tentative="0">
      <w:start w:val="1"/>
      <w:numFmt w:val="decimal"/>
      <w:pStyle w:val="5"/>
      <w:lvlText w:val="%1.%2.%3"/>
      <w:lvlJc w:val="left"/>
      <w:pPr>
        <w:ind w:left="720" w:hanging="720"/>
      </w:pPr>
    </w:lvl>
    <w:lvl w:ilvl="3" w:tentative="0">
      <w:start w:val="1"/>
      <w:numFmt w:val="decimal"/>
      <w:pStyle w:val="6"/>
      <w:lvlText w:val="%1.%2.%3.%4"/>
      <w:lvlJc w:val="left"/>
      <w:pPr>
        <w:ind w:left="864" w:hanging="864"/>
      </w:pPr>
    </w:lvl>
    <w:lvl w:ilvl="4" w:tentative="0">
      <w:start w:val="1"/>
      <w:numFmt w:val="decimal"/>
      <w:pStyle w:val="7"/>
      <w:lvlText w:val="%1.%2.%3.%4.%5"/>
      <w:lvlJc w:val="left"/>
      <w:pPr>
        <w:ind w:left="1008" w:hanging="1008"/>
      </w:pPr>
    </w:lvl>
    <w:lvl w:ilvl="5" w:tentative="0">
      <w:start w:val="1"/>
      <w:numFmt w:val="decimal"/>
      <w:pStyle w:val="8"/>
      <w:lvlText w:val="%1.%2.%3.%4.%5.%6"/>
      <w:lvlJc w:val="left"/>
      <w:pPr>
        <w:ind w:left="1152" w:hanging="1152"/>
      </w:pPr>
    </w:lvl>
    <w:lvl w:ilvl="6" w:tentative="0">
      <w:start w:val="1"/>
      <w:numFmt w:val="decimal"/>
      <w:pStyle w:val="9"/>
      <w:lvlText w:val="%1.%2.%3.%4.%5.%6.%7"/>
      <w:lvlJc w:val="left"/>
      <w:pPr>
        <w:ind w:left="1296" w:hanging="1296"/>
      </w:pPr>
    </w:lvl>
    <w:lvl w:ilvl="7" w:tentative="0">
      <w:start w:val="1"/>
      <w:numFmt w:val="decimal"/>
      <w:pStyle w:val="10"/>
      <w:lvlText w:val="%1.%2.%3.%4.%5.%6.%7.%8"/>
      <w:lvlJc w:val="left"/>
      <w:pPr>
        <w:ind w:left="1440" w:hanging="1440"/>
      </w:pPr>
    </w:lvl>
    <w:lvl w:ilvl="8" w:tentative="0">
      <w:start w:val="1"/>
      <w:numFmt w:val="decimal"/>
      <w:pStyle w:val="11"/>
      <w:lvlText w:val="%1.%2.%3.%4.%5.%6.%7.%8.%9"/>
      <w:lvlJc w:val="left"/>
      <w:pPr>
        <w:ind w:left="1584" w:hanging="1584"/>
      </w:pPr>
    </w:lvl>
  </w:abstractNum>
  <w:abstractNum w:abstractNumId="1">
    <w:nsid w:val="00000001"/>
    <w:multiLevelType w:val="multilevel"/>
    <w:tmpl w:val="00000001"/>
    <w:lvl w:ilvl="0" w:tentative="0">
      <w:start w:val="1"/>
      <w:numFmt w:val="upperLetter"/>
      <w:pStyle w:val="19"/>
      <w:lvlText w:val="%1、"/>
      <w:lvlJc w:val="left"/>
      <w:pPr>
        <w:tabs>
          <w:tab w:val="left" w:pos="1035"/>
        </w:tabs>
        <w:ind w:left="1035" w:hanging="420"/>
      </w:pPr>
      <w:rPr>
        <w:rFonts w:hint="default" w:ascii="Times New Roman"/>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2">
    <w:nsid w:val="00000002"/>
    <w:multiLevelType w:val="multilevel"/>
    <w:tmpl w:val="00000002"/>
    <w:lvl w:ilvl="0" w:tentative="0">
      <w:start w:val="1"/>
      <w:numFmt w:val="upperLetter"/>
      <w:pStyle w:val="114"/>
      <w:lvlText w:val="%1、"/>
      <w:lvlJc w:val="left"/>
      <w:pPr>
        <w:tabs>
          <w:tab w:val="left" w:pos="1275"/>
        </w:tabs>
        <w:ind w:left="1275" w:hanging="720"/>
      </w:pPr>
      <w:rPr>
        <w:rFonts w:hint="default" w:ascii="Times New Roman" w:hAnsi="宋体"/>
        <w:u w:val="none" w:color="auto"/>
      </w:rPr>
    </w:lvl>
    <w:lvl w:ilvl="1" w:tentative="0">
      <w:start w:val="1"/>
      <w:numFmt w:val="decimalEnclosedCircle"/>
      <w:lvlText w:val="%2"/>
      <w:lvlJc w:val="left"/>
      <w:pPr>
        <w:tabs>
          <w:tab w:val="left" w:pos="1335"/>
        </w:tabs>
        <w:ind w:left="1335" w:hanging="360"/>
      </w:pPr>
      <w:rPr>
        <w:rFonts w:hint="default" w:ascii="Times New Roman" w:hAnsi="宋体"/>
        <w:u w:val="none" w:color="auto"/>
      </w:rPr>
    </w:lvl>
    <w:lvl w:ilvl="2" w:tentative="0">
      <w:start w:val="1"/>
      <w:numFmt w:val="lowerRoman"/>
      <w:lvlText w:val="%3."/>
      <w:lvlJc w:val="right"/>
      <w:pPr>
        <w:tabs>
          <w:tab w:val="left" w:pos="1815"/>
        </w:tabs>
        <w:ind w:left="1815" w:hanging="420"/>
      </w:pPr>
      <w:rPr>
        <w:rFonts w:hint="default" w:ascii="Times New Roman"/>
        <w:u w:val="none" w:color="auto"/>
      </w:rPr>
    </w:lvl>
    <w:lvl w:ilvl="3" w:tentative="0">
      <w:start w:val="1"/>
      <w:numFmt w:val="decimal"/>
      <w:lvlText w:val="%4."/>
      <w:lvlJc w:val="left"/>
      <w:pPr>
        <w:tabs>
          <w:tab w:val="left" w:pos="2235"/>
        </w:tabs>
        <w:ind w:left="2235" w:hanging="420"/>
      </w:pPr>
      <w:rPr>
        <w:rFonts w:hint="default" w:ascii="Times New Roman"/>
        <w:u w:val="none" w:color="auto"/>
      </w:rPr>
    </w:lvl>
    <w:lvl w:ilvl="4" w:tentative="0">
      <w:start w:val="1"/>
      <w:numFmt w:val="lowerLetter"/>
      <w:lvlText w:val="%5)"/>
      <w:lvlJc w:val="left"/>
      <w:pPr>
        <w:tabs>
          <w:tab w:val="left" w:pos="2655"/>
        </w:tabs>
        <w:ind w:left="2655" w:hanging="420"/>
      </w:pPr>
      <w:rPr>
        <w:rFonts w:hint="default" w:ascii="Times New Roman"/>
        <w:u w:val="none" w:color="auto"/>
      </w:rPr>
    </w:lvl>
    <w:lvl w:ilvl="5" w:tentative="0">
      <w:start w:val="1"/>
      <w:numFmt w:val="lowerRoman"/>
      <w:lvlText w:val="%6."/>
      <w:lvlJc w:val="right"/>
      <w:pPr>
        <w:tabs>
          <w:tab w:val="left" w:pos="3075"/>
        </w:tabs>
        <w:ind w:left="3075" w:hanging="420"/>
      </w:pPr>
      <w:rPr>
        <w:rFonts w:hint="default" w:ascii="Times New Roman"/>
        <w:u w:val="none" w:color="auto"/>
      </w:rPr>
    </w:lvl>
    <w:lvl w:ilvl="6" w:tentative="0">
      <w:start w:val="1"/>
      <w:numFmt w:val="decimal"/>
      <w:lvlText w:val="%7."/>
      <w:lvlJc w:val="left"/>
      <w:pPr>
        <w:tabs>
          <w:tab w:val="left" w:pos="3495"/>
        </w:tabs>
        <w:ind w:left="3495" w:hanging="420"/>
      </w:pPr>
      <w:rPr>
        <w:rFonts w:hint="default" w:ascii="Times New Roman"/>
        <w:u w:val="none" w:color="auto"/>
      </w:rPr>
    </w:lvl>
    <w:lvl w:ilvl="7" w:tentative="0">
      <w:start w:val="1"/>
      <w:numFmt w:val="lowerLetter"/>
      <w:lvlText w:val="%8)"/>
      <w:lvlJc w:val="left"/>
      <w:pPr>
        <w:tabs>
          <w:tab w:val="left" w:pos="3915"/>
        </w:tabs>
        <w:ind w:left="3915" w:hanging="420"/>
      </w:pPr>
      <w:rPr>
        <w:rFonts w:hint="default" w:ascii="Times New Roman"/>
        <w:u w:val="none" w:color="auto"/>
      </w:rPr>
    </w:lvl>
    <w:lvl w:ilvl="8" w:tentative="0">
      <w:start w:val="1"/>
      <w:numFmt w:val="lowerRoman"/>
      <w:lvlText w:val="%9."/>
      <w:lvlJc w:val="right"/>
      <w:pPr>
        <w:tabs>
          <w:tab w:val="left" w:pos="4335"/>
        </w:tabs>
        <w:ind w:left="4335" w:hanging="420"/>
      </w:pPr>
      <w:rPr>
        <w:rFonts w:hint="default" w:ascii="Times New Roman"/>
        <w:u w:val="none" w:color="auto"/>
      </w:rPr>
    </w:lvl>
  </w:abstractNum>
  <w:abstractNum w:abstractNumId="3">
    <w:nsid w:val="149F3F78"/>
    <w:multiLevelType w:val="multilevel"/>
    <w:tmpl w:val="149F3F78"/>
    <w:lvl w:ilvl="0" w:tentative="0">
      <w:start w:val="1"/>
      <w:numFmt w:val="decimal"/>
      <w:pStyle w:val="233"/>
      <w:lvlText w:val="(%1)"/>
      <w:lvlJc w:val="left"/>
      <w:pPr>
        <w:tabs>
          <w:tab w:val="left" w:pos="960"/>
        </w:tabs>
        <w:ind w:left="960" w:hanging="420"/>
      </w:pPr>
      <w:rPr>
        <w:rFonts w:hint="eastAsia" w:ascii="宋体" w:hAnsi="宋体" w:eastAsia="宋体"/>
      </w:rPr>
    </w:lvl>
    <w:lvl w:ilvl="1" w:tentative="0">
      <w:start w:val="1"/>
      <w:numFmt w:val="lowerLetter"/>
      <w:lvlText w:val="%2)"/>
      <w:lvlJc w:val="left"/>
      <w:pPr>
        <w:tabs>
          <w:tab w:val="left" w:pos="525"/>
        </w:tabs>
        <w:ind w:left="525" w:hanging="420"/>
      </w:pPr>
    </w:lvl>
    <w:lvl w:ilvl="2" w:tentative="0">
      <w:start w:val="1"/>
      <w:numFmt w:val="lowerRoman"/>
      <w:lvlText w:val="%3."/>
      <w:lvlJc w:val="right"/>
      <w:pPr>
        <w:tabs>
          <w:tab w:val="left" w:pos="945"/>
        </w:tabs>
        <w:ind w:left="945" w:hanging="420"/>
      </w:pPr>
    </w:lvl>
    <w:lvl w:ilvl="3" w:tentative="0">
      <w:start w:val="1"/>
      <w:numFmt w:val="decimal"/>
      <w:lvlText w:val="%4."/>
      <w:lvlJc w:val="left"/>
      <w:pPr>
        <w:tabs>
          <w:tab w:val="left" w:pos="1365"/>
        </w:tabs>
        <w:ind w:left="1365" w:hanging="420"/>
      </w:pPr>
    </w:lvl>
    <w:lvl w:ilvl="4" w:tentative="0">
      <w:start w:val="1"/>
      <w:numFmt w:val="lowerLetter"/>
      <w:lvlText w:val="%5)"/>
      <w:lvlJc w:val="left"/>
      <w:pPr>
        <w:tabs>
          <w:tab w:val="left" w:pos="1785"/>
        </w:tabs>
        <w:ind w:left="1785" w:hanging="420"/>
      </w:pPr>
    </w:lvl>
    <w:lvl w:ilvl="5" w:tentative="0">
      <w:start w:val="1"/>
      <w:numFmt w:val="lowerRoman"/>
      <w:lvlText w:val="%6."/>
      <w:lvlJc w:val="right"/>
      <w:pPr>
        <w:tabs>
          <w:tab w:val="left" w:pos="2205"/>
        </w:tabs>
        <w:ind w:left="2205" w:hanging="420"/>
      </w:pPr>
    </w:lvl>
    <w:lvl w:ilvl="6" w:tentative="0">
      <w:start w:val="1"/>
      <w:numFmt w:val="decimal"/>
      <w:lvlText w:val="%7."/>
      <w:lvlJc w:val="left"/>
      <w:pPr>
        <w:tabs>
          <w:tab w:val="left" w:pos="2625"/>
        </w:tabs>
        <w:ind w:left="2625" w:hanging="420"/>
      </w:pPr>
    </w:lvl>
    <w:lvl w:ilvl="7" w:tentative="0">
      <w:start w:val="1"/>
      <w:numFmt w:val="lowerLetter"/>
      <w:lvlText w:val="%8)"/>
      <w:lvlJc w:val="left"/>
      <w:pPr>
        <w:tabs>
          <w:tab w:val="left" w:pos="3045"/>
        </w:tabs>
        <w:ind w:left="3045" w:hanging="420"/>
      </w:pPr>
    </w:lvl>
    <w:lvl w:ilvl="8" w:tentative="0">
      <w:start w:val="1"/>
      <w:numFmt w:val="lowerRoman"/>
      <w:lvlText w:val="%9."/>
      <w:lvlJc w:val="right"/>
      <w:pPr>
        <w:tabs>
          <w:tab w:val="left" w:pos="3465"/>
        </w:tabs>
        <w:ind w:left="3465" w:hanging="420"/>
      </w:pPr>
    </w:lvl>
  </w:abstractNum>
  <w:abstractNum w:abstractNumId="4">
    <w:nsid w:val="6E230785"/>
    <w:multiLevelType w:val="multilevel"/>
    <w:tmpl w:val="6E230785"/>
    <w:lvl w:ilvl="0" w:tentative="0">
      <w:start w:val="1"/>
      <w:numFmt w:val="bullet"/>
      <w:pStyle w:val="181"/>
      <w:lvlText w:val=""/>
      <w:lvlJc w:val="left"/>
      <w:pPr>
        <w:tabs>
          <w:tab w:val="left" w:pos="284"/>
        </w:tabs>
        <w:ind w:left="284" w:hanging="284"/>
      </w:pPr>
      <w:rPr>
        <w:rFonts w:hint="default" w:ascii="Wingdings" w:hAnsi="Wingdings" w:eastAsia="宋体"/>
        <w:b w:val="0"/>
        <w:i w:val="0"/>
        <w:color w:val="auto"/>
        <w:position w:val="3"/>
        <w:sz w:val="13"/>
        <w:szCs w:val="13"/>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hkZjhiNmJlZjdlZmEyZDNjYTk1YTRmZTg0YThiNWIifQ=="/>
  </w:docVars>
  <w:rsids>
    <w:rsidRoot w:val="00172A27"/>
    <w:rsid w:val="00020AB1"/>
    <w:rsid w:val="00041F44"/>
    <w:rsid w:val="000B5F88"/>
    <w:rsid w:val="000E5AE6"/>
    <w:rsid w:val="00124155"/>
    <w:rsid w:val="001468B8"/>
    <w:rsid w:val="0017263C"/>
    <w:rsid w:val="001B1A2F"/>
    <w:rsid w:val="001B3037"/>
    <w:rsid w:val="00237DC9"/>
    <w:rsid w:val="002472AC"/>
    <w:rsid w:val="00250F35"/>
    <w:rsid w:val="002C43CF"/>
    <w:rsid w:val="002C5013"/>
    <w:rsid w:val="00306EB5"/>
    <w:rsid w:val="0037066E"/>
    <w:rsid w:val="003D7510"/>
    <w:rsid w:val="00416384"/>
    <w:rsid w:val="0045087E"/>
    <w:rsid w:val="004A44D3"/>
    <w:rsid w:val="004D03D7"/>
    <w:rsid w:val="00526864"/>
    <w:rsid w:val="005531CC"/>
    <w:rsid w:val="00563498"/>
    <w:rsid w:val="005A345F"/>
    <w:rsid w:val="005C471E"/>
    <w:rsid w:val="005F254A"/>
    <w:rsid w:val="00616A76"/>
    <w:rsid w:val="00637F32"/>
    <w:rsid w:val="006617EC"/>
    <w:rsid w:val="006B44C8"/>
    <w:rsid w:val="006D6855"/>
    <w:rsid w:val="006F3492"/>
    <w:rsid w:val="00721933"/>
    <w:rsid w:val="00765354"/>
    <w:rsid w:val="00777356"/>
    <w:rsid w:val="007D192E"/>
    <w:rsid w:val="00825FC0"/>
    <w:rsid w:val="00833D0A"/>
    <w:rsid w:val="00841F23"/>
    <w:rsid w:val="008B066C"/>
    <w:rsid w:val="008F7B8A"/>
    <w:rsid w:val="00903E7B"/>
    <w:rsid w:val="00974D4A"/>
    <w:rsid w:val="00981F01"/>
    <w:rsid w:val="0098496A"/>
    <w:rsid w:val="00993B4E"/>
    <w:rsid w:val="009A228B"/>
    <w:rsid w:val="009D4278"/>
    <w:rsid w:val="009E3274"/>
    <w:rsid w:val="00A21A57"/>
    <w:rsid w:val="00A305D2"/>
    <w:rsid w:val="00A44F05"/>
    <w:rsid w:val="00A55C91"/>
    <w:rsid w:val="00A646DC"/>
    <w:rsid w:val="00A71607"/>
    <w:rsid w:val="00A71B91"/>
    <w:rsid w:val="00A9286A"/>
    <w:rsid w:val="00A972EE"/>
    <w:rsid w:val="00AA54D3"/>
    <w:rsid w:val="00AA57AC"/>
    <w:rsid w:val="00B31877"/>
    <w:rsid w:val="00B770B1"/>
    <w:rsid w:val="00B918F9"/>
    <w:rsid w:val="00BA29B4"/>
    <w:rsid w:val="00BA3144"/>
    <w:rsid w:val="00BB6394"/>
    <w:rsid w:val="00BB6A10"/>
    <w:rsid w:val="00C303FA"/>
    <w:rsid w:val="00C32193"/>
    <w:rsid w:val="00C376EC"/>
    <w:rsid w:val="00C8563D"/>
    <w:rsid w:val="00CD5D6C"/>
    <w:rsid w:val="00CF2028"/>
    <w:rsid w:val="00D05E54"/>
    <w:rsid w:val="00D24FA5"/>
    <w:rsid w:val="00D441CF"/>
    <w:rsid w:val="00D86D5F"/>
    <w:rsid w:val="00D96073"/>
    <w:rsid w:val="00DA3DC5"/>
    <w:rsid w:val="00DB2CFA"/>
    <w:rsid w:val="00DF50F9"/>
    <w:rsid w:val="00E74774"/>
    <w:rsid w:val="00EB390F"/>
    <w:rsid w:val="00EE7D7E"/>
    <w:rsid w:val="00F34351"/>
    <w:rsid w:val="00F44880"/>
    <w:rsid w:val="00FC5182"/>
    <w:rsid w:val="00FD04F6"/>
    <w:rsid w:val="00FD52CF"/>
    <w:rsid w:val="046F5A5A"/>
    <w:rsid w:val="12540805"/>
    <w:rsid w:val="1551774B"/>
    <w:rsid w:val="168722BE"/>
    <w:rsid w:val="17037569"/>
    <w:rsid w:val="21EE69A4"/>
    <w:rsid w:val="239D2D46"/>
    <w:rsid w:val="23F07674"/>
    <w:rsid w:val="25312E6D"/>
    <w:rsid w:val="286E53B8"/>
    <w:rsid w:val="2A550E9B"/>
    <w:rsid w:val="2F3B38B3"/>
    <w:rsid w:val="34904AAA"/>
    <w:rsid w:val="35A429F6"/>
    <w:rsid w:val="37105629"/>
    <w:rsid w:val="372A7B48"/>
    <w:rsid w:val="38FD4B4D"/>
    <w:rsid w:val="398A1058"/>
    <w:rsid w:val="4717607B"/>
    <w:rsid w:val="486033E4"/>
    <w:rsid w:val="4C57076A"/>
    <w:rsid w:val="4DFD71CE"/>
    <w:rsid w:val="4F7311DB"/>
    <w:rsid w:val="54B2604B"/>
    <w:rsid w:val="59063E9E"/>
    <w:rsid w:val="5BB26F04"/>
    <w:rsid w:val="5CEC7061"/>
    <w:rsid w:val="5EE21464"/>
    <w:rsid w:val="604A3BC2"/>
    <w:rsid w:val="60CF5F8C"/>
    <w:rsid w:val="65C45BA1"/>
    <w:rsid w:val="69E926DE"/>
    <w:rsid w:val="6AEC3077"/>
    <w:rsid w:val="6FEA1DE0"/>
    <w:rsid w:val="74477F7D"/>
    <w:rsid w:val="750A3052"/>
    <w:rsid w:val="7CF646E0"/>
    <w:rsid w:val="7E4F54A6"/>
    <w:rsid w:val="7F2524D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39"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iPriority="99"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paragraph" w:styleId="2">
    <w:name w:val="heading 1"/>
    <w:basedOn w:val="1"/>
    <w:next w:val="1"/>
    <w:link w:val="57"/>
    <w:qFormat/>
    <w:uiPriority w:val="9"/>
    <w:pPr>
      <w:keepNext/>
      <w:keepLines/>
      <w:numPr>
        <w:ilvl w:val="0"/>
        <w:numId w:val="1"/>
      </w:numPr>
      <w:spacing w:before="340" w:after="330" w:line="576" w:lineRule="auto"/>
      <w:outlineLvl w:val="0"/>
    </w:pPr>
    <w:rPr>
      <w:rFonts w:ascii="宋体" w:hAnsi="宋体"/>
      <w:b/>
      <w:sz w:val="30"/>
      <w:szCs w:val="20"/>
    </w:rPr>
  </w:style>
  <w:style w:type="paragraph" w:styleId="3">
    <w:name w:val="heading 2"/>
    <w:basedOn w:val="1"/>
    <w:next w:val="4"/>
    <w:link w:val="59"/>
    <w:qFormat/>
    <w:uiPriority w:val="9"/>
    <w:pPr>
      <w:keepNext/>
      <w:keepLines/>
      <w:numPr>
        <w:ilvl w:val="1"/>
        <w:numId w:val="1"/>
      </w:numPr>
      <w:spacing w:before="260" w:after="260" w:line="413" w:lineRule="auto"/>
      <w:outlineLvl w:val="1"/>
    </w:pPr>
    <w:rPr>
      <w:rFonts w:ascii="Cambria" w:hAnsi="Cambria"/>
      <w:b/>
      <w:bCs/>
      <w:kern w:val="0"/>
      <w:sz w:val="32"/>
      <w:szCs w:val="32"/>
    </w:rPr>
  </w:style>
  <w:style w:type="paragraph" w:styleId="5">
    <w:name w:val="heading 3"/>
    <w:basedOn w:val="1"/>
    <w:next w:val="1"/>
    <w:link w:val="60"/>
    <w:qFormat/>
    <w:uiPriority w:val="0"/>
    <w:pPr>
      <w:keepNext/>
      <w:keepLines/>
      <w:numPr>
        <w:ilvl w:val="2"/>
        <w:numId w:val="1"/>
      </w:numPr>
      <w:spacing w:before="260" w:after="260" w:line="413" w:lineRule="auto"/>
      <w:outlineLvl w:val="2"/>
    </w:pPr>
    <w:rPr>
      <w:b/>
      <w:bCs/>
      <w:kern w:val="0"/>
      <w:sz w:val="32"/>
      <w:szCs w:val="32"/>
    </w:rPr>
  </w:style>
  <w:style w:type="paragraph" w:styleId="6">
    <w:name w:val="heading 4"/>
    <w:basedOn w:val="1"/>
    <w:next w:val="1"/>
    <w:link w:val="61"/>
    <w:qFormat/>
    <w:uiPriority w:val="0"/>
    <w:pPr>
      <w:keepNext/>
      <w:keepLines/>
      <w:numPr>
        <w:ilvl w:val="3"/>
        <w:numId w:val="1"/>
      </w:numPr>
      <w:spacing w:before="280" w:after="290" w:line="372" w:lineRule="auto"/>
      <w:outlineLvl w:val="3"/>
    </w:pPr>
    <w:rPr>
      <w:rFonts w:ascii="Cambria" w:hAnsi="Cambria"/>
      <w:b/>
      <w:bCs/>
      <w:kern w:val="0"/>
      <w:sz w:val="28"/>
      <w:szCs w:val="28"/>
    </w:rPr>
  </w:style>
  <w:style w:type="paragraph" w:styleId="7">
    <w:name w:val="heading 5"/>
    <w:basedOn w:val="1"/>
    <w:next w:val="1"/>
    <w:link w:val="62"/>
    <w:qFormat/>
    <w:uiPriority w:val="9"/>
    <w:pPr>
      <w:keepNext/>
      <w:keepLines/>
      <w:numPr>
        <w:ilvl w:val="4"/>
        <w:numId w:val="1"/>
      </w:numPr>
      <w:spacing w:before="280" w:after="290" w:line="372" w:lineRule="auto"/>
      <w:outlineLvl w:val="4"/>
    </w:pPr>
    <w:rPr>
      <w:b/>
      <w:bCs/>
      <w:kern w:val="0"/>
      <w:sz w:val="28"/>
      <w:szCs w:val="28"/>
    </w:rPr>
  </w:style>
  <w:style w:type="paragraph" w:styleId="8">
    <w:name w:val="heading 6"/>
    <w:basedOn w:val="1"/>
    <w:next w:val="1"/>
    <w:link w:val="63"/>
    <w:qFormat/>
    <w:uiPriority w:val="0"/>
    <w:pPr>
      <w:keepNext/>
      <w:keepLines/>
      <w:numPr>
        <w:ilvl w:val="5"/>
        <w:numId w:val="1"/>
      </w:numPr>
      <w:spacing w:before="240" w:after="64" w:line="317" w:lineRule="auto"/>
      <w:outlineLvl w:val="5"/>
    </w:pPr>
    <w:rPr>
      <w:rFonts w:ascii="Cambria" w:hAnsi="Cambria"/>
      <w:b/>
      <w:bCs/>
      <w:kern w:val="0"/>
      <w:sz w:val="24"/>
    </w:rPr>
  </w:style>
  <w:style w:type="paragraph" w:styleId="9">
    <w:name w:val="heading 7"/>
    <w:basedOn w:val="1"/>
    <w:next w:val="1"/>
    <w:link w:val="64"/>
    <w:qFormat/>
    <w:uiPriority w:val="0"/>
    <w:pPr>
      <w:keepNext/>
      <w:keepLines/>
      <w:numPr>
        <w:ilvl w:val="6"/>
        <w:numId w:val="1"/>
      </w:numPr>
      <w:spacing w:before="240" w:after="64" w:line="317" w:lineRule="auto"/>
      <w:outlineLvl w:val="6"/>
    </w:pPr>
    <w:rPr>
      <w:b/>
      <w:bCs/>
      <w:kern w:val="0"/>
      <w:sz w:val="24"/>
    </w:rPr>
  </w:style>
  <w:style w:type="paragraph" w:styleId="10">
    <w:name w:val="heading 8"/>
    <w:basedOn w:val="1"/>
    <w:next w:val="1"/>
    <w:link w:val="65"/>
    <w:qFormat/>
    <w:uiPriority w:val="0"/>
    <w:pPr>
      <w:keepNext/>
      <w:keepLines/>
      <w:numPr>
        <w:ilvl w:val="7"/>
        <w:numId w:val="1"/>
      </w:numPr>
      <w:spacing w:before="240" w:after="64" w:line="317" w:lineRule="auto"/>
      <w:outlineLvl w:val="7"/>
    </w:pPr>
    <w:rPr>
      <w:rFonts w:ascii="Cambria" w:hAnsi="Cambria"/>
      <w:kern w:val="0"/>
      <w:sz w:val="24"/>
    </w:rPr>
  </w:style>
  <w:style w:type="paragraph" w:styleId="11">
    <w:name w:val="heading 9"/>
    <w:basedOn w:val="1"/>
    <w:next w:val="1"/>
    <w:link w:val="66"/>
    <w:qFormat/>
    <w:uiPriority w:val="0"/>
    <w:pPr>
      <w:keepNext/>
      <w:keepLines/>
      <w:numPr>
        <w:ilvl w:val="8"/>
        <w:numId w:val="1"/>
      </w:numPr>
      <w:spacing w:before="240" w:after="64" w:line="317" w:lineRule="auto"/>
      <w:outlineLvl w:val="8"/>
    </w:pPr>
    <w:rPr>
      <w:rFonts w:ascii="Cambria" w:hAnsi="Cambria"/>
      <w:kern w:val="0"/>
      <w:sz w:val="20"/>
      <w:szCs w:val="21"/>
    </w:rPr>
  </w:style>
  <w:style w:type="character" w:default="1" w:styleId="42">
    <w:name w:val="Default Paragraph Font"/>
    <w:uiPriority w:val="0"/>
  </w:style>
  <w:style w:type="table" w:default="1" w:styleId="40">
    <w:name w:val="Normal Table"/>
    <w:semiHidden/>
    <w:uiPriority w:val="0"/>
    <w:tblPr>
      <w:tblStyle w:val="40"/>
      <w:tblCellMar>
        <w:top w:w="0" w:type="dxa"/>
        <w:left w:w="108" w:type="dxa"/>
        <w:bottom w:w="0" w:type="dxa"/>
        <w:right w:w="108" w:type="dxa"/>
      </w:tblCellMar>
    </w:tblPr>
  </w:style>
  <w:style w:type="paragraph" w:styleId="4">
    <w:name w:val="Normal Indent"/>
    <w:basedOn w:val="1"/>
    <w:link w:val="58"/>
    <w:qFormat/>
    <w:uiPriority w:val="0"/>
    <w:pPr>
      <w:ind w:firstLine="420"/>
    </w:pPr>
    <w:rPr>
      <w:rFonts w:ascii="Calibri" w:hAnsi="Calibri"/>
      <w:szCs w:val="22"/>
    </w:rPr>
  </w:style>
  <w:style w:type="paragraph" w:styleId="12">
    <w:name w:val="toc 7"/>
    <w:basedOn w:val="1"/>
    <w:next w:val="1"/>
    <w:uiPriority w:val="0"/>
    <w:pPr>
      <w:ind w:left="2520" w:leftChars="1200"/>
    </w:pPr>
  </w:style>
  <w:style w:type="paragraph" w:styleId="13">
    <w:name w:val="caption"/>
    <w:basedOn w:val="1"/>
    <w:next w:val="1"/>
    <w:qFormat/>
    <w:uiPriority w:val="0"/>
    <w:rPr>
      <w:rFonts w:ascii="Arial" w:hAnsi="Arial" w:eastAsia="黑体" w:cs="Arial"/>
      <w:sz w:val="20"/>
      <w:szCs w:val="20"/>
    </w:rPr>
  </w:style>
  <w:style w:type="paragraph" w:styleId="14">
    <w:name w:val="Document Map"/>
    <w:basedOn w:val="1"/>
    <w:link w:val="67"/>
    <w:uiPriority w:val="0"/>
    <w:rPr>
      <w:rFonts w:ascii="宋体" w:hAnsi="Calibri"/>
      <w:sz w:val="18"/>
      <w:szCs w:val="18"/>
    </w:rPr>
  </w:style>
  <w:style w:type="paragraph" w:styleId="15">
    <w:name w:val="annotation text"/>
    <w:basedOn w:val="1"/>
    <w:link w:val="68"/>
    <w:qFormat/>
    <w:uiPriority w:val="0"/>
    <w:pPr>
      <w:widowControl/>
      <w:jc w:val="left"/>
    </w:pPr>
    <w:rPr>
      <w:rFonts w:ascii="宋体" w:hAnsi="宋体"/>
      <w:szCs w:val="20"/>
    </w:rPr>
  </w:style>
  <w:style w:type="paragraph" w:styleId="16">
    <w:name w:val="Body Text 3"/>
    <w:basedOn w:val="1"/>
    <w:link w:val="69"/>
    <w:unhideWhenUsed/>
    <w:qFormat/>
    <w:uiPriority w:val="99"/>
    <w:pPr>
      <w:spacing w:after="120"/>
    </w:pPr>
    <w:rPr>
      <w:sz w:val="16"/>
      <w:szCs w:val="16"/>
    </w:rPr>
  </w:style>
  <w:style w:type="paragraph" w:styleId="17">
    <w:name w:val="Body Text"/>
    <w:basedOn w:val="1"/>
    <w:link w:val="70"/>
    <w:qFormat/>
    <w:uiPriority w:val="99"/>
    <w:pPr>
      <w:widowControl/>
    </w:pPr>
    <w:rPr>
      <w:rFonts w:ascii="宋体" w:hAnsi="宋体"/>
      <w:sz w:val="28"/>
      <w:szCs w:val="22"/>
    </w:rPr>
  </w:style>
  <w:style w:type="paragraph" w:styleId="18">
    <w:name w:val="Body Text Indent"/>
    <w:basedOn w:val="1"/>
    <w:link w:val="71"/>
    <w:qFormat/>
    <w:uiPriority w:val="0"/>
    <w:pPr>
      <w:spacing w:before="120" w:beforeLines="0" w:after="120" w:afterLines="0" w:line="360" w:lineRule="auto"/>
      <w:ind w:left="420" w:leftChars="200"/>
    </w:pPr>
    <w:rPr>
      <w:sz w:val="24"/>
      <w:szCs w:val="20"/>
    </w:rPr>
  </w:style>
  <w:style w:type="paragraph" w:styleId="19">
    <w:name w:val="List Number 3"/>
    <w:basedOn w:val="1"/>
    <w:uiPriority w:val="0"/>
    <w:pPr>
      <w:widowControl/>
      <w:numPr>
        <w:ilvl w:val="0"/>
        <w:numId w:val="2"/>
      </w:numPr>
      <w:tabs>
        <w:tab w:val="left" w:pos="482"/>
      </w:tabs>
      <w:spacing w:after="50" w:afterLines="50"/>
      <w:ind w:left="482" w:hanging="340"/>
      <w:jc w:val="left"/>
    </w:pPr>
    <w:rPr>
      <w:kern w:val="0"/>
      <w:sz w:val="24"/>
      <w:szCs w:val="20"/>
    </w:rPr>
  </w:style>
  <w:style w:type="paragraph" w:styleId="20">
    <w:name w:val="toc 5"/>
    <w:basedOn w:val="1"/>
    <w:next w:val="1"/>
    <w:uiPriority w:val="0"/>
    <w:pPr>
      <w:ind w:left="1680" w:leftChars="800"/>
    </w:pPr>
  </w:style>
  <w:style w:type="paragraph" w:styleId="21">
    <w:name w:val="toc 3"/>
    <w:basedOn w:val="1"/>
    <w:next w:val="1"/>
    <w:uiPriority w:val="39"/>
    <w:pPr>
      <w:ind w:left="840" w:leftChars="400"/>
    </w:pPr>
  </w:style>
  <w:style w:type="paragraph" w:styleId="22">
    <w:name w:val="Plain Text"/>
    <w:basedOn w:val="1"/>
    <w:link w:val="72"/>
    <w:qFormat/>
    <w:uiPriority w:val="0"/>
    <w:rPr>
      <w:rFonts w:ascii="宋体" w:hAnsi="Courier New"/>
      <w:szCs w:val="21"/>
    </w:rPr>
  </w:style>
  <w:style w:type="paragraph" w:styleId="23">
    <w:name w:val="toc 8"/>
    <w:basedOn w:val="1"/>
    <w:next w:val="1"/>
    <w:uiPriority w:val="0"/>
    <w:pPr>
      <w:ind w:left="2940" w:leftChars="1400"/>
    </w:pPr>
  </w:style>
  <w:style w:type="paragraph" w:styleId="24">
    <w:name w:val="Date"/>
    <w:basedOn w:val="1"/>
    <w:next w:val="1"/>
    <w:link w:val="73"/>
    <w:qFormat/>
    <w:uiPriority w:val="0"/>
    <w:pPr>
      <w:ind w:left="100" w:leftChars="2500"/>
    </w:pPr>
    <w:rPr>
      <w:rFonts w:ascii="宋体" w:hAnsi="宋体"/>
      <w:color w:val="000000"/>
      <w:sz w:val="24"/>
    </w:rPr>
  </w:style>
  <w:style w:type="paragraph" w:styleId="25">
    <w:name w:val="Balloon Text"/>
    <w:basedOn w:val="1"/>
    <w:link w:val="74"/>
    <w:qFormat/>
    <w:uiPriority w:val="99"/>
    <w:rPr>
      <w:sz w:val="18"/>
      <w:szCs w:val="18"/>
    </w:rPr>
  </w:style>
  <w:style w:type="paragraph" w:styleId="26">
    <w:name w:val="footer"/>
    <w:basedOn w:val="1"/>
    <w:link w:val="75"/>
    <w:qFormat/>
    <w:uiPriority w:val="99"/>
    <w:pPr>
      <w:tabs>
        <w:tab w:val="center" w:pos="4153"/>
        <w:tab w:val="right" w:pos="8306"/>
      </w:tabs>
      <w:snapToGrid w:val="0"/>
      <w:jc w:val="left"/>
    </w:pPr>
    <w:rPr>
      <w:sz w:val="18"/>
      <w:szCs w:val="20"/>
    </w:rPr>
  </w:style>
  <w:style w:type="paragraph" w:styleId="27">
    <w:name w:val="header"/>
    <w:basedOn w:val="1"/>
    <w:link w:val="76"/>
    <w:qFormat/>
    <w:uiPriority w:val="99"/>
    <w:pPr>
      <w:pBdr>
        <w:bottom w:val="single" w:color="auto" w:sz="6" w:space="1"/>
      </w:pBdr>
      <w:tabs>
        <w:tab w:val="center" w:pos="4153"/>
        <w:tab w:val="right" w:pos="8306"/>
      </w:tabs>
      <w:snapToGrid w:val="0"/>
      <w:jc w:val="center"/>
    </w:pPr>
    <w:rPr>
      <w:rFonts w:ascii="宋体"/>
      <w:kern w:val="0"/>
      <w:sz w:val="18"/>
      <w:szCs w:val="20"/>
    </w:rPr>
  </w:style>
  <w:style w:type="paragraph" w:styleId="28">
    <w:name w:val="toc 1"/>
    <w:basedOn w:val="1"/>
    <w:next w:val="1"/>
    <w:qFormat/>
    <w:uiPriority w:val="39"/>
  </w:style>
  <w:style w:type="paragraph" w:styleId="29">
    <w:name w:val="toc 4"/>
    <w:basedOn w:val="1"/>
    <w:next w:val="1"/>
    <w:uiPriority w:val="0"/>
    <w:pPr>
      <w:ind w:left="1260" w:leftChars="600"/>
    </w:pPr>
  </w:style>
  <w:style w:type="paragraph" w:styleId="30">
    <w:name w:val="toc 6"/>
    <w:basedOn w:val="1"/>
    <w:next w:val="1"/>
    <w:qFormat/>
    <w:uiPriority w:val="0"/>
    <w:pPr>
      <w:ind w:left="2100" w:leftChars="1000"/>
    </w:pPr>
  </w:style>
  <w:style w:type="paragraph" w:styleId="31">
    <w:name w:val="Body Text Indent 3"/>
    <w:basedOn w:val="1"/>
    <w:link w:val="77"/>
    <w:uiPriority w:val="0"/>
    <w:pPr>
      <w:spacing w:after="120"/>
      <w:ind w:left="420" w:leftChars="200"/>
    </w:pPr>
    <w:rPr>
      <w:sz w:val="16"/>
      <w:szCs w:val="16"/>
    </w:rPr>
  </w:style>
  <w:style w:type="paragraph" w:styleId="32">
    <w:name w:val="toc 2"/>
    <w:basedOn w:val="1"/>
    <w:next w:val="1"/>
    <w:qFormat/>
    <w:uiPriority w:val="39"/>
    <w:pPr>
      <w:ind w:left="420" w:leftChars="200"/>
    </w:pPr>
  </w:style>
  <w:style w:type="paragraph" w:styleId="33">
    <w:name w:val="toc 9"/>
    <w:basedOn w:val="1"/>
    <w:next w:val="1"/>
    <w:uiPriority w:val="0"/>
    <w:pPr>
      <w:ind w:left="3360" w:leftChars="1600"/>
    </w:pPr>
  </w:style>
  <w:style w:type="paragraph" w:styleId="34">
    <w:name w:val="HTML Preformatted"/>
    <w:basedOn w:val="1"/>
    <w:link w:val="78"/>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35">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36">
    <w:name w:val="Title"/>
    <w:basedOn w:val="1"/>
    <w:next w:val="1"/>
    <w:link w:val="85"/>
    <w:qFormat/>
    <w:uiPriority w:val="0"/>
    <w:pPr>
      <w:spacing w:before="240" w:after="60"/>
      <w:jc w:val="center"/>
      <w:outlineLvl w:val="0"/>
    </w:pPr>
    <w:rPr>
      <w:rFonts w:ascii="Cambria" w:hAnsi="Cambria"/>
      <w:b/>
      <w:bCs/>
      <w:sz w:val="32"/>
      <w:szCs w:val="32"/>
    </w:rPr>
  </w:style>
  <w:style w:type="paragraph" w:styleId="37">
    <w:name w:val="annotation subject"/>
    <w:basedOn w:val="15"/>
    <w:next w:val="15"/>
    <w:link w:val="80"/>
    <w:uiPriority w:val="0"/>
    <w:pPr>
      <w:widowControl w:val="0"/>
    </w:pPr>
    <w:rPr>
      <w:rFonts w:ascii="Times New Roman" w:hAnsi="Times New Roman"/>
      <w:b/>
      <w:bCs/>
      <w:szCs w:val="24"/>
    </w:rPr>
  </w:style>
  <w:style w:type="paragraph" w:styleId="38">
    <w:name w:val="Body Text First Indent"/>
    <w:basedOn w:val="17"/>
    <w:link w:val="81"/>
    <w:uiPriority w:val="0"/>
    <w:pPr>
      <w:widowControl w:val="0"/>
      <w:spacing w:after="120"/>
      <w:ind w:firstLine="420" w:firstLineChars="100"/>
    </w:pPr>
    <w:rPr>
      <w:rFonts w:ascii="Calibri" w:hAnsi="Calibri"/>
      <w:sz w:val="21"/>
    </w:rPr>
  </w:style>
  <w:style w:type="paragraph" w:styleId="39">
    <w:name w:val="Body Text First Indent 2"/>
    <w:basedOn w:val="18"/>
    <w:link w:val="86"/>
    <w:uiPriority w:val="0"/>
    <w:pPr>
      <w:spacing w:before="0" w:line="240" w:lineRule="auto"/>
      <w:ind w:firstLine="420" w:firstLineChars="200"/>
    </w:pPr>
    <w:rPr>
      <w:sz w:val="21"/>
      <w:szCs w:val="24"/>
    </w:rPr>
  </w:style>
  <w:style w:type="table" w:styleId="41">
    <w:name w:val="Table Grid"/>
    <w:basedOn w:val="40"/>
    <w:uiPriority w:val="0"/>
    <w:pPr>
      <w:widowControl w:val="0"/>
      <w:jc w:val="both"/>
    </w:pPr>
    <w:tblPr>
      <w:tblStyle w:val="40"/>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3">
    <w:name w:val="Strong"/>
    <w:qFormat/>
    <w:uiPriority w:val="0"/>
  </w:style>
  <w:style w:type="character" w:styleId="44">
    <w:name w:val="page number"/>
    <w:basedOn w:val="42"/>
    <w:uiPriority w:val="0"/>
  </w:style>
  <w:style w:type="character" w:styleId="45">
    <w:name w:val="FollowedHyperlink"/>
    <w:basedOn w:val="42"/>
    <w:qFormat/>
    <w:uiPriority w:val="99"/>
    <w:rPr>
      <w:color w:val="800080"/>
      <w:u w:val="none"/>
    </w:rPr>
  </w:style>
  <w:style w:type="character" w:styleId="46">
    <w:name w:val="Emphasis"/>
    <w:qFormat/>
    <w:uiPriority w:val="0"/>
  </w:style>
  <w:style w:type="character" w:styleId="47">
    <w:name w:val="HTML Definition"/>
    <w:uiPriority w:val="0"/>
  </w:style>
  <w:style w:type="character" w:styleId="48">
    <w:name w:val="HTML Typewriter"/>
    <w:uiPriority w:val="0"/>
    <w:rPr>
      <w:rFonts w:ascii="monospace" w:hAnsi="monospace" w:eastAsia="monospace" w:cs="monospace"/>
      <w:sz w:val="20"/>
    </w:rPr>
  </w:style>
  <w:style w:type="character" w:styleId="49">
    <w:name w:val="HTML Acronym"/>
    <w:basedOn w:val="42"/>
    <w:uiPriority w:val="0"/>
  </w:style>
  <w:style w:type="character" w:styleId="50">
    <w:name w:val="HTML Variable"/>
    <w:uiPriority w:val="0"/>
  </w:style>
  <w:style w:type="character" w:styleId="51">
    <w:name w:val="Hyperlink"/>
    <w:basedOn w:val="42"/>
    <w:qFormat/>
    <w:uiPriority w:val="99"/>
    <w:rPr>
      <w:color w:val="0000FF"/>
      <w:u w:val="none"/>
    </w:rPr>
  </w:style>
  <w:style w:type="character" w:styleId="52">
    <w:name w:val="HTML Code"/>
    <w:uiPriority w:val="0"/>
    <w:rPr>
      <w:rFonts w:hint="default" w:ascii="monospace" w:hAnsi="monospace" w:eastAsia="monospace" w:cs="monospace"/>
      <w:sz w:val="20"/>
    </w:rPr>
  </w:style>
  <w:style w:type="character" w:styleId="53">
    <w:name w:val="annotation reference"/>
    <w:qFormat/>
    <w:uiPriority w:val="0"/>
    <w:rPr>
      <w:sz w:val="21"/>
      <w:szCs w:val="21"/>
    </w:rPr>
  </w:style>
  <w:style w:type="character" w:styleId="54">
    <w:name w:val="HTML Cite"/>
    <w:uiPriority w:val="0"/>
  </w:style>
  <w:style w:type="character" w:styleId="55">
    <w:name w:val="HTML Keyboard"/>
    <w:uiPriority w:val="0"/>
    <w:rPr>
      <w:rFonts w:hint="default" w:ascii="monospace" w:hAnsi="monospace" w:eastAsia="monospace" w:cs="monospace"/>
      <w:sz w:val="20"/>
    </w:rPr>
  </w:style>
  <w:style w:type="character" w:styleId="56">
    <w:name w:val="HTML Sample"/>
    <w:uiPriority w:val="0"/>
    <w:rPr>
      <w:rFonts w:hint="default" w:ascii="monospace" w:hAnsi="monospace" w:eastAsia="monospace" w:cs="monospace"/>
    </w:rPr>
  </w:style>
  <w:style w:type="character" w:customStyle="1" w:styleId="57">
    <w:name w:val="标题 1 Char"/>
    <w:link w:val="2"/>
    <w:qFormat/>
    <w:uiPriority w:val="9"/>
    <w:rPr>
      <w:rFonts w:ascii="宋体" w:hAnsi="宋体"/>
      <w:b/>
      <w:kern w:val="2"/>
      <w:sz w:val="30"/>
    </w:rPr>
  </w:style>
  <w:style w:type="character" w:customStyle="1" w:styleId="58">
    <w:name w:val="正文缩进 Char"/>
    <w:link w:val="4"/>
    <w:qFormat/>
    <w:uiPriority w:val="0"/>
    <w:rPr>
      <w:rFonts w:ascii="Calibri" w:hAnsi="Calibri" w:eastAsia="宋体"/>
      <w:kern w:val="2"/>
      <w:sz w:val="21"/>
      <w:szCs w:val="22"/>
      <w:lang w:val="en-US" w:eastAsia="zh-CN" w:bidi="ar-SA"/>
    </w:rPr>
  </w:style>
  <w:style w:type="character" w:customStyle="1" w:styleId="59">
    <w:name w:val="标题 2 Char"/>
    <w:link w:val="3"/>
    <w:qFormat/>
    <w:uiPriority w:val="9"/>
    <w:rPr>
      <w:rFonts w:ascii="Cambria" w:hAnsi="Cambria"/>
      <w:b/>
      <w:bCs/>
      <w:sz w:val="32"/>
      <w:szCs w:val="32"/>
    </w:rPr>
  </w:style>
  <w:style w:type="character" w:customStyle="1" w:styleId="60">
    <w:name w:val="标题 3 Char"/>
    <w:link w:val="5"/>
    <w:qFormat/>
    <w:uiPriority w:val="0"/>
    <w:rPr>
      <w:b/>
      <w:bCs/>
      <w:sz w:val="32"/>
      <w:szCs w:val="32"/>
    </w:rPr>
  </w:style>
  <w:style w:type="character" w:customStyle="1" w:styleId="61">
    <w:name w:val="标题 4 Char"/>
    <w:link w:val="6"/>
    <w:qFormat/>
    <w:uiPriority w:val="0"/>
    <w:rPr>
      <w:rFonts w:ascii="Cambria" w:hAnsi="Cambria"/>
      <w:b/>
      <w:bCs/>
      <w:sz w:val="28"/>
      <w:szCs w:val="28"/>
    </w:rPr>
  </w:style>
  <w:style w:type="character" w:customStyle="1" w:styleId="62">
    <w:name w:val="标题 5 Char"/>
    <w:link w:val="7"/>
    <w:qFormat/>
    <w:uiPriority w:val="9"/>
    <w:rPr>
      <w:b/>
      <w:bCs/>
      <w:sz w:val="28"/>
      <w:szCs w:val="28"/>
    </w:rPr>
  </w:style>
  <w:style w:type="character" w:customStyle="1" w:styleId="63">
    <w:name w:val="标题 6 Char"/>
    <w:link w:val="8"/>
    <w:uiPriority w:val="0"/>
    <w:rPr>
      <w:rFonts w:ascii="Cambria" w:hAnsi="Cambria"/>
      <w:b/>
      <w:bCs/>
      <w:sz w:val="24"/>
      <w:szCs w:val="24"/>
    </w:rPr>
  </w:style>
  <w:style w:type="character" w:customStyle="1" w:styleId="64">
    <w:name w:val="标题 7 Char"/>
    <w:link w:val="9"/>
    <w:uiPriority w:val="0"/>
    <w:rPr>
      <w:b/>
      <w:bCs/>
      <w:sz w:val="24"/>
      <w:szCs w:val="24"/>
    </w:rPr>
  </w:style>
  <w:style w:type="character" w:customStyle="1" w:styleId="65">
    <w:name w:val="标题 8 Char"/>
    <w:link w:val="10"/>
    <w:uiPriority w:val="0"/>
    <w:rPr>
      <w:rFonts w:ascii="Cambria" w:hAnsi="Cambria"/>
      <w:sz w:val="24"/>
      <w:szCs w:val="24"/>
    </w:rPr>
  </w:style>
  <w:style w:type="character" w:customStyle="1" w:styleId="66">
    <w:name w:val="标题 9 Char"/>
    <w:link w:val="11"/>
    <w:uiPriority w:val="0"/>
    <w:rPr>
      <w:rFonts w:ascii="Cambria" w:hAnsi="Cambria"/>
      <w:szCs w:val="21"/>
    </w:rPr>
  </w:style>
  <w:style w:type="character" w:customStyle="1" w:styleId="67">
    <w:name w:val="文档结构图 Char"/>
    <w:link w:val="14"/>
    <w:qFormat/>
    <w:uiPriority w:val="0"/>
    <w:rPr>
      <w:rFonts w:ascii="宋体" w:hAnsi="Calibri"/>
      <w:kern w:val="2"/>
      <w:sz w:val="18"/>
      <w:szCs w:val="18"/>
      <w:lang w:bidi="ar-SA"/>
    </w:rPr>
  </w:style>
  <w:style w:type="character" w:customStyle="1" w:styleId="68">
    <w:name w:val="批注文字 Char"/>
    <w:link w:val="15"/>
    <w:uiPriority w:val="0"/>
    <w:rPr>
      <w:rFonts w:ascii="宋体" w:hAnsi="宋体" w:eastAsia="宋体"/>
      <w:kern w:val="2"/>
      <w:sz w:val="21"/>
      <w:lang w:bidi="ar-SA"/>
    </w:rPr>
  </w:style>
  <w:style w:type="character" w:customStyle="1" w:styleId="69">
    <w:name w:val="正文文本 3 Char"/>
    <w:basedOn w:val="42"/>
    <w:link w:val="16"/>
    <w:uiPriority w:val="99"/>
    <w:rPr>
      <w:kern w:val="2"/>
      <w:sz w:val="16"/>
      <w:szCs w:val="16"/>
    </w:rPr>
  </w:style>
  <w:style w:type="character" w:customStyle="1" w:styleId="70">
    <w:name w:val="正文文本 Char"/>
    <w:link w:val="17"/>
    <w:qFormat/>
    <w:uiPriority w:val="99"/>
    <w:rPr>
      <w:rFonts w:ascii="宋体" w:hAnsi="宋体"/>
      <w:kern w:val="2"/>
      <w:sz w:val="28"/>
      <w:szCs w:val="22"/>
      <w:lang w:bidi="ar-SA"/>
    </w:rPr>
  </w:style>
  <w:style w:type="character" w:customStyle="1" w:styleId="71">
    <w:name w:val="正文文本缩进 Char1"/>
    <w:basedOn w:val="42"/>
    <w:link w:val="18"/>
    <w:uiPriority w:val="0"/>
    <w:rPr>
      <w:kern w:val="2"/>
      <w:sz w:val="24"/>
    </w:rPr>
  </w:style>
  <w:style w:type="character" w:customStyle="1" w:styleId="72">
    <w:name w:val="纯文本 Char"/>
    <w:link w:val="22"/>
    <w:locked/>
    <w:uiPriority w:val="0"/>
    <w:rPr>
      <w:rFonts w:ascii="宋体" w:hAnsi="Courier New" w:cs="Courier New"/>
      <w:kern w:val="2"/>
      <w:sz w:val="21"/>
      <w:szCs w:val="21"/>
    </w:rPr>
  </w:style>
  <w:style w:type="character" w:customStyle="1" w:styleId="73">
    <w:name w:val="日期 Char"/>
    <w:link w:val="24"/>
    <w:qFormat/>
    <w:uiPriority w:val="0"/>
    <w:rPr>
      <w:rFonts w:ascii="宋体" w:hAnsi="宋体"/>
      <w:color w:val="000000"/>
      <w:kern w:val="2"/>
      <w:sz w:val="24"/>
      <w:szCs w:val="24"/>
    </w:rPr>
  </w:style>
  <w:style w:type="character" w:customStyle="1" w:styleId="74">
    <w:name w:val="批注框文本 Char"/>
    <w:link w:val="25"/>
    <w:qFormat/>
    <w:uiPriority w:val="99"/>
    <w:rPr>
      <w:kern w:val="2"/>
      <w:sz w:val="18"/>
      <w:szCs w:val="18"/>
    </w:rPr>
  </w:style>
  <w:style w:type="character" w:customStyle="1" w:styleId="75">
    <w:name w:val="页脚 Char"/>
    <w:link w:val="26"/>
    <w:qFormat/>
    <w:uiPriority w:val="99"/>
    <w:rPr>
      <w:rFonts w:eastAsia="宋体"/>
      <w:kern w:val="2"/>
      <w:sz w:val="18"/>
      <w:lang w:val="en-US" w:eastAsia="zh-CN" w:bidi="ar-SA"/>
    </w:rPr>
  </w:style>
  <w:style w:type="character" w:customStyle="1" w:styleId="76">
    <w:name w:val="页眉 Char"/>
    <w:link w:val="27"/>
    <w:qFormat/>
    <w:uiPriority w:val="99"/>
    <w:rPr>
      <w:rFonts w:ascii="宋体" w:eastAsia="宋体"/>
      <w:sz w:val="18"/>
      <w:lang w:val="en-US" w:eastAsia="zh-CN" w:bidi="ar-SA"/>
    </w:rPr>
  </w:style>
  <w:style w:type="character" w:customStyle="1" w:styleId="77">
    <w:name w:val="正文文本缩进 3 Char"/>
    <w:link w:val="31"/>
    <w:uiPriority w:val="0"/>
    <w:rPr>
      <w:kern w:val="2"/>
      <w:sz w:val="16"/>
      <w:szCs w:val="16"/>
    </w:rPr>
  </w:style>
  <w:style w:type="character" w:customStyle="1" w:styleId="78">
    <w:name w:val="HTML 预设格式 Char"/>
    <w:link w:val="34"/>
    <w:qFormat/>
    <w:uiPriority w:val="0"/>
    <w:rPr>
      <w:rFonts w:ascii="宋体" w:hAnsi="宋体"/>
      <w:sz w:val="24"/>
      <w:szCs w:val="24"/>
    </w:rPr>
  </w:style>
  <w:style w:type="character" w:customStyle="1" w:styleId="79">
    <w:name w:val="标题 Char"/>
    <w:link w:val="36"/>
    <w:uiPriority w:val="0"/>
    <w:rPr>
      <w:rFonts w:ascii="Cambria" w:hAnsi="Cambria"/>
      <w:b/>
      <w:bCs/>
      <w:kern w:val="2"/>
      <w:sz w:val="32"/>
      <w:szCs w:val="32"/>
    </w:rPr>
  </w:style>
  <w:style w:type="character" w:customStyle="1" w:styleId="80">
    <w:name w:val="批注主题 Char"/>
    <w:basedOn w:val="68"/>
    <w:link w:val="37"/>
    <w:uiPriority w:val="0"/>
    <w:rPr>
      <w:b/>
      <w:bCs/>
      <w:szCs w:val="24"/>
    </w:rPr>
  </w:style>
  <w:style w:type="character" w:customStyle="1" w:styleId="81">
    <w:name w:val="正文首行缩进 Char"/>
    <w:link w:val="38"/>
    <w:uiPriority w:val="0"/>
    <w:rPr>
      <w:rFonts w:ascii="Calibri" w:hAnsi="Calibri"/>
      <w:kern w:val="2"/>
      <w:sz w:val="21"/>
      <w:szCs w:val="22"/>
      <w:lang w:bidi="ar-SA"/>
    </w:rPr>
  </w:style>
  <w:style w:type="character" w:customStyle="1" w:styleId="82">
    <w:name w:val="正文首行缩进 2 Char"/>
    <w:basedOn w:val="83"/>
    <w:link w:val="39"/>
    <w:uiPriority w:val="0"/>
    <w:rPr>
      <w:szCs w:val="24"/>
    </w:rPr>
  </w:style>
  <w:style w:type="character" w:customStyle="1" w:styleId="83">
    <w:name w:val="正文文本缩进 Char"/>
    <w:link w:val="84"/>
    <w:qFormat/>
    <w:uiPriority w:val="0"/>
    <w:rPr>
      <w:rFonts w:ascii="Calibri" w:hAnsi="Calibri" w:eastAsia="宋体"/>
      <w:kern w:val="2"/>
      <w:sz w:val="21"/>
      <w:szCs w:val="22"/>
      <w:lang w:val="en-US" w:eastAsia="zh-CN" w:bidi="ar-SA"/>
    </w:rPr>
  </w:style>
  <w:style w:type="paragraph" w:customStyle="1" w:styleId="84">
    <w:name w:val="Body Text Indent"/>
    <w:basedOn w:val="1"/>
    <w:link w:val="83"/>
    <w:uiPriority w:val="0"/>
    <w:pPr>
      <w:spacing w:after="120"/>
      <w:ind w:left="420" w:leftChars="200"/>
    </w:pPr>
    <w:rPr>
      <w:rFonts w:ascii="Calibri" w:hAnsi="Calibri"/>
      <w:szCs w:val="22"/>
    </w:rPr>
  </w:style>
  <w:style w:type="character" w:customStyle="1" w:styleId="85">
    <w:name w:val="标题 Char1"/>
    <w:basedOn w:val="42"/>
    <w:link w:val="36"/>
    <w:uiPriority w:val="0"/>
    <w:rPr>
      <w:rFonts w:ascii="Cambria" w:hAnsi="Cambria" w:cs="Times New Roman"/>
      <w:b/>
      <w:bCs/>
      <w:kern w:val="2"/>
      <w:sz w:val="32"/>
      <w:szCs w:val="32"/>
    </w:rPr>
  </w:style>
  <w:style w:type="character" w:customStyle="1" w:styleId="86">
    <w:name w:val="正文首行缩进 2 Char1"/>
    <w:basedOn w:val="71"/>
    <w:link w:val="39"/>
    <w:uiPriority w:val="0"/>
  </w:style>
  <w:style w:type="character" w:customStyle="1" w:styleId="87">
    <w:name w:val="正文缩进2字符 Char"/>
    <w:link w:val="88"/>
    <w:uiPriority w:val="0"/>
    <w:rPr>
      <w:rFonts w:eastAsia="宋体"/>
      <w:kern w:val="2"/>
      <w:sz w:val="24"/>
      <w:lang w:val="en-US" w:eastAsia="zh-CN" w:bidi="ar-SA"/>
    </w:rPr>
  </w:style>
  <w:style w:type="paragraph" w:customStyle="1" w:styleId="88">
    <w:name w:val="正文缩进2字符"/>
    <w:basedOn w:val="1"/>
    <w:link w:val="87"/>
    <w:qFormat/>
    <w:uiPriority w:val="0"/>
    <w:pPr>
      <w:spacing w:line="360" w:lineRule="auto"/>
      <w:ind w:firstLine="200" w:firstLineChars="200"/>
      <w:jc w:val="left"/>
    </w:pPr>
    <w:rPr>
      <w:sz w:val="24"/>
      <w:szCs w:val="20"/>
    </w:rPr>
  </w:style>
  <w:style w:type="character" w:customStyle="1" w:styleId="89">
    <w:name w:val="正文2 Char Char"/>
    <w:link w:val="90"/>
    <w:qFormat/>
    <w:uiPriority w:val="0"/>
    <w:rPr>
      <w:kern w:val="2"/>
      <w:sz w:val="24"/>
    </w:rPr>
  </w:style>
  <w:style w:type="paragraph" w:customStyle="1" w:styleId="90">
    <w:name w:val="正文2"/>
    <w:basedOn w:val="1"/>
    <w:link w:val="89"/>
    <w:qFormat/>
    <w:uiPriority w:val="0"/>
    <w:pPr>
      <w:adjustRightInd w:val="0"/>
      <w:spacing w:before="156" w:line="360" w:lineRule="auto"/>
      <w:ind w:firstLine="510" w:firstLineChars="200"/>
    </w:pPr>
    <w:rPr>
      <w:sz w:val="24"/>
      <w:szCs w:val="20"/>
    </w:rPr>
  </w:style>
  <w:style w:type="character" w:customStyle="1" w:styleId="91">
    <w:name w:val="编号 Char"/>
    <w:aliases w:val="列出段落 Char,列出段落1 Char"/>
    <w:link w:val="92"/>
    <w:qFormat/>
    <w:uiPriority w:val="34"/>
    <w:rPr>
      <w:rFonts w:ascii="Arial" w:hAnsi="Arial" w:eastAsia="宋体"/>
      <w:kern w:val="2"/>
      <w:sz w:val="24"/>
      <w:lang w:val="en-US" w:eastAsia="zh-CN" w:bidi="ar-SA"/>
    </w:rPr>
  </w:style>
  <w:style w:type="paragraph" w:customStyle="1" w:styleId="92">
    <w:name w:val="编号"/>
    <w:basedOn w:val="1"/>
    <w:next w:val="1"/>
    <w:link w:val="91"/>
    <w:uiPriority w:val="34"/>
    <w:pPr>
      <w:tabs>
        <w:tab w:val="left" w:pos="0"/>
      </w:tabs>
      <w:spacing w:line="360" w:lineRule="auto"/>
      <w:ind w:left="902" w:hanging="420"/>
      <w:jc w:val="left"/>
    </w:pPr>
    <w:rPr>
      <w:rFonts w:ascii="Arial" w:hAnsi="Arial"/>
      <w:sz w:val="24"/>
      <w:szCs w:val="20"/>
    </w:rPr>
  </w:style>
  <w:style w:type="character" w:customStyle="1" w:styleId="93">
    <w:name w:val="正文啊。 Char"/>
    <w:link w:val="94"/>
    <w:uiPriority w:val="0"/>
    <w:rPr>
      <w:rFonts w:ascii="宋体" w:hAnsi="宋体"/>
      <w:kern w:val="2"/>
      <w:sz w:val="21"/>
      <w:szCs w:val="21"/>
      <w:lang w:bidi="ar-SA"/>
    </w:rPr>
  </w:style>
  <w:style w:type="paragraph" w:customStyle="1" w:styleId="94">
    <w:name w:val="正文啊。"/>
    <w:basedOn w:val="1"/>
    <w:link w:val="93"/>
    <w:qFormat/>
    <w:uiPriority w:val="0"/>
    <w:pPr>
      <w:spacing w:line="360" w:lineRule="auto"/>
      <w:ind w:firstLine="420" w:firstLineChars="200"/>
    </w:pPr>
    <w:rPr>
      <w:rFonts w:ascii="宋体" w:hAnsi="宋体"/>
      <w:szCs w:val="21"/>
    </w:rPr>
  </w:style>
  <w:style w:type="character" w:customStyle="1" w:styleId="95">
    <w:name w:val="Sp-正文 Char"/>
    <w:link w:val="96"/>
    <w:uiPriority w:val="0"/>
    <w:rPr>
      <w:rFonts w:ascii="宋体" w:hAnsi="宋体"/>
      <w:color w:val="000000"/>
      <w:kern w:val="2"/>
      <w:sz w:val="24"/>
      <w:szCs w:val="24"/>
      <w:lang w:bidi="ar-SA"/>
    </w:rPr>
  </w:style>
  <w:style w:type="paragraph" w:customStyle="1" w:styleId="96">
    <w:name w:val="Sp-正文"/>
    <w:basedOn w:val="1"/>
    <w:link w:val="95"/>
    <w:qFormat/>
    <w:uiPriority w:val="0"/>
    <w:pPr>
      <w:spacing w:before="120" w:after="120" w:line="440" w:lineRule="exact"/>
      <w:ind w:firstLine="200" w:firstLineChars="200"/>
    </w:pPr>
    <w:rPr>
      <w:rFonts w:ascii="宋体" w:hAnsi="宋体"/>
      <w:color w:val="000000"/>
      <w:sz w:val="24"/>
    </w:rPr>
  </w:style>
  <w:style w:type="character" w:customStyle="1" w:styleId="97">
    <w:name w:val=" Char Char2"/>
    <w:link w:val="98"/>
    <w:uiPriority w:val="0"/>
    <w:rPr>
      <w:rFonts w:eastAsia="宋体"/>
      <w:kern w:val="2"/>
      <w:sz w:val="18"/>
      <w:lang w:val="en-US" w:eastAsia="zh-CN" w:bidi="ar-SA"/>
    </w:rPr>
  </w:style>
  <w:style w:type="paragraph" w:customStyle="1" w:styleId="98">
    <w:name w:val="Balloon Text"/>
    <w:basedOn w:val="1"/>
    <w:link w:val="97"/>
    <w:uiPriority w:val="0"/>
    <w:rPr>
      <w:sz w:val="18"/>
      <w:szCs w:val="20"/>
    </w:rPr>
  </w:style>
  <w:style w:type="character" w:customStyle="1" w:styleId="99">
    <w:name w:val="zbggmain style9"/>
    <w:qFormat/>
    <w:uiPriority w:val="0"/>
    <w:rPr>
      <w:rFonts w:ascii="Tahoma" w:hAnsi="Tahoma"/>
      <w:sz w:val="24"/>
      <w:szCs w:val="20"/>
    </w:rPr>
  </w:style>
  <w:style w:type="character" w:customStyle="1" w:styleId="100">
    <w:name w:val="普通文字 Char Char1"/>
    <w:aliases w:val="纯文本 Char Char Char,普通文字 Char Char Char,普通文字 Char1,普通文字 Char Char Char Char Char,Texte Char,0921 Char,正 文 1 Char,普通文字1 Char,普通文字2 Char,普通文字3 Char,普通文字4 Char,普通文字5 Char,普通文字6 Char,普通文字11 Char,普通文字 Char Char Char1,纯文本 Char Char1,小 Char"/>
    <w:link w:val="101"/>
    <w:uiPriority w:val="0"/>
    <w:rPr>
      <w:rFonts w:ascii="宋体" w:hAnsi="Courier New" w:eastAsia="宋体"/>
      <w:kern w:val="2"/>
      <w:sz w:val="21"/>
      <w:lang w:val="en-US" w:eastAsia="zh-CN" w:bidi="ar-SA"/>
    </w:rPr>
  </w:style>
  <w:style w:type="paragraph" w:customStyle="1" w:styleId="101">
    <w:name w:val="Plain Text"/>
    <w:basedOn w:val="1"/>
    <w:link w:val="100"/>
    <w:uiPriority w:val="0"/>
    <w:rPr>
      <w:rFonts w:ascii="宋体" w:hAnsi="Courier New"/>
      <w:szCs w:val="20"/>
    </w:rPr>
  </w:style>
  <w:style w:type="character" w:customStyle="1" w:styleId="102">
    <w:name w:val="bullet Char"/>
    <w:aliases w:val="bl Char,bb Char,PIM 4 Char,H4 Char,h4 Char,4 Char,4heading Char,h41 Char,h42 Char,h43 Char,h411 Char,h44 Char,h412 Char,h45 Char,h413 Char,h46 Char,h414 Char,h47 Char,h48 Char,h415 Char,h49 Char,h410 Char,h416 Char,h417 Char,h418 Char,d Char"/>
    <w:link w:val="103"/>
    <w:uiPriority w:val="0"/>
    <w:rPr>
      <w:rFonts w:ascii="黑体" w:eastAsia="黑体"/>
      <w:b/>
      <w:kern w:val="2"/>
      <w:sz w:val="24"/>
    </w:rPr>
  </w:style>
  <w:style w:type="paragraph" w:customStyle="1" w:styleId="103">
    <w:name w:val="heading 4"/>
    <w:basedOn w:val="1"/>
    <w:next w:val="4"/>
    <w:link w:val="102"/>
    <w:uiPriority w:val="0"/>
    <w:pPr>
      <w:keepNext/>
      <w:numPr>
        <w:ilvl w:val="0"/>
        <w:numId w:val="2"/>
      </w:numPr>
      <w:spacing w:line="216" w:lineRule="auto"/>
      <w:outlineLvl w:val="3"/>
    </w:pPr>
    <w:rPr>
      <w:rFonts w:ascii="黑体" w:eastAsia="黑体"/>
      <w:b/>
      <w:sz w:val="24"/>
      <w:szCs w:val="20"/>
    </w:rPr>
  </w:style>
  <w:style w:type="character" w:customStyle="1" w:styleId="104">
    <w:name w:val=" Char Char26"/>
    <w:qFormat/>
    <w:uiPriority w:val="0"/>
    <w:rPr>
      <w:rFonts w:ascii="宋体" w:hAnsi="Courier New" w:eastAsia="宋体" w:cs="Arial"/>
      <w:snapToGrid w:val="0"/>
      <w:kern w:val="2"/>
      <w:sz w:val="21"/>
      <w:szCs w:val="21"/>
      <w:lang w:val="en-US" w:eastAsia="zh-CN" w:bidi="ar-SA"/>
    </w:rPr>
  </w:style>
  <w:style w:type="character" w:customStyle="1" w:styleId="105">
    <w:name w:val=" Char Char"/>
    <w:link w:val="106"/>
    <w:uiPriority w:val="0"/>
    <w:rPr>
      <w:rFonts w:ascii="宋体" w:hAnsi="宋体" w:eastAsia="宋体"/>
      <w:b/>
      <w:kern w:val="2"/>
      <w:sz w:val="21"/>
      <w:lang w:bidi="ar-SA"/>
    </w:rPr>
  </w:style>
  <w:style w:type="paragraph" w:customStyle="1" w:styleId="106">
    <w:name w:val="annotation subject"/>
    <w:basedOn w:val="15"/>
    <w:next w:val="15"/>
    <w:link w:val="105"/>
    <w:uiPriority w:val="0"/>
    <w:rPr>
      <w:b/>
    </w:rPr>
  </w:style>
  <w:style w:type="character" w:customStyle="1" w:styleId="107">
    <w:name w:val="段 Char"/>
    <w:link w:val="108"/>
    <w:uiPriority w:val="0"/>
    <w:rPr>
      <w:rFonts w:ascii="宋体" w:eastAsia="Times New Roman"/>
      <w:sz w:val="21"/>
      <w:lang w:val="en-US" w:eastAsia="zh-CN" w:bidi="ar-SA"/>
    </w:rPr>
  </w:style>
  <w:style w:type="paragraph" w:customStyle="1" w:styleId="108">
    <w:name w:val="段"/>
    <w:link w:val="107"/>
    <w:qFormat/>
    <w:uiPriority w:val="0"/>
    <w:pPr>
      <w:autoSpaceDE w:val="0"/>
      <w:autoSpaceDN w:val="0"/>
      <w:ind w:firstLine="200" w:firstLineChars="200"/>
      <w:jc w:val="both"/>
    </w:pPr>
    <w:rPr>
      <w:rFonts w:ascii="宋体" w:eastAsia="Times New Roman"/>
      <w:sz w:val="21"/>
      <w:lang w:val="en-US" w:eastAsia="zh-CN" w:bidi="ar-SA"/>
    </w:rPr>
  </w:style>
  <w:style w:type="character" w:customStyle="1" w:styleId="109">
    <w:name w:val="正文文本缩进 2 Char"/>
    <w:link w:val="110"/>
    <w:uiPriority w:val="0"/>
    <w:rPr>
      <w:rFonts w:eastAsia="宋体"/>
      <w:szCs w:val="21"/>
      <w:lang w:bidi="ar-SA"/>
    </w:rPr>
  </w:style>
  <w:style w:type="paragraph" w:customStyle="1" w:styleId="110">
    <w:name w:val="Body Text Indent 2"/>
    <w:basedOn w:val="1"/>
    <w:link w:val="109"/>
    <w:uiPriority w:val="0"/>
    <w:pPr>
      <w:ind w:left="850" w:firstLine="425"/>
    </w:pPr>
    <w:rPr>
      <w:kern w:val="0"/>
      <w:sz w:val="20"/>
      <w:szCs w:val="21"/>
    </w:rPr>
  </w:style>
  <w:style w:type="character" w:customStyle="1" w:styleId="111">
    <w:name w:val="H2 Char"/>
    <w:aliases w:val="HD2 Char,PIM2 Char,Heading 2 Hidden Char,Heading 2 CCBS Char,heading 2 Char,Titre3 Char,sect 1.2 Char,H21 Char,sect 1.21 Char,H22 Char,sect 1.22 Char,H211 Char,sect 1.211 Char,H23 Char,sect 1.23 Char,H212 Char,sect 1.212 Char,h2 Char,DO Char"/>
    <w:link w:val="112"/>
    <w:uiPriority w:val="0"/>
    <w:rPr>
      <w:rFonts w:ascii="宋体" w:eastAsia="宋体"/>
      <w:b/>
      <w:kern w:val="2"/>
      <w:sz w:val="28"/>
      <w:lang w:val="en-US" w:eastAsia="zh-CN" w:bidi="ar-SA"/>
    </w:rPr>
  </w:style>
  <w:style w:type="paragraph" w:customStyle="1" w:styleId="112">
    <w:name w:val="heading 2"/>
    <w:basedOn w:val="1"/>
    <w:next w:val="4"/>
    <w:link w:val="111"/>
    <w:uiPriority w:val="0"/>
    <w:pPr>
      <w:keepNext/>
      <w:spacing w:line="216" w:lineRule="auto"/>
      <w:outlineLvl w:val="1"/>
    </w:pPr>
    <w:rPr>
      <w:rFonts w:ascii="宋体"/>
      <w:b/>
      <w:sz w:val="28"/>
      <w:szCs w:val="20"/>
    </w:rPr>
  </w:style>
  <w:style w:type="character" w:customStyle="1" w:styleId="113">
    <w:name w:val="BOD 0 Char"/>
    <w:aliases w:val="Level 3 Head Char,H3 Char,Heading 3 - old Char,level_3 Char,PIM 3 Char,h3 Char,sect1.2.3 Char,sect1.2.31 Char,sect1.2.32 Char,sect1.2.311 Char,sect1.2.33 Char,sect1.2.312 Char,Bold Head Char,bh Char,L3 Char,dd heading 3 Char,dh3 Char,3 Char"/>
    <w:link w:val="114"/>
    <w:uiPriority w:val="0"/>
    <w:rPr>
      <w:rFonts w:ascii="宋体"/>
      <w:b/>
      <w:kern w:val="2"/>
      <w:sz w:val="28"/>
    </w:rPr>
  </w:style>
  <w:style w:type="paragraph" w:customStyle="1" w:styleId="114">
    <w:name w:val="heading 3"/>
    <w:basedOn w:val="1"/>
    <w:next w:val="1"/>
    <w:link w:val="113"/>
    <w:uiPriority w:val="0"/>
    <w:pPr>
      <w:keepNext/>
      <w:numPr>
        <w:ilvl w:val="0"/>
        <w:numId w:val="3"/>
      </w:numPr>
      <w:spacing w:line="216" w:lineRule="auto"/>
      <w:outlineLvl w:val="2"/>
    </w:pPr>
    <w:rPr>
      <w:rFonts w:ascii="宋体"/>
      <w:b/>
      <w:sz w:val="28"/>
      <w:szCs w:val="20"/>
    </w:rPr>
  </w:style>
  <w:style w:type="paragraph" w:customStyle="1" w:styleId="115">
    <w:name w:val="样式6"/>
    <w:basedOn w:val="1"/>
    <w:qFormat/>
    <w:uiPriority w:val="99"/>
    <w:pPr>
      <w:adjustRightInd/>
      <w:ind w:firstLine="200" w:firstLineChars="200"/>
      <w:jc w:val="left"/>
      <w:textAlignment w:val="auto"/>
    </w:pPr>
    <w:rPr>
      <w:rFonts w:ascii="Times New Roman" w:eastAsia="宋体"/>
      <w:kern w:val="2"/>
      <w:sz w:val="24"/>
      <w:szCs w:val="24"/>
    </w:rPr>
  </w:style>
  <w:style w:type="paragraph" w:customStyle="1" w:styleId="116">
    <w:name w:val="p0"/>
    <w:basedOn w:val="1"/>
    <w:uiPriority w:val="0"/>
    <w:pPr>
      <w:widowControl/>
    </w:pPr>
    <w:rPr>
      <w:rFonts w:ascii="Calibri" w:hAnsi="Calibri" w:cs="宋体"/>
      <w:kern w:val="0"/>
      <w:szCs w:val="21"/>
    </w:rPr>
  </w:style>
  <w:style w:type="paragraph" w:customStyle="1" w:styleId="117">
    <w:name w:val="Normal"/>
    <w:basedOn w:val="1"/>
    <w:uiPriority w:val="0"/>
    <w:rPr>
      <w:rFonts w:ascii="宋体" w:hAnsi="宋体" w:cs="宋体"/>
      <w:szCs w:val="21"/>
    </w:rPr>
  </w:style>
  <w:style w:type="paragraph" w:customStyle="1" w:styleId="118">
    <w:name w:val="Table Paragraph"/>
    <w:basedOn w:val="1"/>
    <w:qFormat/>
    <w:uiPriority w:val="1"/>
    <w:pPr>
      <w:spacing w:line="240" w:lineRule="exact"/>
      <w:ind w:left="103"/>
    </w:pPr>
    <w:rPr>
      <w:rFonts w:ascii="宋体" w:hAnsi="宋体" w:eastAsia="宋体" w:cs="宋体"/>
    </w:rPr>
  </w:style>
  <w:style w:type="paragraph" w:customStyle="1" w:styleId="119">
    <w:name w:val="Char Char Char Char1"/>
    <w:basedOn w:val="1"/>
    <w:uiPriority w:val="0"/>
    <w:rPr>
      <w:rFonts w:ascii="Tahoma" w:hAnsi="Tahoma"/>
      <w:sz w:val="24"/>
      <w:szCs w:val="20"/>
    </w:rPr>
  </w:style>
  <w:style w:type="paragraph" w:styleId="120">
    <w:name w:val="List Paragraph"/>
    <w:basedOn w:val="1"/>
    <w:qFormat/>
    <w:uiPriority w:val="34"/>
    <w:pPr>
      <w:widowControl/>
      <w:spacing w:before="100" w:beforeAutospacing="1" w:after="100" w:afterAutospacing="1"/>
      <w:jc w:val="left"/>
    </w:pPr>
    <w:rPr>
      <w:rFonts w:ascii="黑体" w:hAnsi="黑体" w:eastAsia="黑体" w:cs="宋体"/>
      <w:color w:val="000000"/>
      <w:kern w:val="0"/>
      <w:sz w:val="24"/>
    </w:rPr>
  </w:style>
  <w:style w:type="paragraph" w:customStyle="1" w:styleId="121">
    <w:name w:val="Item List in Table"/>
    <w:basedOn w:val="1"/>
    <w:uiPriority w:val="0"/>
    <w:pPr>
      <w:widowControl/>
      <w:numPr>
        <w:ilvl w:val="0"/>
        <w:numId w:val="4"/>
      </w:numPr>
      <w:topLinePunct/>
      <w:adjustRightInd w:val="0"/>
      <w:snapToGrid w:val="0"/>
      <w:spacing w:before="80" w:after="80" w:line="240" w:lineRule="atLeast"/>
      <w:ind w:firstLine="0"/>
      <w:jc w:val="left"/>
    </w:pPr>
    <w:rPr>
      <w:rFonts w:hint="eastAsia" w:cs="Arial"/>
      <w:kern w:val="0"/>
      <w:szCs w:val="21"/>
    </w:rPr>
  </w:style>
  <w:style w:type="paragraph" w:customStyle="1" w:styleId="122">
    <w:name w:val="一级条标题"/>
    <w:basedOn w:val="1"/>
    <w:next w:val="108"/>
    <w:qFormat/>
    <w:uiPriority w:val="0"/>
    <w:pPr>
      <w:widowControl/>
      <w:outlineLvl w:val="2"/>
    </w:pPr>
    <w:rPr>
      <w:rFonts w:ascii="黑体" w:eastAsia="黑体"/>
      <w:kern w:val="0"/>
      <w:szCs w:val="20"/>
    </w:rPr>
  </w:style>
  <w:style w:type="character" w:customStyle="1" w:styleId="123">
    <w:name w:val="正文段 Char"/>
    <w:link w:val="124"/>
    <w:uiPriority w:val="0"/>
    <w:rPr>
      <w:sz w:val="24"/>
    </w:rPr>
  </w:style>
  <w:style w:type="paragraph" w:customStyle="1" w:styleId="124">
    <w:name w:val="正文段"/>
    <w:basedOn w:val="1"/>
    <w:link w:val="123"/>
    <w:uiPriority w:val="0"/>
    <w:pPr>
      <w:widowControl/>
      <w:snapToGrid w:val="0"/>
      <w:spacing w:after="50" w:afterLines="50"/>
      <w:ind w:firstLine="200" w:firstLineChars="200"/>
    </w:pPr>
    <w:rPr>
      <w:kern w:val="0"/>
      <w:sz w:val="24"/>
      <w:szCs w:val="20"/>
    </w:rPr>
  </w:style>
  <w:style w:type="character" w:customStyle="1" w:styleId="125">
    <w:name w:val="apple-converted-space"/>
    <w:basedOn w:val="42"/>
    <w:uiPriority w:val="0"/>
  </w:style>
  <w:style w:type="paragraph" w:customStyle="1" w:styleId="126">
    <w:name w:val="Char"/>
    <w:basedOn w:val="1"/>
    <w:uiPriority w:val="0"/>
    <w:pPr>
      <w:widowControl/>
      <w:jc w:val="left"/>
    </w:pPr>
    <w:rPr>
      <w:kern w:val="0"/>
      <w:sz w:val="20"/>
      <w:szCs w:val="20"/>
    </w:rPr>
  </w:style>
  <w:style w:type="paragraph" w:styleId="127">
    <w:name w:val=""/>
    <w:basedOn w:val="2"/>
    <w:next w:val="1"/>
    <w:qFormat/>
    <w:uiPriority w:val="39"/>
    <w:pPr>
      <w:widowControl/>
      <w:numPr>
        <w:ilvl w:val="0"/>
        <w:numId w:val="0"/>
      </w:numPr>
      <w:spacing w:before="480" w:after="0" w:line="276" w:lineRule="auto"/>
      <w:jc w:val="left"/>
      <w:outlineLvl w:val="9"/>
    </w:pPr>
    <w:rPr>
      <w:rFonts w:ascii="Cambria" w:hAnsi="Cambria"/>
      <w:bCs/>
      <w:color w:val="365F91"/>
      <w:kern w:val="0"/>
      <w:sz w:val="28"/>
      <w:szCs w:val="28"/>
    </w:rPr>
  </w:style>
  <w:style w:type="paragraph" w:customStyle="1" w:styleId="128">
    <w:name w:val="自动更正"/>
    <w:uiPriority w:val="0"/>
    <w:pPr>
      <w:widowControl w:val="0"/>
      <w:jc w:val="both"/>
    </w:pPr>
    <w:rPr>
      <w:kern w:val="2"/>
      <w:sz w:val="21"/>
      <w:lang w:val="en-US" w:eastAsia="zh-CN" w:bidi="ar-SA"/>
    </w:rPr>
  </w:style>
  <w:style w:type="paragraph" w:customStyle="1" w:styleId="129">
    <w:name w:val=" Char Char Char Char Char Char"/>
    <w:basedOn w:val="1"/>
    <w:uiPriority w:val="0"/>
    <w:pPr>
      <w:widowControl/>
      <w:spacing w:after="160" w:line="240" w:lineRule="exact"/>
      <w:jc w:val="left"/>
    </w:pPr>
    <w:rPr>
      <w:rFonts w:ascii="Verdana" w:hAnsi="Verdana"/>
      <w:kern w:val="0"/>
      <w:sz w:val="20"/>
      <w:szCs w:val="20"/>
      <w:lang w:eastAsia="en-US"/>
    </w:rPr>
  </w:style>
  <w:style w:type="paragraph" w:customStyle="1" w:styleId="130">
    <w:name w:val="Char Char Char Char Char Char"/>
    <w:basedOn w:val="1"/>
    <w:next w:val="2"/>
    <w:uiPriority w:val="0"/>
    <w:pPr>
      <w:widowControl/>
      <w:spacing w:before="100" w:beforeAutospacing="1" w:after="100" w:afterAutospacing="1" w:line="420" w:lineRule="auto"/>
      <w:jc w:val="left"/>
      <w:textAlignment w:val="top"/>
    </w:pPr>
    <w:rPr>
      <w:szCs w:val="20"/>
    </w:rPr>
  </w:style>
  <w:style w:type="character" w:customStyle="1" w:styleId="131">
    <w:name w:val="无"/>
    <w:qFormat/>
    <w:uiPriority w:val="0"/>
  </w:style>
  <w:style w:type="paragraph" w:customStyle="1" w:styleId="132">
    <w:name w:val="正文 A"/>
    <w:qFormat/>
    <w:uiPriority w:val="0"/>
    <w:pPr>
      <w:widowControl w:val="0"/>
      <w:jc w:val="both"/>
    </w:pPr>
    <w:rPr>
      <w:rFonts w:ascii="Calibri" w:hAnsi="Calibri" w:eastAsia="Calibri" w:cs="Calibri"/>
      <w:color w:val="000000"/>
      <w:kern w:val="2"/>
      <w:sz w:val="21"/>
      <w:szCs w:val="21"/>
      <w:lang w:val="en-US" w:eastAsia="zh-CN" w:bidi="ar-SA"/>
    </w:rPr>
  </w:style>
  <w:style w:type="paragraph" w:customStyle="1" w:styleId="133">
    <w:name w:val="正文表格内容（居中）"/>
    <w:basedOn w:val="1"/>
    <w:qFormat/>
    <w:uiPriority w:val="0"/>
    <w:pPr>
      <w:widowControl/>
      <w:jc w:val="center"/>
    </w:pPr>
    <w:rPr>
      <w:rFonts w:ascii="Arial" w:hAnsi="Arial" w:cs="Arial"/>
      <w:kern w:val="0"/>
      <w:sz w:val="18"/>
      <w:szCs w:val="18"/>
    </w:rPr>
  </w:style>
  <w:style w:type="paragraph" w:customStyle="1" w:styleId="134">
    <w:name w:val="列出段落1"/>
    <w:basedOn w:val="1"/>
    <w:qFormat/>
    <w:uiPriority w:val="0"/>
    <w:pPr>
      <w:ind w:firstLine="420" w:firstLineChars="200"/>
    </w:pPr>
    <w:rPr>
      <w:rFonts w:ascii="Calibri" w:hAnsi="Calibri"/>
      <w:szCs w:val="22"/>
    </w:rPr>
  </w:style>
  <w:style w:type="paragraph" w:customStyle="1" w:styleId="135">
    <w:name w:val="Char Char Char Char"/>
    <w:basedOn w:val="14"/>
    <w:qFormat/>
    <w:uiPriority w:val="0"/>
    <w:pPr>
      <w:shd w:val="clear" w:color="auto" w:fill="000080"/>
      <w:wordWrap w:val="0"/>
      <w:ind w:left="360" w:leftChars="150" w:firstLine="540" w:firstLineChars="225"/>
      <w:jc w:val="center"/>
    </w:pPr>
    <w:rPr>
      <w:rFonts w:ascii="Tahoma" w:hAnsi="Tahoma" w:cs="宋体"/>
      <w:sz w:val="28"/>
      <w:szCs w:val="28"/>
      <w:lang w:val="en-US" w:eastAsia="zh-CN"/>
    </w:rPr>
  </w:style>
  <w:style w:type="paragraph" w:customStyle="1" w:styleId="136">
    <w:name w:val="Default"/>
    <w:uiPriority w:val="0"/>
    <w:pPr>
      <w:widowControl w:val="0"/>
      <w:autoSpaceDE w:val="0"/>
      <w:autoSpaceDN w:val="0"/>
      <w:adjustRightInd w:val="0"/>
    </w:pPr>
    <w:rPr>
      <w:rFonts w:ascii="宋体" w:hAnsi="宋体" w:cs="宋体"/>
      <w:color w:val="000000"/>
      <w:sz w:val="24"/>
      <w:szCs w:val="24"/>
      <w:lang w:val="en-US" w:eastAsia="zh-CN" w:bidi="ar-SA"/>
    </w:rPr>
  </w:style>
  <w:style w:type="character" w:customStyle="1" w:styleId="137">
    <w:name w:val="font101"/>
    <w:basedOn w:val="42"/>
    <w:uiPriority w:val="0"/>
    <w:rPr>
      <w:rFonts w:hint="eastAsia" w:ascii="宋体" w:hAnsi="宋体" w:eastAsia="宋体" w:cs="宋体"/>
      <w:color w:val="000000"/>
      <w:sz w:val="22"/>
      <w:szCs w:val="22"/>
      <w:u w:val="none"/>
    </w:rPr>
  </w:style>
  <w:style w:type="character" w:customStyle="1" w:styleId="138">
    <w:name w:val="font71"/>
    <w:basedOn w:val="42"/>
    <w:qFormat/>
    <w:uiPriority w:val="0"/>
    <w:rPr>
      <w:rFonts w:hint="eastAsia" w:ascii="仿宋" w:hAnsi="仿宋" w:eastAsia="仿宋" w:cs="仿宋"/>
      <w:color w:val="000000"/>
      <w:sz w:val="22"/>
      <w:szCs w:val="22"/>
      <w:u w:val="none"/>
    </w:rPr>
  </w:style>
  <w:style w:type="character" w:customStyle="1" w:styleId="139">
    <w:name w:val="font111"/>
    <w:basedOn w:val="42"/>
    <w:uiPriority w:val="0"/>
    <w:rPr>
      <w:rFonts w:hint="eastAsia" w:ascii="宋体" w:hAnsi="宋体" w:eastAsia="宋体" w:cs="宋体"/>
      <w:color w:val="000000"/>
      <w:sz w:val="22"/>
      <w:szCs w:val="22"/>
      <w:u w:val="none"/>
      <w:vertAlign w:val="superscript"/>
    </w:rPr>
  </w:style>
  <w:style w:type="paragraph" w:customStyle="1" w:styleId="140">
    <w:name w:val="列出段落11"/>
    <w:basedOn w:val="1"/>
    <w:qFormat/>
    <w:uiPriority w:val="0"/>
    <w:pPr>
      <w:adjustRightInd w:val="0"/>
      <w:spacing w:line="360" w:lineRule="auto"/>
      <w:ind w:firstLine="200" w:firstLineChars="200"/>
    </w:pPr>
    <w:rPr>
      <w:rFonts w:eastAsia="楷体_GB2312" w:cs="Lucida Sans"/>
      <w:sz w:val="24"/>
    </w:rPr>
  </w:style>
  <w:style w:type="paragraph" w:customStyle="1" w:styleId="141">
    <w:name w:val="列出段落2"/>
    <w:basedOn w:val="1"/>
    <w:qFormat/>
    <w:uiPriority w:val="0"/>
    <w:pPr>
      <w:ind w:firstLine="420" w:firstLineChars="200"/>
    </w:pPr>
    <w:rPr>
      <w:rFonts w:ascii="Calibri" w:hAnsi="Calibri"/>
      <w:szCs w:val="22"/>
    </w:rPr>
  </w:style>
  <w:style w:type="character" w:customStyle="1" w:styleId="142">
    <w:name w:val="text-tag"/>
    <w:basedOn w:val="42"/>
    <w:uiPriority w:val="0"/>
  </w:style>
  <w:style w:type="character" w:customStyle="1" w:styleId="143">
    <w:name w:val="6.1正文 Char"/>
    <w:link w:val="144"/>
    <w:qFormat/>
    <w:uiPriority w:val="0"/>
    <w:rPr>
      <w:rFonts w:ascii="Calibri" w:hAnsi="Calibri"/>
      <w:kern w:val="2"/>
      <w:sz w:val="21"/>
      <w:szCs w:val="21"/>
    </w:rPr>
  </w:style>
  <w:style w:type="paragraph" w:customStyle="1" w:styleId="144">
    <w:name w:val="6.1正文"/>
    <w:basedOn w:val="1"/>
    <w:link w:val="143"/>
    <w:qFormat/>
    <w:uiPriority w:val="0"/>
    <w:pPr>
      <w:spacing w:before="120" w:after="120" w:line="360" w:lineRule="auto"/>
      <w:ind w:firstLine="420" w:firstLineChars="200"/>
    </w:pPr>
    <w:rPr>
      <w:rFonts w:ascii="Calibri" w:hAnsi="Calibri"/>
      <w:szCs w:val="21"/>
    </w:rPr>
  </w:style>
  <w:style w:type="character" w:customStyle="1" w:styleId="145">
    <w:name w:val="正文（1） Char"/>
    <w:link w:val="146"/>
    <w:qFormat/>
    <w:uiPriority w:val="0"/>
    <w:rPr>
      <w:rFonts w:eastAsia="仿宋"/>
      <w:kern w:val="2"/>
      <w:sz w:val="24"/>
      <w:szCs w:val="21"/>
    </w:rPr>
  </w:style>
  <w:style w:type="paragraph" w:customStyle="1" w:styleId="146">
    <w:name w:val="正文（1）"/>
    <w:basedOn w:val="1"/>
    <w:link w:val="145"/>
    <w:qFormat/>
    <w:uiPriority w:val="0"/>
    <w:pPr>
      <w:spacing w:line="360" w:lineRule="auto"/>
      <w:ind w:left="420"/>
    </w:pPr>
    <w:rPr>
      <w:rFonts w:eastAsia="仿宋"/>
      <w:sz w:val="24"/>
      <w:szCs w:val="21"/>
    </w:rPr>
  </w:style>
  <w:style w:type="character" w:customStyle="1" w:styleId="147">
    <w:name w:val="样式 首行缩进:  0 字符 Char"/>
    <w:link w:val="148"/>
    <w:qFormat/>
    <w:locked/>
    <w:uiPriority w:val="0"/>
    <w:rPr>
      <w:rFonts w:cs="宋体"/>
      <w:kern w:val="2"/>
      <w:sz w:val="21"/>
    </w:rPr>
  </w:style>
  <w:style w:type="paragraph" w:customStyle="1" w:styleId="148">
    <w:name w:val="样式 首行缩进:  0 字符"/>
    <w:basedOn w:val="1"/>
    <w:link w:val="147"/>
    <w:qFormat/>
    <w:uiPriority w:val="0"/>
    <w:pPr>
      <w:ind w:firstLine="200" w:firstLineChars="200"/>
    </w:pPr>
    <w:rPr>
      <w:szCs w:val="20"/>
    </w:rPr>
  </w:style>
  <w:style w:type="character" w:customStyle="1" w:styleId="149">
    <w:name w:val="批注框文本 字符"/>
    <w:uiPriority w:val="0"/>
    <w:rPr>
      <w:sz w:val="18"/>
      <w:szCs w:val="18"/>
    </w:rPr>
  </w:style>
  <w:style w:type="character" w:customStyle="1" w:styleId="150">
    <w:name w:val="样式 标题 2 + (符号) 宋体 Char"/>
    <w:link w:val="151"/>
    <w:uiPriority w:val="0"/>
    <w:rPr>
      <w:bCs/>
      <w:sz w:val="32"/>
      <w:szCs w:val="32"/>
    </w:rPr>
  </w:style>
  <w:style w:type="paragraph" w:customStyle="1" w:styleId="151">
    <w:name w:val="样式 标题 2 + (符号) 宋体"/>
    <w:basedOn w:val="3"/>
    <w:link w:val="150"/>
    <w:uiPriority w:val="0"/>
    <w:pPr>
      <w:numPr>
        <w:ilvl w:val="0"/>
        <w:numId w:val="0"/>
      </w:numPr>
      <w:adjustRightInd w:val="0"/>
      <w:snapToGrid w:val="0"/>
      <w:spacing w:before="0" w:after="0" w:line="360" w:lineRule="auto"/>
    </w:pPr>
    <w:rPr>
      <w:rFonts w:ascii="Times New Roman" w:hAnsi="Times New Roman"/>
      <w:b w:val="0"/>
    </w:rPr>
  </w:style>
  <w:style w:type="character" w:customStyle="1" w:styleId="152">
    <w:name w:val="正文文本缩进 字符"/>
    <w:uiPriority w:val="0"/>
    <w:rPr>
      <w:rFonts w:ascii="Calibri" w:hAnsi="Calibri" w:eastAsia="宋体" w:cs="Times New Roman"/>
      <w:szCs w:val="24"/>
    </w:rPr>
  </w:style>
  <w:style w:type="character" w:customStyle="1" w:styleId="153">
    <w:name w:val="标题 2 字符"/>
    <w:uiPriority w:val="0"/>
    <w:rPr>
      <w:rFonts w:ascii="等线 Light" w:hAnsi="等线 Light" w:eastAsia="等线 Light" w:cs="Times New Roman"/>
      <w:b/>
      <w:bCs/>
      <w:sz w:val="32"/>
      <w:szCs w:val="32"/>
    </w:rPr>
  </w:style>
  <w:style w:type="character" w:customStyle="1" w:styleId="154">
    <w:name w:val="**正文 Char"/>
    <w:link w:val="155"/>
    <w:qFormat/>
    <w:uiPriority w:val="0"/>
    <w:rPr>
      <w:rFonts w:ascii="宋体" w:hAnsi="宋体"/>
      <w:kern w:val="2"/>
      <w:sz w:val="24"/>
      <w:szCs w:val="24"/>
    </w:rPr>
  </w:style>
  <w:style w:type="paragraph" w:customStyle="1" w:styleId="155">
    <w:name w:val="**正文"/>
    <w:basedOn w:val="1"/>
    <w:link w:val="154"/>
    <w:qFormat/>
    <w:uiPriority w:val="0"/>
    <w:pPr>
      <w:spacing w:line="360" w:lineRule="auto"/>
      <w:ind w:firstLine="482"/>
    </w:pPr>
    <w:rPr>
      <w:rFonts w:ascii="宋体" w:hAnsi="宋体"/>
      <w:sz w:val="24"/>
    </w:rPr>
  </w:style>
  <w:style w:type="character" w:customStyle="1" w:styleId="156">
    <w:name w:val="标题1 字符"/>
    <w:link w:val="157"/>
    <w:qFormat/>
    <w:uiPriority w:val="0"/>
    <w:rPr>
      <w:rFonts w:ascii="Arial" w:hAnsi="Arial" w:eastAsia="黑体"/>
      <w:bCs/>
      <w:smallCaps/>
      <w:spacing w:val="20"/>
      <w:kern w:val="28"/>
      <w:szCs w:val="44"/>
    </w:rPr>
  </w:style>
  <w:style w:type="paragraph" w:customStyle="1" w:styleId="157">
    <w:name w:val="标题1"/>
    <w:basedOn w:val="2"/>
    <w:link w:val="156"/>
    <w:qFormat/>
    <w:uiPriority w:val="0"/>
    <w:pPr>
      <w:keepLines w:val="0"/>
      <w:widowControl/>
      <w:numPr>
        <w:ilvl w:val="0"/>
        <w:numId w:val="0"/>
      </w:numPr>
      <w:tabs>
        <w:tab w:val="left" w:pos="420"/>
        <w:tab w:val="left" w:pos="540"/>
        <w:tab w:val="left" w:pos="1275"/>
      </w:tabs>
      <w:spacing w:before="156" w:beforeLines="50" w:after="156" w:afterLines="50" w:line="240" w:lineRule="auto"/>
      <w:ind w:left="1275" w:hanging="720"/>
      <w:jc w:val="left"/>
    </w:pPr>
    <w:rPr>
      <w:rFonts w:ascii="Arial" w:hAnsi="Arial" w:eastAsia="黑体"/>
      <w:b w:val="0"/>
      <w:bCs/>
      <w:smallCaps/>
      <w:spacing w:val="20"/>
      <w:kern w:val="28"/>
      <w:sz w:val="20"/>
      <w:szCs w:val="44"/>
    </w:rPr>
  </w:style>
  <w:style w:type="character" w:customStyle="1" w:styleId="158">
    <w:name w:val="图片 字符"/>
    <w:link w:val="159"/>
    <w:qFormat/>
    <w:uiPriority w:val="0"/>
    <w:rPr>
      <w:rFonts w:ascii="仿宋" w:hAnsi="仿宋" w:cs="仿宋"/>
      <w:kern w:val="2"/>
      <w:sz w:val="24"/>
      <w:szCs w:val="24"/>
      <w:lang w:val="en-US" w:eastAsia="zh-CN" w:bidi="ar-SA"/>
    </w:rPr>
  </w:style>
  <w:style w:type="paragraph" w:customStyle="1" w:styleId="159">
    <w:name w:val="图片"/>
    <w:link w:val="158"/>
    <w:qFormat/>
    <w:uiPriority w:val="0"/>
    <w:pPr>
      <w:jc w:val="center"/>
    </w:pPr>
    <w:rPr>
      <w:rFonts w:ascii="仿宋" w:hAnsi="仿宋" w:cs="仿宋"/>
      <w:kern w:val="2"/>
      <w:sz w:val="24"/>
      <w:szCs w:val="24"/>
      <w:lang w:val="en-US" w:eastAsia="zh-CN" w:bidi="ar-SA"/>
    </w:rPr>
  </w:style>
  <w:style w:type="character" w:customStyle="1" w:styleId="160">
    <w:name w:val="font61"/>
    <w:qFormat/>
    <w:uiPriority w:val="0"/>
    <w:rPr>
      <w:rFonts w:hint="eastAsia" w:ascii="等线" w:hAnsi="等线" w:eastAsia="等线" w:cs="等线"/>
      <w:color w:val="000000"/>
      <w:sz w:val="21"/>
      <w:szCs w:val="21"/>
      <w:u w:val="none"/>
      <w:vertAlign w:val="superscript"/>
    </w:rPr>
  </w:style>
  <w:style w:type="character" w:customStyle="1" w:styleId="161">
    <w:name w:val="图标标注 字符"/>
    <w:link w:val="162"/>
    <w:qFormat/>
    <w:uiPriority w:val="0"/>
    <w:rPr>
      <w:rFonts w:ascii="等线" w:hAnsi="等线" w:eastAsia="黑体"/>
      <w:b/>
      <w:kern w:val="2"/>
      <w:sz w:val="21"/>
      <w:szCs w:val="24"/>
    </w:rPr>
  </w:style>
  <w:style w:type="paragraph" w:customStyle="1" w:styleId="162">
    <w:name w:val="图标标注"/>
    <w:basedOn w:val="1"/>
    <w:link w:val="161"/>
    <w:qFormat/>
    <w:uiPriority w:val="0"/>
    <w:pPr>
      <w:spacing w:line="360" w:lineRule="auto"/>
      <w:jc w:val="center"/>
    </w:pPr>
    <w:rPr>
      <w:rFonts w:ascii="等线" w:hAnsi="等线" w:eastAsia="黑体"/>
      <w:b/>
    </w:rPr>
  </w:style>
  <w:style w:type="character" w:customStyle="1" w:styleId="163">
    <w:name w:val="font81"/>
    <w:qFormat/>
    <w:uiPriority w:val="0"/>
    <w:rPr>
      <w:rFonts w:hint="eastAsia" w:ascii="等线" w:hAnsi="等线" w:eastAsia="等线" w:cs="等线"/>
      <w:color w:val="000000"/>
      <w:sz w:val="20"/>
      <w:szCs w:val="20"/>
      <w:u w:val="none"/>
    </w:rPr>
  </w:style>
  <w:style w:type="character" w:customStyle="1" w:styleId="164">
    <w:name w:val="页眉 字符"/>
    <w:uiPriority w:val="99"/>
    <w:rPr>
      <w:rFonts w:ascii="Calibri" w:hAnsi="Calibri" w:eastAsia="宋体" w:cs="Times New Roman"/>
      <w:sz w:val="18"/>
      <w:szCs w:val="18"/>
    </w:rPr>
  </w:style>
  <w:style w:type="character" w:customStyle="1" w:styleId="165">
    <w:name w:val="标题 3 字符"/>
    <w:uiPriority w:val="0"/>
    <w:rPr>
      <w:rFonts w:ascii="Times New Roman" w:hAnsi="Times New Roman" w:eastAsia="宋体" w:cs="Times New Roman"/>
      <w:b/>
      <w:bCs/>
      <w:sz w:val="28"/>
      <w:szCs w:val="28"/>
    </w:rPr>
  </w:style>
  <w:style w:type="character" w:customStyle="1" w:styleId="166">
    <w:name w:val="font01"/>
    <w:qFormat/>
    <w:uiPriority w:val="0"/>
    <w:rPr>
      <w:rFonts w:ascii="Calibri" w:hAnsi="Calibri" w:cs="Calibri"/>
      <w:color w:val="000000"/>
      <w:sz w:val="21"/>
      <w:szCs w:val="21"/>
      <w:u w:val="none"/>
    </w:rPr>
  </w:style>
  <w:style w:type="character" w:customStyle="1" w:styleId="167">
    <w:name w:val="font31"/>
    <w:qFormat/>
    <w:uiPriority w:val="0"/>
    <w:rPr>
      <w:rFonts w:hint="eastAsia" w:ascii="等线" w:hAnsi="等线" w:eastAsia="等线" w:cs="等线"/>
      <w:color w:val="000000"/>
      <w:sz w:val="21"/>
      <w:szCs w:val="21"/>
      <w:u w:val="none"/>
    </w:rPr>
  </w:style>
  <w:style w:type="character" w:customStyle="1" w:styleId="168">
    <w:name w:val="标题 6 字符"/>
    <w:uiPriority w:val="0"/>
    <w:rPr>
      <w:rFonts w:ascii="等线 Light" w:hAnsi="等线 Light" w:eastAsia="等线 Light" w:cs="Times New Roman"/>
      <w:b/>
      <w:bCs/>
      <w:sz w:val="24"/>
      <w:szCs w:val="24"/>
    </w:rPr>
  </w:style>
  <w:style w:type="character" w:customStyle="1" w:styleId="169">
    <w:name w:val="标题 1 字符"/>
    <w:uiPriority w:val="0"/>
    <w:rPr>
      <w:rFonts w:ascii="Calibri" w:hAnsi="Calibri" w:eastAsia="宋体" w:cs="Times New Roman"/>
      <w:b/>
      <w:bCs/>
      <w:kern w:val="44"/>
      <w:sz w:val="44"/>
      <w:szCs w:val="44"/>
    </w:rPr>
  </w:style>
  <w:style w:type="character" w:customStyle="1" w:styleId="170">
    <w:name w:val="标题 5 字符"/>
    <w:uiPriority w:val="0"/>
    <w:rPr>
      <w:rFonts w:ascii="Calibri" w:hAnsi="Calibri" w:eastAsia="宋体" w:cs="Times New Roman"/>
      <w:b/>
      <w:bCs/>
      <w:sz w:val="28"/>
      <w:szCs w:val="28"/>
    </w:rPr>
  </w:style>
  <w:style w:type="character" w:customStyle="1" w:styleId="171">
    <w:name w:val="页脚 字符"/>
    <w:uiPriority w:val="99"/>
    <w:rPr>
      <w:rFonts w:ascii="Calibri" w:hAnsi="Calibri" w:eastAsia="宋体" w:cs="Times New Roman"/>
      <w:sz w:val="18"/>
      <w:szCs w:val="18"/>
    </w:rPr>
  </w:style>
  <w:style w:type="character" w:customStyle="1" w:styleId="172">
    <w:name w:val="font11"/>
    <w:qFormat/>
    <w:uiPriority w:val="0"/>
    <w:rPr>
      <w:rFonts w:hint="eastAsia" w:ascii="宋体" w:hAnsi="宋体" w:eastAsia="宋体" w:cs="宋体"/>
      <w:color w:val="000000"/>
      <w:sz w:val="21"/>
      <w:szCs w:val="21"/>
      <w:u w:val="none"/>
    </w:rPr>
  </w:style>
  <w:style w:type="character" w:customStyle="1" w:styleId="173">
    <w:name w:val="font51"/>
    <w:qFormat/>
    <w:uiPriority w:val="0"/>
    <w:rPr>
      <w:rFonts w:hint="eastAsia" w:ascii="宋体" w:hAnsi="宋体" w:eastAsia="宋体" w:cs="宋体"/>
      <w:color w:val="000000"/>
      <w:sz w:val="21"/>
      <w:szCs w:val="21"/>
      <w:u w:val="none"/>
    </w:rPr>
  </w:style>
  <w:style w:type="character" w:customStyle="1" w:styleId="174">
    <w:name w:val="标题 4 字符"/>
    <w:uiPriority w:val="0"/>
    <w:rPr>
      <w:rFonts w:ascii="Cambria" w:hAnsi="Cambria" w:eastAsia="宋体" w:cs="Times New Roman"/>
      <w:b/>
      <w:bCs/>
      <w:sz w:val="28"/>
      <w:szCs w:val="28"/>
    </w:rPr>
  </w:style>
  <w:style w:type="paragraph" w:customStyle="1" w:styleId="175">
    <w:name w:val="（1）"/>
    <w:basedOn w:val="1"/>
    <w:qFormat/>
    <w:uiPriority w:val="0"/>
    <w:pPr>
      <w:numPr>
        <w:ilvl w:val="0"/>
        <w:numId w:val="1"/>
      </w:numPr>
      <w:tabs>
        <w:tab w:val="left" w:pos="961"/>
      </w:tabs>
      <w:spacing w:line="360" w:lineRule="auto"/>
    </w:pPr>
    <w:rPr>
      <w:sz w:val="24"/>
    </w:rPr>
  </w:style>
  <w:style w:type="paragraph" w:customStyle="1" w:styleId="176">
    <w:name w:val="font7"/>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77">
    <w:name w:val="xl9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bottom"/>
    </w:pPr>
    <w:rPr>
      <w:rFonts w:ascii="宋体" w:hAnsi="宋体" w:cs="宋体"/>
      <w:color w:val="000000"/>
      <w:kern w:val="0"/>
      <w:sz w:val="18"/>
      <w:szCs w:val="18"/>
    </w:rPr>
  </w:style>
  <w:style w:type="paragraph" w:customStyle="1" w:styleId="178">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79">
    <w:name w:val="font8"/>
    <w:basedOn w:val="1"/>
    <w:qFormat/>
    <w:uiPriority w:val="0"/>
    <w:pPr>
      <w:widowControl/>
      <w:spacing w:before="100" w:beforeAutospacing="1" w:after="100" w:afterAutospacing="1"/>
      <w:jc w:val="left"/>
    </w:pPr>
    <w:rPr>
      <w:rFonts w:ascii="Calibri" w:hAnsi="Calibri" w:cs="Calibri"/>
      <w:kern w:val="0"/>
      <w:sz w:val="22"/>
      <w:szCs w:val="22"/>
    </w:rPr>
  </w:style>
  <w:style w:type="paragraph" w:customStyle="1" w:styleId="180">
    <w:name w:val=" Char"/>
    <w:basedOn w:val="1"/>
    <w:uiPriority w:val="0"/>
    <w:pPr>
      <w:spacing w:line="360" w:lineRule="auto"/>
      <w:ind w:firstLine="200" w:firstLineChars="200"/>
    </w:pPr>
    <w:rPr>
      <w:rFonts w:ascii="宋体" w:hAnsi="宋体" w:cs="宋体"/>
      <w:sz w:val="24"/>
    </w:rPr>
  </w:style>
  <w:style w:type="paragraph" w:customStyle="1" w:styleId="181">
    <w:name w:val="表1"/>
    <w:basedOn w:val="1"/>
    <w:qFormat/>
    <w:uiPriority w:val="0"/>
    <w:pPr>
      <w:numPr>
        <w:ilvl w:val="0"/>
        <w:numId w:val="4"/>
      </w:numPr>
      <w:ind w:left="0" w:firstLine="0"/>
      <w:jc w:val="center"/>
    </w:pPr>
  </w:style>
  <w:style w:type="paragraph" w:customStyle="1" w:styleId="182">
    <w:name w:val="表格正文"/>
    <w:basedOn w:val="1"/>
    <w:qFormat/>
    <w:uiPriority w:val="0"/>
    <w:pPr>
      <w:spacing w:line="360" w:lineRule="auto"/>
      <w:jc w:val="left"/>
    </w:pPr>
    <w:rPr>
      <w:rFonts w:ascii="Arial" w:hAnsi="Arial" w:cs="宋体"/>
      <w:szCs w:val="20"/>
    </w:rPr>
  </w:style>
  <w:style w:type="paragraph" w:customStyle="1" w:styleId="183">
    <w:name w:val="Body Text Indent 3"/>
    <w:basedOn w:val="1"/>
    <w:uiPriority w:val="0"/>
    <w:pPr>
      <w:adjustRightInd w:val="0"/>
      <w:ind w:firstLine="560"/>
      <w:textAlignment w:val="baseline"/>
    </w:pPr>
    <w:rPr>
      <w:rFonts w:ascii="Calibri" w:hAnsi="Calibri"/>
      <w:sz w:val="28"/>
      <w:szCs w:val="20"/>
    </w:rPr>
  </w:style>
  <w:style w:type="paragraph" w:customStyle="1" w:styleId="184">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85">
    <w:name w:val="xl8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color w:val="FF0000"/>
      <w:kern w:val="0"/>
      <w:sz w:val="20"/>
      <w:szCs w:val="20"/>
    </w:rPr>
  </w:style>
  <w:style w:type="paragraph" w:customStyle="1" w:styleId="186">
    <w:name w:val="正文1"/>
    <w:qFormat/>
    <w:uiPriority w:val="0"/>
    <w:pPr>
      <w:framePr w:wrap="around" w:vAnchor="margin" w:hAnchor="text" w:y="1"/>
    </w:pPr>
    <w:rPr>
      <w:rFonts w:ascii="Helvetica Neue" w:hAnsi="Helvetica Neue" w:eastAsia="Arial Unicode MS" w:cs="Arial Unicode MS"/>
      <w:color w:val="000000"/>
      <w:sz w:val="22"/>
      <w:szCs w:val="22"/>
      <w:lang w:val="zh-CN" w:eastAsia="zh-CN" w:bidi="ar-SA"/>
    </w:rPr>
  </w:style>
  <w:style w:type="paragraph" w:customStyle="1" w:styleId="187">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88">
    <w:name w:val="xl6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89">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190">
    <w:name w:val="TOC 标题1"/>
    <w:basedOn w:val="2"/>
    <w:next w:val="1"/>
    <w:unhideWhenUsed/>
    <w:qFormat/>
    <w:uiPriority w:val="39"/>
    <w:pPr>
      <w:widowControl/>
      <w:numPr>
        <w:ilvl w:val="0"/>
        <w:numId w:val="0"/>
      </w:numPr>
      <w:spacing w:before="240" w:after="0" w:line="259" w:lineRule="auto"/>
      <w:jc w:val="left"/>
      <w:outlineLvl w:val="9"/>
    </w:pPr>
    <w:rPr>
      <w:rFonts w:ascii="等线 Light" w:hAnsi="等线 Light" w:eastAsia="等线 Light"/>
      <w:b w:val="0"/>
      <w:color w:val="2F5496"/>
      <w:kern w:val="0"/>
      <w:sz w:val="32"/>
      <w:szCs w:val="32"/>
    </w:rPr>
  </w:style>
  <w:style w:type="paragraph" w:customStyle="1" w:styleId="191">
    <w:name w:val="p17"/>
    <w:basedOn w:val="1"/>
    <w:uiPriority w:val="0"/>
    <w:pPr>
      <w:widowControl/>
      <w:spacing w:line="360" w:lineRule="auto"/>
      <w:ind w:firstLine="420"/>
    </w:pPr>
    <w:rPr>
      <w:rFonts w:ascii="Calibri" w:hAnsi="Calibri" w:cs="宋体"/>
      <w:kern w:val="0"/>
      <w:sz w:val="24"/>
    </w:rPr>
  </w:style>
  <w:style w:type="paragraph" w:customStyle="1" w:styleId="192">
    <w:name w:val="xl6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18"/>
      <w:szCs w:val="18"/>
    </w:rPr>
  </w:style>
  <w:style w:type="paragraph" w:customStyle="1" w:styleId="193">
    <w:name w:val="xl8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194">
    <w:name w:val="xl8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195">
    <w:name w:val="xl7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196">
    <w:name w:val="无间隔1"/>
    <w:qFormat/>
    <w:uiPriority w:val="1"/>
    <w:pPr>
      <w:widowControl w:val="0"/>
      <w:spacing w:line="360" w:lineRule="auto"/>
      <w:ind w:firstLine="200" w:firstLineChars="200"/>
      <w:jc w:val="both"/>
    </w:pPr>
    <w:rPr>
      <w:rFonts w:ascii="Calibri" w:hAnsi="Calibri"/>
      <w:kern w:val="2"/>
      <w:sz w:val="24"/>
      <w:szCs w:val="22"/>
      <w:lang w:val="en-US" w:eastAsia="zh-CN" w:bidi="ar-SA"/>
    </w:rPr>
  </w:style>
  <w:style w:type="paragraph" w:customStyle="1" w:styleId="197">
    <w:name w:val="p16"/>
    <w:basedOn w:val="1"/>
    <w:uiPriority w:val="0"/>
    <w:pPr>
      <w:widowControl/>
      <w:spacing w:line="360" w:lineRule="auto"/>
      <w:ind w:firstLine="420"/>
    </w:pPr>
    <w:rPr>
      <w:kern w:val="0"/>
      <w:sz w:val="24"/>
    </w:rPr>
  </w:style>
  <w:style w:type="paragraph" w:customStyle="1" w:styleId="198">
    <w:name w:val="正文21"/>
    <w:basedOn w:val="1"/>
    <w:uiPriority w:val="99"/>
    <w:pPr>
      <w:widowControl/>
      <w:adjustRightInd w:val="0"/>
      <w:snapToGrid w:val="0"/>
      <w:spacing w:line="440" w:lineRule="atLeast"/>
      <w:ind w:firstLine="510"/>
      <w:jc w:val="left"/>
    </w:pPr>
    <w:rPr>
      <w:rFonts w:ascii="Calibri" w:hAnsi="Calibri"/>
      <w:szCs w:val="20"/>
    </w:rPr>
  </w:style>
  <w:style w:type="paragraph" w:customStyle="1" w:styleId="199">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200">
    <w:name w:val="样式 正文有缩进 + 行距: 1.5 倍行距"/>
    <w:basedOn w:val="1"/>
    <w:qFormat/>
    <w:uiPriority w:val="0"/>
    <w:pPr>
      <w:ind w:firstLine="560" w:firstLineChars="200"/>
    </w:pPr>
    <w:rPr>
      <w:rFonts w:ascii="Calibri" w:hAnsi="Calibri"/>
      <w:sz w:val="28"/>
    </w:rPr>
  </w:style>
  <w:style w:type="paragraph" w:customStyle="1" w:styleId="201">
    <w:name w:val="xl8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02">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03">
    <w:name w:val="xl9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04">
    <w:name w:val=" Char Char Char Char"/>
    <w:basedOn w:val="1"/>
    <w:uiPriority w:val="0"/>
    <w:rPr>
      <w:rFonts w:ascii="Calibri" w:hAnsi="Calibri"/>
      <w:sz w:val="24"/>
    </w:rPr>
  </w:style>
  <w:style w:type="paragraph" w:customStyle="1" w:styleId="205">
    <w:name w:val="xl9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color w:val="000000"/>
      <w:kern w:val="0"/>
      <w:sz w:val="18"/>
      <w:szCs w:val="18"/>
    </w:rPr>
  </w:style>
  <w:style w:type="paragraph" w:customStyle="1" w:styleId="206">
    <w:name w:val="xl6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0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208">
    <w:name w:val="*正文"/>
    <w:basedOn w:val="1"/>
    <w:qFormat/>
    <w:uiPriority w:val="0"/>
    <w:pPr>
      <w:spacing w:line="360" w:lineRule="auto"/>
      <w:ind w:firstLine="200" w:firstLineChars="200"/>
    </w:pPr>
    <w:rPr>
      <w:rFonts w:ascii="宋体" w:hAnsi="宋体"/>
      <w:kern w:val="0"/>
    </w:rPr>
  </w:style>
  <w:style w:type="paragraph" w:customStyle="1" w:styleId="209">
    <w:name w:val="xl8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210">
    <w:name w:val="xl9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bottom"/>
    </w:pPr>
    <w:rPr>
      <w:rFonts w:ascii="宋体" w:hAnsi="宋体" w:cs="宋体"/>
      <w:color w:val="000000"/>
      <w:kern w:val="0"/>
      <w:sz w:val="18"/>
      <w:szCs w:val="18"/>
    </w:rPr>
  </w:style>
  <w:style w:type="paragraph" w:customStyle="1" w:styleId="211">
    <w:name w:val="xl9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12">
    <w:name w:val="xl8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213">
    <w:name w:val="xl8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214">
    <w:name w:val=" Char Char Char Char Char Char Char Char Char"/>
    <w:basedOn w:val="1"/>
    <w:uiPriority w:val="0"/>
    <w:pPr>
      <w:widowControl/>
      <w:spacing w:after="160" w:line="240" w:lineRule="exact"/>
      <w:jc w:val="left"/>
    </w:pPr>
    <w:rPr>
      <w:rFonts w:ascii="Calibri" w:hAnsi="Calibri"/>
    </w:rPr>
  </w:style>
  <w:style w:type="paragraph" w:customStyle="1" w:styleId="215">
    <w:name w:val="xl8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color w:val="FF0000"/>
      <w:kern w:val="0"/>
      <w:sz w:val="20"/>
      <w:szCs w:val="20"/>
    </w:rPr>
  </w:style>
  <w:style w:type="paragraph" w:customStyle="1" w:styleId="216">
    <w:name w:val="xl64"/>
    <w:basedOn w:val="1"/>
    <w:qFormat/>
    <w:uiPriority w:val="0"/>
    <w:pPr>
      <w:widowControl/>
      <w:shd w:val="clear" w:color="000000" w:fill="FFFFFF"/>
      <w:spacing w:before="100" w:beforeAutospacing="1" w:after="100" w:afterAutospacing="1"/>
      <w:jc w:val="center"/>
    </w:pPr>
    <w:rPr>
      <w:rFonts w:ascii="宋体" w:hAnsi="宋体" w:cs="宋体"/>
      <w:kern w:val="0"/>
      <w:sz w:val="18"/>
      <w:szCs w:val="18"/>
    </w:rPr>
  </w:style>
  <w:style w:type="paragraph" w:customStyle="1" w:styleId="217">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18">
    <w:name w:val="编号1"/>
    <w:basedOn w:val="1"/>
    <w:qFormat/>
    <w:uiPriority w:val="0"/>
    <w:pPr>
      <w:widowControl/>
      <w:tabs>
        <w:tab w:val="left" w:pos="840"/>
        <w:tab w:val="left" w:pos="1035"/>
      </w:tabs>
      <w:ind w:left="862" w:hanging="431"/>
      <w:jc w:val="left"/>
    </w:pPr>
    <w:rPr>
      <w:rFonts w:ascii="Calibri" w:hAnsi="Calibri"/>
      <w:kern w:val="0"/>
      <w:sz w:val="28"/>
      <w:szCs w:val="20"/>
    </w:rPr>
  </w:style>
  <w:style w:type="paragraph" w:customStyle="1" w:styleId="219">
    <w:name w:val="xl8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220">
    <w:name w:val="xl6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221">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22">
    <w:name w:val="xl90"/>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bottom"/>
    </w:pPr>
    <w:rPr>
      <w:rFonts w:ascii="宋体" w:hAnsi="宋体" w:cs="宋体"/>
      <w:kern w:val="0"/>
      <w:sz w:val="20"/>
      <w:szCs w:val="20"/>
    </w:rPr>
  </w:style>
  <w:style w:type="paragraph" w:customStyle="1" w:styleId="223">
    <w:name w:val="xl91"/>
    <w:basedOn w:val="1"/>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jc w:val="left"/>
      <w:textAlignment w:val="bottom"/>
    </w:pPr>
    <w:rPr>
      <w:rFonts w:ascii="宋体" w:hAnsi="宋体" w:cs="宋体"/>
      <w:kern w:val="0"/>
      <w:sz w:val="20"/>
      <w:szCs w:val="20"/>
    </w:rPr>
  </w:style>
  <w:style w:type="paragraph" w:customStyle="1" w:styleId="224">
    <w:name w:val="xl7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25">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226">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227">
    <w:name w:val="xl93"/>
    <w:basedOn w:val="1"/>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jc w:val="left"/>
    </w:pPr>
    <w:rPr>
      <w:rFonts w:ascii="宋体" w:hAnsi="宋体" w:cs="宋体"/>
      <w:kern w:val="0"/>
      <w:sz w:val="20"/>
      <w:szCs w:val="20"/>
    </w:rPr>
  </w:style>
  <w:style w:type="paragraph" w:customStyle="1" w:styleId="228">
    <w:name w:val="xl8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229">
    <w:name w:val="目录 71"/>
    <w:basedOn w:val="1"/>
    <w:next w:val="1"/>
    <w:unhideWhenUsed/>
    <w:qFormat/>
    <w:uiPriority w:val="39"/>
    <w:pPr>
      <w:spacing w:line="360" w:lineRule="auto"/>
      <w:ind w:firstLine="200" w:firstLineChars="200"/>
      <w:jc w:val="left"/>
    </w:pPr>
    <w:rPr>
      <w:rFonts w:ascii="等线" w:hAnsi="等线"/>
      <w:sz w:val="22"/>
      <w:szCs w:val="22"/>
    </w:rPr>
  </w:style>
  <w:style w:type="paragraph" w:customStyle="1" w:styleId="230">
    <w:name w:val="xl92"/>
    <w:basedOn w:val="1"/>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jc w:val="left"/>
      <w:textAlignment w:val="bottom"/>
    </w:pPr>
    <w:rPr>
      <w:rFonts w:ascii="宋体" w:hAnsi="宋体" w:cs="宋体"/>
      <w:kern w:val="0"/>
      <w:sz w:val="20"/>
      <w:szCs w:val="20"/>
    </w:rPr>
  </w:style>
  <w:style w:type="paragraph" w:customStyle="1" w:styleId="231">
    <w:name w:val="xl7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32">
    <w:name w:val="1正常"/>
    <w:basedOn w:val="1"/>
    <w:qFormat/>
    <w:uiPriority w:val="0"/>
    <w:pPr>
      <w:spacing w:line="360" w:lineRule="auto"/>
      <w:ind w:firstLine="480" w:firstLineChars="200"/>
    </w:pPr>
    <w:rPr>
      <w:rFonts w:ascii="Arial" w:hAnsi="Arial" w:cs="Arial"/>
      <w:sz w:val="24"/>
    </w:rPr>
  </w:style>
  <w:style w:type="paragraph" w:customStyle="1" w:styleId="233">
    <w:name w:val="编号，小四"/>
    <w:basedOn w:val="1"/>
    <w:qFormat/>
    <w:uiPriority w:val="0"/>
    <w:pPr>
      <w:numPr>
        <w:ilvl w:val="0"/>
        <w:numId w:val="5"/>
      </w:numPr>
    </w:pPr>
  </w:style>
  <w:style w:type="paragraph" w:customStyle="1" w:styleId="234">
    <w:name w:val="font9"/>
    <w:basedOn w:val="1"/>
    <w:qFormat/>
    <w:uiPriority w:val="0"/>
    <w:pPr>
      <w:widowControl/>
      <w:spacing w:before="100" w:beforeAutospacing="1" w:after="100" w:afterAutospacing="1"/>
      <w:jc w:val="left"/>
    </w:pPr>
    <w:rPr>
      <w:rFonts w:ascii="宋体" w:hAnsi="宋体" w:cs="宋体"/>
      <w:kern w:val="0"/>
      <w:sz w:val="22"/>
      <w:szCs w:val="22"/>
    </w:rPr>
  </w:style>
  <w:style w:type="table" w:customStyle="1" w:styleId="235">
    <w:name w:val="网格型1"/>
    <w:basedOn w:val="40"/>
    <w:qFormat/>
    <w:uiPriority w:val="0"/>
    <w:pPr>
      <w:widowControl w:val="0"/>
      <w:spacing w:beforeLines="50" w:afterLines="50"/>
      <w:jc w:val="both"/>
    </w:pPr>
    <w:rPr>
      <w:rFonts w:ascii="Arial" w:hAnsi="Arial" w:cs="宋体"/>
    </w:rPr>
    <w:tblPr>
      <w:tblStyle w:val="40"/>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36">
    <w:name w:val="Char Char26"/>
    <w:qFormat/>
    <w:uiPriority w:val="0"/>
    <w:rPr>
      <w:rFonts w:ascii="宋体" w:hAnsi="Courier New" w:eastAsia="宋体" w:cs="Arial"/>
      <w:snapToGrid w:val="0"/>
      <w:kern w:val="2"/>
      <w:sz w:val="21"/>
      <w:szCs w:val="21"/>
      <w:lang w:val="en-US" w:eastAsia="zh-CN" w:bidi="ar-SA"/>
    </w:rPr>
  </w:style>
  <w:style w:type="paragraph" w:customStyle="1" w:styleId="237">
    <w:name w:val="正文文本缩进 31"/>
    <w:basedOn w:val="1"/>
    <w:uiPriority w:val="0"/>
    <w:pPr>
      <w:adjustRightInd w:val="0"/>
      <w:ind w:firstLine="560"/>
      <w:textAlignment w:val="baseline"/>
    </w:pPr>
    <w:rPr>
      <w:rFonts w:ascii="Calibri" w:hAnsi="Calibri"/>
      <w:sz w:val="28"/>
      <w:szCs w:val="20"/>
    </w:rPr>
  </w:style>
  <w:style w:type="paragraph" w:customStyle="1" w:styleId="238">
    <w:name w:val="Char Char Char Char Char Char Char Char Char"/>
    <w:basedOn w:val="1"/>
    <w:uiPriority w:val="0"/>
    <w:pPr>
      <w:widowControl/>
      <w:spacing w:after="160" w:line="240" w:lineRule="exact"/>
      <w:jc w:val="left"/>
    </w:pPr>
    <w:rPr>
      <w:rFonts w:ascii="Calibri" w:hAnsi="Calibri"/>
    </w:rPr>
  </w:style>
  <w:style w:type="paragraph" w:customStyle="1" w:styleId="239">
    <w:name w:val="正文3"/>
    <w:basedOn w:val="1"/>
    <w:uiPriority w:val="0"/>
    <w:rPr>
      <w:rFonts w:ascii="宋体" w:hAnsi="宋体" w:cs="宋体"/>
      <w:szCs w:val="21"/>
    </w:rPr>
  </w:style>
  <w:style w:type="paragraph" w:customStyle="1" w:styleId="240">
    <w:name w:val="正文文本缩进1"/>
    <w:basedOn w:val="1"/>
    <w:uiPriority w:val="0"/>
    <w:pPr>
      <w:spacing w:after="120"/>
      <w:ind w:left="420" w:leftChars="200"/>
    </w:pPr>
    <w:rPr>
      <w:rFonts w:ascii="Calibri" w:hAnsi="Calibri"/>
      <w:szCs w:val="22"/>
    </w:rPr>
  </w:style>
  <w:style w:type="character" w:customStyle="1" w:styleId="241">
    <w:name w:val="Char Char2"/>
    <w:link w:val="242"/>
    <w:uiPriority w:val="0"/>
    <w:rPr>
      <w:kern w:val="2"/>
      <w:sz w:val="18"/>
    </w:rPr>
  </w:style>
  <w:style w:type="paragraph" w:customStyle="1" w:styleId="242">
    <w:name w:val="批注框文本1"/>
    <w:basedOn w:val="1"/>
    <w:link w:val="241"/>
    <w:uiPriority w:val="0"/>
    <w:rPr>
      <w:sz w:val="18"/>
      <w:szCs w:val="20"/>
    </w:rPr>
  </w:style>
  <w:style w:type="paragraph" w:customStyle="1" w:styleId="243">
    <w:name w:val="纯文本1"/>
    <w:basedOn w:val="1"/>
    <w:uiPriority w:val="0"/>
    <w:rPr>
      <w:rFonts w:ascii="宋体" w:hAnsi="Courier New"/>
      <w:szCs w:val="20"/>
    </w:rPr>
  </w:style>
  <w:style w:type="paragraph" w:customStyle="1" w:styleId="244">
    <w:name w:val="标题 41"/>
    <w:basedOn w:val="1"/>
    <w:next w:val="4"/>
    <w:uiPriority w:val="0"/>
    <w:pPr>
      <w:keepNext/>
      <w:tabs>
        <w:tab w:val="left" w:pos="1035"/>
        <w:tab w:val="left" w:pos="1275"/>
      </w:tabs>
      <w:spacing w:line="216" w:lineRule="auto"/>
      <w:ind w:left="1275" w:hanging="720"/>
      <w:outlineLvl w:val="3"/>
    </w:pPr>
    <w:rPr>
      <w:rFonts w:ascii="黑体" w:eastAsia="黑体"/>
      <w:b/>
      <w:sz w:val="24"/>
      <w:szCs w:val="20"/>
    </w:rPr>
  </w:style>
  <w:style w:type="character" w:customStyle="1" w:styleId="245">
    <w:name w:val="Char Char"/>
    <w:link w:val="246"/>
    <w:uiPriority w:val="0"/>
    <w:rPr>
      <w:rFonts w:ascii="宋体" w:hAnsi="宋体"/>
      <w:b/>
      <w:kern w:val="2"/>
      <w:sz w:val="21"/>
    </w:rPr>
  </w:style>
  <w:style w:type="paragraph" w:customStyle="1" w:styleId="246">
    <w:name w:val="批注主题1"/>
    <w:basedOn w:val="15"/>
    <w:next w:val="15"/>
    <w:link w:val="245"/>
    <w:uiPriority w:val="0"/>
    <w:rPr>
      <w:b/>
    </w:rPr>
  </w:style>
  <w:style w:type="paragraph" w:customStyle="1" w:styleId="247">
    <w:name w:val="正文文本缩进 21"/>
    <w:basedOn w:val="1"/>
    <w:uiPriority w:val="0"/>
    <w:pPr>
      <w:ind w:left="850" w:firstLine="425"/>
    </w:pPr>
    <w:rPr>
      <w:kern w:val="0"/>
      <w:sz w:val="20"/>
      <w:szCs w:val="21"/>
    </w:rPr>
  </w:style>
  <w:style w:type="paragraph" w:customStyle="1" w:styleId="248">
    <w:name w:val="标题 21"/>
    <w:basedOn w:val="1"/>
    <w:next w:val="4"/>
    <w:uiPriority w:val="0"/>
    <w:pPr>
      <w:keepNext/>
      <w:spacing w:line="216" w:lineRule="auto"/>
      <w:outlineLvl w:val="1"/>
    </w:pPr>
    <w:rPr>
      <w:rFonts w:ascii="宋体"/>
      <w:b/>
      <w:sz w:val="28"/>
      <w:szCs w:val="20"/>
    </w:rPr>
  </w:style>
  <w:style w:type="paragraph" w:customStyle="1" w:styleId="249">
    <w:name w:val="标题 31"/>
    <w:basedOn w:val="1"/>
    <w:next w:val="1"/>
    <w:uiPriority w:val="0"/>
    <w:pPr>
      <w:keepNext/>
      <w:tabs>
        <w:tab w:val="left" w:pos="1275"/>
      </w:tabs>
      <w:spacing w:line="216" w:lineRule="auto"/>
      <w:ind w:left="900" w:hanging="420"/>
      <w:outlineLvl w:val="2"/>
    </w:pPr>
    <w:rPr>
      <w:rFonts w:ascii="宋体"/>
      <w:b/>
      <w:sz w:val="28"/>
      <w:szCs w:val="20"/>
    </w:rPr>
  </w:style>
  <w:style w:type="paragraph" w:customStyle="1" w:styleId="250">
    <w:name w:val="Char1"/>
    <w:basedOn w:val="1"/>
    <w:uiPriority w:val="0"/>
    <w:pPr>
      <w:widowControl/>
      <w:jc w:val="left"/>
    </w:pPr>
    <w:rPr>
      <w:kern w:val="0"/>
      <w:sz w:val="20"/>
      <w:szCs w:val="20"/>
    </w:rPr>
  </w:style>
  <w:style w:type="paragraph" w:customStyle="1" w:styleId="251">
    <w:name w:val="TOC 标题2"/>
    <w:basedOn w:val="2"/>
    <w:next w:val="1"/>
    <w:qFormat/>
    <w:uiPriority w:val="39"/>
    <w:pPr>
      <w:widowControl/>
      <w:numPr>
        <w:ilvl w:val="0"/>
        <w:numId w:val="0"/>
      </w:numPr>
      <w:spacing w:before="480" w:after="0" w:line="276" w:lineRule="auto"/>
      <w:jc w:val="left"/>
      <w:outlineLvl w:val="9"/>
    </w:pPr>
    <w:rPr>
      <w:rFonts w:ascii="Cambria" w:hAnsi="Cambria"/>
      <w:bCs/>
      <w:color w:val="365F91"/>
      <w:kern w:val="0"/>
      <w:sz w:val="28"/>
      <w:szCs w:val="28"/>
    </w:rPr>
  </w:style>
  <w:style w:type="paragraph" w:customStyle="1" w:styleId="252">
    <w:name w:val="Char Char Char Char Char Char1"/>
    <w:basedOn w:val="1"/>
    <w:next w:val="2"/>
    <w:uiPriority w:val="0"/>
    <w:pPr>
      <w:widowControl/>
      <w:spacing w:before="100" w:beforeAutospacing="1" w:after="100" w:afterAutospacing="1" w:line="420" w:lineRule="auto"/>
      <w:jc w:val="left"/>
      <w:textAlignment w:val="top"/>
    </w:pPr>
    <w:rPr>
      <w:szCs w:val="20"/>
    </w:rPr>
  </w:style>
  <w:style w:type="paragraph" w:customStyle="1" w:styleId="253">
    <w:name w:val="Char Char Char Char2"/>
    <w:basedOn w:val="14"/>
    <w:qFormat/>
    <w:uiPriority w:val="0"/>
    <w:pPr>
      <w:shd w:val="clear" w:color="auto" w:fill="000080"/>
      <w:wordWrap w:val="0"/>
      <w:ind w:left="360" w:leftChars="150" w:firstLine="540" w:firstLineChars="225"/>
      <w:jc w:val="center"/>
    </w:pPr>
    <w:rPr>
      <w:rFonts w:ascii="Tahoma" w:hAnsi="Tahoma" w:cs="宋体"/>
      <w:sz w:val="28"/>
      <w:szCs w:val="28"/>
    </w:rPr>
  </w:style>
  <w:style w:type="character" w:customStyle="1" w:styleId="254">
    <w:name w:val="bookmark-item"/>
    <w:basedOn w:val="42"/>
    <w:uiPriority w:val="0"/>
  </w:style>
  <w:style w:type="paragraph" w:customStyle="1" w:styleId="255">
    <w:name w:val="正文样式"/>
    <w:unhideWhenUsed/>
    <w:qFormat/>
    <w:uiPriority w:val="0"/>
    <w:pPr>
      <w:widowControl w:val="0"/>
      <w:adjustRightInd w:val="0"/>
      <w:snapToGrid w:val="0"/>
      <w:spacing w:line="360" w:lineRule="auto"/>
      <w:ind w:firstLine="200" w:firstLineChars="200"/>
      <w:jc w:val="both"/>
    </w:pPr>
    <w:rPr>
      <w:snapToGrid w:val="0"/>
      <w:sz w:val="24"/>
      <w:szCs w:val="44"/>
      <w:lang w:val="en-US" w:eastAsia="zh-CN" w:bidi="ar-SA"/>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media/image4.png" Type="http://schemas.openxmlformats.org/officeDocument/2006/relationships/image"/><Relationship Id="rId11" Target="media/image5.png" Type="http://schemas.openxmlformats.org/officeDocument/2006/relationships/image"/><Relationship Id="rId12" Target="media/image6.png" Type="http://schemas.openxmlformats.org/officeDocument/2006/relationships/image"/><Relationship Id="rId13" Target="media/image7.png" Type="http://schemas.openxmlformats.org/officeDocument/2006/relationships/image"/><Relationship Id="rId14" Target="media/image8.png" Type="http://schemas.openxmlformats.org/officeDocument/2006/relationships/image"/><Relationship Id="rId15" Target="media/image9.png" Type="http://schemas.openxmlformats.org/officeDocument/2006/relationships/image"/><Relationship Id="rId16" Target="media/image10.png" Type="http://schemas.openxmlformats.org/officeDocument/2006/relationships/image"/><Relationship Id="rId17" Target="numbering.xml" Type="http://schemas.openxmlformats.org/officeDocument/2006/relationships/numbering"/><Relationship Id="rId18" Target="fontTable.xml" Type="http://schemas.openxmlformats.org/officeDocument/2006/relationships/fontTable"/><Relationship Id="rId2" Target="settings.xml" Type="http://schemas.openxmlformats.org/officeDocument/2006/relationships/settings"/><Relationship Id="rId3" Target="header1.xml" Type="http://schemas.openxmlformats.org/officeDocument/2006/relationships/header"/><Relationship Id="rId4" Target="footer1.xml" Type="http://schemas.openxmlformats.org/officeDocument/2006/relationships/footer"/><Relationship Id="rId5" Target="footer2.xml" Type="http://schemas.openxmlformats.org/officeDocument/2006/relationships/footer"/><Relationship Id="rId6" Target="theme/theme1.xml" Type="http://schemas.openxmlformats.org/officeDocument/2006/relationships/theme"/><Relationship Id="rId7" Target="media/image1.png" Type="http://schemas.openxmlformats.org/officeDocument/2006/relationships/image"/><Relationship Id="rId8" Target="media/image2.png" Type="http://schemas.openxmlformats.org/officeDocument/2006/relationships/image"/><Relationship Id="rId9" Target="media/image3.png" Type="http://schemas.openxmlformats.org/officeDocument/2006/relationships/image"/></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22</Pages>
  <Words>2041</Words>
  <Characters>11638</Characters>
  <Lines>96</Lines>
  <Paragraphs>27</Paragraphs>
  <TotalTime>0</TotalTime>
  <ScaleCrop>false</ScaleCrop>
  <LinksUpToDate>false</LinksUpToDate>
  <CharactersWithSpaces>13652</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2016-02-24T00:31:00Z</dcterms:created>
  <dc:creator>微软用户</dc:creator>
  <cp:lastModifiedBy>WPS_1701756769</cp:lastModifiedBy>
  <cp:lastPrinted>2023-02-20T05:45:00Z</cp:lastPrinted>
  <dcterms:modified xsi:type="dcterms:W3CDTF">2024-02-23T02:33:42Z</dcterms:modified>
  <cp:revision>7</cp:revision>
  <dc:title>上虞区公安局交通警察大队交通信号灯三年维护项目征求意见</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812FF567ED404B31ABBE1576E7E0329F_13</vt:lpwstr>
  </property>
</Properties>
</file>