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A7C9">
      <w:pPr>
        <w:adjustRightInd/>
        <w:spacing w:line="360" w:lineRule="auto"/>
        <w:jc w:val="center"/>
        <w:rPr>
          <w:rFonts w:hint="eastAsia" w:ascii="仿宋_GB2312" w:hAnsi="仿宋_GB2312" w:eastAsia="仿宋_GB2312" w:cs="仿宋_GB2312"/>
          <w:b/>
          <w:bCs/>
          <w:sz w:val="48"/>
          <w:szCs w:val="48"/>
        </w:rPr>
      </w:pPr>
    </w:p>
    <w:p w14:paraId="33F031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p>
    <w:p w14:paraId="6A1121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诸暨市应急消防管理站提质升级设备采购项目</w:t>
      </w:r>
    </w:p>
    <w:p w14:paraId="61BDD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诸正开2025-06-10</w:t>
      </w:r>
      <w:r>
        <w:rPr>
          <w:rFonts w:hint="eastAsia" w:ascii="仿宋" w:hAnsi="仿宋" w:eastAsia="仿宋" w:cs="仿宋"/>
          <w:b/>
          <w:bCs/>
          <w:sz w:val="32"/>
          <w:szCs w:val="32"/>
        </w:rPr>
        <w:t>）</w:t>
      </w:r>
    </w:p>
    <w:p w14:paraId="5AF2A4A3">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22E9813A">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5C6FE39">
      <w:pPr>
        <w:pStyle w:val="977"/>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65C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1DA5E9E">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人）：诸暨市应急管理局</w:t>
            </w:r>
          </w:p>
        </w:tc>
      </w:tr>
      <w:tr w14:paraId="6433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774EA634">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1881A16">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月</w:t>
      </w:r>
    </w:p>
    <w:p w14:paraId="747B9ED1">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C05FD23">
      <w:pPr>
        <w:pStyle w:val="23"/>
        <w:rPr>
          <w:rFonts w:hint="eastAsia"/>
        </w:rPr>
      </w:pPr>
    </w:p>
    <w:p w14:paraId="479593FB">
      <w:pPr>
        <w:spacing w:line="360" w:lineRule="auto"/>
        <w:jc w:val="center"/>
        <w:rPr>
          <w:rFonts w:hint="eastAsia" w:ascii="仿宋" w:hAnsi="仿宋" w:eastAsia="仿宋" w:cs="仿宋"/>
          <w:b/>
          <w:sz w:val="48"/>
          <w:szCs w:val="48"/>
        </w:rPr>
      </w:pPr>
    </w:p>
    <w:p w14:paraId="162E0E0D">
      <w:pPr>
        <w:spacing w:line="360" w:lineRule="auto"/>
        <w:jc w:val="center"/>
        <w:rPr>
          <w:rFonts w:hint="eastAsia" w:ascii="仿宋" w:hAnsi="仿宋" w:eastAsia="仿宋" w:cs="仿宋"/>
          <w:b/>
          <w:sz w:val="48"/>
          <w:szCs w:val="48"/>
        </w:rPr>
      </w:pPr>
    </w:p>
    <w:p w14:paraId="46559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2D3B6A7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A38442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08321B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DC033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78DB005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65E01A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F662857">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7161730">
      <w:pPr>
        <w:spacing w:line="360" w:lineRule="auto"/>
        <w:ind w:firstLine="549" w:firstLineChars="229"/>
        <w:rPr>
          <w:rFonts w:hint="eastAsia" w:ascii="仿宋" w:hAnsi="仿宋" w:eastAsia="仿宋" w:cs="仿宋"/>
          <w:sz w:val="24"/>
        </w:rPr>
      </w:pPr>
    </w:p>
    <w:p w14:paraId="2B94B1D2">
      <w:pPr>
        <w:spacing w:line="360" w:lineRule="auto"/>
        <w:ind w:firstLine="549" w:firstLineChars="229"/>
        <w:rPr>
          <w:rFonts w:hint="eastAsia" w:ascii="仿宋" w:hAnsi="仿宋" w:eastAsia="仿宋" w:cs="仿宋"/>
          <w:sz w:val="24"/>
        </w:rPr>
      </w:pPr>
    </w:p>
    <w:p w14:paraId="78620D68">
      <w:pPr>
        <w:spacing w:line="360" w:lineRule="auto"/>
        <w:ind w:firstLine="549" w:firstLineChars="229"/>
        <w:rPr>
          <w:rFonts w:hint="eastAsia" w:ascii="仿宋" w:hAnsi="仿宋" w:eastAsia="仿宋" w:cs="仿宋"/>
          <w:sz w:val="24"/>
        </w:rPr>
      </w:pPr>
    </w:p>
    <w:p w14:paraId="3DE6E4DE">
      <w:pPr>
        <w:spacing w:line="360" w:lineRule="auto"/>
        <w:ind w:firstLine="549" w:firstLineChars="229"/>
        <w:rPr>
          <w:rFonts w:hint="eastAsia" w:ascii="仿宋" w:hAnsi="仿宋" w:eastAsia="仿宋" w:cs="仿宋"/>
          <w:sz w:val="24"/>
        </w:rPr>
      </w:pPr>
    </w:p>
    <w:p w14:paraId="09247AAC">
      <w:pPr>
        <w:spacing w:line="360" w:lineRule="auto"/>
        <w:ind w:firstLine="549" w:firstLineChars="229"/>
        <w:rPr>
          <w:rFonts w:hint="eastAsia" w:ascii="仿宋" w:hAnsi="仿宋" w:eastAsia="仿宋" w:cs="仿宋"/>
          <w:sz w:val="24"/>
        </w:rPr>
      </w:pPr>
    </w:p>
    <w:p w14:paraId="68FC1733">
      <w:pPr>
        <w:spacing w:line="360" w:lineRule="auto"/>
        <w:ind w:firstLine="549" w:firstLineChars="229"/>
        <w:rPr>
          <w:rFonts w:hint="eastAsia" w:ascii="仿宋" w:hAnsi="仿宋" w:eastAsia="仿宋" w:cs="仿宋"/>
          <w:sz w:val="24"/>
        </w:rPr>
      </w:pPr>
    </w:p>
    <w:p w14:paraId="79302714">
      <w:pPr>
        <w:spacing w:line="360" w:lineRule="auto"/>
        <w:ind w:firstLine="549" w:firstLineChars="229"/>
        <w:rPr>
          <w:rFonts w:hint="eastAsia" w:ascii="仿宋" w:hAnsi="仿宋" w:eastAsia="仿宋" w:cs="仿宋"/>
          <w:sz w:val="24"/>
        </w:rPr>
      </w:pPr>
    </w:p>
    <w:p w14:paraId="7C717E20">
      <w:pPr>
        <w:spacing w:line="360" w:lineRule="auto"/>
        <w:ind w:firstLine="549" w:firstLineChars="229"/>
        <w:rPr>
          <w:rFonts w:hint="eastAsia" w:ascii="仿宋" w:hAnsi="仿宋" w:eastAsia="仿宋" w:cs="仿宋"/>
          <w:sz w:val="24"/>
        </w:rPr>
      </w:pPr>
    </w:p>
    <w:bookmarkEnd w:id="1"/>
    <w:p w14:paraId="6238F3A1">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649545"/>
      <w:bookmarkEnd w:id="2"/>
      <w:bookmarkStart w:id="3" w:name="_Hlt74707423"/>
      <w:bookmarkEnd w:id="3"/>
      <w:bookmarkStart w:id="4" w:name="_Hlt74728647"/>
      <w:bookmarkEnd w:id="4"/>
      <w:bookmarkStart w:id="5" w:name="_Hlt74729822"/>
      <w:bookmarkEnd w:id="5"/>
      <w:bookmarkStart w:id="6" w:name="_Toc91899870"/>
      <w:bookmarkStart w:id="7" w:name="第二部分"/>
      <w:bookmarkStart w:id="8" w:name="_Toc91899871"/>
    </w:p>
    <w:p w14:paraId="1E4AB27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86B1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70310A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诸暨市应急消防管理站提质升级设备采购项目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53077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329ABF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诸正开2025-06-10</w:t>
      </w:r>
    </w:p>
    <w:p w14:paraId="7E66927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诸暨市应急消防管理站提质升级设备采购项目</w:t>
      </w:r>
    </w:p>
    <w:p w14:paraId="008FE0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eastAsia="zh-CN"/>
        </w:rPr>
        <w:t>5755</w:t>
      </w:r>
      <w:r>
        <w:rPr>
          <w:rFonts w:hint="eastAsia" w:ascii="仿宋" w:hAnsi="仿宋" w:eastAsia="仿宋" w:cs="仿宋"/>
          <w:bCs/>
          <w:sz w:val="24"/>
          <w:lang w:val="en-US" w:eastAsia="zh-CN"/>
        </w:rPr>
        <w:t>052.00</w:t>
      </w:r>
    </w:p>
    <w:p w14:paraId="50A31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lang w:val="en-US" w:eastAsia="zh-CN"/>
        </w:rPr>
        <w:t>标项一：</w:t>
      </w:r>
      <w:r>
        <w:rPr>
          <w:rFonts w:hint="eastAsia" w:ascii="仿宋" w:hAnsi="仿宋" w:eastAsia="仿宋" w:cs="仿宋"/>
          <w:bCs/>
          <w:sz w:val="24"/>
          <w:lang w:val="en-US" w:eastAsia="zh-CN"/>
        </w:rPr>
        <w:t>2681800.00</w:t>
      </w:r>
      <w:r>
        <w:rPr>
          <w:rFonts w:hint="eastAsia" w:ascii="仿宋" w:hAnsi="仿宋" w:eastAsia="仿宋" w:cs="仿宋"/>
          <w:b w:val="0"/>
          <w:bCs/>
          <w:sz w:val="24"/>
          <w:lang w:val="en-US" w:eastAsia="zh-CN"/>
        </w:rPr>
        <w:t>；标项二：</w:t>
      </w:r>
      <w:r>
        <w:rPr>
          <w:rFonts w:hint="eastAsia" w:ascii="仿宋" w:hAnsi="仿宋" w:eastAsia="仿宋" w:cs="仿宋"/>
          <w:bCs/>
          <w:sz w:val="24"/>
          <w:lang w:val="en-US" w:eastAsia="zh-CN"/>
        </w:rPr>
        <w:t>3073252.00</w:t>
      </w:r>
      <w:r>
        <w:rPr>
          <w:rFonts w:hint="eastAsia" w:ascii="仿宋" w:hAnsi="仿宋" w:eastAsia="仿宋" w:cs="仿宋"/>
          <w:b w:val="0"/>
          <w:bCs/>
          <w:sz w:val="24"/>
          <w:lang w:val="en-US" w:eastAsia="zh-CN"/>
        </w:rPr>
        <w:t>。</w:t>
      </w:r>
    </w:p>
    <w:p w14:paraId="2E956A2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val="en-US" w:eastAsia="zh-CN"/>
        </w:rPr>
      </w:pPr>
      <w:r>
        <w:rPr>
          <w:rFonts w:hint="eastAsia" w:ascii="仿宋" w:hAnsi="仿宋" w:eastAsia="仿宋" w:cs="仿宋"/>
          <w:b/>
          <w:sz w:val="24"/>
          <w:lang w:val="en-US" w:eastAsia="zh-CN"/>
        </w:rPr>
        <w:t>采购需求：</w:t>
      </w:r>
      <w:r>
        <w:rPr>
          <w:rFonts w:hint="eastAsia" w:ascii="仿宋" w:hAnsi="仿宋" w:eastAsia="仿宋" w:cs="仿宋"/>
          <w:b w:val="0"/>
          <w:bCs/>
          <w:sz w:val="24"/>
          <w:lang w:val="en-US" w:eastAsia="zh-CN"/>
        </w:rPr>
        <w:t>诸暨市应急消防管理站提质升级设备采购项目 ，本项目分为2个标项，采购预算金额为575.5052万元，每个标项的采购预算金额见下表。具体内容详见采购需求。</w:t>
      </w:r>
    </w:p>
    <w:tbl>
      <w:tblPr>
        <w:tblStyle w:val="65"/>
        <w:tblW w:w="82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6"/>
        <w:gridCol w:w="4469"/>
        <w:gridCol w:w="2828"/>
      </w:tblGrid>
      <w:tr w14:paraId="28DB1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16" w:type="dxa"/>
            <w:vAlign w:val="center"/>
          </w:tcPr>
          <w:p w14:paraId="04736A94">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标项</w:t>
            </w:r>
          </w:p>
        </w:tc>
        <w:tc>
          <w:tcPr>
            <w:tcW w:w="4469" w:type="dxa"/>
            <w:vAlign w:val="center"/>
          </w:tcPr>
          <w:p w14:paraId="6DA3DDFD">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标项名称</w:t>
            </w:r>
          </w:p>
        </w:tc>
        <w:tc>
          <w:tcPr>
            <w:tcW w:w="2828" w:type="dxa"/>
            <w:vAlign w:val="center"/>
          </w:tcPr>
          <w:p w14:paraId="7E6639B1">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预算金额（</w:t>
            </w:r>
            <w:r>
              <w:rPr>
                <w:rFonts w:hint="eastAsia" w:ascii="仿宋" w:hAnsi="仿宋" w:eastAsia="仿宋" w:cs="仿宋"/>
                <w:b/>
                <w:bCs/>
                <w:color w:val="auto"/>
                <w:sz w:val="24"/>
                <w:lang w:val="en-US" w:eastAsia="zh-CN"/>
              </w:rPr>
              <w:t>万</w:t>
            </w:r>
            <w:r>
              <w:rPr>
                <w:rFonts w:hint="eastAsia" w:ascii="仿宋" w:hAnsi="仿宋" w:eastAsia="仿宋" w:cs="仿宋"/>
                <w:b/>
                <w:bCs/>
                <w:color w:val="auto"/>
                <w:sz w:val="24"/>
              </w:rPr>
              <w:t>元）</w:t>
            </w:r>
          </w:p>
        </w:tc>
      </w:tr>
      <w:tr w14:paraId="1D084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916" w:type="dxa"/>
            <w:vAlign w:val="center"/>
          </w:tcPr>
          <w:p w14:paraId="507C2589">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一</w:t>
            </w:r>
          </w:p>
        </w:tc>
        <w:tc>
          <w:tcPr>
            <w:tcW w:w="4469" w:type="dxa"/>
            <w:vAlign w:val="center"/>
          </w:tcPr>
          <w:p w14:paraId="49F033A4">
            <w:pPr>
              <w:spacing w:line="276" w:lineRule="auto"/>
              <w:ind w:firstLine="1680" w:firstLineChars="700"/>
              <w:jc w:val="both"/>
              <w:rPr>
                <w:rFonts w:hint="eastAsia" w:ascii="仿宋" w:hAnsi="仿宋" w:eastAsia="仿宋" w:cs="仿宋"/>
                <w:bCs/>
                <w:sz w:val="24"/>
                <w:highlight w:val="none"/>
                <w:lang w:val="en-US" w:eastAsia="zh-CN"/>
              </w:rPr>
            </w:pPr>
            <w:r>
              <w:rPr>
                <w:rFonts w:hint="eastAsia" w:ascii="仿宋" w:hAnsi="仿宋" w:eastAsia="仿宋" w:cs="仿宋"/>
                <w:color w:val="auto"/>
                <w:sz w:val="24"/>
                <w:szCs w:val="24"/>
                <w:highlight w:val="none"/>
                <w:lang w:val="en-US" w:eastAsia="zh-CN"/>
              </w:rPr>
              <w:t>通信类设备</w:t>
            </w:r>
          </w:p>
        </w:tc>
        <w:tc>
          <w:tcPr>
            <w:tcW w:w="2828" w:type="dxa"/>
            <w:vAlign w:val="center"/>
          </w:tcPr>
          <w:p w14:paraId="478BB2B3">
            <w:pPr>
              <w:spacing w:line="276"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268.18</w:t>
            </w:r>
          </w:p>
        </w:tc>
      </w:tr>
      <w:tr w14:paraId="79BAC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916" w:type="dxa"/>
            <w:vAlign w:val="center"/>
          </w:tcPr>
          <w:p w14:paraId="06B3357A">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二</w:t>
            </w:r>
          </w:p>
        </w:tc>
        <w:tc>
          <w:tcPr>
            <w:tcW w:w="4469" w:type="dxa"/>
            <w:vAlign w:val="center"/>
          </w:tcPr>
          <w:p w14:paraId="366B9985">
            <w:pPr>
              <w:spacing w:line="276" w:lineRule="auto"/>
              <w:ind w:firstLine="1680" w:firstLineChars="700"/>
              <w:jc w:val="both"/>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应急消防救援装备</w:t>
            </w:r>
          </w:p>
        </w:tc>
        <w:tc>
          <w:tcPr>
            <w:tcW w:w="2828" w:type="dxa"/>
            <w:vAlign w:val="center"/>
          </w:tcPr>
          <w:p w14:paraId="76A32C64">
            <w:pPr>
              <w:spacing w:line="276"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307.3252</w:t>
            </w:r>
          </w:p>
        </w:tc>
      </w:tr>
    </w:tbl>
    <w:p w14:paraId="330B27BA">
      <w:pPr>
        <w:widowControl/>
        <w:spacing w:line="288" w:lineRule="auto"/>
        <w:ind w:firstLine="482" w:firstLineChars="200"/>
        <w:jc w:val="left"/>
        <w:rPr>
          <w:rFonts w:hint="eastAsia" w:ascii="仿宋" w:hAnsi="仿宋" w:eastAsia="仿宋" w:cs="宋体"/>
          <w:color w:val="auto"/>
          <w:sz w:val="24"/>
          <w:szCs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kern w:val="2"/>
          <w:sz w:val="24"/>
          <w:szCs w:val="24"/>
          <w:lang w:val="en-US" w:eastAsia="zh-CN" w:bidi="ar"/>
        </w:rPr>
        <w:t>详见采购文件要求。</w:t>
      </w:r>
    </w:p>
    <w:p w14:paraId="2F099F26">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85B32C5">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0C1F02E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1、符合《中华人民共和国政府采购法》第二十二条之供应商资格规定；</w:t>
      </w:r>
    </w:p>
    <w:p w14:paraId="55A0FB8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2、未被“信用中国”（www.creditchina.gov.cn）、中国政府采购网（www.ccgp.gov.cn）列入失信被执行人、重大税收违法失信主体、政府采购严重违法失信行为记录名单；</w:t>
      </w:r>
    </w:p>
    <w:p w14:paraId="5379AF7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落实政府采购政策需满足的资格要求：【</w:t>
      </w:r>
      <w:r>
        <w:rPr>
          <w:rFonts w:hint="eastAsia" w:ascii="仿宋" w:hAnsi="仿宋" w:eastAsia="仿宋" w:cs="仿宋"/>
          <w:sz w:val="24"/>
          <w:lang w:val="en-US" w:eastAsia="zh-CN"/>
        </w:rPr>
        <w:t>标项一、二】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p>
    <w:p w14:paraId="05728D8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本项目的特定资格要求：【</w:t>
      </w:r>
      <w:r>
        <w:rPr>
          <w:rFonts w:hint="eastAsia" w:ascii="仿宋" w:hAnsi="仿宋" w:eastAsia="仿宋" w:cs="仿宋"/>
          <w:sz w:val="24"/>
          <w:lang w:val="en-US" w:eastAsia="zh-CN"/>
        </w:rPr>
        <w:t>标项一、二】无</w:t>
      </w:r>
      <w:r>
        <w:rPr>
          <w:rFonts w:hint="eastAsia" w:ascii="仿宋" w:hAnsi="仿宋" w:eastAsia="仿宋" w:cs="仿宋"/>
          <w:sz w:val="24"/>
        </w:rPr>
        <w:t>。</w:t>
      </w:r>
    </w:p>
    <w:p w14:paraId="52FB419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、本项目接受联合体投标。</w:t>
      </w:r>
    </w:p>
    <w:p w14:paraId="6266E0B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729D92D">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b w:val="0"/>
          <w:bCs/>
          <w:color w:val="auto"/>
          <w:sz w:val="24"/>
          <w:highlight w:val="none"/>
          <w:u w:val="single"/>
          <w:lang w:val="en-US" w:eastAsia="zh-CN"/>
        </w:rPr>
        <w:t>月7</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C5CB72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0CEAC1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5725406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3AF24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419E3A7">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6EEB3B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A4DEF6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7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7EC2B09">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DC7D6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2544C0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FF008F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1B24F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A21C7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A000A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E81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759164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6298E5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4E17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5BC88CF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BBE740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3DE10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F7E14C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76A74B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诸暨市应急管理局</w:t>
      </w:r>
    </w:p>
    <w:p w14:paraId="1716AD5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w:t>
      </w:r>
      <w:r>
        <w:rPr>
          <w:rFonts w:hint="eastAsia" w:ascii="仿宋" w:hAnsi="仿宋" w:eastAsia="仿宋" w:cs="仿宋"/>
          <w:b w:val="0"/>
          <w:bCs/>
          <w:color w:val="auto"/>
          <w:kern w:val="2"/>
          <w:sz w:val="24"/>
          <w:szCs w:val="21"/>
          <w:highlight w:val="none"/>
          <w:lang w:val="en-US" w:eastAsia="zh-CN" w:bidi="ar-SA"/>
        </w:rPr>
        <w:t>诸暨市东一路26号</w:t>
      </w:r>
    </w:p>
    <w:p w14:paraId="65E36E3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项目联系人（询问）：应成龙 </w:t>
      </w:r>
    </w:p>
    <w:p w14:paraId="7DE519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项目联系人工作电话（询问）：13777328723  </w:t>
      </w:r>
    </w:p>
    <w:p w14:paraId="253245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质疑联系人：应主任  </w:t>
      </w:r>
    </w:p>
    <w:p w14:paraId="78F570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质疑联系人工作电话：13777328723 </w:t>
      </w:r>
    </w:p>
    <w:p w14:paraId="617FF5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AF0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5215E2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color w:val="auto"/>
          <w:sz w:val="24"/>
          <w:lang w:eastAsia="zh-CN"/>
        </w:rPr>
        <w:t>诸暨市东一路88号朗臻大厦19楼1902号</w:t>
      </w:r>
    </w:p>
    <w:p w14:paraId="6467497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A7E16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464D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0D1E3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709C2E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F08187D">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086F8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67F920E2">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5EB7EEF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202220D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p>
    <w:p w14:paraId="07DC963D">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FCCD79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11FABF9B">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14"/>
        <w:gridCol w:w="7524"/>
      </w:tblGrid>
      <w:tr w14:paraId="6702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6592D19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14" w:type="dxa"/>
            <w:tcBorders>
              <w:top w:val="single" w:color="000000" w:sz="8" w:space="0"/>
              <w:left w:val="single" w:color="auto" w:sz="4" w:space="0"/>
              <w:bottom w:val="single" w:color="000000" w:sz="8" w:space="0"/>
              <w:right w:val="single" w:color="000000" w:sz="8" w:space="0"/>
            </w:tcBorders>
            <w:vAlign w:val="center"/>
          </w:tcPr>
          <w:p w14:paraId="77383F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24" w:type="dxa"/>
            <w:tcBorders>
              <w:top w:val="single" w:color="000000" w:sz="8" w:space="0"/>
              <w:left w:val="single" w:color="000000" w:sz="2" w:space="0"/>
              <w:bottom w:val="single" w:color="000000" w:sz="8" w:space="0"/>
              <w:right w:val="single" w:color="000000" w:sz="8" w:space="0"/>
            </w:tcBorders>
            <w:vAlign w:val="center"/>
          </w:tcPr>
          <w:p w14:paraId="155FA6C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00B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blHeader/>
          <w:jc w:val="center"/>
        </w:trPr>
        <w:tc>
          <w:tcPr>
            <w:tcW w:w="645" w:type="dxa"/>
            <w:tcBorders>
              <w:top w:val="single" w:color="auto" w:sz="4" w:space="0"/>
              <w:bottom w:val="single" w:color="auto" w:sz="4" w:space="0"/>
              <w:right w:val="single" w:color="auto" w:sz="4" w:space="0"/>
            </w:tcBorders>
            <w:vAlign w:val="center"/>
          </w:tcPr>
          <w:p w14:paraId="1B1652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14" w:type="dxa"/>
            <w:tcBorders>
              <w:top w:val="single" w:color="000000" w:sz="8" w:space="0"/>
              <w:left w:val="single" w:color="auto" w:sz="4" w:space="0"/>
              <w:bottom w:val="single" w:color="000000" w:sz="8" w:space="0"/>
              <w:right w:val="single" w:color="000000" w:sz="8" w:space="0"/>
            </w:tcBorders>
            <w:vAlign w:val="center"/>
          </w:tcPr>
          <w:p w14:paraId="1B3858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24" w:type="dxa"/>
            <w:tcBorders>
              <w:top w:val="single" w:color="000000" w:sz="8" w:space="0"/>
              <w:left w:val="single" w:color="000000" w:sz="2" w:space="0"/>
              <w:bottom w:val="single" w:color="000000" w:sz="8" w:space="0"/>
              <w:right w:val="single" w:color="000000" w:sz="8" w:space="0"/>
            </w:tcBorders>
            <w:vAlign w:val="center"/>
          </w:tcPr>
          <w:p w14:paraId="10BCA3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AF6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D920B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14" w:type="dxa"/>
            <w:tcBorders>
              <w:top w:val="single" w:color="000000" w:sz="8" w:space="0"/>
              <w:left w:val="single" w:color="auto" w:sz="4" w:space="0"/>
              <w:bottom w:val="single" w:color="000000" w:sz="8" w:space="0"/>
              <w:right w:val="single" w:color="000000" w:sz="8" w:space="0"/>
            </w:tcBorders>
            <w:vAlign w:val="center"/>
          </w:tcPr>
          <w:p w14:paraId="3B3ABA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24" w:type="dxa"/>
            <w:tcBorders>
              <w:top w:val="single" w:color="000000" w:sz="8" w:space="0"/>
              <w:left w:val="single" w:color="000000" w:sz="2" w:space="0"/>
              <w:bottom w:val="single" w:color="000000" w:sz="8" w:space="0"/>
              <w:right w:val="single" w:color="000000" w:sz="8" w:space="0"/>
            </w:tcBorders>
            <w:vAlign w:val="center"/>
          </w:tcPr>
          <w:p w14:paraId="608E698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2B5D673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0429C66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A29D3A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4084CAD">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2D1A03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C8DD04E">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5C6464">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AEF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C410B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14" w:type="dxa"/>
            <w:tcBorders>
              <w:top w:val="single" w:color="000000" w:sz="8" w:space="0"/>
              <w:left w:val="single" w:color="auto" w:sz="4" w:space="0"/>
              <w:bottom w:val="single" w:color="000000" w:sz="8" w:space="0"/>
              <w:right w:val="single" w:color="000000" w:sz="8" w:space="0"/>
            </w:tcBorders>
            <w:vAlign w:val="center"/>
          </w:tcPr>
          <w:p w14:paraId="056D201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24" w:type="dxa"/>
            <w:tcBorders>
              <w:top w:val="single" w:color="000000" w:sz="8" w:space="0"/>
              <w:left w:val="single" w:color="000000" w:sz="2" w:space="0"/>
              <w:bottom w:val="single" w:color="000000" w:sz="8" w:space="0"/>
              <w:right w:val="single" w:color="000000" w:sz="8" w:space="0"/>
            </w:tcBorders>
            <w:vAlign w:val="center"/>
          </w:tcPr>
          <w:p w14:paraId="1AEC2DB4">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w:t>
            </w:r>
            <w:r>
              <w:rPr>
                <w:rFonts w:hint="eastAsia" w:ascii="仿宋" w:hAnsi="仿宋" w:eastAsia="仿宋" w:cs="仿宋"/>
                <w:color w:val="auto"/>
                <w:kern w:val="0"/>
                <w:sz w:val="24"/>
                <w:highlight w:val="none"/>
              </w:rPr>
              <w:t>A同意将非主体、非关键性的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分包。</w:t>
            </w:r>
          </w:p>
          <w:p w14:paraId="3BEBE94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AC5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2121CC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14" w:type="dxa"/>
            <w:tcBorders>
              <w:top w:val="single" w:color="000000" w:sz="8" w:space="0"/>
              <w:left w:val="single" w:color="auto" w:sz="4" w:space="0"/>
              <w:right w:val="single" w:color="000000" w:sz="8" w:space="0"/>
            </w:tcBorders>
            <w:vAlign w:val="center"/>
          </w:tcPr>
          <w:p w14:paraId="588E34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24" w:type="dxa"/>
            <w:tcBorders>
              <w:top w:val="single" w:color="000000" w:sz="8" w:space="0"/>
              <w:left w:val="single" w:color="000000" w:sz="2" w:space="0"/>
              <w:right w:val="single" w:color="000000" w:sz="8" w:space="0"/>
            </w:tcBorders>
            <w:vAlign w:val="center"/>
          </w:tcPr>
          <w:p w14:paraId="5F4CE3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rPr>
              <w:t>①</w:t>
            </w:r>
            <w:r>
              <w:rPr>
                <w:rFonts w:hint="eastAsia" w:ascii="仿宋" w:hAnsi="仿宋" w:eastAsia="仿宋" w:cs="仿宋"/>
                <w:bCs/>
                <w:kern w:val="0"/>
                <w:lang w:val="zh-CN"/>
              </w:rPr>
              <w:t>营业执照</w:t>
            </w:r>
            <w:r>
              <w:rPr>
                <w:rFonts w:hint="eastAsia" w:ascii="仿宋" w:hAnsi="仿宋" w:eastAsia="仿宋" w:cs="仿宋"/>
                <w:bCs/>
                <w:kern w:val="0"/>
                <w:lang w:val="en-US" w:eastAsia="zh-CN"/>
              </w:rPr>
              <w:t>或</w:t>
            </w:r>
            <w:r>
              <w:rPr>
                <w:rFonts w:hint="eastAsia" w:ascii="仿宋" w:hAnsi="仿宋" w:eastAsia="仿宋" w:cs="仿宋"/>
                <w:bCs/>
                <w:kern w:val="0"/>
                <w:lang w:val="zh-CN"/>
              </w:rPr>
              <w:t>事业法人证书复印件（加盖单位公章）</w:t>
            </w:r>
            <w:r>
              <w:rPr>
                <w:rFonts w:hint="eastAsia" w:ascii="仿宋" w:hAnsi="仿宋" w:eastAsia="仿宋" w:cs="仿宋"/>
                <w:bCs/>
                <w:kern w:val="0"/>
                <w:lang w:val="zh-CN" w:eastAsia="zh-CN"/>
              </w:rPr>
              <w:t>；</w:t>
            </w:r>
          </w:p>
          <w:p w14:paraId="0F983C6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②符合参加政府采购活动应当具备的一般条件的承诺函（格式见第六章</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43AD7B3F">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lang w:val="zh-CN"/>
              </w:rPr>
            </w:pPr>
            <w:r>
              <w:rPr>
                <w:rFonts w:hint="eastAsia" w:ascii="仿宋" w:hAnsi="仿宋" w:eastAsia="仿宋" w:cs="仿宋"/>
                <w:bCs/>
                <w:kern w:val="0"/>
                <w:lang w:val="zh-CN"/>
              </w:rPr>
              <w:t>③落</w:t>
            </w:r>
            <w:r>
              <w:rPr>
                <w:rFonts w:hint="eastAsia" w:ascii="仿宋" w:hAnsi="仿宋" w:eastAsia="仿宋" w:cs="仿宋"/>
                <w:lang w:val="zh-CN"/>
              </w:rPr>
              <w:t>实政府采购政策需满足的资格要求</w:t>
            </w:r>
            <w:r>
              <w:rPr>
                <w:rFonts w:hint="eastAsia" w:ascii="仿宋" w:hAnsi="仿宋" w:eastAsia="仿宋" w:cs="仿宋"/>
                <w:lang w:val="en-US"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标项一、二】</w:t>
            </w:r>
            <w:r>
              <w:rPr>
                <w:rFonts w:hint="eastAsia" w:ascii="仿宋" w:hAnsi="仿宋" w:eastAsia="仿宋" w:cs="仿宋"/>
                <w:color w:val="auto"/>
                <w:kern w:val="2"/>
                <w:sz w:val="24"/>
                <w:szCs w:val="24"/>
                <w:highlight w:val="none"/>
                <w:lang w:val="en-US" w:eastAsia="zh-CN" w:bidi="ar-SA"/>
              </w:rPr>
              <w:t>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r>
              <w:rPr>
                <w:rFonts w:hint="eastAsia" w:ascii="仿宋" w:hAnsi="仿宋" w:eastAsia="仿宋" w:cs="仿宋"/>
                <w:bCs/>
                <w:kern w:val="0"/>
                <w:lang w:val="zh-CN"/>
              </w:rPr>
              <w:t>（格式见第六章</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2ED228DC">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default" w:ascii="仿宋" w:hAnsi="仿宋" w:eastAsia="仿宋" w:cs="仿宋"/>
                <w:lang w:val="en-US"/>
              </w:rPr>
            </w:pPr>
            <w:r>
              <w:rPr>
                <w:rFonts w:hint="eastAsia" w:ascii="仿宋" w:hAnsi="仿宋" w:eastAsia="仿宋" w:cs="仿宋"/>
                <w:lang w:val="zh-CN"/>
              </w:rPr>
              <w:t>④本项目的特定资格要求</w:t>
            </w:r>
            <w:r>
              <w:rPr>
                <w:rFonts w:hint="eastAsia" w:ascii="仿宋" w:hAnsi="仿宋" w:eastAsia="仿宋" w:cs="仿宋"/>
                <w:lang w:val="zh-CN" w:eastAsia="zh-CN"/>
              </w:rPr>
              <w:t>：</w:t>
            </w:r>
            <w:r>
              <w:rPr>
                <w:rFonts w:hint="eastAsia" w:ascii="仿宋" w:hAnsi="仿宋" w:eastAsia="仿宋" w:cs="仿宋"/>
                <w:sz w:val="24"/>
              </w:rPr>
              <w:t>【</w:t>
            </w:r>
            <w:r>
              <w:rPr>
                <w:rFonts w:hint="eastAsia" w:ascii="仿宋" w:hAnsi="仿宋" w:eastAsia="仿宋" w:cs="仿宋"/>
                <w:sz w:val="24"/>
                <w:lang w:val="en-US" w:eastAsia="zh-CN"/>
              </w:rPr>
              <w:t>标项一、二】无</w:t>
            </w:r>
            <w:r>
              <w:rPr>
                <w:rFonts w:hint="eastAsia" w:ascii="仿宋" w:hAnsi="仿宋" w:eastAsia="仿宋" w:cs="仿宋"/>
                <w:lang w:val="en-US" w:eastAsia="zh-CN"/>
              </w:rPr>
              <w:t>。</w:t>
            </w:r>
          </w:p>
          <w:p w14:paraId="14FBC0C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1D3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E403F5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14" w:type="dxa"/>
            <w:tcBorders>
              <w:top w:val="single" w:color="000000" w:sz="8" w:space="0"/>
              <w:left w:val="single" w:color="auto" w:sz="4" w:space="0"/>
              <w:right w:val="single" w:color="000000" w:sz="8" w:space="0"/>
            </w:tcBorders>
            <w:vAlign w:val="center"/>
          </w:tcPr>
          <w:p w14:paraId="689D518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24" w:type="dxa"/>
            <w:tcBorders>
              <w:top w:val="single" w:color="000000" w:sz="8" w:space="0"/>
              <w:left w:val="single" w:color="000000" w:sz="2" w:space="0"/>
              <w:right w:val="single" w:color="000000" w:sz="8" w:space="0"/>
            </w:tcBorders>
            <w:vAlign w:val="center"/>
          </w:tcPr>
          <w:p w14:paraId="13D39DB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D8FC0E3">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9A4247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0F019D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AAFF519">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64D54F3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B16383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178369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4E7A778">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2ED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21661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14" w:type="dxa"/>
            <w:tcBorders>
              <w:top w:val="single" w:color="000000" w:sz="8" w:space="0"/>
              <w:left w:val="single" w:color="auto" w:sz="4" w:space="0"/>
              <w:right w:val="single" w:color="000000" w:sz="8" w:space="0"/>
            </w:tcBorders>
            <w:vAlign w:val="center"/>
          </w:tcPr>
          <w:p w14:paraId="7AE470B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24" w:type="dxa"/>
            <w:tcBorders>
              <w:top w:val="single" w:color="000000" w:sz="8" w:space="0"/>
              <w:left w:val="single" w:color="000000" w:sz="2" w:space="0"/>
              <w:right w:val="single" w:color="000000" w:sz="8" w:space="0"/>
            </w:tcBorders>
            <w:vAlign w:val="center"/>
          </w:tcPr>
          <w:p w14:paraId="6C5DCF2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①开标一览表；</w:t>
            </w:r>
          </w:p>
          <w:p w14:paraId="6E88896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23A40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D52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26708D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14" w:type="dxa"/>
            <w:tcBorders>
              <w:top w:val="single" w:color="000000" w:sz="8" w:space="0"/>
              <w:left w:val="single" w:color="auto" w:sz="4" w:space="0"/>
              <w:bottom w:val="single" w:color="000000" w:sz="8" w:space="0"/>
              <w:right w:val="single" w:color="000000" w:sz="8" w:space="0"/>
            </w:tcBorders>
            <w:vAlign w:val="center"/>
          </w:tcPr>
          <w:p w14:paraId="6F8CE3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24" w:type="dxa"/>
            <w:tcBorders>
              <w:top w:val="single" w:color="000000" w:sz="8" w:space="0"/>
              <w:left w:val="single" w:color="000000" w:sz="2" w:space="0"/>
              <w:bottom w:val="single" w:color="000000" w:sz="8" w:space="0"/>
              <w:right w:val="single" w:color="000000" w:sz="8" w:space="0"/>
            </w:tcBorders>
            <w:vAlign w:val="center"/>
          </w:tcPr>
          <w:p w14:paraId="7478A69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9A2DC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A9D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37ADFF1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14" w:type="dxa"/>
            <w:tcBorders>
              <w:top w:val="single" w:color="000000" w:sz="8" w:space="0"/>
              <w:left w:val="single" w:color="auto" w:sz="4" w:space="0"/>
              <w:bottom w:val="single" w:color="000000" w:sz="8" w:space="0"/>
              <w:right w:val="single" w:color="000000" w:sz="8" w:space="0"/>
            </w:tcBorders>
            <w:vAlign w:val="center"/>
          </w:tcPr>
          <w:p w14:paraId="5246F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24" w:type="dxa"/>
            <w:tcBorders>
              <w:top w:val="single" w:color="000000" w:sz="8" w:space="0"/>
              <w:left w:val="single" w:color="000000" w:sz="2" w:space="0"/>
              <w:bottom w:val="single" w:color="000000" w:sz="8" w:space="0"/>
              <w:right w:val="single" w:color="000000" w:sz="8" w:space="0"/>
            </w:tcBorders>
            <w:vAlign w:val="center"/>
          </w:tcPr>
          <w:p w14:paraId="0C5FA18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7D3A71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A8EA24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2B8B7C5">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943F24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726647">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52F81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F79541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9FE62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EA7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C5AB6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14" w:type="dxa"/>
            <w:tcBorders>
              <w:top w:val="single" w:color="000000" w:sz="8" w:space="0"/>
              <w:left w:val="single" w:color="000000" w:sz="2" w:space="0"/>
              <w:bottom w:val="single" w:color="000000" w:sz="8" w:space="0"/>
              <w:right w:val="single" w:color="000000" w:sz="8" w:space="0"/>
            </w:tcBorders>
            <w:vAlign w:val="center"/>
          </w:tcPr>
          <w:p w14:paraId="2435C02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524" w:type="dxa"/>
            <w:tcBorders>
              <w:top w:val="single" w:color="000000" w:sz="8" w:space="0"/>
              <w:left w:val="single" w:color="000000" w:sz="2" w:space="0"/>
              <w:bottom w:val="single" w:color="000000" w:sz="8" w:space="0"/>
              <w:right w:val="single" w:color="000000" w:sz="8" w:space="0"/>
            </w:tcBorders>
            <w:vAlign w:val="center"/>
          </w:tcPr>
          <w:p w14:paraId="34F3792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58DACEF0">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39D7D0E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758701D2">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7AF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9BCE7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14" w:type="dxa"/>
            <w:tcBorders>
              <w:top w:val="single" w:color="000000" w:sz="8" w:space="0"/>
              <w:left w:val="single" w:color="000000" w:sz="2" w:space="0"/>
              <w:bottom w:val="single" w:color="000000" w:sz="8" w:space="0"/>
              <w:right w:val="single" w:color="000000" w:sz="8" w:space="0"/>
            </w:tcBorders>
            <w:vAlign w:val="center"/>
          </w:tcPr>
          <w:p w14:paraId="6172F5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24" w:type="dxa"/>
            <w:tcBorders>
              <w:top w:val="single" w:color="000000" w:sz="8" w:space="0"/>
              <w:left w:val="single" w:color="000000" w:sz="2" w:space="0"/>
              <w:bottom w:val="single" w:color="000000" w:sz="8" w:space="0"/>
              <w:right w:val="single" w:color="000000" w:sz="8" w:space="0"/>
            </w:tcBorders>
            <w:vAlign w:val="center"/>
          </w:tcPr>
          <w:p w14:paraId="33B16F7B">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77C5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E8963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14" w:type="dxa"/>
            <w:tcBorders>
              <w:top w:val="single" w:color="000000" w:sz="8" w:space="0"/>
              <w:left w:val="single" w:color="000000" w:sz="2" w:space="0"/>
              <w:bottom w:val="single" w:color="000000" w:sz="8" w:space="0"/>
              <w:right w:val="single" w:color="000000" w:sz="8" w:space="0"/>
            </w:tcBorders>
            <w:vAlign w:val="center"/>
          </w:tcPr>
          <w:p w14:paraId="0CEFB8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2C614C53">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4D8C10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14" w:type="dxa"/>
            <w:tcBorders>
              <w:top w:val="single" w:color="000000" w:sz="8" w:space="0"/>
              <w:left w:val="single" w:color="000000" w:sz="2" w:space="0"/>
              <w:bottom w:val="single" w:color="000000" w:sz="8" w:space="0"/>
              <w:right w:val="single" w:color="000000" w:sz="8" w:space="0"/>
            </w:tcBorders>
            <w:vAlign w:val="center"/>
          </w:tcPr>
          <w:p w14:paraId="048034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0380F15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kern w:val="0"/>
                <w:sz w:val="24"/>
                <w:u w:val="single"/>
                <w:lang w:val="en-US" w:eastAsia="zh-CN"/>
              </w:rPr>
              <w:t xml:space="preserve"> </w:t>
            </w:r>
            <w:r>
              <w:rPr>
                <w:rFonts w:hint="eastAsia" w:ascii="仿宋" w:hAnsi="仿宋" w:eastAsia="仿宋"/>
                <w:sz w:val="24"/>
                <w:szCs w:val="24"/>
                <w:u w:val="single"/>
                <w:lang w:val="en-US" w:eastAsia="zh-CN"/>
              </w:rPr>
              <w:t>详见采购需求清单</w:t>
            </w:r>
            <w:r>
              <w:rPr>
                <w:rFonts w:hint="eastAsia" w:ascii="仿宋" w:hAnsi="仿宋" w:eastAsia="仿宋" w:cs="仿宋"/>
                <w:b w:val="0"/>
                <w:bCs w:val="0"/>
                <w:kern w:val="0"/>
                <w:sz w:val="24"/>
                <w:szCs w:val="24"/>
                <w:u w:val="single"/>
                <w:lang w:val="en-US" w:eastAsia="zh-CN"/>
              </w:rPr>
              <w:t xml:space="preserve"> </w:t>
            </w:r>
          </w:p>
          <w:p w14:paraId="47C357BC">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rPr>
            </w:pPr>
            <w:r>
              <w:rPr>
                <w:rFonts w:hint="eastAsia" w:ascii="仿宋" w:hAnsi="仿宋" w:eastAsia="仿宋" w:cs="仿宋"/>
                <w:kern w:val="0"/>
                <w:sz w:val="24"/>
              </w:rPr>
              <w:sym w:font="Wingdings" w:char="00A8"/>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6CEE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2885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14" w:type="dxa"/>
            <w:tcBorders>
              <w:top w:val="single" w:color="000000" w:sz="8" w:space="0"/>
              <w:left w:val="single" w:color="000000" w:sz="2" w:space="0"/>
              <w:bottom w:val="single" w:color="000000" w:sz="8" w:space="0"/>
              <w:right w:val="single" w:color="000000" w:sz="8" w:space="0"/>
            </w:tcBorders>
            <w:vAlign w:val="center"/>
          </w:tcPr>
          <w:p w14:paraId="6E905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524" w:type="dxa"/>
            <w:tcBorders>
              <w:top w:val="single" w:color="000000" w:sz="8" w:space="0"/>
              <w:left w:val="single" w:color="000000" w:sz="2" w:space="0"/>
              <w:bottom w:val="single" w:color="000000" w:sz="8" w:space="0"/>
              <w:right w:val="single" w:color="000000" w:sz="8" w:space="0"/>
            </w:tcBorders>
            <w:vAlign w:val="center"/>
          </w:tcPr>
          <w:p w14:paraId="0C6A731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val="0"/>
                <w:bCs w:val="0"/>
                <w:kern w:val="0"/>
                <w:sz w:val="24"/>
                <w:u w:val="none"/>
                <w:lang w:val="en-US" w:eastAsia="zh-CN"/>
              </w:rPr>
            </w:pPr>
            <w:r>
              <w:rPr>
                <w:rFonts w:hint="eastAsia" w:ascii="仿宋" w:hAnsi="仿宋" w:eastAsia="仿宋" w:cs="仿宋"/>
                <w:b w:val="0"/>
                <w:bCs/>
                <w:sz w:val="24"/>
                <w:u w:val="none"/>
                <w:lang w:val="en-US" w:eastAsia="zh-CN"/>
              </w:rPr>
              <w:t>标项一：</w:t>
            </w:r>
            <w:r>
              <w:rPr>
                <w:rFonts w:hint="eastAsia" w:ascii="仿宋" w:hAnsi="仿宋" w:eastAsia="仿宋" w:cs="仿宋"/>
                <w:color w:val="auto"/>
                <w:sz w:val="24"/>
                <w:szCs w:val="24"/>
                <w:highlight w:val="none"/>
                <w:u w:val="single"/>
                <w:lang w:val="en-US" w:eastAsia="zh-CN"/>
              </w:rPr>
              <w:t>通信类设备</w:t>
            </w:r>
            <w:r>
              <w:rPr>
                <w:rFonts w:hint="eastAsia" w:ascii="仿宋" w:hAnsi="仿宋" w:eastAsia="仿宋" w:cs="仿宋"/>
                <w:b/>
                <w:bCs/>
                <w:kern w:val="0"/>
                <w:sz w:val="24"/>
                <w:u w:val="single"/>
                <w:lang w:val="en-US" w:eastAsia="zh-CN"/>
              </w:rPr>
              <w:t>，</w:t>
            </w:r>
            <w:r>
              <w:rPr>
                <w:rFonts w:hint="eastAsia" w:ascii="仿宋" w:hAnsi="仿宋" w:eastAsia="仿宋" w:cs="仿宋"/>
                <w:b/>
                <w:bCs/>
                <w:kern w:val="0"/>
                <w:sz w:val="24"/>
              </w:rPr>
              <w:t>属于</w:t>
            </w:r>
            <w:r>
              <w:rPr>
                <w:rFonts w:hint="eastAsia" w:ascii="仿宋" w:hAnsi="仿宋" w:eastAsia="仿宋" w:cs="仿宋"/>
                <w:b/>
                <w:bCs/>
                <w:kern w:val="0"/>
                <w:sz w:val="24"/>
                <w:u w:val="single"/>
                <w:lang w:val="en-US" w:eastAsia="zh-CN"/>
              </w:rPr>
              <w:t xml:space="preserve"> </w:t>
            </w:r>
            <w:r>
              <w:rPr>
                <w:rFonts w:hint="eastAsia" w:ascii="仿宋" w:hAnsi="仿宋" w:eastAsia="仿宋" w:cs="仿宋"/>
                <w:b w:val="0"/>
                <w:bCs w:val="0"/>
                <w:kern w:val="0"/>
                <w:sz w:val="24"/>
                <w:u w:val="single"/>
                <w:lang w:val="en-US" w:eastAsia="zh-CN"/>
              </w:rPr>
              <w:t>工业 行业</w:t>
            </w:r>
            <w:r>
              <w:rPr>
                <w:rFonts w:hint="eastAsia" w:ascii="仿宋" w:hAnsi="仿宋" w:eastAsia="仿宋" w:cs="仿宋"/>
                <w:b w:val="0"/>
                <w:bCs w:val="0"/>
                <w:kern w:val="0"/>
                <w:sz w:val="24"/>
                <w:u w:val="none"/>
                <w:lang w:val="en-US" w:eastAsia="zh-CN"/>
              </w:rPr>
              <w:t>；</w:t>
            </w:r>
          </w:p>
          <w:p w14:paraId="6B4A1EA6">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b w:val="0"/>
                <w:bCs w:val="0"/>
                <w:kern w:val="0"/>
                <w:sz w:val="24"/>
                <w:u w:val="none"/>
                <w:lang w:val="en-US" w:eastAsia="zh-CN"/>
              </w:rPr>
              <w:t>标项二：</w:t>
            </w:r>
            <w:r>
              <w:rPr>
                <w:rFonts w:hint="eastAsia" w:ascii="仿宋" w:hAnsi="仿宋" w:eastAsia="仿宋" w:cs="仿宋"/>
                <w:color w:val="auto"/>
                <w:sz w:val="24"/>
                <w:szCs w:val="24"/>
                <w:highlight w:val="none"/>
                <w:u w:val="single"/>
                <w:lang w:val="en-US" w:eastAsia="zh-CN"/>
              </w:rPr>
              <w:t>应急消防救援装备，</w:t>
            </w:r>
            <w:r>
              <w:rPr>
                <w:rFonts w:hint="eastAsia" w:ascii="仿宋" w:hAnsi="仿宋" w:eastAsia="仿宋" w:cs="仿宋"/>
                <w:b/>
                <w:bCs/>
                <w:kern w:val="0"/>
                <w:sz w:val="24"/>
              </w:rPr>
              <w:t>属于</w:t>
            </w:r>
            <w:r>
              <w:rPr>
                <w:rFonts w:hint="eastAsia" w:ascii="仿宋" w:hAnsi="仿宋" w:eastAsia="仿宋" w:cs="仿宋"/>
                <w:b/>
                <w:bCs/>
                <w:kern w:val="0"/>
                <w:sz w:val="24"/>
                <w:u w:val="single"/>
                <w:lang w:val="en-US" w:eastAsia="zh-CN"/>
              </w:rPr>
              <w:t xml:space="preserve"> </w:t>
            </w:r>
            <w:r>
              <w:rPr>
                <w:rFonts w:hint="eastAsia" w:ascii="仿宋" w:hAnsi="仿宋" w:eastAsia="仿宋" w:cs="仿宋"/>
                <w:b w:val="0"/>
                <w:bCs w:val="0"/>
                <w:kern w:val="0"/>
                <w:sz w:val="24"/>
                <w:u w:val="single"/>
                <w:lang w:val="en-US" w:eastAsia="zh-CN"/>
              </w:rPr>
              <w:t>工业 行业</w:t>
            </w:r>
            <w:r>
              <w:rPr>
                <w:rFonts w:hint="eastAsia" w:ascii="仿宋" w:hAnsi="仿宋" w:eastAsia="仿宋" w:cs="仿宋"/>
                <w:b w:val="0"/>
                <w:bCs w:val="0"/>
                <w:kern w:val="0"/>
                <w:sz w:val="24"/>
                <w:u w:val="none"/>
                <w:lang w:val="en-US" w:eastAsia="zh-CN"/>
              </w:rPr>
              <w:t>；</w:t>
            </w:r>
          </w:p>
          <w:p w14:paraId="5B8E55C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val="0"/>
                <w:bCs w:val="0"/>
                <w:kern w:val="0"/>
                <w:sz w:val="24"/>
                <w:u w:val="single"/>
                <w:lang w:val="en-US" w:eastAsia="zh-CN"/>
              </w:rPr>
              <w:t xml:space="preserve"> 工业 行业</w:t>
            </w:r>
            <w:r>
              <w:rPr>
                <w:rFonts w:hint="eastAsia" w:ascii="仿宋" w:hAnsi="仿宋" w:eastAsia="仿宋" w:cs="仿宋"/>
                <w:b w:val="0"/>
                <w:bCs w:val="0"/>
                <w:kern w:val="0"/>
                <w:sz w:val="24"/>
                <w:u w:val="none"/>
                <w:lang w:val="en-US" w:eastAsia="zh-CN"/>
              </w:rPr>
              <w:t>。</w:t>
            </w:r>
          </w:p>
        </w:tc>
      </w:tr>
      <w:tr w14:paraId="57D5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9575C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14" w:type="dxa"/>
            <w:tcBorders>
              <w:top w:val="single" w:color="000000" w:sz="8" w:space="0"/>
              <w:left w:val="single" w:color="000000" w:sz="2" w:space="0"/>
              <w:right w:val="single" w:color="000000" w:sz="8" w:space="0"/>
            </w:tcBorders>
            <w:vAlign w:val="center"/>
          </w:tcPr>
          <w:p w14:paraId="55BD1D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24" w:type="dxa"/>
            <w:tcBorders>
              <w:top w:val="single" w:color="000000" w:sz="8" w:space="0"/>
              <w:left w:val="single" w:color="000000" w:sz="2" w:space="0"/>
              <w:right w:val="single" w:color="000000" w:sz="8" w:space="0"/>
            </w:tcBorders>
            <w:vAlign w:val="center"/>
          </w:tcPr>
          <w:p w14:paraId="1D1577A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95A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E46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14" w:type="dxa"/>
            <w:tcBorders>
              <w:top w:val="single" w:color="000000" w:sz="8" w:space="0"/>
              <w:left w:val="single" w:color="000000" w:sz="2" w:space="0"/>
              <w:bottom w:val="single" w:color="000000" w:sz="8" w:space="0"/>
              <w:right w:val="single" w:color="000000" w:sz="8" w:space="0"/>
            </w:tcBorders>
            <w:vAlign w:val="center"/>
          </w:tcPr>
          <w:p w14:paraId="75CBFC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24" w:type="dxa"/>
            <w:tcBorders>
              <w:top w:val="single" w:color="000000" w:sz="8" w:space="0"/>
              <w:left w:val="single" w:color="000000" w:sz="2" w:space="0"/>
              <w:bottom w:val="single" w:color="000000" w:sz="8" w:space="0"/>
              <w:right w:val="single" w:color="000000" w:sz="8" w:space="0"/>
            </w:tcBorders>
            <w:vAlign w:val="center"/>
          </w:tcPr>
          <w:p w14:paraId="58EFE4C5">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2F9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A281E0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14" w:type="dxa"/>
            <w:tcBorders>
              <w:top w:val="single" w:color="000000" w:sz="8" w:space="0"/>
              <w:left w:val="single" w:color="000000" w:sz="2" w:space="0"/>
              <w:bottom w:val="single" w:color="000000" w:sz="8" w:space="0"/>
              <w:right w:val="single" w:color="000000" w:sz="8" w:space="0"/>
            </w:tcBorders>
            <w:vAlign w:val="center"/>
          </w:tcPr>
          <w:p w14:paraId="3FB1BBE7">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24"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topLinePunct w:val="0"/>
              <w:bidi w:val="0"/>
              <w:adjustRightInd w:val="0"/>
              <w:spacing w:line="288" w:lineRule="auto"/>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bCs/>
                <w:color w:val="auto"/>
                <w:kern w:val="2"/>
                <w:sz w:val="24"/>
                <w:szCs w:val="24"/>
                <w:shd w:val="clear" w:color="auto" w:fill="FFFFFF"/>
                <w:lang w:val="en-US" w:eastAsia="zh-CN" w:bidi="ar-SA"/>
              </w:rPr>
              <w:t>1、招标代理服务费</w:t>
            </w:r>
            <w:r>
              <w:rPr>
                <w:rStyle w:val="73"/>
                <w:rFonts w:hint="eastAsia" w:ascii="仿宋" w:hAnsi="仿宋" w:eastAsia="仿宋" w:cs="仿宋"/>
                <w:b w:val="0"/>
                <w:color w:val="auto"/>
                <w:kern w:val="2"/>
                <w:sz w:val="24"/>
                <w:szCs w:val="24"/>
                <w:shd w:val="clear" w:color="auto" w:fill="FFFFFF"/>
                <w:lang w:val="en-US" w:eastAsia="zh-CN" w:bidi="ar-SA"/>
              </w:rPr>
              <w:t>：本项目招标代理服务费由项目中标单位支付,采用差额定率累进法进行计算，具体费率标准如下：</w:t>
            </w:r>
          </w:p>
          <w:p w14:paraId="6073D79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710D47BB">
            <w:pPr>
              <w:pStyle w:val="83"/>
              <w:ind w:left="0" w:leftChars="0" w:firstLine="480" w:firstLineChars="200"/>
              <w:rPr>
                <w:rFonts w:hint="eastAsia" w:ascii="仿宋" w:hAnsi="仿宋" w:eastAsia="仿宋" w:cs="仿宋"/>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不足3000元按3000元收费。</w:t>
            </w:r>
          </w:p>
          <w:p w14:paraId="6AEA1CEB">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bCs/>
                <w:color w:val="auto"/>
                <w:sz w:val="24"/>
                <w:szCs w:val="24"/>
                <w:lang w:val="en-US" w:eastAsia="zh-CN"/>
              </w:rPr>
              <w:t>2、收取方式</w:t>
            </w:r>
            <w:r>
              <w:rPr>
                <w:rFonts w:hint="eastAsia" w:ascii="仿宋" w:hAnsi="仿宋" w:eastAsia="仿宋" w:cs="仿宋"/>
                <w:color w:val="auto"/>
                <w:sz w:val="24"/>
                <w:szCs w:val="24"/>
                <w:lang w:val="en-US" w:eastAsia="zh-CN"/>
              </w:rPr>
              <w:t>：本项目的招标代理服务费由中标人支付，在领取中标通知书时，一次性向采购代理机构付清。</w:t>
            </w:r>
          </w:p>
        </w:tc>
      </w:tr>
    </w:tbl>
    <w:p w14:paraId="37E542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59D5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95ADD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D19A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6BE3D44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452E3A8">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27BA795">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7613CA4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第三部分"/>
      <w:bookmarkStart w:id="10" w:name="_Toc164416483"/>
    </w:p>
    <w:p w14:paraId="012459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5CF44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E7D35A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7B577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E4FA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F0197C8">
      <w:pPr>
        <w:pStyle w:val="85"/>
        <w:rPr>
          <w:rFonts w:hint="eastAsia" w:ascii="仿宋" w:hAnsi="仿宋" w:eastAsia="仿宋" w:cs="仿宋"/>
          <w:b/>
          <w:sz w:val="32"/>
          <w:szCs w:val="20"/>
        </w:rPr>
      </w:pPr>
    </w:p>
    <w:p w14:paraId="5A1C90EB">
      <w:pPr>
        <w:pStyle w:val="23"/>
        <w:rPr>
          <w:rFonts w:hint="eastAsia" w:ascii="仿宋" w:hAnsi="仿宋" w:eastAsia="仿宋" w:cs="仿宋"/>
          <w:b/>
          <w:sz w:val="32"/>
          <w:szCs w:val="20"/>
        </w:rPr>
      </w:pPr>
    </w:p>
    <w:p w14:paraId="64752695">
      <w:pPr>
        <w:pStyle w:val="62"/>
        <w:rPr>
          <w:rFonts w:hint="eastAsia" w:ascii="仿宋" w:hAnsi="仿宋" w:eastAsia="仿宋" w:cs="仿宋"/>
          <w:b/>
          <w:sz w:val="32"/>
          <w:szCs w:val="20"/>
        </w:rPr>
      </w:pPr>
    </w:p>
    <w:p w14:paraId="75077230">
      <w:pPr>
        <w:rPr>
          <w:rFonts w:hint="eastAsia" w:ascii="仿宋" w:hAnsi="仿宋" w:eastAsia="仿宋" w:cs="仿宋"/>
          <w:b/>
          <w:sz w:val="32"/>
          <w:szCs w:val="20"/>
        </w:rPr>
      </w:pPr>
    </w:p>
    <w:p w14:paraId="006120F9">
      <w:pPr>
        <w:pStyle w:val="83"/>
        <w:rPr>
          <w:rFonts w:hint="eastAsia"/>
        </w:rPr>
      </w:pPr>
    </w:p>
    <w:p w14:paraId="396A351F">
      <w:pPr>
        <w:rPr>
          <w:rFonts w:hint="eastAsia"/>
        </w:rPr>
      </w:pPr>
    </w:p>
    <w:p w14:paraId="004B0A97">
      <w:pPr>
        <w:pStyle w:val="23"/>
        <w:rPr>
          <w:rFonts w:hint="eastAsia" w:ascii="仿宋" w:hAnsi="仿宋" w:eastAsia="仿宋" w:cs="仿宋"/>
          <w:b/>
          <w:sz w:val="32"/>
          <w:szCs w:val="20"/>
        </w:rPr>
      </w:pPr>
    </w:p>
    <w:p w14:paraId="5AB7223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C5FBC10">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75EB63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21136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3ECB7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D5B7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8A1D6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E885E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D7F5F8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273C6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55C761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6D57048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CA9EB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9F0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C9EB9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75997C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58674B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B580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477C3B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38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7B65F0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AC438D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094CF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70C94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979F6F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6AF88F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32D7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A5551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75F18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D7C5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8F35C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7F652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2D2726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63E11B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09FA0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515D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F251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5A1EF2D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3BD09F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9EF2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9D60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4D2B7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25B7D0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AE647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D6A4BE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ED78C03">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A5A0B2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6FCEF1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4F11F8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AB8CD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D47EE2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81D06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C2C23B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0409F7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5B2A3F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3DAE0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DB9AD9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DCB0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7E056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3AD6561B">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065B99B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524F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932F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65D34F5D">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7AA05D">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2B6505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2F73B23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7EA209C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4F54E9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007C39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986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C126CF">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8AF63E">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C650E4B">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498FDF2">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82E94CA">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26EBD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03CC754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57C056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0EA794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402BF5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5643F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413F59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0CC16E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E742FA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65FFC2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B448B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E76F7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8A422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DC321D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FC202C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74483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8BF1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2AAC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AFB7A6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AE8EC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4B5325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DABE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911706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8E2157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7623D1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2446842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164089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D26D341">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1A40CA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2FC8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F3E22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991BAB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B2269D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1F3D875">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C010D7C">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1725A4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AB4EEC5">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45C9FDD5">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1CE12">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3A97AA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3F55C5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1332CD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09EC4F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7AE4A8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49FC14EB">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0622CF">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A9F45EC">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68A1DA62">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670615C2">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B57E17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A1CA85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8004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7163B4">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74108181">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4437C80">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2B3E21C">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3933063">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4059664">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CDC50E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01A6F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3D9C5A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5AEAC2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7C5D3A37">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A706D1">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2A0FE2">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75C9C6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C4BF243">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2133C4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6276C9">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684A29C6">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1"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4C1D932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59E66D9">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07AE275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D4BF68F">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5335121C">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C3EB51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9DDE8C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353989F5">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393A0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08C13C1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65E9CF91">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EF8E96">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33C8453">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E06B0F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E4B2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E8FFB4E">
      <w:pPr>
        <w:pStyle w:val="24"/>
        <w:keepNext w:val="0"/>
        <w:keepLines w:val="0"/>
        <w:pageBreakBefore w:val="0"/>
        <w:widowControl w:val="0"/>
        <w:kinsoku/>
        <w:wordWrap/>
        <w:overflowPunct/>
        <w:topLinePunct w:val="0"/>
        <w:autoSpaceDE/>
        <w:autoSpaceDN/>
        <w:bidi w:val="0"/>
        <w:adjustRightInd w:val="0"/>
        <w:spacing w:line="288" w:lineRule="auto"/>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05D79E9">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88E5757">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5D57D3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6B10E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157E62">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3A028B8">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84C7E2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B2599C5">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7A265840">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3352C1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F17F7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ED21FCA">
      <w:pPr>
        <w:pStyle w:val="24"/>
        <w:keepNext w:val="0"/>
        <w:keepLines w:val="0"/>
        <w:pageBreakBefore w:val="0"/>
        <w:widowControl w:val="0"/>
        <w:kinsoku/>
        <w:wordWrap/>
        <w:overflowPunct/>
        <w:topLinePunct w:val="0"/>
        <w:autoSpaceDE/>
        <w:autoSpaceDN/>
        <w:bidi w:val="0"/>
        <w:adjustRightInd w:val="0"/>
        <w:spacing w:line="288" w:lineRule="auto"/>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328AB96A">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971142">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85FF2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0F46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3DF4FF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2" w:name="_Hlt68072998"/>
      <w:bookmarkEnd w:id="12"/>
      <w:bookmarkStart w:id="13" w:name="_Hlt68072990"/>
      <w:bookmarkEnd w:id="13"/>
      <w:bookmarkStart w:id="14" w:name="_Hlt75236011"/>
      <w:bookmarkEnd w:id="14"/>
      <w:bookmarkStart w:id="15" w:name="_Hlt74730295"/>
      <w:bookmarkEnd w:id="15"/>
      <w:bookmarkStart w:id="16" w:name="_Hlt68073093"/>
      <w:bookmarkEnd w:id="16"/>
      <w:bookmarkStart w:id="17" w:name="_Hlt75236101"/>
      <w:bookmarkEnd w:id="17"/>
      <w:bookmarkStart w:id="18" w:name="_Hlt68403820"/>
      <w:bookmarkEnd w:id="18"/>
      <w:bookmarkStart w:id="19" w:name="_Hlt75236290"/>
      <w:bookmarkEnd w:id="19"/>
      <w:bookmarkStart w:id="20" w:name="_Hlt74707468"/>
      <w:bookmarkEnd w:id="20"/>
      <w:bookmarkStart w:id="21" w:name="_Hlt74729768"/>
      <w:bookmarkEnd w:id="21"/>
      <w:bookmarkStart w:id="22" w:name="_Hlt74714665"/>
      <w:bookmarkEnd w:id="22"/>
      <w:bookmarkStart w:id="23" w:name="_Hlt68057669"/>
      <w:bookmarkEnd w:id="23"/>
    </w:p>
    <w:bookmarkEnd w:id="9"/>
    <w:bookmarkEnd w:id="10"/>
    <w:p w14:paraId="556AB5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63D1405B">
      <w:pPr>
        <w:spacing w:line="240" w:lineRule="auto"/>
        <w:ind w:firstLine="42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产品要求中如有参考品牌、型号的仅作为投标方案参考，但投标产品品牌、型号至少应与参考品牌、型号相当。</w:t>
      </w:r>
    </w:p>
    <w:p w14:paraId="0A012004">
      <w:pPr>
        <w:spacing w:line="24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highlight w:val="none"/>
          <w:u w:val="single"/>
        </w:rPr>
        <w:t>除参考品牌、型号以外，欢迎其它能满足本项目技术需求且性能与参考品牌、型号相当的产品参加。</w:t>
      </w:r>
    </w:p>
    <w:p w14:paraId="468239D3">
      <w:pPr>
        <w:spacing w:before="187" w:line="227" w:lineRule="auto"/>
        <w:ind w:left="543"/>
        <w:rPr>
          <w:rFonts w:hint="eastAsia" w:ascii="仿宋" w:hAnsi="仿宋" w:eastAsia="仿宋" w:cs="仿宋"/>
          <w:color w:val="auto"/>
          <w:sz w:val="22"/>
          <w:szCs w:val="22"/>
          <w:highlight w:val="none"/>
        </w:rPr>
      </w:pPr>
      <w:r>
        <w:rPr>
          <w:rFonts w:hint="eastAsia" w:ascii="仿宋" w:hAnsi="仿宋" w:eastAsia="仿宋" w:cs="仿宋"/>
          <w:b/>
          <w:bCs/>
          <w:color w:val="auto"/>
          <w:spacing w:val="7"/>
          <w:sz w:val="22"/>
          <w:szCs w:val="22"/>
          <w:highlight w:val="none"/>
          <w:lang w:val="en-US" w:eastAsia="zh-CN"/>
        </w:rPr>
        <w:t>一</w:t>
      </w:r>
      <w:r>
        <w:rPr>
          <w:rFonts w:hint="eastAsia" w:ascii="仿宋" w:hAnsi="仿宋" w:eastAsia="仿宋" w:cs="仿宋"/>
          <w:b/>
          <w:bCs/>
          <w:color w:val="auto"/>
          <w:spacing w:val="7"/>
          <w:sz w:val="22"/>
          <w:szCs w:val="22"/>
          <w:highlight w:val="none"/>
        </w:rPr>
        <w:t>、采购清单及主要技术性能要求</w:t>
      </w:r>
    </w:p>
    <w:tbl>
      <w:tblPr>
        <w:tblStyle w:val="65"/>
        <w:tblW w:w="99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662"/>
        <w:gridCol w:w="956"/>
        <w:gridCol w:w="735"/>
        <w:gridCol w:w="6839"/>
      </w:tblGrid>
      <w:tr w14:paraId="5657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983" w:type="dxa"/>
            <w:gridSpan w:val="5"/>
            <w:tcBorders>
              <w:top w:val="single" w:color="000000" w:sz="4" w:space="0"/>
              <w:left w:val="single" w:color="000000" w:sz="4" w:space="0"/>
              <w:bottom w:val="single" w:color="000000" w:sz="4" w:space="0"/>
              <w:right w:val="single" w:color="000000" w:sz="4" w:space="0"/>
            </w:tcBorders>
            <w:noWrap w:val="0"/>
            <w:vAlign w:val="center"/>
          </w:tcPr>
          <w:p w14:paraId="5AD0F20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标项一：通信类设备</w:t>
            </w:r>
          </w:p>
        </w:tc>
      </w:tr>
      <w:tr w14:paraId="5123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07CD55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装备类别</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FC381C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1E3B9D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78AF56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7B9D80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功能及技术参数</w:t>
            </w:r>
          </w:p>
        </w:tc>
      </w:tr>
      <w:tr w14:paraId="4B94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50E4FA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通信类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71285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930EF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野外应急电源</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6D0D2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DC7EB9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1.输出功率≥5kW，电源箱质量≤50kg，容量≥6000Wh。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2.电池采用磷酸铁锂电芯。循环次数≥2500次。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3.支持市电和车载充电两种充电方式，配备市电充电线、车充线各1套。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4.端口数量：交流电输出口不少于2个，USB-C输出（其中100W及以上输出口≥1个）≥2个，USB-A（满足18W输出）输出≥1个</w:t>
            </w:r>
          </w:p>
        </w:tc>
      </w:tr>
      <w:tr w14:paraId="0A6C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F74F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27DDA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5E574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移动视频终端设备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6D2F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E2163FD">
            <w:pPr>
              <w:widowControl w:val="0"/>
              <w:numPr>
                <w:ilvl w:val="0"/>
                <w:numId w:val="0"/>
              </w:numPr>
              <w:adjustRightInd/>
              <w:snapToGrid/>
              <w:spacing w:after="0" w:line="240" w:lineRule="auto"/>
              <w:ind w:left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1、一体式设计，触控显示屏（≥11英寸）、摄像头、麦克风、音响等高度集成。内置高性能电池，在无外置供电的情况下可进行视频通话，非PC、非平板电脑形态。</w:t>
            </w:r>
          </w:p>
          <w:p w14:paraId="7DB59A68">
            <w:pPr>
              <w:widowControl w:val="0"/>
              <w:numPr>
                <w:ilvl w:val="0"/>
                <w:numId w:val="0"/>
              </w:numPr>
              <w:adjustRightInd/>
              <w:snapToGrid/>
              <w:spacing w:after="0" w:line="240" w:lineRule="auto"/>
              <w:ind w:left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具备≥1路HDMI视频输出接口，具备≥1路HDMI视频输入接口，可以外接摄像头，终端可以在内置摄像头和外接摄像头之间灵活选择切换输入视频源，支持发送双流；支持独立的音频输入、输出接口；支持USB接口，可外接USB耳麦。</w:t>
            </w:r>
          </w:p>
          <w:p w14:paraId="119EBE79">
            <w:pPr>
              <w:widowControl w:val="0"/>
              <w:numPr>
                <w:ilvl w:val="0"/>
                <w:numId w:val="0"/>
              </w:numPr>
              <w:adjustRightInd/>
              <w:snapToGrid/>
              <w:spacing w:after="0" w:line="240" w:lineRule="auto"/>
              <w:ind w:left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3、内置≥1080P高清摄像头，摄像头具备物理开关。不低于80°水平视角，+45°/-10°仰俯角可调，+180°/-90°水平可转动。</w:t>
            </w:r>
          </w:p>
          <w:p w14:paraId="6CEC26C2">
            <w:pPr>
              <w:widowControl w:val="0"/>
              <w:numPr>
                <w:ilvl w:val="0"/>
                <w:numId w:val="0"/>
              </w:numPr>
              <w:adjustRightInd/>
              <w:snapToGrid/>
              <w:spacing w:after="0" w:line="240" w:lineRule="auto"/>
              <w:ind w:left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4、支持RJ45有线、WiFi等多种网络接入方式。</w:t>
            </w:r>
          </w:p>
          <w:p w14:paraId="38BC0818">
            <w:pPr>
              <w:widowControl w:val="0"/>
              <w:numPr>
                <w:ilvl w:val="0"/>
                <w:numId w:val="0"/>
              </w:numPr>
              <w:adjustRightInd/>
              <w:snapToGrid/>
              <w:spacing w:after="0" w:line="240" w:lineRule="auto"/>
              <w:ind w:left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5、一体化终端内置SIM卡槽，可以接入中国电信/中国联通/中国移动/中国广电移动网络进行视频通话。</w:t>
            </w:r>
          </w:p>
          <w:p w14:paraId="5CE20FBC">
            <w:pPr>
              <w:widowControl w:val="0"/>
              <w:numPr>
                <w:ilvl w:val="0"/>
                <w:numId w:val="0"/>
              </w:numPr>
              <w:adjustRightInd/>
              <w:snapToGrid/>
              <w:spacing w:after="0" w:line="240" w:lineRule="auto"/>
              <w:ind w:left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6、支持H.264、H.265等视频编解码协议，支持Opus、G.711、G.722等音频编解码协议。</w:t>
            </w:r>
          </w:p>
          <w:p w14:paraId="5157842C">
            <w:pPr>
              <w:widowControl w:val="0"/>
              <w:numPr>
                <w:ilvl w:val="0"/>
                <w:numId w:val="0"/>
              </w:numPr>
              <w:adjustRightInd/>
              <w:snapToGrid/>
              <w:spacing w:after="0" w:line="240" w:lineRule="auto"/>
              <w:ind w:left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7、在网络丢包率65%的情况下，音视频清晰流畅、无卡顿、无马赛克花屏（帧率不低于30帧/秒）；在网络丢包率85%的情况下，语音清晰流畅、无卡顿。（须提供具备CNAS或CMA认证资质的第三方检测机构出具的检测报告）；</w:t>
            </w:r>
          </w:p>
          <w:p w14:paraId="0FAD55CA">
            <w:pPr>
              <w:widowControl w:val="0"/>
              <w:numPr>
                <w:ilvl w:val="0"/>
                <w:numId w:val="0"/>
              </w:numPr>
              <w:adjustRightInd/>
              <w:snapToGrid/>
              <w:spacing w:after="0" w:line="240" w:lineRule="auto"/>
              <w:ind w:left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8、支持通过自有触屏进行会控，可以实现会议中发言管理，邀请入会和退出会议操作。</w:t>
            </w:r>
          </w:p>
          <w:p w14:paraId="0C423542">
            <w:pPr>
              <w:widowControl w:val="0"/>
              <w:numPr>
                <w:ilvl w:val="0"/>
                <w:numId w:val="0"/>
              </w:numPr>
              <w:adjustRightInd/>
              <w:snapToGrid/>
              <w:spacing w:after="0" w:line="240" w:lineRule="auto"/>
              <w:ind w:left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9、在多分屏会议中，可点击任意小分屏画面实现该画面图像放大全屏。</w:t>
            </w:r>
          </w:p>
          <w:p w14:paraId="2E037C13">
            <w:pPr>
              <w:widowControl w:val="0"/>
              <w:numPr>
                <w:ilvl w:val="0"/>
                <w:numId w:val="0"/>
              </w:numPr>
              <w:adjustRightInd/>
              <w:snapToGrid/>
              <w:spacing w:after="0" w:line="240" w:lineRule="auto"/>
              <w:ind w:leftChars="0"/>
              <w:jc w:val="left"/>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▲10、支持手写、回执、擦除、标注、截图等功能。（须提供具备CNAS或CMA认证资质的第三方检测机构出具的检测报告）；</w:t>
            </w:r>
          </w:p>
          <w:p w14:paraId="4AD33E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2"/>
                <w:sz w:val="24"/>
                <w:szCs w:val="24"/>
                <w:highlight w:val="none"/>
                <w:lang w:val="en-US" w:eastAsia="zh-CN"/>
              </w:rPr>
              <w:t>11、为方便管理，需考虑互联互通：要求与省市实现全面互通。</w:t>
            </w:r>
          </w:p>
        </w:tc>
      </w:tr>
      <w:tr w14:paraId="661B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F5BF">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E803D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0DBB7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卫星电话底座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+室外天线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2FB83C">
            <w:pPr>
              <w:keepNext w:val="0"/>
              <w:keepLines w:val="0"/>
              <w:widowControl/>
              <w:suppressLineNumbers w:val="0"/>
              <w:spacing w:line="240" w:lineRule="auto"/>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554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262A39E">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bookmarkStart w:id="25" w:name="OLE_LINK20"/>
            <w:bookmarkStart w:id="26" w:name="OLE_LINK27"/>
            <w:bookmarkStart w:id="27" w:name="OLE_LINK21"/>
            <w:bookmarkStart w:id="28" w:name="OLE_LINK25"/>
            <w:r>
              <w:rPr>
                <w:rFonts w:hint="eastAsia" w:ascii="仿宋" w:hAnsi="仿宋" w:eastAsia="仿宋" w:cs="仿宋"/>
                <w:color w:val="auto"/>
                <w:kern w:val="2"/>
                <w:sz w:val="24"/>
                <w:szCs w:val="24"/>
                <w:highlight w:val="none"/>
                <w:lang w:val="en-US" w:eastAsia="zh-CN"/>
              </w:rPr>
              <w:t>固移两用：基座设备支持手持卫星电话放入基座后变身室内座机使用，</w:t>
            </w:r>
            <w:bookmarkStart w:id="29" w:name="OLE_LINK28"/>
            <w:r>
              <w:rPr>
                <w:rFonts w:hint="eastAsia" w:ascii="仿宋" w:hAnsi="仿宋" w:eastAsia="仿宋" w:cs="仿宋"/>
                <w:color w:val="auto"/>
                <w:kern w:val="2"/>
                <w:sz w:val="24"/>
                <w:szCs w:val="24"/>
                <w:highlight w:val="none"/>
                <w:lang w:val="en-US" w:eastAsia="zh-CN"/>
              </w:rPr>
              <w:t>解决卫星电话在室内无法拨打电话，发送短信，获取位置信息的问题</w:t>
            </w:r>
            <w:bookmarkEnd w:id="25"/>
          </w:p>
          <w:bookmarkEnd w:id="26"/>
          <w:bookmarkEnd w:id="29"/>
          <w:p w14:paraId="084CFC23">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bookmarkStart w:id="30" w:name="OLE_LINK18"/>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kern w:val="2"/>
                <w:sz w:val="24"/>
                <w:szCs w:val="24"/>
                <w:highlight w:val="none"/>
                <w:lang w:val="en-US" w:eastAsia="zh-CN"/>
              </w:rPr>
              <w:t>兼容性：</w:t>
            </w:r>
            <w:bookmarkStart w:id="31" w:name="OLE_LINK23"/>
            <w:r>
              <w:rPr>
                <w:rFonts w:hint="eastAsia" w:ascii="仿宋" w:hAnsi="仿宋" w:eastAsia="仿宋" w:cs="仿宋"/>
                <w:color w:val="auto"/>
                <w:kern w:val="2"/>
                <w:sz w:val="24"/>
                <w:szCs w:val="24"/>
                <w:highlight w:val="none"/>
                <w:lang w:val="en-US" w:eastAsia="zh-CN"/>
              </w:rPr>
              <w:t>基座设备设计可调节电话卡槽，兼容市场主流品牌卫星电话，</w:t>
            </w:r>
            <w:bookmarkEnd w:id="31"/>
            <w:r>
              <w:rPr>
                <w:rFonts w:hint="eastAsia" w:ascii="仿宋" w:hAnsi="仿宋" w:eastAsia="仿宋" w:cs="仿宋"/>
                <w:color w:val="auto"/>
                <w:kern w:val="2"/>
                <w:sz w:val="24"/>
                <w:szCs w:val="24"/>
                <w:highlight w:val="none"/>
                <w:lang w:val="en-US" w:eastAsia="zh-CN"/>
              </w:rPr>
              <w:t>确保卫星电话放入基座后都可以变身室内座机；</w:t>
            </w:r>
            <w:r>
              <w:rPr>
                <w:rFonts w:hint="eastAsia" w:ascii="仿宋" w:hAnsi="仿宋" w:eastAsia="仿宋" w:cs="仿宋"/>
                <w:b/>
                <w:bCs/>
                <w:color w:val="auto"/>
                <w:kern w:val="2"/>
                <w:sz w:val="24"/>
                <w:szCs w:val="24"/>
                <w:highlight w:val="none"/>
                <w:lang w:val="en-US" w:eastAsia="zh-CN"/>
              </w:rPr>
              <w:t>（提供符合国家认证标准的第三方检测机构出具的检验报告佐证）</w:t>
            </w:r>
          </w:p>
          <w:p w14:paraId="5B047299">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bookmarkStart w:id="32" w:name="OLE_LINK3"/>
            <w:bookmarkStart w:id="33" w:name="OLE_LINK10"/>
            <w:r>
              <w:rPr>
                <w:rFonts w:hint="eastAsia" w:ascii="仿宋" w:hAnsi="仿宋" w:eastAsia="仿宋" w:cs="仿宋"/>
                <w:color w:val="auto"/>
                <w:kern w:val="2"/>
                <w:sz w:val="24"/>
                <w:szCs w:val="24"/>
                <w:highlight w:val="none"/>
                <w:lang w:val="en-US" w:eastAsia="zh-CN"/>
              </w:rPr>
              <w:t>▲基座设备需要支持物联网功能，可以实现对卫星电话的智能化</w:t>
            </w:r>
            <w:bookmarkEnd w:id="32"/>
            <w:bookmarkStart w:id="34" w:name="OLE_LINK29"/>
            <w:r>
              <w:rPr>
                <w:rFonts w:hint="eastAsia" w:ascii="仿宋" w:hAnsi="仿宋" w:eastAsia="仿宋" w:cs="仿宋"/>
                <w:color w:val="auto"/>
                <w:kern w:val="2"/>
                <w:sz w:val="24"/>
                <w:szCs w:val="24"/>
                <w:highlight w:val="none"/>
                <w:lang w:val="en-US" w:eastAsia="zh-CN"/>
              </w:rPr>
              <w:t>管</w:t>
            </w:r>
            <w:bookmarkEnd w:id="34"/>
            <w:r>
              <w:rPr>
                <w:rFonts w:hint="eastAsia" w:ascii="仿宋" w:hAnsi="仿宋" w:eastAsia="仿宋" w:cs="仿宋"/>
                <w:color w:val="auto"/>
                <w:kern w:val="2"/>
                <w:sz w:val="24"/>
                <w:szCs w:val="24"/>
                <w:highlight w:val="none"/>
                <w:lang w:val="en-US" w:eastAsia="zh-CN"/>
              </w:rPr>
              <w:t>理</w:t>
            </w:r>
            <w:r>
              <w:rPr>
                <w:rFonts w:hint="eastAsia" w:ascii="仿宋" w:hAnsi="仿宋" w:eastAsia="仿宋" w:cs="仿宋"/>
                <w:b/>
                <w:bCs/>
                <w:color w:val="auto"/>
                <w:kern w:val="2"/>
                <w:sz w:val="24"/>
                <w:szCs w:val="24"/>
                <w:highlight w:val="none"/>
                <w:lang w:val="en-US" w:eastAsia="zh-CN"/>
              </w:rPr>
              <w:t>（提供符合国家认证标准的第三方检测机构出具的检验报告佐证）</w:t>
            </w:r>
            <w:r>
              <w:rPr>
                <w:rFonts w:hint="eastAsia" w:ascii="仿宋" w:hAnsi="仿宋" w:eastAsia="仿宋" w:cs="仿宋"/>
                <w:color w:val="auto"/>
                <w:kern w:val="2"/>
                <w:sz w:val="24"/>
                <w:szCs w:val="24"/>
                <w:highlight w:val="none"/>
                <w:lang w:val="en-US" w:eastAsia="zh-CN"/>
              </w:rPr>
              <w:t>；</w:t>
            </w:r>
          </w:p>
          <w:bookmarkEnd w:id="27"/>
          <w:p w14:paraId="2B8E52FD">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基座设备需要支持蓝牙功能，通过蓝牙与卫星电话连接，实现座机功能</w:t>
            </w:r>
            <w:bookmarkEnd w:id="33"/>
            <w:bookmarkStart w:id="35" w:name="OLE_LINK26"/>
            <w:bookmarkStart w:id="36" w:name="OLE_LINK30"/>
            <w:r>
              <w:rPr>
                <w:rFonts w:hint="eastAsia" w:ascii="仿宋" w:hAnsi="仿宋" w:eastAsia="仿宋" w:cs="仿宋"/>
                <w:color w:val="auto"/>
                <w:kern w:val="2"/>
                <w:sz w:val="24"/>
                <w:szCs w:val="24"/>
                <w:highlight w:val="none"/>
                <w:lang w:val="en-US" w:eastAsia="zh-CN"/>
              </w:rPr>
              <w:t>；</w:t>
            </w:r>
          </w:p>
          <w:p w14:paraId="62D37B16">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支持摘挂机自动检测，铃音自适应，来电摘机接听电话，挂机挂断电话的功能，支持自动唤醒、自动检测和播报卫星电话状态等的功能；</w:t>
            </w:r>
          </w:p>
          <w:bookmarkEnd w:id="30"/>
          <w:bookmarkEnd w:id="35"/>
          <w:bookmarkEnd w:id="36"/>
          <w:p w14:paraId="7C67B853">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bookmarkStart w:id="37" w:name="OLE_LINK17"/>
            <w:r>
              <w:rPr>
                <w:rFonts w:hint="eastAsia" w:ascii="仿宋" w:hAnsi="仿宋" w:eastAsia="仿宋" w:cs="仿宋"/>
                <w:color w:val="auto"/>
                <w:kern w:val="2"/>
                <w:sz w:val="24"/>
                <w:szCs w:val="24"/>
                <w:highlight w:val="none"/>
                <w:lang w:val="en-US" w:eastAsia="zh-CN"/>
              </w:rPr>
              <w:t>基座设备需</w:t>
            </w:r>
            <w:bookmarkEnd w:id="37"/>
            <w:r>
              <w:rPr>
                <w:rFonts w:hint="eastAsia" w:ascii="仿宋" w:hAnsi="仿宋" w:eastAsia="仿宋" w:cs="仿宋"/>
                <w:color w:val="auto"/>
                <w:kern w:val="2"/>
                <w:sz w:val="24"/>
                <w:szCs w:val="24"/>
                <w:highlight w:val="none"/>
                <w:lang w:val="en-US" w:eastAsia="zh-CN"/>
              </w:rPr>
              <w:t>要内置电池，电池容量不小于10000mAh，无外部供电时可以持续工作至少24小时</w:t>
            </w:r>
          </w:p>
          <w:p w14:paraId="7714C811">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bookmarkStart w:id="38" w:name="OLE_LINK31"/>
            <w:r>
              <w:rPr>
                <w:rFonts w:hint="eastAsia" w:ascii="仿宋" w:hAnsi="仿宋" w:eastAsia="仿宋" w:cs="仿宋"/>
                <w:color w:val="auto"/>
                <w:kern w:val="2"/>
                <w:sz w:val="24"/>
                <w:szCs w:val="24"/>
                <w:highlight w:val="none"/>
                <w:lang w:val="en-US" w:eastAsia="zh-CN"/>
              </w:rPr>
              <w:t>基座设备配备可取出的充电宝，容量不低于10000mAh充电宝，支持对充电宝智能充电，在三断的情况下，可以作为备用电源使用；</w:t>
            </w:r>
          </w:p>
          <w:p w14:paraId="3FC928DF">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能够远程登记提交保管人信息及终端信息等</w:t>
            </w:r>
            <w:r>
              <w:rPr>
                <w:rFonts w:hint="eastAsia" w:ascii="仿宋" w:hAnsi="仿宋" w:eastAsia="仿宋" w:cs="仿宋"/>
                <w:color w:val="auto"/>
                <w:sz w:val="24"/>
                <w:szCs w:val="24"/>
                <w:highlight w:val="none"/>
                <w:lang w:eastAsia="zh-CN"/>
              </w:rPr>
              <w:t>；</w:t>
            </w:r>
          </w:p>
          <w:p w14:paraId="71A079A9">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基座设备需要设计传统卫星电话天线收纳槽</w:t>
            </w:r>
            <w:bookmarkEnd w:id="38"/>
            <w:r>
              <w:rPr>
                <w:rFonts w:hint="eastAsia" w:ascii="仿宋" w:hAnsi="仿宋" w:eastAsia="仿宋" w:cs="仿宋"/>
                <w:color w:val="auto"/>
                <w:kern w:val="2"/>
                <w:sz w:val="24"/>
                <w:szCs w:val="24"/>
                <w:highlight w:val="none"/>
                <w:lang w:val="en-US" w:eastAsia="zh-CN"/>
              </w:rPr>
              <w:t>；</w:t>
            </w:r>
          </w:p>
          <w:p w14:paraId="4333C7DC">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基座设备需要支持北斗定位功能；</w:t>
            </w:r>
          </w:p>
          <w:p w14:paraId="7FC6C289">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指示灯：具备设备蓝牙、平台、电源等连接状态指示灯</w:t>
            </w:r>
            <w:r>
              <w:rPr>
                <w:rFonts w:hint="eastAsia" w:ascii="仿宋" w:hAnsi="仿宋" w:eastAsia="仿宋" w:cs="仿宋"/>
                <w:color w:val="auto"/>
                <w:sz w:val="24"/>
                <w:szCs w:val="24"/>
                <w:highlight w:val="none"/>
                <w:lang w:eastAsia="zh-CN"/>
              </w:rPr>
              <w:t>；</w:t>
            </w:r>
          </w:p>
          <w:p w14:paraId="6FF47699">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基座可适配无源或有源天通室外天线、北斗定位天线，满足所有点位的安装要求；</w:t>
            </w:r>
          </w:p>
          <w:p w14:paraId="3FFDE13A">
            <w:pPr>
              <w:widowControl w:val="0"/>
              <w:numPr>
                <w:ilvl w:val="0"/>
                <w:numId w:val="4"/>
              </w:numPr>
              <w:adjustRightInd/>
              <w:snapToGrid/>
              <w:spacing w:after="0" w:line="240" w:lineRule="auto"/>
              <w:ind w:left="0" w:leftChars="0"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highlight w:val="none"/>
                <w:lang w:val="en-US" w:eastAsia="zh-CN"/>
              </w:rPr>
              <w:t>全国产化平台功能：通过Cat1网络、天通卫星网络和</w:t>
            </w:r>
            <w:r>
              <w:rPr>
                <w:rFonts w:hint="eastAsia" w:ascii="仿宋" w:hAnsi="仿宋" w:eastAsia="仿宋" w:cs="仿宋"/>
                <w:color w:val="auto"/>
                <w:sz w:val="24"/>
                <w:szCs w:val="24"/>
                <w:highlight w:val="none"/>
              </w:rPr>
              <w:t>配套管理平台支持对卫星设备的离在线、设备电量、位置情况、应急通知接收状态等进行分析展示，支持省、市、区县一张图管理；支持通按区域下发应急广播；</w:t>
            </w:r>
            <w:r>
              <w:rPr>
                <w:rFonts w:hint="eastAsia" w:ascii="仿宋" w:hAnsi="仿宋" w:eastAsia="仿宋" w:cs="仿宋"/>
                <w:b/>
                <w:bCs/>
                <w:color w:val="auto"/>
                <w:sz w:val="24"/>
                <w:szCs w:val="24"/>
                <w:highlight w:val="none"/>
                <w:lang w:val="en-US" w:eastAsia="zh-CN"/>
              </w:rPr>
              <w:t>（提供符合国家认证标准的第三方检测机构出具的检验报告佐证）</w:t>
            </w:r>
          </w:p>
          <w:p w14:paraId="777BCD4F">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设备防护等级：室内部分</w:t>
            </w:r>
            <w:r>
              <w:rPr>
                <w:rFonts w:hint="eastAsia" w:ascii="仿宋" w:hAnsi="仿宋" w:eastAsia="仿宋" w:cs="仿宋"/>
                <w:color w:val="auto"/>
                <w:sz w:val="24"/>
                <w:szCs w:val="24"/>
                <w:highlight w:val="none"/>
              </w:rPr>
              <w:t>防护等级≥IP54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室外部分</w:t>
            </w:r>
            <w:r>
              <w:rPr>
                <w:rFonts w:hint="eastAsia" w:ascii="仿宋" w:hAnsi="仿宋" w:eastAsia="仿宋" w:cs="仿宋"/>
                <w:color w:val="auto"/>
                <w:sz w:val="24"/>
                <w:szCs w:val="24"/>
                <w:highlight w:val="none"/>
              </w:rPr>
              <w:t>防护等级≥IP</w:t>
            </w:r>
            <w:r>
              <w:rPr>
                <w:rFonts w:hint="eastAsia" w:ascii="仿宋" w:hAnsi="仿宋" w:eastAsia="仿宋" w:cs="仿宋"/>
                <w:color w:val="auto"/>
                <w:sz w:val="24"/>
                <w:szCs w:val="24"/>
                <w:highlight w:val="none"/>
                <w:lang w:val="en-US" w:eastAsia="zh-CN"/>
              </w:rPr>
              <w:t>67；</w:t>
            </w:r>
          </w:p>
          <w:p w14:paraId="1F736A72">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sz w:val="24"/>
                <w:szCs w:val="24"/>
                <w:highlight w:val="none"/>
              </w:rPr>
              <w:t>工作温度不低于-20℃～55℃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存储温度不低于-40℃～70℃</w:t>
            </w:r>
            <w:bookmarkEnd w:id="28"/>
          </w:p>
          <w:p w14:paraId="2BEB4063">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配置室外天线，定位天线，扩展手持卫星电话为室内座机，实现传统卫星电话24小时在线；</w:t>
            </w:r>
          </w:p>
          <w:p w14:paraId="487E2B5E">
            <w:pPr>
              <w:widowControl w:val="0"/>
              <w:numPr>
                <w:ilvl w:val="0"/>
                <w:numId w:val="4"/>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工作频段：L1/B1:1575.42MHz±1.023MHz/1561.098MHz±2.046MHz；</w:t>
            </w:r>
          </w:p>
          <w:p w14:paraId="4E97D2DB">
            <w:pPr>
              <w:widowControl w:val="0"/>
              <w:numPr>
                <w:ilvl w:val="0"/>
                <w:numId w:val="4"/>
              </w:numPr>
              <w:adjustRightInd/>
              <w:snapToGrid/>
              <w:spacing w:after="0" w:line="240" w:lineRule="auto"/>
              <w:ind w:left="0" w:leftChars="0" w:firstLine="0" w:firstLineChars="0"/>
              <w:jc w:val="left"/>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2"/>
                <w:sz w:val="24"/>
                <w:szCs w:val="24"/>
                <w:highlight w:val="none"/>
                <w:lang w:val="zh-CN" w:eastAsia="zh-CN"/>
              </w:rPr>
              <w:t>支持手机电池充电保护模式。</w:t>
            </w:r>
          </w:p>
        </w:tc>
      </w:tr>
      <w:tr w14:paraId="301F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D57D9">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36ADB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90807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卫星便携站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EBF9B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7C70F1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1.卫星便携站一体化设计，包含卫星天线与底座、收发信一体机、调制解调器、天线控制单元、电机，电池等部件；</w:t>
            </w:r>
          </w:p>
          <w:p w14:paraId="28B26F5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2.▲接入模式：可接入应急管理部国产化卫星通信系统；</w:t>
            </w:r>
          </w:p>
          <w:p w14:paraId="7221779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3.操作方式：支持一键对星； </w:t>
            </w:r>
          </w:p>
          <w:p w14:paraId="46BFA95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4.▲天线类型：抛物面天线或</w:t>
            </w:r>
            <w:r>
              <w:rPr>
                <w:rFonts w:hint="eastAsia" w:ascii="仿宋" w:hAnsi="仿宋" w:eastAsia="仿宋" w:cs="仿宋"/>
                <w:i w:val="0"/>
                <w:iCs w:val="0"/>
                <w:strike w:val="0"/>
                <w:dstrike w:val="0"/>
                <w:color w:val="auto"/>
                <w:kern w:val="0"/>
                <w:sz w:val="24"/>
                <w:szCs w:val="24"/>
                <w:highlight w:val="none"/>
                <w:u w:val="none"/>
                <w:lang w:val="en-US" w:eastAsia="zh-CN" w:bidi="ar"/>
              </w:rPr>
              <w:t>平板波导阵列</w:t>
            </w:r>
            <w:r>
              <w:rPr>
                <w:rFonts w:hint="eastAsia" w:ascii="仿宋" w:hAnsi="仿宋" w:eastAsia="仿宋" w:cs="仿宋"/>
                <w:i w:val="0"/>
                <w:iCs w:val="0"/>
                <w:color w:val="auto"/>
                <w:kern w:val="0"/>
                <w:sz w:val="24"/>
                <w:szCs w:val="24"/>
                <w:highlight w:val="none"/>
                <w:u w:val="none"/>
                <w:lang w:val="en-US" w:eastAsia="zh-CN" w:bidi="ar"/>
              </w:rPr>
              <w:t>天线；（提供第三方检测机构出具的检测报告）</w:t>
            </w:r>
          </w:p>
          <w:p w14:paraId="0E5C7C7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5.等效口径：≥0.6米；</w:t>
            </w:r>
          </w:p>
          <w:p w14:paraId="4A72C86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6.工作频率：10.7～12.75GHz（接收）；13.75～14.5GHz（发射）；</w:t>
            </w:r>
          </w:p>
          <w:p w14:paraId="7A2DB69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7.天线增益：发射(Tx):≥36.8dBi@14.5GHz；接收≥35.6dBi@12.75GHz；</w:t>
            </w:r>
          </w:p>
          <w:p w14:paraId="345C33C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8.天线转动范围：俯仰范围：0°～90°，方位范围：0～360°，极化范围：±90°；</w:t>
            </w:r>
          </w:p>
          <w:p w14:paraId="732A84C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9.功放输出功率：≥16W；</w:t>
            </w:r>
          </w:p>
          <w:p w14:paraId="6F5A44A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10.通信能力：专网模式支持上下行≥2Mbps；</w:t>
            </w:r>
          </w:p>
          <w:p w14:paraId="30B73B6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11.辅助功能：支持语音播报，语音告警，语音辅助功能； </w:t>
            </w:r>
          </w:p>
          <w:p w14:paraId="21CCEE2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12.对星时间：≤2分钟；</w:t>
            </w:r>
          </w:p>
          <w:p w14:paraId="4C02A9C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13.对星方式：支持信标对星；</w:t>
            </w:r>
          </w:p>
          <w:p w14:paraId="7CA660F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14.管理界面：App/Web界面；</w:t>
            </w:r>
          </w:p>
          <w:p w14:paraId="6E2398A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15.定位方式/位置信息上报：支持单北斗定位模式，符合北斗规模应用要求；</w:t>
            </w:r>
          </w:p>
          <w:p w14:paraId="7C4784C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16.对外接口：10/100/1000BaseT 802.1q 以太网端口、Wi-Fi；</w:t>
            </w:r>
          </w:p>
          <w:p w14:paraId="719EE34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17.整机功耗：≤66W（典型值）；</w:t>
            </w:r>
          </w:p>
          <w:p w14:paraId="3C9C8E7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18.电池供电工作时长：≥3小时；</w:t>
            </w:r>
          </w:p>
          <w:p w14:paraId="25635DC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19.静态放置时长：≥6个月；</w:t>
            </w:r>
          </w:p>
          <w:p w14:paraId="0068B3B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20.设备尺寸：≤535mm*362mm*145mm；</w:t>
            </w:r>
          </w:p>
          <w:p w14:paraId="790C687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21.防护等级：≥IP66；</w:t>
            </w:r>
          </w:p>
          <w:p w14:paraId="6EFC12B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22.▲设备净重：≤13kg；</w:t>
            </w:r>
          </w:p>
          <w:p w14:paraId="4EC7177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23.工作温度：-25℃～+55℃；</w:t>
            </w:r>
          </w:p>
          <w:p w14:paraId="3BAEEEE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24.可与应急管理部主站卫星调制解调器直接互联互通； </w:t>
            </w:r>
          </w:p>
          <w:p w14:paraId="2ACC9C4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25.支持业务网管双通道；</w:t>
            </w:r>
          </w:p>
          <w:p w14:paraId="6E0EE0D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26.业务数据速率：32kbps～15Mbps；</w:t>
            </w:r>
          </w:p>
          <w:p w14:paraId="57A6515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27.网管数据速率：2.4kbps～1Mbps；</w:t>
            </w:r>
          </w:p>
          <w:p w14:paraId="38BBF22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28.业务调制解调方式：至少包含BPSK、QPSK、8PSK、16APSK、16QAM调制方式； </w:t>
            </w:r>
          </w:p>
          <w:p w14:paraId="1486561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29.网管调制解调方式：至少包含BPSK、QPSK；</w:t>
            </w:r>
          </w:p>
          <w:p w14:paraId="42A9D25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30.业务信道编译码：支持卷积编码、卷积级联Reed-Solomon码、LDPC、TPC</w:t>
            </w:r>
          </w:p>
          <w:p w14:paraId="26785D6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31.网管信道编译码：至少包含卷积编码、TPC编码</w:t>
            </w:r>
          </w:p>
        </w:tc>
      </w:tr>
      <w:tr w14:paraId="70EF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7"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CA69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right w:val="single" w:color="000000" w:sz="4" w:space="0"/>
            </w:tcBorders>
            <w:noWrap w:val="0"/>
            <w:vAlign w:val="center"/>
          </w:tcPr>
          <w:p w14:paraId="56E79F5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956" w:type="dxa"/>
            <w:tcBorders>
              <w:top w:val="single" w:color="000000" w:sz="4" w:space="0"/>
              <w:left w:val="single" w:color="000000" w:sz="4" w:space="0"/>
              <w:right w:val="single" w:color="000000" w:sz="4" w:space="0"/>
            </w:tcBorders>
            <w:noWrap w:val="0"/>
            <w:vAlign w:val="center"/>
          </w:tcPr>
          <w:p w14:paraId="1AF5E3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宽波束鹅颈天线</w:t>
            </w:r>
          </w:p>
        </w:tc>
        <w:tc>
          <w:tcPr>
            <w:tcW w:w="735" w:type="dxa"/>
            <w:tcBorders>
              <w:top w:val="single" w:color="000000" w:sz="4" w:space="0"/>
              <w:left w:val="single" w:color="000000" w:sz="4" w:space="0"/>
              <w:right w:val="single" w:color="000000" w:sz="4" w:space="0"/>
            </w:tcBorders>
            <w:noWrap w:val="0"/>
            <w:vAlign w:val="center"/>
          </w:tcPr>
          <w:p w14:paraId="770E88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7019BA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1.通过鹅颈转接件连接卫星电话；                                       2.顶点增益3DBI，100度仰角增益2dBI（1.6mW），100-120度仰角增益0dBI（1mW）；                                   3.频率范围：上行1980-2010MHz，下行2170-2200MHz；                                                                                                                                                                                        4.接头规格：SMA-J</w:t>
            </w:r>
          </w:p>
        </w:tc>
      </w:tr>
      <w:tr w14:paraId="7933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983" w:type="dxa"/>
            <w:gridSpan w:val="5"/>
            <w:tcBorders>
              <w:top w:val="single" w:color="000000" w:sz="4" w:space="0"/>
              <w:left w:val="single" w:color="000000" w:sz="4" w:space="0"/>
              <w:bottom w:val="single" w:color="000000" w:sz="4" w:space="0"/>
              <w:right w:val="single" w:color="000000" w:sz="4" w:space="0"/>
            </w:tcBorders>
            <w:noWrap w:val="0"/>
            <w:vAlign w:val="center"/>
          </w:tcPr>
          <w:p w14:paraId="24DA31E0">
            <w:pPr>
              <w:keepNext w:val="0"/>
              <w:keepLines w:val="0"/>
              <w:pageBreakBefore w:val="0"/>
              <w:widowControl w:val="0"/>
              <w:kinsoku/>
              <w:wordWrap/>
              <w:overflowPunct/>
              <w:topLinePunct w:val="0"/>
              <w:bidi w:val="0"/>
              <w:adjustRightInd w:val="0"/>
              <w:spacing w:line="336" w:lineRule="auto"/>
              <w:ind w:firstLine="482" w:firstLineChars="200"/>
              <w:textAlignment w:val="auto"/>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注：</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投标时须提供所投品牌产品生产厂商针对本项目的三年售后服务承诺函原件。</w:t>
            </w:r>
          </w:p>
        </w:tc>
      </w:tr>
    </w:tbl>
    <w:p w14:paraId="7FEBB422">
      <w:pPr>
        <w:rPr>
          <w:rFonts w:hint="eastAsia" w:ascii="仿宋" w:hAnsi="仿宋" w:eastAsia="仿宋" w:cs="仿宋"/>
          <w:color w:val="auto"/>
          <w:highlight w:val="none"/>
        </w:rPr>
      </w:pPr>
    </w:p>
    <w:p w14:paraId="18C30796">
      <w:pPr>
        <w:keepNext w:val="0"/>
        <w:keepLines w:val="0"/>
        <w:pageBreakBefore w:val="0"/>
        <w:widowControl w:val="0"/>
        <w:kinsoku/>
        <w:wordWrap/>
        <w:overflowPunct/>
        <w:topLinePunct w:val="0"/>
        <w:bidi w:val="0"/>
        <w:adjustRightInd w:val="0"/>
        <w:spacing w:line="264" w:lineRule="auto"/>
        <w:textAlignment w:val="auto"/>
        <w:rPr>
          <w:rFonts w:hint="eastAsia" w:ascii="仿宋" w:hAnsi="仿宋" w:eastAsia="仿宋" w:cs="仿宋"/>
          <w:b/>
          <w:color w:val="auto"/>
          <w:sz w:val="24"/>
          <w:highlight w:val="none"/>
        </w:rPr>
      </w:pPr>
    </w:p>
    <w:p w14:paraId="6F54CC08">
      <w:pPr>
        <w:keepNext w:val="0"/>
        <w:keepLines w:val="0"/>
        <w:pageBreakBefore w:val="0"/>
        <w:widowControl w:val="0"/>
        <w:kinsoku/>
        <w:wordWrap/>
        <w:overflowPunct/>
        <w:topLinePunct w:val="0"/>
        <w:bidi w:val="0"/>
        <w:adjustRightInd w:val="0"/>
        <w:spacing w:line="264" w:lineRule="auto"/>
        <w:ind w:firstLine="482" w:firstLineChars="200"/>
        <w:textAlignment w:val="auto"/>
        <w:rPr>
          <w:rFonts w:hint="eastAsia" w:ascii="仿宋" w:hAnsi="仿宋" w:eastAsia="仿宋" w:cs="仿宋"/>
          <w:b/>
          <w:color w:val="auto"/>
          <w:sz w:val="24"/>
          <w:highlight w:val="none"/>
        </w:rPr>
      </w:pPr>
    </w:p>
    <w:tbl>
      <w:tblPr>
        <w:tblStyle w:val="65"/>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662"/>
        <w:gridCol w:w="956"/>
        <w:gridCol w:w="735"/>
        <w:gridCol w:w="6839"/>
      </w:tblGrid>
      <w:tr w14:paraId="5A56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9820" w:type="dxa"/>
            <w:gridSpan w:val="5"/>
            <w:tcBorders>
              <w:top w:val="single" w:color="000000" w:sz="4" w:space="0"/>
              <w:left w:val="single" w:color="000000" w:sz="4" w:space="0"/>
              <w:bottom w:val="single" w:color="000000" w:sz="4" w:space="0"/>
              <w:right w:val="single" w:color="000000" w:sz="4" w:space="0"/>
            </w:tcBorders>
            <w:noWrap w:val="0"/>
            <w:vAlign w:val="center"/>
          </w:tcPr>
          <w:p w14:paraId="494D887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标项二：应急消防救援装备</w:t>
            </w:r>
          </w:p>
        </w:tc>
      </w:tr>
      <w:tr w14:paraId="4D0E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14:paraId="44FF413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装备类别</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54BA39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4DC2E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13E77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9ED6FC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功能及技术参数</w:t>
            </w:r>
          </w:p>
        </w:tc>
      </w:tr>
      <w:tr w14:paraId="1214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980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EB716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FF67A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便携式发电机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0922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469953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1.类型：单缸、强制风冷、四冲程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2.额定功率KW：≥5.0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3.最大功率KW: ≥5.5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4.额定频率HZ：≥50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5.额定电压V：220V/230V/380V/400V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相数：单相/三相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电流22.7A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6.启动方式：手启动装置/电启动装置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7.汽油容量L：≥25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8.发动机：≥8.6KW/3600rpm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9.排量：≥420cc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10.连续工作时长：≥13H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11.燃油：92号以上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12.噪音dB（7米）：≤72dB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13.净量（±5）KG：≤84KG</w:t>
            </w:r>
          </w:p>
        </w:tc>
      </w:tr>
      <w:tr w14:paraId="03B9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BA8C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0D7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001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小型或中型无人机</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0722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F6C9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1.整机重量（含桨叶、1组电池、云台相机组件）≤4kg                                                                       2. 最大飞行海拔高度：≥7000m                                                                                                                      3.最大可承受风速 ≥6级风 ≥12 m/s                                                                                                         4.最大飞行时间 ≥40分钟                                                                                                                           5.防水等级 飞行器及其配套相机具备IP55防护等级                                                                                                                                            6.搭载摄像机≥3840×2160 @30Hz，支持MP4格式，搭载红外热成像视频分辨率≥640×512@30Hz，支持MP4格式；                                         7.飞行器拓展储存 ≥256G</w:t>
            </w:r>
          </w:p>
        </w:tc>
      </w:tr>
      <w:tr w14:paraId="2299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0A9FE">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6D063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660F5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救援伸缩杆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C7BF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DE747E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作用范围：适合在泥潭沼泽、山涧峡谷、码头船上、洪灾遇险地带、冬季冰面，救援人员发现落水者或遇险被困人员后，在岸上或船上开展远距离安全施救，也可用来打捞漂浮物时使用。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2、拉杆：超轻碳纤维, 展开长度（米）：≥5米,折叠后长度：≤1.5米,重量：≤0.9Kg </w:t>
            </w:r>
          </w:p>
          <w:p w14:paraId="72AB4AD3">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3、拉动重量:120KG，</w:t>
            </w:r>
          </w:p>
        </w:tc>
      </w:tr>
      <w:tr w14:paraId="02D5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5D35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96D72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5B83E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13DE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DA260F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合金材质，适用于抢险救援；</w:t>
            </w:r>
          </w:p>
          <w:p w14:paraId="56EFD5D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2.长度≥120cm；</w:t>
            </w:r>
          </w:p>
          <w:p w14:paraId="42DB1A41">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3.重量≥1100g</w:t>
            </w:r>
          </w:p>
        </w:tc>
      </w:tr>
      <w:tr w14:paraId="7D91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B1C6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49B4E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A434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高音喇叭</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2FE9D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7B0D9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1.供电方式：锂电池和干电池转换使用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2.工作电压：7.4V.充电时间：≤4小时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3.充电器：  5V/2AA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4.充电接口：TYPE_C接口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5.最大功率：≥50W</w:t>
            </w:r>
          </w:p>
        </w:tc>
      </w:tr>
      <w:tr w14:paraId="1CB3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05E8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D783B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4407E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救援担架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961B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95ABA0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 xml:space="preserve">总长：≥180cm; </w:t>
            </w:r>
          </w:p>
          <w:p w14:paraId="5EBDB8C5">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2.面料：牛津布；</w:t>
            </w:r>
          </w:p>
          <w:p w14:paraId="0B2D4FB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3.宽度：≥53cm，</w:t>
            </w:r>
          </w:p>
          <w:p w14:paraId="16C945A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4.承重：≥160KG  </w:t>
            </w:r>
          </w:p>
          <w:p w14:paraId="14AFC14C">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5.净重≤7kg</w:t>
            </w:r>
          </w:p>
        </w:tc>
      </w:tr>
      <w:tr w14:paraId="5A5B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8A6F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1C566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6F2AB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救生绳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8622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D91D7E3">
            <w:pPr>
              <w:keepNext w:val="0"/>
              <w:keepLines w:val="0"/>
              <w:widowControl/>
              <w:numPr>
                <w:ilvl w:val="0"/>
                <w:numId w:val="5"/>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结构：为夹心绳，承重部分由连续纤维材料制成，强度高、延伸率小、抗冲击性能好、耐高温。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2.破断强度：轻型≥20KN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3.耐高温性能：载温度204℃时间5MIN环境下，不融熔、焦化。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4.规 格：轻型 ≥9.5mm</w:t>
            </w:r>
          </w:p>
          <w:p w14:paraId="0CAA5B4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5.符合XF494-2023《消防用防坠落装备》，提供国家消防装备质量检验检测中心出具的型式试验报告</w:t>
            </w:r>
            <w:r>
              <w:rPr>
                <w:rFonts w:hint="eastAsia" w:ascii="仿宋" w:hAnsi="仿宋" w:eastAsia="仿宋" w:cs="仿宋"/>
                <w:color w:val="auto"/>
                <w:sz w:val="24"/>
                <w:szCs w:val="24"/>
                <w:highlight w:val="none"/>
              </w:rPr>
              <w:t>。</w:t>
            </w:r>
          </w:p>
        </w:tc>
      </w:tr>
      <w:tr w14:paraId="10E7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EEE02">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48137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B5D28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警戒带</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5EE8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AD1007C">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卷盘内置经特殊处理的警示带，高密度绦纶布材质，双面反光,防水。</w:t>
            </w:r>
          </w:p>
          <w:p w14:paraId="5314178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2.尺寸：约5CM*50米。</w:t>
            </w:r>
          </w:p>
          <w:p w14:paraId="27423B4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3.警示带上印有“消防”字样。</w:t>
            </w:r>
          </w:p>
          <w:p w14:paraId="2B171492">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4.本产品操作简单，携带方便，使用时不会污染现场环境。</w:t>
            </w:r>
          </w:p>
          <w:p w14:paraId="47B8DF9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5.色泽鲜艳，可多次重复使用。</w:t>
            </w:r>
          </w:p>
          <w:p w14:paraId="62F7665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6.符合FZ/T 65002-1995《特种工业用绳带 物理机械性能试验方法》、GB 20653-2020《防护服装 职业用高可视性警示服》，提供符合国家认证标准的检测机构出具的检验报告。</w:t>
            </w:r>
          </w:p>
        </w:tc>
      </w:tr>
      <w:tr w14:paraId="4D3A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F88F9">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61E9C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A3CD3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电动U型救生圈</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BB3F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DD5447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 规格要求：外形尺寸≤长1100mm×宽800mm×高200mm，重量≤17Kg。</w:t>
            </w:r>
          </w:p>
          <w:p w14:paraId="2143473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 外壳材质：需具有GB/T1843-2008中冲击强度的测试报告。（提供符合国家认证标准的第三方检测机构出具的检验报告佐证）</w:t>
            </w:r>
          </w:p>
          <w:p w14:paraId="3B038FC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 空载速度：≥30km/h。（提供符合国家认证标准的第三方检测机构出具的检验报告佐证）</w:t>
            </w:r>
          </w:p>
          <w:p w14:paraId="70A171A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 载人速度：≥9km/h(额定载重≥85kg)。</w:t>
            </w:r>
          </w:p>
          <w:p w14:paraId="6BB6B1C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 水上拖力：拖拽总重≥900Kg，能正常匀速行驶。</w:t>
            </w:r>
          </w:p>
          <w:p w14:paraId="5206661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 浮力≥250N，须符合GB/T 4302-2008中5.9要求。（提供符合国家认证标准的第三方检测机构出具的检验报告佐证）</w:t>
            </w:r>
          </w:p>
          <w:p w14:paraId="5259757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 电池：采用现场可更换锂电池组供电，锂电池须符合GB31241-2022标准中相关要求。</w:t>
            </w:r>
          </w:p>
          <w:p w14:paraId="6D5BD8E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 续航时间：单组电池≥100分钟，更换1次电池≥200分钟（配1组备用电池组）。</w:t>
            </w:r>
          </w:p>
          <w:p w14:paraId="1464DA2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 遥控距离≥1500米，显示屏能显示设备位置、电池及电压、信号质量、控制模式、航向等。</w:t>
            </w:r>
          </w:p>
          <w:p w14:paraId="1353D48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 安全要求：固定抓扶把手≥7个，绳索孔≥8个，配置反光救生绳，提供彩色照片佐证。</w:t>
            </w:r>
          </w:p>
          <w:p w14:paraId="286958F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 耐用性要求：救生圈须符合GB/T 5080.7-1986标准（平均无故障时间≥200h），抛投须符合GB4302-2008中5.6要求（≥30米入水，无损坏能正常工作）。（提供符合国家认证标准的第三方检测机构出具的检验报告佐证）</w:t>
            </w:r>
          </w:p>
          <w:p w14:paraId="0EBAF44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 操控模式：具有远程遥控和本机自主驾驶两种模式，提供彩色照片佐证。</w:t>
            </w:r>
          </w:p>
          <w:p w14:paraId="2BCE07C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 设备接口：具备≥3个专用设备接口，可以根据工作需求安装不同的设备，拆装方便，提供彩色照片佐证。</w:t>
            </w:r>
          </w:p>
          <w:p w14:paraId="08B3BB8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 防护性能：须符合GB/T 4208-2017中IP68要求。</w:t>
            </w:r>
          </w:p>
          <w:p w14:paraId="15D852F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 电磁兼容性及安全性：电磁兼容性符合GB/T17626.2-2018和GB/T17626.3-2016中等级3的规定，安全性符合GB16796-2022的相关要求。</w:t>
            </w:r>
          </w:p>
          <w:p w14:paraId="3314B6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提供符合国家认证标准的第三方检测机构出具的检验报告。</w:t>
            </w:r>
          </w:p>
        </w:tc>
      </w:tr>
      <w:tr w14:paraId="6018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F9F8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0FCEF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A330A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缓降器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EE05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63F6AB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1、技术性能符合GB21976.2—2012《建筑火灾逃生避难器材 第2部分：逃生缓降器》标准要求。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2、缓降器各部件应无变形、损伤等异常现象。金属件的外表面应光滑、无锈蚀、斑点、毛刺并进行防腐蚀处理。绳索端头应采用保护物包扎。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3、在缓降器使用状态对其施加拉伸负荷。绳索、调速器等受力部件应无明显的变形、破损、脱卸等异常现象。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4、抗跌落性能，抗冲击性能满足标准要求。耐腐性能进行标准负荷下降速度实验，安全负荷≥900N，长度30米，其下降速度≥0.7m/s。</w:t>
            </w:r>
          </w:p>
        </w:tc>
      </w:tr>
      <w:tr w14:paraId="5805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8AF3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15DE6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28AC2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防洪子堤</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DE5BD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D31B778">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用于堤防漫溢险情和地下车库、地下通道等临时加高.</w:t>
            </w:r>
          </w:p>
          <w:p w14:paraId="27A0F11D">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2.子堤每组长≥10m. </w:t>
            </w:r>
          </w:p>
          <w:p w14:paraId="0C3E20DC">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3.单元宽≥1m  </w:t>
            </w:r>
          </w:p>
          <w:p w14:paraId="2D03836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4.高≥1.3m. </w:t>
            </w:r>
          </w:p>
          <w:p w14:paraId="2D537A20">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5.挡水深度≥1m</w:t>
            </w:r>
          </w:p>
        </w:tc>
      </w:tr>
      <w:tr w14:paraId="568B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BCCC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06FF6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CA16B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除雪装备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0AFD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04CD8C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1、铲头材质：锰钢淬火；铲头钢材厚度不小于3㎜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2、铲头尺寸：≥39*45*31cm；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3、木柄材质：≥1.2m国槐或铁梨木柄。配有刮雪铲。                                                                           4、手扶扫雪机：功率：≥1800W,工作宽度≥30cm，重量≤6kg。</w:t>
            </w:r>
          </w:p>
        </w:tc>
      </w:tr>
      <w:tr w14:paraId="02FD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0D527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执法类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B0556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174B7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测电笔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E90D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C7D95B2">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 xml:space="preserve">LED显示 </w:t>
            </w:r>
          </w:p>
          <w:p w14:paraId="2A24143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2.感应探测，通断测量 </w:t>
            </w:r>
          </w:p>
          <w:p w14:paraId="43BE37A8">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3.电压检测范围：AC12-400V电压。</w:t>
            </w:r>
          </w:p>
        </w:tc>
      </w:tr>
      <w:tr w14:paraId="0ECD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249F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B84F8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3E141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强光手电（头灯）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570F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3301BA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符合：GB3836.2-2010 爆炸性环境                                                                                                                                                                  1、隔爆型最高防爆等级，可在易燃易爆场所安全使用。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2、采用固态免维护LED光源，光效高，寿命长达10万小时。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3、具有工作光、强光、弱光，爆闪，SOS， 5种光设计，按动按钮可进行自由转换。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人性化的电量指示（百分30%电量为红色，百分之70为绿色）和低电压显示功能设计，可随时查询电池电量；当电量不足时，灯具会自动提示进行充电。尾部带有红色方位信号指示灯，可给救援现场人员定位警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5、额定电压 DC3.7V,  额定容量 ≥2200mAh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6、额定功率（LED）3W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7、平均使用寿命 ≥100000h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8、连续放电时间： ≥6h（强光）/12h（工作光）/20h（频闪）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9、充电时间 5h电池使用寿命 ≥1000（循环）,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10、外形尺寸 ≤28×140mm(直径×长度)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11、重量≤ 0.12kg ,                                                                                                                                 ★12、外壳防护等级 ≥IP66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防爆标志：ExdⅡCT6 Gb</w:t>
            </w:r>
          </w:p>
          <w:p w14:paraId="1A07045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条款须提供符合国家认证标准的第三方检测机构出具的检验报告。</w:t>
            </w:r>
          </w:p>
        </w:tc>
      </w:tr>
      <w:tr w14:paraId="7843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455B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BD311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912CB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D927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FF984E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1.产品尺寸 ≤5000x16mm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2.产品重量 ≤160g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3.产品颜色 黄色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4.产品材质 抗摔ABS，50°中碳钢制作尺带</w:t>
            </w:r>
          </w:p>
        </w:tc>
      </w:tr>
      <w:tr w14:paraId="1124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F0E45">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44957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77EAD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绝缘手套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CC8C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BFB85D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1.材质：橡胶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2.功能：防酸、防碱、防油、防侵蚀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3.用途：乳胶材质，柔软、安全无毒</w:t>
            </w:r>
          </w:p>
        </w:tc>
      </w:tr>
      <w:tr w14:paraId="1797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E409D">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160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17</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3B1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防爆照相机</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66B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128F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环境条件：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1工作环境：0℃—40℃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2、相对湿度：≤95%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3、大气压力：80Kpa—110 Kpa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4、地面和有甲烷和煤尘存在的场所。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5.记录媒体SD存储卡、SDHC存储卡、SDXC存储卡、兼容UHS-I</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6.图像感应器尺寸≥22.3×14.9毫米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7.图像感应器类型：CMOS图像感应器（支持全像素双核CMOS AF）有效像素约2420万像素</w:t>
            </w:r>
          </w:p>
        </w:tc>
      </w:tr>
      <w:tr w14:paraId="31A5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210A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08272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3DD84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取样器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30E45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8D61C6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一、</w:t>
            </w:r>
            <w:r>
              <w:rPr>
                <w:rFonts w:hint="eastAsia" w:ascii="仿宋" w:hAnsi="仿宋" w:eastAsia="仿宋" w:cs="仿宋"/>
                <w:i w:val="0"/>
                <w:iCs w:val="0"/>
                <w:color w:val="auto"/>
                <w:kern w:val="0"/>
                <w:sz w:val="24"/>
                <w:szCs w:val="24"/>
                <w:highlight w:val="none"/>
                <w:u w:val="none"/>
                <w:lang w:val="en-US" w:eastAsia="zh-CN" w:bidi="ar"/>
              </w:rPr>
              <w:t>液体取样器：                                                                                                                          1.产品用途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可以广泛应用于各种行业场所的液体取样工作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2.将采样绳一端牢固接地，另一端与底部取样器牢固连接。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3.将底部取样器以≤1米/秒的速度下落至容器底部。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二、固体体取样器：                                                                                                                     1.产品用途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可以广泛应用于各种行业场所的易燃易爆危险性工作。                                                                                                                                                             2.采样量≥5kg                                                                                                                                                                      3.采样筒长度  1000mm、1200mm </w:t>
            </w:r>
          </w:p>
          <w:p w14:paraId="0D04C88A">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4.该采样器由两块锂电池、电机、采样螺旋和采样筒组成。</w:t>
            </w:r>
          </w:p>
        </w:tc>
      </w:tr>
      <w:tr w14:paraId="1486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A06B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E30AA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DF40B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DA23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144573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1.帽壳：承受打击，使坠落物与人体隔开。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2.帽箍：使安全帽保持在头上一个确定的位置。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3.顶带：分散冲击力，保持帽壳的浮动，以便分散冲击力。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4.缓冲垫：发生冲击时，减少冲击力。</w:t>
            </w:r>
          </w:p>
        </w:tc>
      </w:tr>
      <w:tr w14:paraId="6C4C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7831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C25C6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7B3B1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便携式笔记本电脑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E1F1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D0DFFC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1.处理器：英特尔®酷睿™Ultra5-125H处理器3。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2.内存：32GB DDR51。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3.硬盘：1TB SSD1。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4.显示屏：≥14英寸OLED屏幕，分辨率2880x1920，刷新率60Hz。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5.整体重量≤1.31千克，厚度约≥ 14mm。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6.电池与续航：内置70Wh电池，支持至高40W的超级快充反向充电4。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7.接口：左侧配备1个USB-C接口、1个USB-A 3.2 Gen 1接口、1个HDMI接口、1个3.5mm音频接口；右侧配备1个USB-A 3.2 Gen 1接口2。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8.操作系统：Windows 11</w:t>
            </w:r>
          </w:p>
        </w:tc>
      </w:tr>
      <w:tr w14:paraId="294A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326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监测预警类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3C82B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D9AAD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手摇报警器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B737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C69BC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1、声压级：105±2dB(A)@1m(半消声室环境测量)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2、音响频率：600±20Hz(取决于手摇速度)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3、材质：铝合金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4、净重：≤1.5kg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5、有效范围：500-800m</w:t>
            </w:r>
          </w:p>
        </w:tc>
      </w:tr>
      <w:tr w14:paraId="47F3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F80B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27F16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B01C5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望远镜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1F72E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66D08D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1.倍率（倍）≥ 10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2.物镜直径（mm）≥ 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3.出瞳直径（mm）≥ 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4.出瞳距离（mm）≥18                                                                                                       5.近焦距离 ≥5m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6.镜体材料PPS</w:t>
            </w:r>
          </w:p>
        </w:tc>
      </w:tr>
      <w:tr w14:paraId="09B4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BCF5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58F7D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2DBD9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红外热成像夜视仪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7750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6D149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一、用于隐患火点探测，适用于浓烟环境下的应急救援，液晶显示模块，轻巧便携，多种场景伪彩，支持激光指示，可快速确定被困人员位置。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二、支持中心点测温，高低温追踪，可手动设置报警阈值，通过屏幕高低温报警画面 、蜂呜器报警。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三、产品技术参数要求：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1、探测器分辨率≥160*120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2、热灵敏度≤60mK@25℃；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3、视场角≥40°×30°；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4、测温范围：≥-10℃~+500℃；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5、测温精度：±2%或±2℃；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7、防护等级≥IP54；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7、存储卡≥16GB；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8、电池类型:可充电锂电池续航≥5h；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9、电源接口:USB 直充 type-C；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10、工作温度:0℃~+50℃；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11、存储温度:-20℃~+60℃；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12、尺寸：≤200*75*60MM；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13、重量≤350g；</w:t>
            </w:r>
          </w:p>
        </w:tc>
      </w:tr>
      <w:tr w14:paraId="028D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14:paraId="580F52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其他类别</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DE5C4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319BF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ABCC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880BEF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1.长≥2米，高≥2米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2.深≥0.5米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3.隔层板高度可调节</w:t>
            </w:r>
          </w:p>
        </w:tc>
      </w:tr>
      <w:tr w14:paraId="6D18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14:paraId="6DDEE9A1">
            <w:pPr>
              <w:keepNext w:val="0"/>
              <w:keepLines w:val="0"/>
              <w:widowControl/>
              <w:suppressLineNumbers w:val="0"/>
              <w:jc w:val="left"/>
              <w:textAlignment w:val="center"/>
              <w:rPr>
                <w:color w:val="auto"/>
                <w:highlight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5998716">
            <w:pPr>
              <w:keepNext w:val="0"/>
              <w:keepLines w:val="0"/>
              <w:widowControl/>
              <w:suppressLineNumbers w:val="0"/>
              <w:jc w:val="left"/>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FFB265F">
            <w:pPr>
              <w:numPr>
                <w:ilvl w:val="0"/>
                <w:numId w:val="0"/>
              </w:numPr>
              <w:jc w:val="center"/>
              <w:rPr>
                <w:rFonts w:hint="default" w:ascii="宋体" w:hAnsi="宋体" w:eastAsia="宋体" w:cs="宋体"/>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前线指挥帐篷</w:t>
            </w:r>
          </w:p>
          <w:p w14:paraId="1532A3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84721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B2107D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样式：指挥专用20㎡帐篷为长方形双坡面直墙建筑样式。一端山墙开门，门上偏左开通气口，另一端山墙正中的上方开风斗口，两侧墙各开两个窗户，两侧墙支起可成遮阳篷。整体帐篷通过拉绳拉起，用三角桩加固。</w:t>
            </w:r>
          </w:p>
          <w:p w14:paraId="5E02793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2、尺寸：篷体长5600mm，篷体宽3630mm，侧墙高1700mm，脊顶高2510mm。</w:t>
            </w:r>
          </w:p>
          <w:p w14:paraId="00EC8EE2">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3、面料：</w:t>
            </w:r>
          </w:p>
          <w:p w14:paraId="221AB71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篷体：1111dtex×1111dtex涤纶丝天蓝色PU涂层布， </w:t>
            </w:r>
          </w:p>
          <w:p w14:paraId="30A3092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地铺：555dtex×555dtex涤纶丝灰色PVC涂层布，</w:t>
            </w:r>
          </w:p>
          <w:p w14:paraId="7CD0EEB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棉内胆保温层：白色中空涤纶短纤维絮片。</w:t>
            </w:r>
          </w:p>
          <w:p w14:paraId="52DC967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4、支架：</w:t>
            </w:r>
          </w:p>
          <w:p w14:paraId="704C8C0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通用杆、立柱杆、地杆为焊接钢管：Φ38mm×1.2mm；</w:t>
            </w:r>
          </w:p>
          <w:p w14:paraId="4A70216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三通、四通为焊接钢管：Φ42mm×1.5mm；</w:t>
            </w:r>
          </w:p>
          <w:p w14:paraId="6CE65BB4">
            <w:pPr>
              <w:keepNext w:val="0"/>
              <w:keepLines w:val="0"/>
              <w:widowControl/>
              <w:numPr>
                <w:ilvl w:val="0"/>
                <w:numId w:val="0"/>
              </w:numPr>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阳篷杆为焊接钢管：Φ19mm×1.0mm；均为白色喷漆。</w:t>
            </w:r>
          </w:p>
          <w:p w14:paraId="1D2CBC06">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5、产品标志：帐篷顶坡两面居中均匀排列印刷“应急指挥”字样，面向门时，门左、右两侧居中，分别印“指”、“挥”字样。</w:t>
            </w:r>
          </w:p>
          <w:p w14:paraId="712B1D01">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6、帐篷共4包：篷体地铺1包，棉内胆1包，框架2包。</w:t>
            </w:r>
          </w:p>
        </w:tc>
      </w:tr>
      <w:tr w14:paraId="7900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51C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64EE7F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62039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内燃机液压破拆工具组或电动液压破拆工具组（液压机动泵、液压剪扩器、撑顶器、液压管）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36071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CCEFFC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符合GB/T17906-2021 《液压破拆工具通用技术条件》)                                                                                                     1.配置要求：含双输出液压机动泵、剪扩器、撑顶器、液压管等；</w:t>
            </w:r>
          </w:p>
          <w:p w14:paraId="27FF236F">
            <w:pPr>
              <w:keepNext w:val="0"/>
              <w:keepLines w:val="0"/>
              <w:widowControl/>
              <w:numPr>
                <w:ilvl w:val="0"/>
                <w:numId w:val="6"/>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液压机动泵双输出用作液压破拆工具的动力源。可同时接驳两件液压破拆工具同时工作3小时以上。可同时供2组液压工具作业，重量≤25KG；</w:t>
            </w:r>
          </w:p>
          <w:p w14:paraId="65ACA9B4">
            <w:pPr>
              <w:keepNext w:val="0"/>
              <w:keepLines w:val="0"/>
              <w:widowControl/>
              <w:numPr>
                <w:ilvl w:val="0"/>
                <w:numId w:val="6"/>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液压剪扩器：单管工作原理、可带压操作，手控阀操作可使刀片的张开闭合处于任何位置，用于同步救援配套使用，最大扩张力≥20吨，最大剪切力≥68吨，牵引力≥6吨，扩张距离≥390mm。</w:t>
            </w:r>
          </w:p>
          <w:p w14:paraId="2E87C4C2">
            <w:pPr>
              <w:keepNext w:val="0"/>
              <w:keepLines w:val="0"/>
              <w:widowControl/>
              <w:numPr>
                <w:ilvl w:val="0"/>
                <w:numId w:val="6"/>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液压撑顶器：用于撑开、顶升障碍重物，双级液压撑顶器，一级支撑力≥27吨，二级支撑力≥14吨；</w:t>
            </w:r>
          </w:p>
          <w:p w14:paraId="02F2844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5.液压管：高压工作压力≥70Mpa，配2套≥5米软管；配备其他破拆工具应符合相应要求。</w:t>
            </w:r>
          </w:p>
        </w:tc>
      </w:tr>
      <w:tr w14:paraId="3C99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47B3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FC25D3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F3782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正压式消防空气呼吸器（6.8L）</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EE0F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26F4D10">
            <w:pPr>
              <w:keepNext w:val="0"/>
              <w:keepLines w:val="0"/>
              <w:widowControl/>
              <w:suppressLineNumbers w:val="0"/>
              <w:jc w:val="left"/>
              <w:textAlignment w:val="center"/>
              <w:rPr>
                <w:rStyle w:val="234"/>
                <w:rFonts w:hint="eastAsia" w:ascii="仿宋" w:hAnsi="仿宋" w:eastAsia="仿宋" w:cs="仿宋"/>
                <w:color w:val="auto"/>
                <w:sz w:val="24"/>
                <w:szCs w:val="24"/>
                <w:highlight w:val="none"/>
                <w:lang w:val="en-US" w:eastAsia="zh-CN" w:bidi="ar"/>
              </w:rPr>
            </w:pPr>
            <w:r>
              <w:rPr>
                <w:rStyle w:val="234"/>
                <w:rFonts w:hint="eastAsia" w:ascii="仿宋" w:hAnsi="仿宋" w:eastAsia="仿宋" w:cs="仿宋"/>
                <w:color w:val="auto"/>
                <w:sz w:val="24"/>
                <w:szCs w:val="24"/>
                <w:highlight w:val="none"/>
                <w:lang w:val="en-US" w:eastAsia="zh-CN" w:bidi="ar"/>
              </w:rPr>
              <w:t>本装具由气瓶总成、减压器总成、供气阀总成、面罩总成、压力平视显示装置、背托总成、报警器等组成。材料和部件具有耐高温、耐低温、阻燃、防腐、防水、防尘、防爆等性能；技术性能符合XF124-2013《正压式消防空气呼吸器》,</w:t>
            </w:r>
            <w:r>
              <w:rPr>
                <w:rFonts w:hint="eastAsia" w:ascii="仿宋" w:hAnsi="仿宋" w:eastAsia="仿宋" w:cs="仿宋"/>
                <w:i w:val="0"/>
                <w:iCs w:val="0"/>
                <w:color w:val="auto"/>
                <w:kern w:val="0"/>
                <w:sz w:val="24"/>
                <w:szCs w:val="24"/>
                <w:highlight w:val="none"/>
                <w:u w:val="none"/>
                <w:lang w:val="en-US" w:eastAsia="zh-CN" w:bidi="ar"/>
              </w:rPr>
              <w:t>提供国家消防装备质量检验检测中心出具的型式试验报告</w:t>
            </w:r>
            <w:r>
              <w:rPr>
                <w:rStyle w:val="234"/>
                <w:rFonts w:hint="eastAsia" w:ascii="仿宋" w:hAnsi="仿宋" w:eastAsia="仿宋" w:cs="仿宋"/>
                <w:color w:val="auto"/>
                <w:sz w:val="24"/>
                <w:szCs w:val="24"/>
                <w:highlight w:val="none"/>
                <w:lang w:val="en-US" w:eastAsia="zh-CN" w:bidi="ar"/>
              </w:rPr>
              <w:t>。</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1、气瓶：容积6.8L，为全缠绕式碳纤维符合气瓶，保护层为全缠绕式碳纤维复合材料，内胆采用高强度、经防腐处理、重量轻的铝合金材料。气瓶工作压力30MPa，水压试验压力≥50MPa，爆破压力≥102MPa。瓶体由阻燃气瓶保护套全方位保护，气瓶保护套配有两道荧光标识，在黑暗处可见。</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2、全面罩：大视野球形面罩，总视野保留率≥76%，双目视野保留率≥65%，下方视野＞35°，镜片透光率≥93%，吸入气体CO</w:t>
            </w:r>
            <w:r>
              <w:rPr>
                <w:rStyle w:val="972"/>
                <w:rFonts w:hint="eastAsia" w:ascii="仿宋" w:hAnsi="仿宋" w:eastAsia="仿宋" w:cs="仿宋"/>
                <w:color w:val="auto"/>
                <w:sz w:val="24"/>
                <w:szCs w:val="24"/>
                <w:highlight w:val="none"/>
                <w:lang w:val="en-US" w:eastAsia="zh-CN" w:bidi="ar"/>
              </w:rPr>
              <w:t>₂</w:t>
            </w:r>
            <w:r>
              <w:rPr>
                <w:rStyle w:val="234"/>
                <w:rFonts w:hint="eastAsia" w:ascii="仿宋" w:hAnsi="仿宋" w:eastAsia="仿宋" w:cs="仿宋"/>
                <w:color w:val="auto"/>
                <w:sz w:val="24"/>
                <w:szCs w:val="24"/>
                <w:highlight w:val="none"/>
                <w:lang w:val="en-US" w:eastAsia="zh-CN" w:bidi="ar"/>
              </w:rPr>
              <w:t>含量≤0.89%。镜面硬化处理，防雾、防划、抗冲击；面罩与皮肤接触部位均采用硅胶材质；面罩头网采用芳纶阻燃材料，永久阻燃，五点式收紧结构，与面部贴合更紧密。</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3、供气阀：与面罩为卡扣式连接，单手可操作，无需定位快速连接面罩，可360°旋转，配有硅胶保护套，阻燃，抗冲击。设置应急冲泄阀可强制供气，冲刷面罩镜面。体积小，不影响视野。</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4、压力平视显示装置：内置于全面罩内，提示灯在视野右下角布置，不影响正常视线；光强柔和，避免干扰视线，伤害眼睛；与压力信号发射装置无线连接，唯一配对，无线连接距离≥3米；三种颜色的指示灯指示不同状态的气瓶压力，提供预警、报警。在气瓶压力为0-6MPa时，红色指示灯闪烁；在气瓶压力为6-10MPa时，黄色指示灯常亮；在气瓶压力为10-30MPa，绿色指示灯常亮。当电量不足的时，黄色欠压灯闪亮，并且能继续工作超过3小时。连续工作时间≥75小时；待机时间≥180天；防爆等级≥ExiaⅡCT3Ga，具有独立的防爆证书。</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5、背托:肩带、腰带均采用芳纶阻燃材料。肩带配有宽大弹性衬垫和3M的反光条。高中压导气管采用隐藏设计。背板符合人机工程学设计，与人体背部贴合，重量分散在腰部，有效减少人员疲劳感；腰带采用前拉收紧方式；腰带扣采用新型插钩式，可单指解开，使用温度-30~+60℃，可有效避免低温变脆，插扣解开失效问题，使用寿命可达3万次。配有独立腰垫，可随人体形态变化而适当转动，减轻疲劳感。</w:t>
            </w:r>
          </w:p>
          <w:p w14:paraId="5F09FC56">
            <w:pPr>
              <w:keepNext w:val="0"/>
              <w:keepLines w:val="0"/>
              <w:widowControl/>
              <w:suppressLineNumbers w:val="0"/>
              <w:ind w:firstLine="240" w:firstLineChars="100"/>
              <w:jc w:val="left"/>
              <w:textAlignment w:val="center"/>
              <w:rPr>
                <w:rFonts w:hint="eastAsia" w:ascii="仿宋" w:hAnsi="仿宋" w:eastAsia="仿宋" w:cs="仿宋"/>
                <w:i w:val="0"/>
                <w:iCs w:val="0"/>
                <w:color w:val="auto"/>
                <w:sz w:val="24"/>
                <w:szCs w:val="24"/>
                <w:highlight w:val="none"/>
                <w:u w:val="none"/>
              </w:rPr>
            </w:pPr>
            <w:r>
              <w:rPr>
                <w:rStyle w:val="234"/>
                <w:rFonts w:hint="eastAsia" w:ascii="仿宋" w:hAnsi="仿宋" w:eastAsia="仿宋" w:cs="仿宋"/>
                <w:color w:val="auto"/>
                <w:sz w:val="24"/>
                <w:szCs w:val="24"/>
                <w:highlight w:val="none"/>
                <w:lang w:val="en-US" w:eastAsia="zh-CN" w:bidi="ar"/>
              </w:rPr>
              <w:t>6、减压阀：性能稳定可靠，输出压力0.6MPa。设有安全阀，具备超压保护功能。高中压导气管均由阻燃橡胶保护，柔韧性好，耐磨抗刮擦。高压管内气管为螺旋式设计，在充满高压气体时也能柔韧灵活。胸前配有自锁式快速救援接口，可满足多人呼吸需要。</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 xml:space="preserve">  </w:t>
            </w:r>
            <w:r>
              <w:rPr>
                <w:rStyle w:val="234"/>
                <w:rFonts w:hint="eastAsia" w:ascii="仿宋" w:hAnsi="仿宋" w:eastAsia="仿宋" w:cs="仿宋"/>
                <w:i w:val="0"/>
                <w:iCs w:val="0"/>
                <w:color w:val="auto"/>
                <w:sz w:val="24"/>
                <w:szCs w:val="24"/>
                <w:highlight w:val="none"/>
                <w:lang w:val="en-US" w:eastAsia="zh-CN" w:bidi="ar"/>
              </w:rPr>
              <w:t>7、报警器：体积小，报警压力5.5MPa±0.5；连续声响时间以90dB（A）的声强持续＞15s;</w:t>
            </w:r>
            <w:r>
              <w:rPr>
                <w:rStyle w:val="234"/>
                <w:rFonts w:hint="eastAsia" w:ascii="仿宋" w:hAnsi="仿宋" w:eastAsia="仿宋" w:cs="仿宋"/>
                <w:i w:val="0"/>
                <w:iCs w:val="0"/>
                <w:color w:val="auto"/>
                <w:sz w:val="24"/>
                <w:szCs w:val="24"/>
                <w:highlight w:val="none"/>
                <w:lang w:val="en-US" w:eastAsia="zh-CN" w:bidi="ar"/>
              </w:rPr>
              <w:br w:type="textWrapping"/>
            </w:r>
            <w:r>
              <w:rPr>
                <w:rStyle w:val="234"/>
                <w:rFonts w:hint="eastAsia" w:ascii="仿宋" w:hAnsi="仿宋" w:eastAsia="仿宋" w:cs="仿宋"/>
                <w:i w:val="0"/>
                <w:iCs w:val="0"/>
                <w:color w:val="auto"/>
                <w:sz w:val="24"/>
                <w:szCs w:val="24"/>
                <w:highlight w:val="none"/>
                <w:lang w:val="en-US" w:eastAsia="zh-CN" w:bidi="ar"/>
              </w:rPr>
              <w:t xml:space="preserve">  8、整机佩戴重量（气瓶充气30MPa）：≤11kg。</w:t>
            </w:r>
            <w:r>
              <w:rPr>
                <w:rStyle w:val="234"/>
                <w:rFonts w:hint="eastAsia" w:ascii="仿宋" w:hAnsi="仿宋" w:eastAsia="仿宋" w:cs="仿宋"/>
                <w:i w:val="0"/>
                <w:iCs w:val="0"/>
                <w:color w:val="auto"/>
                <w:sz w:val="24"/>
                <w:szCs w:val="24"/>
                <w:highlight w:val="none"/>
                <w:lang w:val="en-US" w:eastAsia="zh-CN" w:bidi="ar"/>
              </w:rPr>
              <w:br w:type="textWrapping"/>
            </w:r>
            <w:r>
              <w:rPr>
                <w:rStyle w:val="234"/>
                <w:rFonts w:hint="eastAsia" w:ascii="仿宋" w:hAnsi="仿宋" w:eastAsia="仿宋" w:cs="仿宋"/>
                <w:i w:val="0"/>
                <w:iCs w:val="0"/>
                <w:color w:val="auto"/>
                <w:sz w:val="24"/>
                <w:szCs w:val="24"/>
                <w:highlight w:val="none"/>
                <w:lang w:val="en-US" w:eastAsia="zh-CN" w:bidi="ar"/>
              </w:rPr>
              <w:t xml:space="preserve">  9、性能参数</w:t>
            </w:r>
            <w:r>
              <w:rPr>
                <w:rStyle w:val="234"/>
                <w:rFonts w:hint="eastAsia" w:ascii="仿宋" w:hAnsi="仿宋" w:eastAsia="仿宋" w:cs="仿宋"/>
                <w:i w:val="0"/>
                <w:iCs w:val="0"/>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1）整机气密1分钟内下降值为0MPa。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2）动态呼吸阻力：气瓶压力30MPa-2MPa呼吸量40*2.5L/min，全面罩内始终保持正压；吸气阻力≤350Pa；呼气阻力≤620Pa; 气瓶压力2MPa-1MPa呼吸量25*2L/min：全面罩内保持正压；吸气阻力≤360Pa；呼气阻力≤520Pa；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3）耐高温性能：高温试验后，各零部件无异常变形、粘连、脱胶等现象；以呼吸频率40次/min，呼吸流量100L/min呼吸，呼吸器的全面罩保持正压；呼气阻力≤610Pa；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4）耐低温性能：低温试验后，各零部件无开裂、异常收缩、发脆等现象；以呼吸频率25次/min，呼吸流量50L/min呼吸，呼吸器的全面罩内保持正压；呼气阻力≤510Pa；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5）耐辐射热性能：整机气密性能：在气密性能试验后，其压力表的压力指示值在1min内下降≤1.3MPa；气瓶压力30MPa~2MPa，呼吸量40*2.5L/min，吸气阻力≤90Pa，呼气阻力：≤900Pa；</w:t>
            </w:r>
            <w:r>
              <w:rPr>
                <w:rStyle w:val="234"/>
                <w:rFonts w:hint="eastAsia" w:ascii="仿宋" w:hAnsi="仿宋" w:eastAsia="仿宋" w:cs="仿宋"/>
                <w:color w:val="auto"/>
                <w:sz w:val="24"/>
                <w:szCs w:val="24"/>
                <w:highlight w:val="none"/>
                <w:lang w:val="en-US" w:eastAsia="zh-CN" w:bidi="ar"/>
              </w:rPr>
              <w:br w:type="textWrapping"/>
            </w:r>
            <w:r>
              <w:rPr>
                <w:rStyle w:val="234"/>
                <w:rFonts w:hint="eastAsia" w:ascii="仿宋" w:hAnsi="仿宋" w:eastAsia="仿宋" w:cs="仿宋"/>
                <w:color w:val="auto"/>
                <w:sz w:val="24"/>
                <w:szCs w:val="24"/>
                <w:highlight w:val="none"/>
                <w:lang w:val="en-US" w:eastAsia="zh-CN" w:bidi="ar"/>
              </w:rPr>
              <w:t>6）静态压力（Pa）：静态压力≤300Pa，且不大于排气阀的开启压力。</w:t>
            </w:r>
          </w:p>
        </w:tc>
      </w:tr>
      <w:tr w14:paraId="5014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750C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CECF0F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DDCA9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防盗窗破拆用角磨机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C53F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14D48B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锂电充电式角磨机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1.工作电压≤24V；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2.最大输出功率≥1000W；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3.空载转速≤9000r/min；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4.切割深度≥30mm;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5.重量≤4KG；</w:t>
            </w:r>
          </w:p>
        </w:tc>
      </w:tr>
      <w:tr w14:paraId="28B2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B7F9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侦检类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00D65C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884B2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有毒有害气体检测仪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DB94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62574D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一、产品功能要求：用于检查氧气、一氧化碳、二氧化氮、可燃气体、硫化氢气体浓度；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1、响应时间:泵吸式T90＜30s；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2、检测气体：氧气、一氧化碳、二氧化氮、可燃气体、硫化氢；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3、量程：氧气：0-30%VOL、一氧化碳：0-1000PPM、二氧化氮：0-100PPM、可燃气体：0-100%LEL、硫化氢：0-100PPM；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4、分辨率：氧气：0.1%VOL、一氧化碳：1PPM、二氧化氮：0.1PPM、可燃气体：0.1%LEL、硫化氢：0.1PPM；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5、工作环境:温度-10°C~50°C;相对湿度≤95%RH(无冷凝)；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6、工作电压:DC3.7V(充电锂电池供电，锂电池容量≥5000mAh)；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7、显示方式≥2.0英寸彩色显示模块；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8、报警方式:声光振显四重报警；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9、采样方式:泵吸式；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10、数据通信:支持USB连接电脑.上位机查看数据；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11、系统语言:支持中英文切换;其他语言可定制；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12、配备充电器:Type-C充电接口；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13、防爆等级≥ExibIlBT3Gb本质安全型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14、半导体传感器寿命：≥2年；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15、防护等级：≥IP65。</w:t>
            </w:r>
          </w:p>
        </w:tc>
      </w:tr>
      <w:tr w14:paraId="2132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E9275D">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6C81DF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A3048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漏电检测仪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EF57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AE0BD2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直径：≥32mm，长度：≥500.0mm，重量：≤450g，高温-20℃~60℃，持续时间≥2h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1、试样在 5kV，1min 耐压过程中，不应闪络、击穿，试验后，应无放电、灼伤痕迹，无明显发热现象。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2、探测范围或敏感度由TAC手杖和电线导体之间的距离决定，将电线导体放在不同位置以确定最大范围。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3、信号“探测”表示为每两秒“哔哔”的警告声至少响起一次。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4、探测电压：120V/60Hz或220V/50Hz或380V/50Hz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5、防水能力可承受飞溅的水滴</w:t>
            </w:r>
          </w:p>
          <w:p w14:paraId="09A1A3B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6、4节5号碱性电池或内置可充电电池供电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7、保存运输时为-40至158华氏度(-40至70摄氏度)</w:t>
            </w:r>
          </w:p>
          <w:p w14:paraId="17EB27E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8、提供符合国家认证标准的检测机构出具的检验报告</w:t>
            </w:r>
          </w:p>
        </w:tc>
      </w:tr>
      <w:tr w14:paraId="690E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424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5B503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41F6A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91241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66237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D9D0D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1FDCD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0A583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5DE46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D1982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70477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061992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22BD65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防护类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A005B7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DA5FD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激流救生衣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ECA0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58C7C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1、背心式设计，救生衣主色为红色。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2、采用可提拉面料，具有良好的耐磨性、耐撕裂性、耐久性等特性。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3、四个前置方块挂点和胸前25个战术挂点，6个D型扣，可固定潜水刀、频闪灯、定位灯等装备。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4、松紧带设计，使得穿着人员更紧贴于颈部，领部后方扁平拖拽把手（橡胶材质），确保救援过程中使用者被施救时的紧急安全拖拽作用力。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5、性能等级/设计浮力：≥150N。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6、激流救生衣提供符合国家认证标准的第三方检测机构出具的检验报告。</w:t>
            </w:r>
          </w:p>
        </w:tc>
      </w:tr>
      <w:tr w14:paraId="246A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AFD8D">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F24CC5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496DE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水域救援头盔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5784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6A4A85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1、外壳采用全新ABS材料,结实、耐撞、承受力高。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2、内衬为高强度发泡材料，佩戴轻便舒适、不吸水。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3、符合人体工程学的多孔位设计,加快头部散热或排水以及减少风向阻力。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4、护耳组件外层采用ABS制成,固定在头盔两侧,护耳能全面地保护头部侧面免遭碰撞与擦伤，防止撞击中对耳朵造成伤害,内部使用柔软RB材质冷压成形，缓冲冲击力，佩戴舒适。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5、两侧附加战术导轨座，附带与头盔导轨兼容的夹具，可调节位置及角度。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6、重量：≤510克，穿戴轻便。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7、通用型头盔，适合大部分人头部尺寸，配专用调节器，可在56-62厘米之间调节。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8、提供符合国家认证标准的第三方检测机构出具的检验报告。</w:t>
            </w:r>
          </w:p>
        </w:tc>
      </w:tr>
      <w:tr w14:paraId="1A6C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E074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733B0E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8010C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消防头盔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C135A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E1037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1、符合国家XF44-2015《消防头盔》标准要求，提供符合国家认证标准的第三方检测机构出具的检验报告。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2、为全盔式头盔，由帽壳、佩戴装置及附件（面罩、披肩）等构成，浅色透明面罩，粘贴消防帽徽。颜色:黄色、红色。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3、材质：帽壳材质为聚酰胺材料（PA66），缓冲层及下颏带材质为对人体无毒、无自然伤害的阻燃材料，帽壳为一次性注塑成型。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4、披肩：应为装卸式，采用芳纶阻燃面料复合的三层结构，颜色为藏蓝。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5、滑轨：盔体两侧设黑色多功能模块化滑轨，耐高温阻燃材质。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6、反光标识条：荧光黄色，荧光桔红色。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7、冲击吸收性能：高温预处理，最大冲击力≤3000N；辐射热预处理，最大冲击力≤3100N；低温预处理，最大冲击力≤3100N；浸水预处理，最大冲击力≤3200N。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8、阻燃性能：头盔经高温实验后，下颏带损毁长度≤15mm，续燃时间0s；披肩损毁长度≤30mm，续燃时间0s；面罩续燃时间 0s；各部分均无熔融、滴落现象。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9、电绝缘性能：帽壳泄露电流≤1.0mA。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10、下颏带抗拉强度：延伸长度≤20mm。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11、侧向刚性：帽壳最大变形≤32mm，卸载后变形≤3mm，帽壳无碎片脱落。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12、面罩光学性能：面罩透光率≥69%（浅色）。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13、披肩防水性能 耐静水压＞17kPa。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14、质量：≤1300g。</w:t>
            </w:r>
          </w:p>
        </w:tc>
      </w:tr>
      <w:tr w14:paraId="5372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AF1D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069125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872F1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消防员灭火防护服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B10E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C2AA7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1.1符合XF10-2014《消防员灭火防护服》标准要求，验收时提供符合国家认证标准的第三方检测机构出具的检验报告。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1.2符合应急管理部消防救援局最新款消防员灭火防护服款式标识要求。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1.3由防水透气层、隔热层、舒适层三层面料组成，分为上衣和下裤两部分，有救生拖拉带。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2.外观要求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2.1外观为藏蓝色。颜色为藏蓝色，潘通色号为ANTONE19-4013TCXDarkNavy，色差≥3级（按《纺织品色牢度试验评定变色用灰色样卡》GB/T250-2008标准评判）。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2.2衣领。衣领为立领，前部设护领，内侧采用顺色贴肤舒适面料。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2.3上衣前门襟和裤子门禁拉链均为8号铜齿拉链，门襟魔术贴为贯通式；上衣下摆，上衣舒适层下摆设置止水布。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2.4标识魔术贴。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2.5反光标志带：采用“黄银黄”组合色反光标志带。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2.6裤脚口处采用圆弧形设计，内部设置止水布，内侧设置拉链，裤脚设耐磨材料包边。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2.7补强处理。肩、肘、膝部采用耐磨层加厚处理，耐磨层柔软且易于清洗。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2.8右肩部设有两个挂袢，衣和裤子间重叠部分≥200mm。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2.9裤子裆部采用一体式设计。裤子配H型背带，具有较强抗疲劳性、阻燃性能，背带可调节长度，可拆卸。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3.1外层面料（加强布面料）225±11g/m²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3.2防水透气层（隔热层）160±8g/m²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3.3舒适层：120±6g/㎡。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3.4反光标志带经向：≤35mm、纬向：≤35mm，所有试验续燃时间≤1s，且无熔融滴落现象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3.5热稳定性能（变化率）：外层：≤2.0%；防水透气层：≤3.0%；外层加强材料：≤2.0%；舒适层：≤3.0%；试样表面无明显变化。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3.6缩水率：外层经纬向：≤1.0%；防水透气层（隔热层）经纬向：≤3.0%；舒适层经纬向：≤5.0%。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3.7表面抗湿性能：≥3级。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3.8断裂强力：外层：经向≥500N、纬向≥1000N；舒适层：经向≥300N、纬向≥400N；接缝断裂强力：经向≥400N、纬向≥400N。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3.9外层撕破强力：经向≥260N、纬向≥190N。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3.10色牢度：耐洗沾色4级、耐水摩擦4级、耐光色牢度：符合4级要求。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3.11防水透气层耐静水压＞50kpa、透湿≥5000（g/(㎡·24h)）、拒油性能≥3级。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3.12针距密度：明暗线≥12（针/3cm）。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3.13反光标志带：经耐热性能试验，反光材料表面无炭化、脱落现象，经高低温性能试验，产品未出现断裂、起皱、扭曲现象。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▲3.14质量：≤3kg。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3.15整体热防护性能（TPP（cal/c㎡））：≥30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3.16救生拖拉带：展开时间4s，拖动距离＞2.5m。</w:t>
            </w:r>
          </w:p>
        </w:tc>
      </w:tr>
      <w:tr w14:paraId="3693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02E6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55C300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CCEDA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消防手套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68570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4A7E9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1.符合XF7-2004《消防手套》标准，提供符合国家认证标准的第三方检测机构出具的检验报告，符合统型款要求。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2、用于手部防护，具备阻燃、隔热、反光、防水等性能。主要材质，防水层面料：透明低透防水袋，隔热测：芳纶隔热毡。主体材料、款式、标识等符合消防手套统型要求。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3.阻燃性能：手套和袖筒外层材料和隔热层材料的损毁长度≤50mm，续燃和阴燃时间≤0s，且无熔融、滴落现象。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4.整体热防护性能：≥28.0cal/cm2；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5.穿戴时间≤2s。</w:t>
            </w:r>
          </w:p>
        </w:tc>
      </w:tr>
      <w:tr w14:paraId="735A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26E1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7CB078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0D852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消防安全腰带</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2F48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32B442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1.1符合国家XF494-2023《消防用防坠落装备》标准要求，验收时提供符合国家认证标准的第三方检测机构出具的检验报告。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1.2该产品符合消防安全腰带款式标识统型要求。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1.3正立方向静拉力：≥13kN，重量≤0.8kg。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2.1由织带、带扣、D型环和移动板组成，采取插扦改良式设计。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2.2主体颜色为藏蓝色。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2.3织带为一整根，没有接缝。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3.1扦针孔：优质不锈钢材质，直径12mm，成双排六列型式向前等距排列。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3.2织带：尼龙66材质，织带为整根，没有接缝，具有一定硬度，末端收尾为整烫圆弧型。织带边缘通过热封或其他措施来防止织线松脱。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3.3带扣：热锻铝7075合金材质，阳极氧化处理工艺。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3.4扦针：不锈钢420材质，双扦针。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3.5D型环：铝合金材质，阳极氧化处理工艺，配置两个D型环，厚度10±1mm，其中一个采用缝合固定；另一个采用移动板和D型环组合结构，可自由调节。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3.6耐高温性能：经（204±5）℃5min耐高温性能试验后，安全腰带的织带和缝线未出现熔融、焦化现象；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3.7金属零件的耐腐蚀性能：金属配件经48h中性盐雾试验后，外观符合GB/T6461外观等级评定轻微级的要求，并保持原有性能，各项指标符合标准要求。</w:t>
            </w:r>
          </w:p>
        </w:tc>
      </w:tr>
      <w:tr w14:paraId="7982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80F3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5FF40D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E1BBA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消防员灭火防护靴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31D0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2B205E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1.1符合国家XF6-2004《消防员灭火防护靴》标准要求，验收时提供符合国家认证标准的第三方检测机构出具的检验报告。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1.2具有防刺穿、防砸、防滑、防强酸强碱等功能，脚码符合国家标准要求。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1.3主体颜色应为黑色，应便于消防员快速穿着，后跟可视部位处应有明显阻燃反光标志带，宽度不应小于50mm。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1.4从靴外底起至靴筒口最低处的高度不应低于340mm。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1.5靴帮、靴底材料应为阻燃橡胶，包头应为铝质防砸包头，靴底防穿刺层应采用芳香族聚酰胺纤维（凯夫拉纤维）复合材料，靴内衬采用发泡氯丁胶海绵材料。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1.6靴内采用减震缓冲排汗鞋垫，在足心处应采用足弓支撑设计，后跟结构应能够分散脚部冲击地面时的震荡波，可有效吸收地面冲击力。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2.1外底耐油性能-2至10%。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2.2耐砸性能：静压力≥18mm，冲击≥17mm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2.3抗刺穿性能：≥1900N.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2.4电绝缘性能：击穿电压大于5000V，泄漏电流≤0.5mA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2.5隔热性能：≤18℃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2.6抗辐射热渗透性能：≤20℃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2.7防滑性能：＞15°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2.8防水性能：没有出现渗水现象。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2.9质量：≤2.6kg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3.其他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3.1每只灭火防护胶靴靴帮外侧有以下永久性标志；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3.2严禁用于带电、浓酸和浓碱等有强烈腐蚀性的化学品场所作业。</w:t>
            </w:r>
          </w:p>
        </w:tc>
      </w:tr>
      <w:tr w14:paraId="733F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4217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806B67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94A7E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消防通用安全绳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8045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8844D7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1.1符合国家XF494-2023《消防用防坠落装备》标准要求，验收时提供符合国家认证标准的第三方检测机构出具的检验报告。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2.1安全绳整体粗细均匀、结构一致，表面无任何机械损伤，并且绳两端妥善收尾。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2.2整绳由绳芯、绳皮连续组合而成，绳皮材料和绳芯材料为涤纶纤维。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2.3使用同种材料的细绳扎缝50mm，在扎缝处热封，扎缝处包以裹紧的金属内环或塑料套管。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3.1直径：≤16mm，长度30米。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3.2破断强度：≥50KN。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3.3延伸率：当承重达到破断强度的10%时，安全绳的延伸率为≤4.0%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3.4耐高温性能：经（204±5）℃耐高温性能试验后，未出现熔融、焦化现象。</w:t>
            </w:r>
          </w:p>
        </w:tc>
      </w:tr>
      <w:tr w14:paraId="79A6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3746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D3D6A6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6E0EF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佩戴式防爆照明灯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DB0A0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6F35B8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检验依据 GB30734-2014《消防员照明灯具 》GB/T3836.1-2021   爆炸性环境第1部分：设备通用要求，GB/T3836.4-2021 爆炸性环境第4部分：由本质安全型“i”保护的设备</w:t>
            </w:r>
          </w:p>
          <w:p w14:paraId="16F59EA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光源采用 LED 光源，强光平均照度应不低于 1272lx，最低照度应不低于1169lx，弱光平均照度应不低于 802lx,最低照度应不低于 721lx。（须在检验报告中体现验证）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2、采用尾部大开关设计，同时灯具尾部带有红色方位灯，起到警示和定位作用。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3、采用全新 Type-c 充电口设计，灯体表面通过 4 格 LED 蓝色电量显示装置，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4、照明功能：灯具通过轻按开关可实现强光、弱光、爆闪的开启、关闭和切换，对现场进行照明、信号指示；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5、防爆等级不低于 ExibIICT4Gb。（防爆合格证证明）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6、电池装入灯具是无需区分安装方向；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7、灯具跌落高度：1M,跌落次数 4 次 ，试验结果应不影响防爆型式的任何损坏 ，跌落试验合格 。</w:t>
            </w:r>
          </w:p>
          <w:p w14:paraId="6AA40102">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 、基本参数：额定电压：DC3.7V 、额定容量：1.9Ah、连续放电时间：480min( 弱光 )/240min ( 强光 )充电时间：4h、重量：≤ 100g(含电池不含支架)、支架≤40g。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9、外壳防护：IP68（2m,90min）；（防爆合格证证明）                                                      10、照明灯潜水深度5m，持续时间1h（提供符合国家认证标准的第三方检测机构出具的检验报告）</w:t>
            </w:r>
          </w:p>
        </w:tc>
      </w:tr>
      <w:tr w14:paraId="08DD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A69E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709AA3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C3582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消防员呼救器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938C07">
            <w:pPr>
              <w:keepNext w:val="0"/>
              <w:keepLines w:val="0"/>
              <w:pageBreakBefore w:val="0"/>
              <w:widowControl/>
              <w:suppressLineNumbers w:val="0"/>
              <w:kinsoku/>
              <w:wordWrap/>
              <w:overflowPunct/>
              <w:topLinePunct w:val="0"/>
              <w:autoSpaceDE w:val="0"/>
              <w:autoSpaceDN w:val="0"/>
              <w:bidi w:val="0"/>
              <w:adjustRightInd w:val="0"/>
              <w:spacing w:line="336"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C1E584D">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1.整体性能</w:t>
            </w:r>
          </w:p>
          <w:p w14:paraId="6D97536D">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bCs/>
                <w:color w:val="auto"/>
                <w:sz w:val="24"/>
                <w:szCs w:val="24"/>
                <w:highlight w:val="none"/>
              </w:rPr>
              <w:t>符合GB  27900-2011《消防员呼救器》标准</w:t>
            </w:r>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提供符合国家认证标准的第三方检测机构出具的检验报告</w:t>
            </w:r>
            <w:r>
              <w:rPr>
                <w:rFonts w:hint="eastAsia" w:ascii="仿宋" w:hAnsi="仿宋" w:eastAsia="仿宋" w:cs="仿宋"/>
                <w:color w:val="auto"/>
                <w:sz w:val="24"/>
                <w:szCs w:val="24"/>
                <w:highlight w:val="none"/>
              </w:rPr>
              <w:t>。</w:t>
            </w:r>
          </w:p>
          <w:p w14:paraId="0E29CA59">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bCs/>
                <w:color w:val="auto"/>
                <w:kern w:val="0"/>
                <w:sz w:val="24"/>
                <w:szCs w:val="24"/>
                <w:highlight w:val="none"/>
              </w:rPr>
              <w:t>用于消防员在黑暗、浓烟等环境中的位置标识及呼救报警，具备防水、防爆、耐挤压、耐高温等性能。</w:t>
            </w:r>
          </w:p>
          <w:p w14:paraId="74037C3D">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2.技术性能</w:t>
            </w:r>
          </w:p>
          <w:p w14:paraId="23B0508B">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2.1</w:t>
            </w:r>
            <w:r>
              <w:rPr>
                <w:rFonts w:hint="eastAsia" w:ascii="仿宋" w:hAnsi="仿宋" w:eastAsia="仿宋" w:cs="仿宋"/>
                <w:color w:val="auto"/>
                <w:sz w:val="24"/>
                <w:szCs w:val="24"/>
                <w:highlight w:val="none"/>
              </w:rPr>
              <w:t>可充电，配有充电短路保护的智能充电器，每一只呼救器配有一个充电器</w:t>
            </w:r>
          </w:p>
          <w:p w14:paraId="5FD2BAD6">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2允许静止时间：30±2s。</w:t>
            </w:r>
          </w:p>
          <w:p w14:paraId="05286771">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3预报警时间：15±2s。</w:t>
            </w:r>
          </w:p>
          <w:p w14:paraId="2C9CDFE6">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2.4预报警声级强度：≥80dB。</w:t>
            </w:r>
          </w:p>
          <w:p w14:paraId="4F7F6EC2">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2.5报警声级强度：≥100dB。</w:t>
            </w:r>
          </w:p>
          <w:p w14:paraId="47459A7E">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2.6连续工作时间：连续开机时间≥24h；连续报警时间≥1500min。</w:t>
            </w:r>
          </w:p>
          <w:p w14:paraId="5BAAFB5D">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2.7质量：≤300g。</w:t>
            </w:r>
          </w:p>
          <w:p w14:paraId="49F073BE">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2.8绝缘性能：大于550MΩ。</w:t>
            </w:r>
          </w:p>
          <w:p w14:paraId="58301C26">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2.9发光亮度：≥300cd/㎡。</w:t>
            </w:r>
          </w:p>
          <w:p w14:paraId="6811F09B">
            <w:pPr>
              <w:keepNext w:val="0"/>
              <w:keepLines w:val="0"/>
              <w:pageBreakBefore w:val="0"/>
              <w:widowControl/>
              <w:suppressLineNumbers w:val="0"/>
              <w:kinsoku/>
              <w:wordWrap/>
              <w:overflowPunct/>
              <w:topLinePunct w:val="0"/>
              <w:autoSpaceDE w:val="0"/>
              <w:autoSpaceDN w:val="0"/>
              <w:bidi w:val="0"/>
              <w:adjustRightInd w:val="0"/>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2.10防爆标志：Ex ia IIC T4 Ga</w:t>
            </w:r>
          </w:p>
        </w:tc>
      </w:tr>
      <w:tr w14:paraId="2CDA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AB57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4246FB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E60BF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方位灯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7C40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8D1763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符合GB/T27899-2011《消防员方位灯》标准要求，            GB/T3836.1-2021爆炸性环境 第 1部分:设备通用要求  GB/T3836.4-2021爆炸性环境 第4部分:由质安全型“i”保护的设备</w:t>
            </w:r>
          </w:p>
          <w:p w14:paraId="5B6383DA">
            <w:pPr>
              <w:keepNext w:val="0"/>
              <w:keepLines w:val="0"/>
              <w:widowControl/>
              <w:numPr>
                <w:ilvl w:val="0"/>
                <w:numId w:val="7"/>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方位灯适用于消防灭火救援现场、易燃易爆场所等使用，外壳采用 抗强力冲击材料。                                    2、采用 LED 光源,具有频闪功能。                                                               3、方位灯设置有挂扣夹，挂扣夹顶端设置挂扣环；可以通过夹持、 挂扣环等方式佩戴。                            </w:t>
            </w:r>
          </w:p>
          <w:p w14:paraId="03FAE731">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4、方位灯采用7号干电池方式供电。闪光频率1HZ-2HZ。                                 5、外形尺寸（长×宽×高）：≤70mm×50mm×40mm。                                                      6、防爆等级不低于 Ex ia IIc T6 Ga                                                7、外壳防护等级不低于 IP68 (2m,90min)                                                        8、方位灯发光亮度应不小于 300cd/m2                                                  9、方位灯质量：≤0.1kg </w:t>
            </w:r>
          </w:p>
        </w:tc>
      </w:tr>
      <w:tr w14:paraId="5AD1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8964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9B358F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71A5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消防轻型安全绳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5CCD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482CEE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符合XF494-2023标准；用途：消防员灭火救援、抢险救灾或日常训练。结构：为夹心绳，承重部分由连续纤维材料制成，强度高、延伸率小、抗冲击性能好、耐高温。</w:t>
            </w:r>
          </w:p>
          <w:p w14:paraId="366648BD">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lang w:val="en-US" w:eastAsia="zh-CN" w:bidi="ar-SA"/>
              </w:rPr>
              <w:t>2、</w:t>
            </w:r>
            <w:r>
              <w:rPr>
                <w:rFonts w:hint="eastAsia" w:ascii="仿宋" w:hAnsi="仿宋" w:eastAsia="仿宋" w:cs="仿宋"/>
                <w:i w:val="0"/>
                <w:iCs w:val="0"/>
                <w:color w:val="auto"/>
                <w:kern w:val="0"/>
                <w:sz w:val="24"/>
                <w:szCs w:val="24"/>
                <w:highlight w:val="none"/>
                <w:u w:val="none"/>
                <w:lang w:val="en-US" w:eastAsia="zh-CN" w:bidi="ar"/>
              </w:rPr>
              <w:t>直径10±0.5mm，长度，20米，破断强度：≥25KN；</w:t>
            </w:r>
          </w:p>
          <w:p w14:paraId="7F526222">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lang w:val="en-US" w:eastAsia="zh-CN" w:bidi="ar-SA"/>
              </w:rPr>
              <w:t>3、</w:t>
            </w:r>
            <w:r>
              <w:rPr>
                <w:rFonts w:hint="eastAsia" w:ascii="仿宋" w:hAnsi="仿宋" w:eastAsia="仿宋" w:cs="仿宋"/>
                <w:i w:val="0"/>
                <w:iCs w:val="0"/>
                <w:color w:val="auto"/>
                <w:kern w:val="0"/>
                <w:sz w:val="24"/>
                <w:szCs w:val="24"/>
                <w:highlight w:val="none"/>
                <w:u w:val="none"/>
                <w:lang w:val="en-US" w:eastAsia="zh-CN" w:bidi="ar"/>
              </w:rPr>
              <w:t>耐高温性能：在温度204℃时间5MIN环境下，不融熔、焦化。</w:t>
            </w:r>
          </w:p>
          <w:p w14:paraId="37AFFE4A">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lang w:val="en-US" w:eastAsia="zh-CN" w:bidi="ar-SA"/>
              </w:rPr>
              <w:t>4、</w:t>
            </w:r>
            <w:r>
              <w:rPr>
                <w:rFonts w:hint="eastAsia" w:ascii="仿宋" w:hAnsi="仿宋" w:eastAsia="仿宋" w:cs="仿宋"/>
                <w:i w:val="0"/>
                <w:iCs w:val="0"/>
                <w:color w:val="auto"/>
                <w:kern w:val="0"/>
                <w:sz w:val="24"/>
                <w:szCs w:val="24"/>
                <w:highlight w:val="none"/>
                <w:u w:val="none"/>
                <w:lang w:val="en-US" w:eastAsia="zh-CN" w:bidi="ar"/>
              </w:rPr>
              <w:t>当承重达到最小破断强度的10%时，安全绳的延伸率为≤6.3%。产品提供符合国家认证标准的第三方检测机构出具的检验报告。</w:t>
            </w:r>
          </w:p>
        </w:tc>
      </w:tr>
      <w:tr w14:paraId="18EB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A8D2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0C601C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494E2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消防腰斧</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A770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E579E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1.体性能符合XF 630-2023《消防腰斧》标准要求；提供符合国家认证标准的第三方检测机构出具的检验报告                                                                                                                      2.整体重量≤1kg                                                                                                                                                    3.尺寸≤320mm X 175mm                                                                                                          4.电绝缘性能 ≥10MΩ</w:t>
            </w:r>
          </w:p>
        </w:tc>
      </w:tr>
      <w:tr w14:paraId="0A95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66BB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65359D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547FE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抢险救援头盔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D72C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5B5CC4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1、符合XF 633-2006《消防员抢险救援防护服装》标准要求.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2、半盔式头盔，颜色：桔红色或红色可选。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3、盔壳采用高强度塑料材料制成，顶部有加强筋，高抗冲击，具有优异的防紫外线功能。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4、头盔粘贴有反光标志，头盔指定位置可粘贴标识。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5、佩戴装置整体为黑色，能灵活方便地调节大小。帽托和缓冲层形状适体，且不移位，佩戴舒适。顶部为网状衬垫，四周为舒适层。下颏带能灵活方便地调节长短，保证佩戴头盔稳定舒适，解脱方便。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6、帽壳两侧设有安装通讯、照明等配件的结构，多功能模块化滑轨设计，可自由调整位置，为阻燃尼龙材质。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7、帽箍调节器为旋钮式。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8、下颏带插扣为快脱插扣。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9、冲击吸收性能：高温预处理、低温预处理、浸水预处理，最大冲击力≤2900N。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10、阻燃性能：火源离开帽壳后，帽壳火焰在 5s 内自熄。电绝缘性能：≤1.5mA。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11、侧向刚性：帽壳最大变形值≤40mm,卸载后变形值≤7 mm。下额带抗拉强度：延伸长度≤17 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12、质量（不含附件）：≤800g。</w:t>
            </w:r>
          </w:p>
        </w:tc>
      </w:tr>
      <w:tr w14:paraId="421C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8259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A15AC5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2EC9F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抢险救援手套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ECE4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C5878F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1.整体性能总体性能符合XF633-2006《消防员抢险救援服装》的标准。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2.1热稳定性能：在温度180±5℃条件下，经5分钟后，试样表面吴变化，且无熔融、熔滴和剥离现象。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2.2手套耐磨性能优异，在9kPa的压力下，经5000次循环摩擦后，试样不应被磨穿。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2.3手套耐撕破性能：经向≥90N，纬向≥130N；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2.4抗切割性能：≥15N。</w:t>
            </w:r>
          </w:p>
        </w:tc>
      </w:tr>
      <w:tr w14:paraId="5036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681C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4FE6B4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7F1A0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875F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AD329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1、产品符合XF633-2006《消防员抢险救援防护服装》标准。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2、产品款式为上衣和下裤，整套服装颜色采用拼色结构，配备行军帽、腰带和抢险救援专用臂章。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3、采用双层结构织法，内层采用舒适性纤维混纺材料；颜色为潘通色号17-1456TPX的桔色. 阻燃性能：续燃时间≤0.5s，损毁长度经、纬向≤80mm，且不应有熔融、滴落现象；断裂强力：经向≥700N，纬向≥800N；撕破强力：经向≥140N，纬向≥150N；耐洗沾色、耐水摩擦及光色牢度≥4级。面料超吸汗快干，并且对面料表面稳定具有一定的调整功能。耐水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4、款式：上下分体式结构，衬衫式设计，脚口和袖口设有魔术贴，易于收紧，整体协调，便于靴子和手套穿脱；肩、肘、臀、膝 盖、裆部外贴外层面料衬芳纶毡，加厚处理增加耐磨性；小立领设计，拉链可拉至领口上方，外加门排和护领，保证颈部防护的同时，穿着舒适，不影响头部活动；前胸左右胸可用魔术贴粘贴标识，反光标志带下方两个有盖贴袋采用拼色，可放置轻便工具；后背折裥设计，增加手臂伸展活动量，穿着舒适；膝盖两侧收折裥，使膝盖弯曲，符合人体工程学；裤腰设置防滑腰衬，两侧装橡筋 收紧，裤门襟用裤钩和拉链闭合。裤腰下两个口袋，放置轻便物品。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5、产品所有硬质附件表面光滑，无毛刺和锋利的边缘，五金件经过防腐蚀处理。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6、产品的缝纫线热稳定性能：经（180±5）℃,热稳定性能试验后，缝纫线无熔融，收缩现象；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7、救援服上衣前门襟和裤子前襟选用8号拉链，颜色与外层面料相匹配。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8、救援服标识、反光标志采用耐火、防水、荧光材料喷涂印制，样式按照部局24式统型标准执行。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9、产品具有清晰耐久标志（执行标准、型号、规格；生产厂的名称或商标）。</w:t>
            </w:r>
          </w:p>
        </w:tc>
      </w:tr>
      <w:tr w14:paraId="1C64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F93A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532096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7891A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4BF5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998B11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消防员抢险救援靴A型总体性能符合XF633-2006《消防员抢险救援防护服装》的标准，验收时提供符合国家认证标准的第三方检测机构出具的检验报告。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1、整靴的主体颜色应为黑色，且有醒目颜色反光标志。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2、鞋带：阻燃橘红色鞋带，鞋舌上方设计有储存鞋带的收拉袋。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3、靴底抗刺穿力≥1100N。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4、质量：255码的整双靴总质量不应超过2.5kg。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5、热稳定性能：抢险救援靴在温度为（180±5）℃条件下，经5min后，靴上任何部件不应产生熔滴，所有硬质附件应保持性能完好。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6、抢险救援靴在进行防滑性能试验时，始滑角≥22°。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7、抢险救援靴的击穿电压≥5000V，且泄漏电流≤0.13mA。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8、抢险救援靴在抗热辐射性能试验中10kW/m2被辐照1min后，靴底内的温升≤8.6℃。</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9、鞋头耐压性能：内靴头间隙高度≥15mm。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10、鞋头抗冲击性能：内靴头间隙高度≥17mm。</w:t>
            </w:r>
          </w:p>
        </w:tc>
      </w:tr>
      <w:tr w14:paraId="3370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60D41">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AEDCC1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A1D24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消防员灭火防护头套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AC4C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579218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1.整体性能符合国家XF869-2010《消防员灭火防护头套》标准要求，提供符合国家认证标准的第三方检测机构出具的检验报告。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2.材料及结构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2.1面料为芳纶针织面料.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2.2头套前部、后部与防护服领口内重叠的长度≥200mm，头套侧部与防护服领口内重叠的长度≥130mm，保证在剧烈运动时，头套仍然能够固定并塞在衣服内。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3.1阻燃性能：经向损毁长度≤40mm、纬向损毁长度≤40mm，续燃时间0s，无熔融、滴落现象；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3.2热稳定性能：尺寸变化率≤5.0%，无变色、熔融和滴落现象；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3.3水洗尺寸变化率：直向≤3%、横向≤3%；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3.4抗起球性能：4-5级；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3.5甲醛含量：无；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3.6PH值：4.0-7.5；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3.7缝纫线耐高温性能：无熔融、炭化现象；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3.8整体性能：接缝强力：≥810N；针距密度：缝制明暗线≥14针/3cm；质量：≤150g。</w:t>
            </w:r>
          </w:p>
        </w:tc>
      </w:tr>
      <w:tr w14:paraId="785C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11394">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53C54E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1059C7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消防全身式安全吊带</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6FC6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5AE867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1、符合XF494-2023《消防用防坠落装备》标准。</w:t>
            </w:r>
          </w:p>
          <w:p w14:paraId="61623FB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2、吊带腰部前方、胸剑骨部位和背部各设有一个金属拉环，腰后部设有一个织带拉环作为承载连接部件，腰部左右两侧设各设有一个金属拉环用于工作定位和器具携带。</w:t>
            </w:r>
          </w:p>
          <w:p w14:paraId="51854EF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3、织带采用高强涤纶长丝材质，金属拉环材质为7075航空铝、中碳钢。</w:t>
            </w:r>
          </w:p>
          <w:p w14:paraId="7402C6D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4、织带宽度43±2mm，厚度1.5±0.2mm，腰部后方金属拉环厚度:5.0±1 mm;腰部前方、胸剑骨部位和背部金属拉环最大厚度 12±1mm，最小厚度 6.5±1mm。</w:t>
            </w:r>
          </w:p>
          <w:p w14:paraId="24B76B6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5、设计负荷≥2.67kN。</w:t>
            </w:r>
          </w:p>
          <w:p w14:paraId="1550B1D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6、安全带带扣边角半径≥6mm。</w:t>
            </w:r>
          </w:p>
          <w:p w14:paraId="26B353E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7、全身型安全吊带上所有承载连接部件应进行正立、倒立和水平方向静拉力试验。试验后安全吊带不应从人体模型上松脱,安全吊带的织带在带扣和调节装置内的滑移距离应不超过 25 mm，而且安全吊带不应出现影响其安全性能的明显损伤。</w:t>
            </w:r>
          </w:p>
          <w:p w14:paraId="44BE2DF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8、所有连接部件进行冲击试验时，安全带未从人体模型松脱，且未出现影响安全性能的明显损伤。</w:t>
            </w:r>
          </w:p>
          <w:p w14:paraId="62C2CF1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9、经204℃±5℃的耐高温性能试验后，安全带的织带和缝线未出现熔融、焦化现象。</w:t>
            </w:r>
          </w:p>
          <w:p w14:paraId="3CBBAA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10、试样中的金属零件经 GB/T 10125 规定的 48h 中性盐雾试验后，外观符合 GB/T6461外观等级评定轻微级的要求。</w:t>
            </w:r>
          </w:p>
        </w:tc>
      </w:tr>
      <w:tr w14:paraId="74B5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2FAF9">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311901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A938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手提式强光照明灯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676DA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4E2F6B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检验依据 GB30734-2014《消防员照明灯具 》。GB/T3836.1-2021 爆炸性环境第1部分：设备通用要求，GB/T3836.2-2021  爆炸性环境第2部分：由隔爆外壳“d”保护的设备。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GB/T3836.4-2021  爆炸性环境第4部分：由本质安全型“i”保护的设备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1、光源功率:2x12W(聚光)，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2、额定电压:≥DC22.2V（防爆合格证证明）                                                                                                                                                          3、额定容量:≥2.6Ah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4、防爆标志:Ex db ia ⅡC T6 Gb（防爆合格证证明）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5、连续放电时间:≥10h(聚光工作光)、≥5h(聚光强光)≥16h/≥8h(泛光工作光单侧/双侧)≥8h/≥4h(泛光强光单侧/双侧)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6、充电时间:≤3h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7、重量:≤1.5kg（提供符合国家认证标准的第三方检测机构出具的检验报告）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8、外形尺寸:(ф70±3)x(190±3)mm(外径x长)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9、防护等级:IP68（1.5m,2h）(防爆合格证证明)                                                                                                                                                    10、潜水深度5m，持续时间1h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11、灯具需采用双开关双光型光源配置，双光型采用12W暖白+12W冷白设计;并具有聚光、泛光、红蓝警示多种工作模式需同时具有暖白光源及冷白光源可通过开关控制实现白光、黄光切换转换。                                                                                   12、有电量显示，泛光工作灯、红蓝警示灯、冷暖切换、磁力吸附。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13、光源采用 LED 光源，5米处强光平均照度应不低于1650lx，弱光平均照度应不低于 760lx,最低照度应不低于700lx。（须在检验报告中体现验证）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14、低电压报警时间:10-20s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15、低电压状态下连续工作时间:强光≥15min工作光≥30min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提供符合国家认证标准的第三方检测机构出具的检验报告</w:t>
            </w:r>
          </w:p>
        </w:tc>
      </w:tr>
      <w:tr w14:paraId="01BD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AC73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C71A15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8428F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消防护目镜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5DB7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0820DE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1.1符合国家XF1273－2015《消防员防护辅助装备消防护目镜》标准，验收时提供符合国家认证标准的第三方检测机构出具的检验报告。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2.外观要求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2.1除镜片边缘5MM宽的区域以外，镜片不存在气泡、水泡、划痕、凹痕、固体杂质、气体杂质、暗点、斑点、蚀损斑、霉斑、修补斑、蚀孔、碎片、裂纹、抛光缺陷或波纹等表面缺陷。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2.2松紧带具有较强抗疲劳性。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2.3光透射比：≥85%。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2.4在防雾试验期间，护目镜镜片在10s内不起雾。</w:t>
            </w:r>
          </w:p>
        </w:tc>
      </w:tr>
      <w:tr w14:paraId="7F82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5C2C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53FEB0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3D955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消防员防蜂服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20FB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B8212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1、连体式，应具有很好的密封性；面罩为成型不锈钢网制成，应具有耐折、耐压、回弹性好特点，保护穿着的面部；不锈钢网的面罩应透气性好，视窗清晰，穿着舒适。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2、防蜂服包括头罩、上下衣、手套、胶靴连为一体，散热风扇（不少于两台、并外覆风扇保护罩）；头罩内置帽壳、帽衬，视窗为钢网面罩。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3、具有防割、防穿刺、防叮咬、防蜂蛰、防水等性能。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4、防蜂服本体面料断裂强力经向≥1300N；纬向≥800N；撕破强力：经向≥100N；纬向≥80N；抗蛰刺性能：≥0.4N。</w:t>
            </w:r>
          </w:p>
        </w:tc>
      </w:tr>
      <w:tr w14:paraId="44CF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bottom"/>
          </w:tcPr>
          <w:p w14:paraId="0A9CF3E5">
            <w:pP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492445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0DD9D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消防移动式照明装置</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C0734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653478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GB 26755-2011《消防移动式照明装置》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1.绝缘电阻应大于500MΩ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2.耐压强度：试验后应无击穿、闪络现象。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3.可靠性：照明装置经100个工作周期可靠性试验后，照明装置应能正常工作。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4.气候机械环境适应性：高温试验、低温试验、恒定湿热试验、雨淋试验、振动试验，试验后，照明装置应能正常工作。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5.升降时间：升降高度不大于5m，上升、下降≤60s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6.限位性能：1h内升降杆下滑应不超过6cm。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7.抗弯性能：在承受一定的水平拉力后，不得产生永久性变形。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8.水平回转角≥360°，俯仰角≥60°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9.照度：照明装置在10m处≥100Lx</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10.防护性能：照明系统防护性能应符合GB4208规定的IP55的要求。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11.发电机、升降杆、脚轮、灯头、等组成。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12.光源类型：4×500W卤素灯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13.连续工作时间：可接市电供电长时使用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14.发电机组一次注满燃油：≥8 h，最大升起高度≥ 4 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15.额定输出功率/燃油箱额定容量：≥3000W/15L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须提供符合国家认证标准的第三方检测机构出具的检验报告。</w:t>
            </w:r>
          </w:p>
        </w:tc>
      </w:tr>
      <w:tr w14:paraId="7672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bottom"/>
          </w:tcPr>
          <w:p w14:paraId="65F3B79B">
            <w:pP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4758BC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62F05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便携式应急终端、防毒面罩</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3ABF9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C7B525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便携式应急终端：</w:t>
            </w:r>
          </w:p>
          <w:p w14:paraId="65F15EC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短报文通信：具有北斗三号RDSS短报文通信功能；</w:t>
            </w:r>
          </w:p>
          <w:p w14:paraId="2C018C2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2、定位功能：支持单北斗定位模块；</w:t>
            </w:r>
          </w:p>
          <w:p w14:paraId="1DFAC1B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3、语音播报：支持语音播报功能；</w:t>
            </w:r>
          </w:p>
          <w:p w14:paraId="42E1D70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4、报警功能：支持一键SOS报警，并且有防误触翻盖；</w:t>
            </w:r>
          </w:p>
          <w:p w14:paraId="641F7BC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5、报平安功能：支持一键报告平安；</w:t>
            </w:r>
          </w:p>
          <w:p w14:paraId="481D4A5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6、追踪模式功能：可设置自动频度的位置上报；</w:t>
            </w:r>
          </w:p>
          <w:p w14:paraId="03BA11A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7、落水报警功能：具有落水检测，自动开机，自动报警；</w:t>
            </w:r>
          </w:p>
          <w:p w14:paraId="7679C23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8、状态指示：具有电量、卫星信号强度、短报文接收及定位指示灯；</w:t>
            </w:r>
          </w:p>
          <w:p w14:paraId="5A03541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9、单向上报支持微信小程序应用，支持发送手机短信、微信，报警信息支持电话、短信、公众号通知；</w:t>
            </w:r>
          </w:p>
          <w:p w14:paraId="65C17D3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10、支持选配配套通信APP支持北斗三号二级卡发7秒及以上语音；</w:t>
            </w:r>
          </w:p>
          <w:p w14:paraId="1037828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11、配套通信APP支持渐进式图片传输方式，丢非核心包情况下不影响图片的合成；</w:t>
            </w:r>
          </w:p>
          <w:p w14:paraId="62D4899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12、支持4G，有公网信号4G上报，无公网信号自动切换北斗短报文上报；</w:t>
            </w:r>
          </w:p>
          <w:p w14:paraId="5959EAE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13、续航时间：位置追踪状态（2分钟上报一次）≥17小时，报警求救SOS状态(10分钟上报一次)≥72小时</w:t>
            </w:r>
          </w:p>
          <w:p w14:paraId="647C22A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14、支持防反接，断电数据保护；</w:t>
            </w:r>
          </w:p>
          <w:p w14:paraId="52ACADF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15、尺寸：≤105*65*25mm；</w:t>
            </w:r>
          </w:p>
          <w:p w14:paraId="12BE67E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16、防护等级：≥IP67；</w:t>
            </w:r>
          </w:p>
          <w:p w14:paraId="08EDDCE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17、接口型式：磁吸充电接口；</w:t>
            </w:r>
          </w:p>
          <w:p w14:paraId="37DD8C6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▲18、设备需包含北斗白卡、物联网卡、应急规约、入网序列号，设备能无缝接入浙江北斗应急终端管理平台，并且提供平台维护，时间至少五年。                                              </w:t>
            </w:r>
          </w:p>
          <w:p w14:paraId="29388335">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防毒面罩：</w:t>
            </w:r>
          </w:p>
          <w:p w14:paraId="42C6262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1、检验依据符合GB 2890一2009《呼吸防护自吸过滤式防毒面具》；</w:t>
            </w:r>
          </w:p>
          <w:p w14:paraId="277C931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2、面罩阻燃性：续燃时间0s；</w:t>
            </w:r>
          </w:p>
          <w:p w14:paraId="6129996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3、当呼气阀减压至-1180 Pa 时，全面罩呼气阀于 45 s 内负压值下降不大于 500 Pa；</w:t>
            </w:r>
          </w:p>
          <w:p w14:paraId="7EF44A7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4、面量泄漏率：全面罩的泄漏率不大于 0.05 %；</w:t>
            </w:r>
          </w:p>
          <w:p w14:paraId="6CE9F5F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5、面罩死腔：面罩死腔测试结果不大于 1%；</w:t>
            </w:r>
          </w:p>
          <w:p w14:paraId="259AA00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6、面罩吸气阻力：39pa；</w:t>
            </w:r>
          </w:p>
          <w:p w14:paraId="787F8AB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7、面晕呼气阀阻力：55Pa；</w:t>
            </w:r>
          </w:p>
          <w:p w14:paraId="6548EC8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8、镜片透光率≥90%。</w:t>
            </w:r>
          </w:p>
        </w:tc>
      </w:tr>
    </w:tbl>
    <w:p w14:paraId="51C41789">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65EB3AB8">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1.以上清单中的货物“主要技术性能要求 ”等仅作对拟购货物的功能、技术性能、技术参数等最低标准的说明，而非采购人对某一或某些品牌产品的特定指向。投标人可根据各自的方案提供合理的产品配置方案，但必须达到国家或行业的标准规范及招标需求的基本要求，且产品的功能、技术性能、规格、技术参数等要优于或相当于招标需求中的各项要求。</w:t>
      </w:r>
    </w:p>
    <w:p w14:paraId="652637AD">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2.投标人应根据所投货物（产品）实际情况提供准确技术参数和性能指标（或配置）进行响应， 若因投标人未如实响应所造成的投标无效、无法履约验收等风险，由投标人承担相应法律责任且采购人将保留向该投标人追偿的权力。</w:t>
      </w:r>
    </w:p>
    <w:p w14:paraId="27E41DA3">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注：技术参数中标注“★”的为</w:t>
      </w:r>
      <w:r>
        <w:rPr>
          <w:rFonts w:hint="eastAsia" w:ascii="仿宋" w:hAnsi="仿宋" w:eastAsia="仿宋" w:cs="仿宋"/>
          <w:b/>
          <w:bCs/>
          <w:color w:val="auto"/>
          <w:sz w:val="24"/>
          <w:highlight w:val="none"/>
          <w:lang w:val="en-US" w:eastAsia="zh-CN"/>
        </w:rPr>
        <w:t>实质性响应条款，不满足则做无效投标处理，</w:t>
      </w:r>
      <w:r>
        <w:rPr>
          <w:rFonts w:hint="eastAsia" w:ascii="仿宋" w:hAnsi="仿宋" w:eastAsia="仿宋" w:cs="仿宋"/>
          <w:b/>
          <w:bCs/>
          <w:color w:val="auto"/>
          <w:sz w:val="24"/>
          <w:highlight w:val="none"/>
        </w:rPr>
        <w:t>标注“</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”的为</w:t>
      </w:r>
      <w:r>
        <w:rPr>
          <w:rFonts w:hint="eastAsia" w:ascii="仿宋" w:hAnsi="仿宋" w:eastAsia="仿宋" w:cs="仿宋"/>
          <w:b/>
          <w:bCs/>
          <w:color w:val="auto"/>
          <w:sz w:val="24"/>
          <w:highlight w:val="none"/>
          <w:lang w:val="en-US" w:eastAsia="zh-CN"/>
        </w:rPr>
        <w:t>重要技术参数条款，对此投标人需提供相关检测报告佐证是否满足实质性响应条款和重要技术参数条款的要求</w:t>
      </w:r>
      <w:r>
        <w:rPr>
          <w:rFonts w:hint="eastAsia" w:ascii="仿宋" w:hAnsi="仿宋" w:eastAsia="仿宋" w:cs="仿宋"/>
          <w:b/>
          <w:bCs/>
          <w:color w:val="auto"/>
          <w:sz w:val="24"/>
          <w:highlight w:val="none"/>
        </w:rPr>
        <w:t>。以上需要提供的相关证明材料、佐证资料由供应商保证材料的真实性。中标后5个工作日内采购人有权对以上资料的真实性进行核查，若发现弄虚作假的，按相关规定处理。</w:t>
      </w:r>
    </w:p>
    <w:p w14:paraId="08FBB5AF">
      <w:pPr>
        <w:keepNext w:val="0"/>
        <w:keepLines w:val="0"/>
        <w:pageBreakBefore w:val="0"/>
        <w:widowControl w:val="0"/>
        <w:kinsoku/>
        <w:wordWrap/>
        <w:overflowPunct/>
        <w:topLinePunct w:val="0"/>
        <w:autoSpaceDE/>
        <w:autoSpaceDN/>
        <w:bidi w:val="0"/>
        <w:adjustRightInd w:val="0"/>
        <w:spacing w:line="284"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产品质量、供货、安装调试及验收</w:t>
      </w:r>
    </w:p>
    <w:p w14:paraId="7391AF27">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、质量要求</w:t>
      </w:r>
    </w:p>
    <w:p w14:paraId="43A4935D">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（1）投标人拟投货物应符合国家相关的行业标准、出厂标准，以及质量安全要求，交货期内货 物相关标准和技术规范等有更新或发布新标准时，投标人应遵照最新标准进行供货和提供配套服务。</w:t>
      </w:r>
    </w:p>
    <w:p w14:paraId="1208B8C0">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拟投货物须为近半年内出厂的原装全新、未使用过的、符合相关质量标准的合格产品（包括标准件、零部件等）。投标文件中须提供照片或说明书等相关证明材料。中标单位不得以次充好，产品来源合法，同时应根据国家有关规定及采购人的要求做好售后服务工作，否则采购人有权拒绝验收并追究中标单位的违约责任。</w:t>
      </w:r>
    </w:p>
    <w:p w14:paraId="73C774C3">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（3）供货过程中若出现部件缺少或损坏，投标人应立即补足或更换全新同规格产品，并承担相关费用直至完全达到验收标准为止，由此产生的逾期或违约风险及相关费用全部由中标单位自行承担。</w:t>
      </w:r>
    </w:p>
    <w:p w14:paraId="24D9DCFE">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（4）采购人机械设备使用过程中因产品质量问题造成的故障，中标单位积极配合妥善解决，如产品内部结构或主要零部件因厂家制造问题造成的事故，中标单位承担全部责任，造成采购单位损失的，全部由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赔偿。</w:t>
      </w:r>
    </w:p>
    <w:p w14:paraId="04A5AE84">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（4）中标单位应按照国家有关标准和招标文件要求对本采购货物进行安装调试，并确保所有货物能够正常使用和通过验收。</w:t>
      </w:r>
    </w:p>
    <w:p w14:paraId="7D856C19">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（3）验收时因产品质量产生任何问题，采购人有权无条件退换货，如造成损失，由中标单位承担赔偿责任。</w:t>
      </w:r>
    </w:p>
    <w:p w14:paraId="03CD7B4C">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（5）中标单位应保证其提供的产品中所有预装和为本项目安装的软件均为具有合法版权或使用权的正版软件且无质量瑕疵，并提供所有软件终生免费升级服务。</w:t>
      </w:r>
    </w:p>
    <w:p w14:paraId="41068CD7">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2、包装及运输要求</w:t>
      </w:r>
    </w:p>
    <w:p w14:paraId="421C1F9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（1）中标单位提供的货物须具有安全保护、保险措施，以防止货物在运输途中受损或损坏。</w:t>
      </w:r>
    </w:p>
    <w:p w14:paraId="18BC2E94">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标单位负责货物的包装及运输，货物包装应符合国家或专业（部）标准规定，应适合远距离运输和反复搬运，中标单位应在货物发运前对其进行满足运输距离、防潮、防震、防锈和防破损装卸等要求包装，以保证货物安全运达采购人指定地点。</w:t>
      </w:r>
    </w:p>
    <w:p w14:paraId="1D51440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（3）中标单位应负责将所有货物送至采购人指定的位置。如在运输、搬运、安装过程中造成设备损坏，采购人有权拒绝签收， 由此产生的逾期或违约风险及相关费用全部由中标单位自行承担。</w:t>
      </w:r>
    </w:p>
    <w:p w14:paraId="640DBC3B">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（4）货物到达现场后，中标单位应共同参与货物的开箱检验工作。若发现货物与装箱单数目不符， 由中标单位负责补齐或收回，如采购人对货物质量有异议，中标单位负责解释及处理，直到符合合同 约定为止，同时采购人保留依法追究中标单位违约责任的权利。开箱检验包括但不仅限于以下方式：</w:t>
      </w:r>
    </w:p>
    <w:p w14:paraId="4B60655B">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①中标单位在将货物运到采购人指定地点时，采购人、中标单位及采购人委托的验收参与人员根据本 合同约定的计量方式、技术标准和质量要求对中标单位交付的货物进行初步清点，主要核对：数量、规 格型号、产地、质量等级、尺寸、颜色、参数、包装及标识完整、完好程度、交货资料，各方签字后 即表示初步验收清点完成，可以进行组装就位施工，但并不免除任何中标单位对交货产品存在质量、制 造、设计、性能、零部件的完整性等各方面的缺陷和不合格的责任、违约责任和对采购人造成损失的 赔偿。</w:t>
      </w:r>
    </w:p>
    <w:p w14:paraId="6EA106D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②采购人、中标单位及采购人委托的验收参与人员初步清点时，若发现存在数量、规格型号、产地、质量等级、参数、包装及标识完整、完好程度、交货资料方面存在不合格情形的，采购人有权全 部拒收或部分拒收、退货、部分退货、拒付货款直至解除本合同，并向中标单位索赔因此造成的损失。 如采购人选择不解除合同但要求中标单位重新供货的，中标单位应当无条件重新供货，且交货期限不得延 长， 由此产生的逾期交货风险和违约责任全部由中标单位自行承担。</w:t>
      </w:r>
    </w:p>
    <w:p w14:paraId="1EE36475">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、安装调试要求</w:t>
      </w:r>
    </w:p>
    <w:p w14:paraId="70B9E1B5">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提供的货物在使用前需进行安装、调试的，成交供应商需负责安装、调试并培训招标单位的使用操作人员，直到符合技术要求，招标人才做最终验收。</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交货时须连同设备相关资料一同交给招标人。</w:t>
      </w:r>
    </w:p>
    <w:p w14:paraId="146CF14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负责设备的安装、调试，费用由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承担，请考虑到本次投标报价中。</w:t>
      </w:r>
    </w:p>
    <w:p w14:paraId="30B7FE47">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、验收要求</w:t>
      </w:r>
    </w:p>
    <w:p w14:paraId="65F3D0DF">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验收按国家有关规范标准(国家无验收规范标准的按双方合同规定的要求)进行。采购人保留邀请参加本项目的其他供应商或者第三方机构或相关技术专家参与</w:t>
      </w:r>
      <w:r>
        <w:rPr>
          <w:rFonts w:hint="eastAsia" w:ascii="仿宋" w:hAnsi="仿宋" w:eastAsia="仿宋" w:cs="仿宋"/>
          <w:color w:val="auto"/>
          <w:sz w:val="24"/>
          <w:highlight w:val="none"/>
          <w:lang w:val="en-US" w:eastAsia="zh-CN"/>
        </w:rPr>
        <w:t>验收的权利。参与验收的供应商或者第三方机构的意见作为验收书的参考资料一并存档。验收费用由中标单位承担。</w:t>
      </w:r>
    </w:p>
    <w:p w14:paraId="30C21FE3">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2.2验收依据及标准：以项目合同、工程变更单、响应文件、实际供货情况等材料为验收依据。</w:t>
      </w:r>
    </w:p>
    <w:p w14:paraId="7FFF1886">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、售后要求</w:t>
      </w:r>
    </w:p>
    <w:p w14:paraId="68F9045B">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（1）保修期及保修内容</w:t>
      </w:r>
    </w:p>
    <w:p w14:paraId="430F1B12">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质保期为两年。质保期内由于设备质量原因造成的损伤和损坏，供应商必须免费修复和更换。质保期内除故障的维修外，还包括设备的常规检查、调校、润滑等维保内容。质保期结束前必须由供应商的工程师和采购人代表一起对产品进行一次全面测试和检查，任何质量问题供应商必须负责解决，并得到采购人代表的认可。</w:t>
      </w:r>
    </w:p>
    <w:p w14:paraId="420021A5">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（2）技术培训</w:t>
      </w:r>
    </w:p>
    <w:p w14:paraId="45C5472A">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负责对采购人的技术人员进行培训（提供完整的技术培训，使采购人今后能自行操作、维护）。供应商须在投标文件中提供详细的培训计划，包括培训内容和培训时间、培训费用等。技术培训费用应包含在投标总价中。</w:t>
      </w:r>
    </w:p>
    <w:p w14:paraId="20921128">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（3）售后服务响应时限 </w:t>
      </w:r>
    </w:p>
    <w:p w14:paraId="5B2D25DB">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需提供专门的售后服务电话，</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在接到采购人通知后，2小时内做出响应，4小时内派人赴现场处理问题。48 小时内无法修复的，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需无偿提供备机供采购人使用。</w:t>
      </w:r>
    </w:p>
    <w:p w14:paraId="42E4C506">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、其他要求</w:t>
      </w:r>
    </w:p>
    <w:p w14:paraId="5E0F94F7">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（1）设备外观清洁，标记编号以及盘面显示等字体清晰，明确。铭牌、使用指示、警告指示应以中文或英文及易懂的通用符号来表示；应准确无误地标明设备之型号、规格、制造厂及生产或出厂日期。</w:t>
      </w:r>
    </w:p>
    <w:p w14:paraId="157AC80E">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（2）对于影响设备正常工作的必要组成部分，无论在技术规范中指出与否，供应商都应提供并在投标文件中明确列出。</w:t>
      </w:r>
    </w:p>
    <w:p w14:paraId="384936CE">
      <w:pPr>
        <w:keepNext w:val="0"/>
        <w:keepLines w:val="0"/>
        <w:pageBreakBefore w:val="0"/>
        <w:widowControl w:val="0"/>
        <w:kinsoku/>
        <w:wordWrap/>
        <w:overflowPunct/>
        <w:topLinePunct w:val="0"/>
        <w:autoSpaceDE/>
        <w:autoSpaceDN/>
        <w:bidi w:val="0"/>
        <w:adjustRightInd w:val="0"/>
        <w:snapToGrid w:val="0"/>
        <w:spacing w:line="284" w:lineRule="auto"/>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（3）若后续采购人对产品有统一涂装要求的，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无条件配合，费用包含在投标报价内。</w:t>
      </w:r>
    </w:p>
    <w:p w14:paraId="7E28CB95">
      <w:pPr>
        <w:keepNext w:val="0"/>
        <w:keepLines w:val="0"/>
        <w:pageBreakBefore w:val="0"/>
        <w:widowControl w:val="0"/>
        <w:kinsoku/>
        <w:wordWrap/>
        <w:overflowPunct/>
        <w:topLinePunct w:val="0"/>
        <w:autoSpaceDE/>
        <w:autoSpaceDN/>
        <w:bidi w:val="0"/>
        <w:adjustRightInd w:val="0"/>
        <w:snapToGrid w:val="0"/>
        <w:spacing w:line="284"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（4）交货期：合同签订完毕日起30日历天内完成供货，交采购单位验收。</w:t>
      </w:r>
    </w:p>
    <w:p w14:paraId="5987ACEC">
      <w:pPr>
        <w:keepNext w:val="0"/>
        <w:keepLines w:val="0"/>
        <w:pageBreakBefore w:val="0"/>
        <w:widowControl w:val="0"/>
        <w:kinsoku/>
        <w:wordWrap/>
        <w:overflowPunct/>
        <w:topLinePunct w:val="0"/>
        <w:autoSpaceDE/>
        <w:autoSpaceDN/>
        <w:bidi w:val="0"/>
        <w:adjustRightInd w:val="0"/>
        <w:spacing w:line="284" w:lineRule="auto"/>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履约保证金</w:t>
      </w:r>
      <w:r>
        <w:rPr>
          <w:rFonts w:hint="eastAsia" w:ascii="仿宋" w:hAnsi="仿宋" w:eastAsia="仿宋" w:cs="仿宋"/>
          <w:b/>
          <w:bCs/>
          <w:color w:val="auto"/>
          <w:sz w:val="24"/>
          <w:highlight w:val="none"/>
          <w:lang w:eastAsia="zh-CN"/>
        </w:rPr>
        <w:t>：</w:t>
      </w:r>
    </w:p>
    <w:p w14:paraId="6410A8B9">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color w:val="auto"/>
          <w:kern w:val="0"/>
          <w:sz w:val="24"/>
          <w:highlight w:val="none"/>
          <w:lang w:val="en-US" w:eastAsia="zh-CN"/>
        </w:rPr>
        <w:t>项目实施前，中标人须向采购人缴纳合同金额1%的履约保证金，待项目验收通过后无息退还。</w:t>
      </w:r>
    </w:p>
    <w:p w14:paraId="6E7BC54F">
      <w:pPr>
        <w:keepNext w:val="0"/>
        <w:keepLines w:val="0"/>
        <w:pageBreakBefore w:val="0"/>
        <w:widowControl w:val="0"/>
        <w:kinsoku/>
        <w:wordWrap/>
        <w:overflowPunct/>
        <w:topLinePunct w:val="0"/>
        <w:autoSpaceDE/>
        <w:autoSpaceDN/>
        <w:bidi w:val="0"/>
        <w:adjustRightInd w:val="0"/>
        <w:spacing w:line="284" w:lineRule="auto"/>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付款方式</w:t>
      </w:r>
    </w:p>
    <w:p w14:paraId="67BEB223">
      <w:pPr>
        <w:keepNext w:val="0"/>
        <w:keepLines w:val="0"/>
        <w:pageBreakBefore w:val="0"/>
        <w:widowControl w:val="0"/>
        <w:kinsoku/>
        <w:wordWrap/>
        <w:overflowPunct/>
        <w:topLinePunct w:val="0"/>
        <w:autoSpaceDE/>
        <w:autoSpaceDN/>
        <w:bidi w:val="0"/>
        <w:adjustRightInd w:val="0"/>
        <w:spacing w:line="284"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合同签订后支付合同金额40%的预付款项（须在采购人支付预付款七个工作日前提供预付款保函，采购人凭</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提供的预付款保函支付合同金额预付款。签订合同时如</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明确表示无需支付预付款或者主动要求降低支付预付款比例的，采购人可按实际情况不支付预付款或降低支付预付款金额），剩余款项在所有产品全部供货完成经采购人验收合格后一次性付清。采购人未按约定向</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支付合同款项，应向</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支付逾期利息，利率为合同签订时一年期贷款市场报价利率。</w:t>
      </w:r>
    </w:p>
    <w:p w14:paraId="3C49EDB9">
      <w:pPr>
        <w:keepNext w:val="0"/>
        <w:keepLines w:val="0"/>
        <w:pageBreakBefore w:val="0"/>
        <w:widowControl w:val="0"/>
        <w:kinsoku/>
        <w:wordWrap/>
        <w:overflowPunct/>
        <w:topLinePunct w:val="0"/>
        <w:autoSpaceDE/>
        <w:autoSpaceDN/>
        <w:bidi w:val="0"/>
        <w:adjustRightInd w:val="0"/>
        <w:spacing w:line="284"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最高限价：</w:t>
      </w:r>
    </w:p>
    <w:p w14:paraId="56C6FA3B">
      <w:pPr>
        <w:keepNext w:val="0"/>
        <w:keepLines w:val="0"/>
        <w:pageBreakBefore w:val="0"/>
        <w:widowControl w:val="0"/>
        <w:kinsoku/>
        <w:wordWrap/>
        <w:overflowPunct/>
        <w:topLinePunct w:val="0"/>
        <w:autoSpaceDE/>
        <w:autoSpaceDN/>
        <w:bidi w:val="0"/>
        <w:adjustRightInd w:val="0"/>
        <w:spacing w:line="284"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val="en-US" w:eastAsia="zh-CN"/>
        </w:rPr>
        <w:t>本项目预算金额为</w:t>
      </w:r>
      <w:r>
        <w:rPr>
          <w:rFonts w:hint="eastAsia" w:ascii="仿宋" w:hAnsi="仿宋" w:eastAsia="仿宋" w:cs="仿宋"/>
          <w:b/>
          <w:bCs/>
          <w:color w:val="auto"/>
          <w:sz w:val="24"/>
          <w:highlight w:val="none"/>
          <w:u w:val="single"/>
        </w:rPr>
        <w:t>人民币</w:t>
      </w:r>
      <w:r>
        <w:rPr>
          <w:rFonts w:hint="eastAsia" w:ascii="仿宋" w:hAnsi="仿宋" w:eastAsia="仿宋" w:cs="仿宋"/>
          <w:b/>
          <w:bCs/>
          <w:color w:val="auto"/>
          <w:sz w:val="24"/>
          <w:highlight w:val="none"/>
          <w:u w:val="single"/>
          <w:lang w:val="en-US" w:eastAsia="zh-CN"/>
        </w:rPr>
        <w:t>伍佰柒拾伍万伍仟零伍拾贰</w:t>
      </w:r>
      <w:r>
        <w:rPr>
          <w:rFonts w:hint="eastAsia" w:ascii="仿宋" w:hAnsi="仿宋" w:eastAsia="仿宋" w:cs="仿宋"/>
          <w:b/>
          <w:bCs/>
          <w:color w:val="auto"/>
          <w:sz w:val="24"/>
          <w:highlight w:val="none"/>
          <w:u w:val="single"/>
        </w:rPr>
        <w:t>元（</w:t>
      </w:r>
      <w:r>
        <w:rPr>
          <w:rFonts w:hint="eastAsia" w:ascii="仿宋" w:hAnsi="仿宋" w:eastAsia="仿宋" w:cs="仿宋"/>
          <w:b/>
          <w:bCs/>
          <w:color w:val="auto"/>
          <w:sz w:val="24"/>
          <w:highlight w:val="none"/>
          <w:u w:val="single"/>
          <w:lang w:val="en-US" w:eastAsia="zh-CN"/>
        </w:rPr>
        <w:t>￥:5755052.00）整。分2</w:t>
      </w:r>
      <w:r>
        <w:rPr>
          <w:rFonts w:hint="eastAsia" w:ascii="仿宋" w:hAnsi="仿宋" w:eastAsia="仿宋" w:cs="仿宋"/>
          <w:b/>
          <w:bCs/>
          <w:color w:val="auto"/>
          <w:sz w:val="24"/>
          <w:u w:val="single"/>
          <w:lang w:val="en-US" w:eastAsia="zh-CN"/>
        </w:rPr>
        <w:t>个标项，标项一最高限价为人民币贰佰陆拾捌万壹仟捌佰元</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￥:2681800.00）整；标项二最高限价为人民币叁佰零柒万叁仟贰佰伍拾贰元</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￥:3073252.00）。整</w:t>
      </w:r>
      <w:r>
        <w:rPr>
          <w:rFonts w:hint="eastAsia" w:ascii="仿宋" w:hAnsi="仿宋" w:eastAsia="仿宋" w:cs="仿宋"/>
          <w:b/>
          <w:bCs/>
          <w:color w:val="auto"/>
          <w:sz w:val="24"/>
          <w:u w:val="single"/>
        </w:rPr>
        <w:t>任何超过最高限价的报价将被认定为无效报价。报价包含产品、配件、安装、调试、上牌、验收、保险、售后、税费等一切费用。</w:t>
      </w:r>
    </w:p>
    <w:p w14:paraId="7C28EF79">
      <w:pPr>
        <w:keepNext w:val="0"/>
        <w:keepLines w:val="0"/>
        <w:pageBreakBefore w:val="0"/>
        <w:widowControl w:val="0"/>
        <w:kinsoku/>
        <w:wordWrap/>
        <w:overflowPunct/>
        <w:topLinePunct w:val="0"/>
        <w:autoSpaceDE/>
        <w:autoSpaceDN/>
        <w:bidi w:val="0"/>
        <w:adjustRightInd w:val="0"/>
        <w:spacing w:line="284" w:lineRule="auto"/>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六、特别说明</w:t>
      </w:r>
    </w:p>
    <w:p w14:paraId="5884B092">
      <w:pPr>
        <w:pStyle w:val="286"/>
        <w:keepNext w:val="0"/>
        <w:keepLines w:val="0"/>
        <w:pageBreakBefore w:val="0"/>
        <w:widowControl w:val="0"/>
        <w:kinsoku/>
        <w:wordWrap/>
        <w:overflowPunct/>
        <w:topLinePunct w:val="0"/>
        <w:autoSpaceDE/>
        <w:autoSpaceDN/>
        <w:bidi w:val="0"/>
        <w:adjustRightInd w:val="0"/>
        <w:snapToGrid w:val="0"/>
        <w:spacing w:line="284" w:lineRule="auto"/>
        <w:ind w:left="0" w:leftChars="0" w:firstLine="482" w:firstLineChars="200"/>
        <w:textAlignment w:val="auto"/>
        <w:rPr>
          <w:rFonts w:hint="eastAsia" w:ascii="仿宋" w:hAnsi="仿宋" w:eastAsia="仿宋" w:cs="仿宋"/>
          <w:sz w:val="30"/>
          <w:szCs w:val="30"/>
          <w:highlight w:val="none"/>
        </w:rPr>
      </w:pPr>
      <w:r>
        <w:rPr>
          <w:rFonts w:hint="eastAsia" w:ascii="仿宋" w:hAnsi="仿宋" w:eastAsia="仿宋" w:cs="仿宋"/>
          <w:b/>
          <w:bCs/>
          <w:i/>
          <w:color w:val="auto"/>
          <w:sz w:val="24"/>
          <w:szCs w:val="24"/>
        </w:rPr>
        <w:t>本项目</w:t>
      </w:r>
      <w:r>
        <w:rPr>
          <w:rFonts w:hint="eastAsia" w:ascii="仿宋" w:hAnsi="仿宋" w:eastAsia="仿宋" w:cs="仿宋"/>
          <w:b/>
          <w:bCs/>
          <w:i/>
          <w:color w:val="auto"/>
          <w:sz w:val="24"/>
          <w:szCs w:val="24"/>
          <w:lang w:val="en-US" w:eastAsia="zh-CN"/>
        </w:rPr>
        <w:t>共2</w:t>
      </w:r>
      <w:r>
        <w:rPr>
          <w:rFonts w:hint="eastAsia" w:ascii="仿宋" w:hAnsi="仿宋" w:eastAsia="仿宋" w:cs="仿宋"/>
          <w:b/>
          <w:bCs/>
          <w:i/>
          <w:color w:val="auto"/>
          <w:sz w:val="24"/>
          <w:szCs w:val="24"/>
        </w:rPr>
        <w:t>个标项均采用同一“采购需求”，“采购需求”（除已明确区分</w:t>
      </w:r>
      <w:r>
        <w:rPr>
          <w:rFonts w:hint="eastAsia" w:ascii="仿宋" w:hAnsi="仿宋" w:eastAsia="仿宋" w:cs="仿宋"/>
          <w:b/>
          <w:bCs/>
          <w:i/>
          <w:color w:val="auto"/>
          <w:sz w:val="24"/>
          <w:szCs w:val="24"/>
          <w:u w:val="single"/>
        </w:rPr>
        <w:t>标项1</w:t>
      </w:r>
      <w:r>
        <w:rPr>
          <w:rFonts w:hint="eastAsia" w:ascii="仿宋" w:hAnsi="仿宋" w:eastAsia="仿宋" w:cs="仿宋"/>
          <w:b/>
          <w:bCs/>
          <w:i/>
          <w:color w:val="auto"/>
          <w:sz w:val="24"/>
          <w:szCs w:val="24"/>
        </w:rPr>
        <w:t>、</w:t>
      </w:r>
      <w:r>
        <w:rPr>
          <w:rFonts w:hint="eastAsia" w:ascii="仿宋" w:hAnsi="仿宋" w:eastAsia="仿宋" w:cs="仿宋"/>
          <w:b/>
          <w:bCs/>
          <w:i/>
          <w:color w:val="auto"/>
          <w:sz w:val="24"/>
          <w:szCs w:val="24"/>
          <w:u w:val="single"/>
        </w:rPr>
        <w:t>标项2</w:t>
      </w:r>
      <w:r>
        <w:rPr>
          <w:rFonts w:hint="eastAsia" w:ascii="仿宋" w:hAnsi="仿宋" w:eastAsia="仿宋" w:cs="仿宋"/>
          <w:b/>
          <w:bCs/>
          <w:i/>
          <w:color w:val="auto"/>
          <w:sz w:val="24"/>
          <w:szCs w:val="24"/>
        </w:rPr>
        <w:t>的情况外）所涉及的所有技术服务、商务等条款要求均适用于每个标项。供应商应当充分考虑并对上述所有要求发起完整的投标响应。</w:t>
      </w:r>
    </w:p>
    <w:p w14:paraId="72AB7F35">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1B0EE295">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30B5DE81">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074A14DF">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0C17F37E">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47F402D2">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39" w:name="_Toc184312098"/>
      <w:bookmarkEnd w:id="39"/>
      <w:bookmarkStart w:id="40" w:name="_Toc184308083"/>
      <w:bookmarkEnd w:id="40"/>
      <w:bookmarkStart w:id="41" w:name="_Toc184313302"/>
      <w:bookmarkEnd w:id="41"/>
      <w:bookmarkStart w:id="42" w:name="_Toc184314415"/>
      <w:bookmarkEnd w:id="42"/>
      <w:bookmarkStart w:id="43" w:name="_Toc184314466"/>
      <w:bookmarkEnd w:id="43"/>
      <w:bookmarkStart w:id="44" w:name="_Toc184314451"/>
      <w:bookmarkEnd w:id="44"/>
      <w:bookmarkStart w:id="45" w:name="_Toc184308078"/>
      <w:bookmarkEnd w:id="45"/>
      <w:bookmarkStart w:id="46" w:name="_Toc184308061"/>
      <w:bookmarkEnd w:id="46"/>
      <w:bookmarkStart w:id="47" w:name="_Toc184312132"/>
      <w:bookmarkEnd w:id="47"/>
      <w:bookmarkStart w:id="48" w:name="_Toc184310327"/>
      <w:bookmarkEnd w:id="48"/>
      <w:bookmarkStart w:id="49" w:name="_Toc184310303"/>
      <w:bookmarkEnd w:id="49"/>
      <w:bookmarkStart w:id="50" w:name="_Toc184308042"/>
      <w:bookmarkEnd w:id="50"/>
      <w:bookmarkStart w:id="51" w:name="_Toc184313241"/>
      <w:bookmarkEnd w:id="51"/>
      <w:bookmarkStart w:id="52" w:name="_Toc184312123"/>
      <w:bookmarkEnd w:id="52"/>
      <w:bookmarkStart w:id="53" w:name="_Toc184308038"/>
      <w:bookmarkEnd w:id="53"/>
      <w:bookmarkStart w:id="54" w:name="_Toc184308067"/>
      <w:bookmarkEnd w:id="54"/>
      <w:bookmarkStart w:id="55" w:name="_Toc184314481"/>
      <w:bookmarkEnd w:id="55"/>
      <w:bookmarkStart w:id="56" w:name="_Toc184314459"/>
      <w:bookmarkEnd w:id="56"/>
      <w:bookmarkStart w:id="57" w:name="_Toc184310336"/>
      <w:bookmarkEnd w:id="57"/>
      <w:bookmarkStart w:id="58" w:name="_Toc184314418"/>
      <w:bookmarkEnd w:id="58"/>
      <w:bookmarkStart w:id="59" w:name="_Toc184313310"/>
      <w:bookmarkEnd w:id="59"/>
      <w:bookmarkStart w:id="60" w:name="_Toc184312129"/>
      <w:bookmarkEnd w:id="60"/>
      <w:bookmarkStart w:id="61" w:name="_Toc184312103"/>
      <w:bookmarkEnd w:id="61"/>
      <w:bookmarkStart w:id="62" w:name="_Toc184310320"/>
      <w:bookmarkEnd w:id="62"/>
      <w:bookmarkStart w:id="63" w:name="_Toc184314419"/>
      <w:bookmarkEnd w:id="63"/>
      <w:bookmarkStart w:id="64" w:name="_Toc184310335"/>
      <w:bookmarkEnd w:id="64"/>
      <w:bookmarkStart w:id="65" w:name="_Toc184313282"/>
      <w:bookmarkEnd w:id="65"/>
      <w:bookmarkStart w:id="66" w:name="_Toc184313254"/>
      <w:bookmarkEnd w:id="66"/>
      <w:bookmarkStart w:id="67" w:name="_Toc184313269"/>
      <w:bookmarkEnd w:id="67"/>
      <w:bookmarkStart w:id="68" w:name="_Toc184314425"/>
      <w:bookmarkEnd w:id="68"/>
      <w:bookmarkStart w:id="69" w:name="_Toc184308045"/>
      <w:bookmarkEnd w:id="69"/>
      <w:bookmarkStart w:id="70" w:name="_Toc184308091"/>
      <w:bookmarkEnd w:id="70"/>
      <w:bookmarkStart w:id="71" w:name="_Toc184313309"/>
      <w:bookmarkEnd w:id="71"/>
      <w:bookmarkStart w:id="72" w:name="_Toc184314473"/>
      <w:bookmarkEnd w:id="72"/>
      <w:bookmarkStart w:id="73" w:name="_Toc184313248"/>
      <w:bookmarkEnd w:id="73"/>
      <w:bookmarkStart w:id="74" w:name="_Toc184313283"/>
      <w:bookmarkEnd w:id="74"/>
      <w:bookmarkStart w:id="75" w:name="_Toc184308093"/>
      <w:bookmarkEnd w:id="75"/>
      <w:bookmarkStart w:id="76" w:name="_Toc184312074"/>
      <w:bookmarkEnd w:id="76"/>
      <w:bookmarkStart w:id="77" w:name="_Toc184308036"/>
      <w:bookmarkEnd w:id="77"/>
      <w:bookmarkStart w:id="78" w:name="_Toc184308071"/>
      <w:bookmarkEnd w:id="78"/>
      <w:bookmarkStart w:id="79" w:name="_Toc184308102"/>
      <w:bookmarkEnd w:id="79"/>
      <w:bookmarkStart w:id="80" w:name="_Toc184313290"/>
      <w:bookmarkEnd w:id="80"/>
      <w:bookmarkStart w:id="81" w:name="_Toc184312068"/>
      <w:bookmarkEnd w:id="81"/>
      <w:bookmarkStart w:id="82" w:name="_Toc184314471"/>
      <w:bookmarkEnd w:id="82"/>
      <w:bookmarkStart w:id="83" w:name="_Toc184310344"/>
      <w:bookmarkEnd w:id="83"/>
      <w:bookmarkStart w:id="84" w:name="_Toc184312138"/>
      <w:bookmarkEnd w:id="84"/>
      <w:bookmarkStart w:id="85" w:name="_Toc184308064"/>
      <w:bookmarkEnd w:id="85"/>
      <w:bookmarkStart w:id="86" w:name="_Toc184312109"/>
      <w:bookmarkEnd w:id="86"/>
      <w:bookmarkStart w:id="87" w:name="_Toc184310315"/>
      <w:bookmarkEnd w:id="87"/>
      <w:bookmarkStart w:id="88" w:name="_Toc184312077"/>
      <w:bookmarkEnd w:id="88"/>
      <w:bookmarkStart w:id="89" w:name="_Toc184313291"/>
      <w:bookmarkEnd w:id="89"/>
      <w:bookmarkStart w:id="90" w:name="_Toc184314453"/>
      <w:bookmarkEnd w:id="90"/>
      <w:bookmarkStart w:id="91" w:name="_Toc184314461"/>
      <w:bookmarkEnd w:id="91"/>
      <w:bookmarkStart w:id="92" w:name="_Toc184308070"/>
      <w:bookmarkEnd w:id="92"/>
      <w:bookmarkStart w:id="93" w:name="_Toc184310302"/>
      <w:bookmarkEnd w:id="93"/>
      <w:bookmarkStart w:id="94" w:name="_Toc184314429"/>
      <w:bookmarkEnd w:id="94"/>
      <w:bookmarkStart w:id="95" w:name="_Toc184310322"/>
      <w:bookmarkEnd w:id="95"/>
      <w:bookmarkStart w:id="96" w:name="_Toc184312095"/>
      <w:bookmarkEnd w:id="96"/>
      <w:bookmarkStart w:id="97" w:name="_Toc184314444"/>
      <w:bookmarkEnd w:id="97"/>
      <w:bookmarkStart w:id="98" w:name="_Toc184308087"/>
      <w:bookmarkEnd w:id="98"/>
      <w:bookmarkStart w:id="99" w:name="_Toc184312084"/>
      <w:bookmarkEnd w:id="99"/>
      <w:bookmarkStart w:id="100" w:name="_Toc184310293"/>
      <w:bookmarkEnd w:id="100"/>
      <w:bookmarkStart w:id="101" w:name="_Toc184314448"/>
      <w:bookmarkEnd w:id="101"/>
      <w:bookmarkStart w:id="102" w:name="_Toc184312133"/>
      <w:bookmarkEnd w:id="102"/>
      <w:bookmarkStart w:id="103" w:name="_Toc184312136"/>
      <w:bookmarkEnd w:id="103"/>
      <w:bookmarkStart w:id="104" w:name="_Toc184310319"/>
      <w:bookmarkEnd w:id="104"/>
      <w:bookmarkStart w:id="105" w:name="_Toc184308084"/>
      <w:bookmarkEnd w:id="105"/>
      <w:bookmarkStart w:id="106" w:name="_Toc184314443"/>
      <w:bookmarkEnd w:id="106"/>
      <w:bookmarkStart w:id="107" w:name="_Toc184310297"/>
      <w:bookmarkEnd w:id="107"/>
      <w:bookmarkStart w:id="108" w:name="_Toc184313264"/>
      <w:bookmarkEnd w:id="108"/>
      <w:bookmarkStart w:id="109" w:name="_Toc184310339"/>
      <w:bookmarkEnd w:id="109"/>
      <w:bookmarkStart w:id="110" w:name="_Toc184314477"/>
      <w:bookmarkEnd w:id="110"/>
      <w:bookmarkStart w:id="111" w:name="_Toc184308056"/>
      <w:bookmarkEnd w:id="111"/>
      <w:bookmarkStart w:id="112" w:name="_Toc184313280"/>
      <w:bookmarkEnd w:id="112"/>
      <w:bookmarkStart w:id="113" w:name="_Toc184312115"/>
      <w:bookmarkEnd w:id="113"/>
      <w:bookmarkStart w:id="114" w:name="_Toc184313253"/>
      <w:bookmarkEnd w:id="114"/>
      <w:bookmarkStart w:id="115" w:name="_Toc184312108"/>
      <w:bookmarkEnd w:id="115"/>
      <w:bookmarkStart w:id="116" w:name="_Toc184310280"/>
      <w:bookmarkEnd w:id="116"/>
      <w:bookmarkStart w:id="117" w:name="_Toc184313299"/>
      <w:bookmarkEnd w:id="117"/>
      <w:bookmarkStart w:id="118" w:name="_Toc184308105"/>
      <w:bookmarkEnd w:id="118"/>
      <w:bookmarkStart w:id="119" w:name="_Toc184310341"/>
      <w:bookmarkEnd w:id="119"/>
      <w:bookmarkStart w:id="120" w:name="_Toc184313306"/>
      <w:bookmarkEnd w:id="120"/>
      <w:bookmarkStart w:id="121" w:name="_Toc184314480"/>
      <w:bookmarkEnd w:id="121"/>
      <w:bookmarkStart w:id="122" w:name="_Toc184310326"/>
      <w:bookmarkEnd w:id="122"/>
      <w:bookmarkStart w:id="123" w:name="_Toc184310281"/>
      <w:bookmarkEnd w:id="123"/>
      <w:bookmarkStart w:id="124" w:name="_Toc184314421"/>
      <w:bookmarkEnd w:id="124"/>
      <w:bookmarkStart w:id="125" w:name="_Toc184314452"/>
      <w:bookmarkEnd w:id="125"/>
      <w:bookmarkStart w:id="126" w:name="_Toc184314438"/>
      <w:bookmarkEnd w:id="126"/>
      <w:bookmarkStart w:id="127" w:name="_Toc184314436"/>
      <w:bookmarkEnd w:id="127"/>
      <w:bookmarkStart w:id="128" w:name="_Toc184310288"/>
      <w:bookmarkEnd w:id="128"/>
      <w:bookmarkStart w:id="129" w:name="_Toc184313288"/>
      <w:bookmarkEnd w:id="129"/>
      <w:bookmarkStart w:id="130" w:name="_Toc184312072"/>
      <w:bookmarkEnd w:id="130"/>
      <w:bookmarkStart w:id="131" w:name="_Toc184313305"/>
      <w:bookmarkEnd w:id="131"/>
      <w:bookmarkStart w:id="132" w:name="_Toc184313277"/>
      <w:bookmarkEnd w:id="132"/>
      <w:bookmarkStart w:id="133" w:name="_Toc184308051"/>
      <w:bookmarkEnd w:id="133"/>
      <w:bookmarkStart w:id="134" w:name="_Toc184310340"/>
      <w:bookmarkEnd w:id="134"/>
      <w:bookmarkStart w:id="135" w:name="_Toc184313239"/>
      <w:bookmarkEnd w:id="135"/>
      <w:bookmarkStart w:id="136" w:name="_Toc184308106"/>
      <w:bookmarkEnd w:id="136"/>
      <w:bookmarkStart w:id="137" w:name="_Toc184310331"/>
      <w:bookmarkEnd w:id="137"/>
      <w:bookmarkStart w:id="138" w:name="_Toc184314424"/>
      <w:bookmarkEnd w:id="138"/>
      <w:bookmarkStart w:id="139" w:name="_Toc184314432"/>
      <w:bookmarkEnd w:id="139"/>
      <w:bookmarkStart w:id="140" w:name="_Toc184308081"/>
      <w:bookmarkEnd w:id="140"/>
      <w:bookmarkStart w:id="141" w:name="_Toc184313240"/>
      <w:bookmarkEnd w:id="141"/>
      <w:bookmarkStart w:id="142" w:name="_Toc184312127"/>
      <w:bookmarkEnd w:id="142"/>
      <w:bookmarkStart w:id="143" w:name="_Toc184312092"/>
      <w:bookmarkEnd w:id="143"/>
      <w:bookmarkStart w:id="144" w:name="_Toc184313257"/>
      <w:bookmarkEnd w:id="144"/>
      <w:bookmarkStart w:id="145" w:name="_Toc184313301"/>
      <w:bookmarkEnd w:id="145"/>
      <w:bookmarkStart w:id="146" w:name="_Toc184312119"/>
      <w:bookmarkEnd w:id="146"/>
      <w:bookmarkStart w:id="147" w:name="_Toc184314412"/>
      <w:bookmarkEnd w:id="147"/>
      <w:bookmarkStart w:id="148" w:name="_Toc184308060"/>
      <w:bookmarkEnd w:id="148"/>
      <w:bookmarkStart w:id="149" w:name="_Toc184308098"/>
      <w:bookmarkEnd w:id="149"/>
      <w:bookmarkStart w:id="150" w:name="_Toc184312125"/>
      <w:bookmarkEnd w:id="150"/>
      <w:bookmarkStart w:id="151" w:name="_Toc184313308"/>
      <w:bookmarkEnd w:id="151"/>
      <w:bookmarkStart w:id="152" w:name="_Toc184314423"/>
      <w:bookmarkEnd w:id="152"/>
      <w:bookmarkStart w:id="153" w:name="_Toc184310299"/>
      <w:bookmarkEnd w:id="153"/>
      <w:bookmarkStart w:id="154" w:name="_Toc184313243"/>
      <w:bookmarkEnd w:id="154"/>
      <w:bookmarkStart w:id="155" w:name="_Toc184312137"/>
      <w:bookmarkEnd w:id="155"/>
      <w:bookmarkStart w:id="156" w:name="_Toc184312076"/>
      <w:bookmarkEnd w:id="156"/>
      <w:bookmarkStart w:id="157" w:name="_Toc184310317"/>
      <w:bookmarkEnd w:id="157"/>
      <w:bookmarkStart w:id="158" w:name="_Toc184310314"/>
      <w:bookmarkEnd w:id="158"/>
      <w:bookmarkStart w:id="159" w:name="_Toc184312105"/>
      <w:bookmarkEnd w:id="159"/>
      <w:bookmarkStart w:id="160" w:name="_Toc184313292"/>
      <w:bookmarkEnd w:id="160"/>
      <w:bookmarkStart w:id="161" w:name="_Toc184312087"/>
      <w:bookmarkEnd w:id="161"/>
      <w:bookmarkStart w:id="162" w:name="_Toc184310294"/>
      <w:bookmarkEnd w:id="162"/>
      <w:bookmarkStart w:id="163" w:name="_Toc184310332"/>
      <w:bookmarkEnd w:id="163"/>
      <w:bookmarkStart w:id="164" w:name="_Toc184308082"/>
      <w:bookmarkEnd w:id="164"/>
      <w:bookmarkStart w:id="165" w:name="_Toc184314430"/>
      <w:bookmarkEnd w:id="165"/>
      <w:bookmarkStart w:id="166" w:name="_Toc184308063"/>
      <w:bookmarkEnd w:id="166"/>
      <w:bookmarkStart w:id="167" w:name="_Toc184312097"/>
      <w:bookmarkEnd w:id="167"/>
      <w:bookmarkStart w:id="168" w:name="_Toc184314458"/>
      <w:bookmarkEnd w:id="168"/>
      <w:bookmarkStart w:id="169" w:name="_Toc184308080"/>
      <w:bookmarkEnd w:id="169"/>
      <w:bookmarkStart w:id="170" w:name="_Toc184310282"/>
      <w:bookmarkEnd w:id="170"/>
      <w:bookmarkStart w:id="171" w:name="_Toc184313286"/>
      <w:bookmarkEnd w:id="171"/>
      <w:bookmarkStart w:id="172" w:name="_Toc184308094"/>
      <w:bookmarkEnd w:id="172"/>
      <w:bookmarkStart w:id="173" w:name="_Toc184312075"/>
      <w:bookmarkEnd w:id="173"/>
      <w:bookmarkStart w:id="174" w:name="_Toc184312124"/>
      <w:bookmarkEnd w:id="174"/>
      <w:bookmarkStart w:id="175" w:name="_Toc184310298"/>
      <w:bookmarkEnd w:id="175"/>
      <w:bookmarkStart w:id="176" w:name="_Toc184312085"/>
      <w:bookmarkEnd w:id="176"/>
      <w:bookmarkStart w:id="177" w:name="_Toc184310286"/>
      <w:bookmarkEnd w:id="177"/>
      <w:bookmarkStart w:id="178" w:name="_Toc184312093"/>
      <w:bookmarkEnd w:id="178"/>
      <w:bookmarkStart w:id="179" w:name="_Toc184314455"/>
      <w:bookmarkEnd w:id="179"/>
      <w:bookmarkStart w:id="180" w:name="_Toc184313272"/>
      <w:bookmarkEnd w:id="180"/>
      <w:bookmarkStart w:id="181" w:name="_Toc184310334"/>
      <w:bookmarkEnd w:id="181"/>
      <w:bookmarkStart w:id="182" w:name="_Toc184312080"/>
      <w:bookmarkEnd w:id="182"/>
      <w:bookmarkStart w:id="183" w:name="_Toc184308079"/>
      <w:bookmarkEnd w:id="183"/>
      <w:bookmarkStart w:id="184" w:name="_Toc184313249"/>
      <w:bookmarkEnd w:id="184"/>
      <w:bookmarkStart w:id="185" w:name="_Toc184314482"/>
      <w:bookmarkEnd w:id="185"/>
      <w:bookmarkStart w:id="186" w:name="_Toc184313260"/>
      <w:bookmarkEnd w:id="186"/>
      <w:bookmarkStart w:id="187" w:name="_Toc184310287"/>
      <w:bookmarkEnd w:id="187"/>
      <w:bookmarkStart w:id="188" w:name="_Toc184310284"/>
      <w:bookmarkEnd w:id="188"/>
      <w:bookmarkStart w:id="189" w:name="_Toc184312073"/>
      <w:bookmarkEnd w:id="189"/>
      <w:bookmarkStart w:id="190" w:name="_Toc184313273"/>
      <w:bookmarkEnd w:id="190"/>
      <w:bookmarkStart w:id="191" w:name="_Toc184308075"/>
      <w:bookmarkEnd w:id="191"/>
      <w:bookmarkStart w:id="192" w:name="_Toc184308049"/>
      <w:bookmarkEnd w:id="192"/>
      <w:bookmarkStart w:id="193" w:name="_Toc184308066"/>
      <w:bookmarkEnd w:id="193"/>
      <w:bookmarkStart w:id="194" w:name="_Toc184312117"/>
      <w:bookmarkEnd w:id="194"/>
      <w:bookmarkStart w:id="195" w:name="_Toc184308074"/>
      <w:bookmarkEnd w:id="195"/>
      <w:bookmarkStart w:id="196" w:name="_Toc184314445"/>
      <w:bookmarkEnd w:id="196"/>
      <w:bookmarkStart w:id="197" w:name="_Toc184310311"/>
      <w:bookmarkEnd w:id="197"/>
      <w:bookmarkStart w:id="198" w:name="_Toc184314467"/>
      <w:bookmarkEnd w:id="198"/>
      <w:bookmarkStart w:id="199" w:name="_Toc184308101"/>
      <w:bookmarkEnd w:id="199"/>
      <w:bookmarkStart w:id="200" w:name="_Toc184312122"/>
      <w:bookmarkEnd w:id="200"/>
      <w:bookmarkStart w:id="201" w:name="_Toc184308057"/>
      <w:bookmarkEnd w:id="201"/>
      <w:bookmarkStart w:id="202" w:name="_Toc184310337"/>
      <w:bookmarkEnd w:id="202"/>
      <w:bookmarkStart w:id="203" w:name="_Toc184314475"/>
      <w:bookmarkEnd w:id="203"/>
      <w:bookmarkStart w:id="204" w:name="_Toc184312067"/>
      <w:bookmarkEnd w:id="204"/>
      <w:bookmarkStart w:id="205" w:name="_Toc184313297"/>
      <w:bookmarkEnd w:id="205"/>
      <w:bookmarkStart w:id="206" w:name="_Toc184314454"/>
      <w:bookmarkEnd w:id="206"/>
      <w:bookmarkStart w:id="207" w:name="_Toc184312139"/>
      <w:bookmarkEnd w:id="207"/>
      <w:bookmarkStart w:id="208" w:name="_Toc184312120"/>
      <w:bookmarkEnd w:id="208"/>
      <w:bookmarkStart w:id="209" w:name="_Toc184310318"/>
      <w:bookmarkEnd w:id="209"/>
      <w:bookmarkStart w:id="210" w:name="_Toc184313278"/>
      <w:bookmarkEnd w:id="210"/>
      <w:bookmarkStart w:id="211" w:name="_Toc184314427"/>
      <w:bookmarkEnd w:id="211"/>
      <w:bookmarkStart w:id="212" w:name="_Toc184313279"/>
      <w:bookmarkEnd w:id="212"/>
      <w:bookmarkStart w:id="213" w:name="_Toc184312099"/>
      <w:bookmarkEnd w:id="213"/>
      <w:bookmarkStart w:id="214" w:name="_Toc184308059"/>
      <w:bookmarkEnd w:id="214"/>
      <w:bookmarkStart w:id="215" w:name="_Toc184310306"/>
      <w:bookmarkEnd w:id="215"/>
      <w:bookmarkStart w:id="216" w:name="_Toc184310300"/>
      <w:bookmarkEnd w:id="216"/>
      <w:bookmarkStart w:id="217" w:name="_Toc184312096"/>
      <w:bookmarkEnd w:id="217"/>
      <w:bookmarkStart w:id="218" w:name="_Toc184308095"/>
      <w:bookmarkEnd w:id="218"/>
      <w:bookmarkStart w:id="219" w:name="_Toc184308096"/>
      <w:bookmarkEnd w:id="219"/>
      <w:bookmarkStart w:id="220" w:name="_Toc184308062"/>
      <w:bookmarkEnd w:id="220"/>
      <w:bookmarkStart w:id="221" w:name="_Toc184313304"/>
      <w:bookmarkEnd w:id="221"/>
      <w:bookmarkStart w:id="222" w:name="_Toc184312089"/>
      <w:bookmarkEnd w:id="222"/>
      <w:bookmarkStart w:id="223" w:name="_Toc184313250"/>
      <w:bookmarkEnd w:id="223"/>
      <w:bookmarkStart w:id="224" w:name="_Toc184308090"/>
      <w:bookmarkEnd w:id="224"/>
      <w:bookmarkStart w:id="225" w:name="_Toc184310325"/>
      <w:bookmarkEnd w:id="225"/>
      <w:bookmarkStart w:id="226" w:name="_Toc184308100"/>
      <w:bookmarkEnd w:id="226"/>
      <w:bookmarkStart w:id="227" w:name="_Toc184312091"/>
      <w:bookmarkEnd w:id="227"/>
      <w:bookmarkStart w:id="228" w:name="_Toc184310277"/>
      <w:bookmarkEnd w:id="228"/>
      <w:bookmarkStart w:id="229" w:name="_Toc184314469"/>
      <w:bookmarkEnd w:id="229"/>
      <w:bookmarkStart w:id="230" w:name="_Toc184308050"/>
      <w:bookmarkEnd w:id="230"/>
      <w:bookmarkStart w:id="231" w:name="_Toc184310313"/>
      <w:bookmarkEnd w:id="231"/>
      <w:bookmarkStart w:id="232" w:name="_Toc184313263"/>
      <w:bookmarkEnd w:id="232"/>
      <w:bookmarkStart w:id="233" w:name="_Toc184313293"/>
      <w:bookmarkEnd w:id="233"/>
      <w:bookmarkStart w:id="234" w:name="_Toc184314440"/>
      <w:bookmarkEnd w:id="234"/>
      <w:bookmarkStart w:id="235" w:name="_Toc184313267"/>
      <w:bookmarkEnd w:id="235"/>
      <w:bookmarkStart w:id="236" w:name="_Toc184308104"/>
      <w:bookmarkEnd w:id="236"/>
      <w:bookmarkStart w:id="237" w:name="_Toc184310295"/>
      <w:bookmarkEnd w:id="237"/>
      <w:bookmarkStart w:id="238" w:name="_Toc184313275"/>
      <w:bookmarkEnd w:id="238"/>
      <w:bookmarkStart w:id="239" w:name="_Toc184313265"/>
      <w:bookmarkEnd w:id="239"/>
      <w:bookmarkStart w:id="240" w:name="_Toc184308108"/>
      <w:bookmarkEnd w:id="240"/>
      <w:bookmarkStart w:id="241" w:name="_Toc184308053"/>
      <w:bookmarkEnd w:id="241"/>
      <w:bookmarkStart w:id="242" w:name="_Toc184310305"/>
      <w:bookmarkEnd w:id="242"/>
      <w:bookmarkStart w:id="243" w:name="_Toc184313307"/>
      <w:bookmarkEnd w:id="243"/>
      <w:bookmarkStart w:id="244" w:name="_Toc184313245"/>
      <w:bookmarkEnd w:id="244"/>
      <w:bookmarkStart w:id="245" w:name="_Toc184312113"/>
      <w:bookmarkEnd w:id="245"/>
      <w:bookmarkStart w:id="246" w:name="_Toc184308077"/>
      <w:bookmarkEnd w:id="246"/>
      <w:bookmarkStart w:id="247" w:name="_Toc184308055"/>
      <w:bookmarkEnd w:id="247"/>
      <w:bookmarkStart w:id="248" w:name="_Toc184313294"/>
      <w:bookmarkEnd w:id="248"/>
      <w:bookmarkStart w:id="249" w:name="_Toc184308076"/>
      <w:bookmarkEnd w:id="249"/>
      <w:bookmarkStart w:id="250" w:name="_Toc184308103"/>
      <w:bookmarkEnd w:id="250"/>
      <w:bookmarkStart w:id="251" w:name="_Toc184314420"/>
      <w:bookmarkEnd w:id="251"/>
      <w:bookmarkStart w:id="252" w:name="_Toc184312104"/>
      <w:bookmarkEnd w:id="252"/>
      <w:bookmarkStart w:id="253" w:name="_Toc184312079"/>
      <w:bookmarkEnd w:id="253"/>
      <w:bookmarkStart w:id="254" w:name="_Toc184314479"/>
      <w:bookmarkEnd w:id="254"/>
      <w:bookmarkStart w:id="255" w:name="_Toc184314468"/>
      <w:bookmarkEnd w:id="255"/>
      <w:bookmarkStart w:id="256" w:name="_Toc184313242"/>
      <w:bookmarkEnd w:id="256"/>
      <w:bookmarkStart w:id="257" w:name="_Toc184314414"/>
      <w:bookmarkEnd w:id="257"/>
      <w:bookmarkStart w:id="258" w:name="_Toc184308046"/>
      <w:bookmarkEnd w:id="258"/>
      <w:bookmarkStart w:id="259" w:name="_Toc184308072"/>
      <w:bookmarkEnd w:id="259"/>
      <w:bookmarkStart w:id="260" w:name="_Toc184308065"/>
      <w:bookmarkEnd w:id="260"/>
      <w:bookmarkStart w:id="261" w:name="_Toc184310292"/>
      <w:bookmarkEnd w:id="261"/>
      <w:bookmarkStart w:id="262" w:name="_Toc184312078"/>
      <w:bookmarkEnd w:id="262"/>
      <w:bookmarkStart w:id="263" w:name="_Toc184313252"/>
      <w:bookmarkEnd w:id="263"/>
      <w:bookmarkStart w:id="264" w:name="_Toc184314434"/>
      <w:bookmarkEnd w:id="264"/>
      <w:bookmarkStart w:id="265" w:name="_Toc184313268"/>
      <w:bookmarkEnd w:id="265"/>
      <w:bookmarkStart w:id="266" w:name="_Toc184310338"/>
      <w:bookmarkEnd w:id="266"/>
      <w:bookmarkStart w:id="267" w:name="_Toc184310333"/>
      <w:bookmarkEnd w:id="267"/>
      <w:bookmarkStart w:id="268" w:name="_Toc184310275"/>
      <w:bookmarkEnd w:id="268"/>
      <w:bookmarkStart w:id="269" w:name="_Toc184312101"/>
      <w:bookmarkEnd w:id="269"/>
      <w:bookmarkStart w:id="270" w:name="_Toc184312111"/>
      <w:bookmarkEnd w:id="270"/>
      <w:bookmarkStart w:id="271" w:name="_Toc184313238"/>
      <w:bookmarkEnd w:id="271"/>
      <w:bookmarkStart w:id="272" w:name="_Toc184312082"/>
      <w:bookmarkEnd w:id="272"/>
      <w:bookmarkStart w:id="273" w:name="_Toc184312088"/>
      <w:bookmarkEnd w:id="273"/>
      <w:bookmarkStart w:id="274" w:name="_Toc184314411"/>
      <w:bookmarkEnd w:id="274"/>
      <w:bookmarkStart w:id="275" w:name="_Toc184312110"/>
      <w:bookmarkEnd w:id="275"/>
      <w:bookmarkStart w:id="276" w:name="_Toc184308058"/>
      <w:bookmarkEnd w:id="276"/>
      <w:bookmarkStart w:id="277" w:name="_Toc184310304"/>
      <w:bookmarkEnd w:id="277"/>
      <w:bookmarkStart w:id="278" w:name="_Toc184312126"/>
      <w:bookmarkEnd w:id="278"/>
      <w:bookmarkStart w:id="279" w:name="_Toc184310310"/>
      <w:bookmarkEnd w:id="279"/>
      <w:bookmarkStart w:id="280" w:name="_Toc184310276"/>
      <w:bookmarkEnd w:id="280"/>
      <w:bookmarkStart w:id="281" w:name="_Toc184313295"/>
      <w:bookmarkEnd w:id="281"/>
      <w:bookmarkStart w:id="282" w:name="_Toc184312106"/>
      <w:bookmarkEnd w:id="282"/>
      <w:bookmarkStart w:id="283" w:name="_Toc184310273"/>
      <w:bookmarkEnd w:id="283"/>
      <w:bookmarkStart w:id="284" w:name="_Toc184313285"/>
      <w:bookmarkEnd w:id="284"/>
      <w:bookmarkStart w:id="285" w:name="_Toc184310307"/>
      <w:bookmarkEnd w:id="285"/>
      <w:bookmarkStart w:id="286" w:name="_Toc184310274"/>
      <w:bookmarkEnd w:id="286"/>
      <w:bookmarkStart w:id="287" w:name="_Toc184308089"/>
      <w:bookmarkEnd w:id="287"/>
      <w:bookmarkStart w:id="288" w:name="_Toc184308054"/>
      <w:bookmarkEnd w:id="288"/>
      <w:bookmarkStart w:id="289" w:name="_Toc184314462"/>
      <w:bookmarkEnd w:id="289"/>
      <w:bookmarkStart w:id="290" w:name="_Toc184314410"/>
      <w:bookmarkEnd w:id="290"/>
      <w:bookmarkStart w:id="291" w:name="_Toc184314442"/>
      <w:bookmarkEnd w:id="291"/>
      <w:bookmarkStart w:id="292" w:name="_Toc184310301"/>
      <w:bookmarkEnd w:id="292"/>
      <w:bookmarkStart w:id="293" w:name="_Toc184313261"/>
      <w:bookmarkEnd w:id="293"/>
      <w:bookmarkStart w:id="294" w:name="_Toc184310308"/>
      <w:bookmarkEnd w:id="294"/>
      <w:bookmarkStart w:id="295" w:name="_Toc184313281"/>
      <w:bookmarkEnd w:id="295"/>
      <w:bookmarkStart w:id="296" w:name="_Toc184308099"/>
      <w:bookmarkEnd w:id="296"/>
      <w:bookmarkStart w:id="297" w:name="_Toc184312128"/>
      <w:bookmarkEnd w:id="297"/>
      <w:bookmarkStart w:id="298" w:name="_Toc184308073"/>
      <w:bookmarkEnd w:id="298"/>
      <w:bookmarkStart w:id="299" w:name="_Toc184314478"/>
      <w:bookmarkEnd w:id="299"/>
      <w:bookmarkStart w:id="300" w:name="_Toc184314413"/>
      <w:bookmarkEnd w:id="300"/>
      <w:bookmarkStart w:id="301" w:name="_Toc184308041"/>
      <w:bookmarkEnd w:id="301"/>
      <w:bookmarkStart w:id="302" w:name="_Toc184314416"/>
      <w:bookmarkEnd w:id="302"/>
      <w:bookmarkStart w:id="303" w:name="_Toc184310309"/>
      <w:bookmarkEnd w:id="303"/>
      <w:bookmarkStart w:id="304" w:name="_Toc184308043"/>
      <w:bookmarkEnd w:id="304"/>
      <w:bookmarkStart w:id="305" w:name="_Toc184312086"/>
      <w:bookmarkEnd w:id="305"/>
      <w:bookmarkStart w:id="306" w:name="_Toc184313258"/>
      <w:bookmarkEnd w:id="306"/>
      <w:bookmarkStart w:id="307" w:name="_Toc184310289"/>
      <w:bookmarkEnd w:id="307"/>
      <w:bookmarkStart w:id="308" w:name="_Toc184314433"/>
      <w:bookmarkEnd w:id="308"/>
      <w:bookmarkStart w:id="309" w:name="_Toc184310285"/>
      <w:bookmarkEnd w:id="309"/>
      <w:bookmarkStart w:id="310" w:name="_Toc184308088"/>
      <w:bookmarkEnd w:id="310"/>
      <w:bookmarkStart w:id="311" w:name="_Toc184314435"/>
      <w:bookmarkEnd w:id="311"/>
      <w:bookmarkStart w:id="312" w:name="_Toc184312112"/>
      <w:bookmarkEnd w:id="312"/>
      <w:bookmarkStart w:id="313" w:name="_Toc184310329"/>
      <w:bookmarkEnd w:id="313"/>
      <w:bookmarkStart w:id="314" w:name="_Toc184308037"/>
      <w:bookmarkEnd w:id="314"/>
      <w:bookmarkStart w:id="315" w:name="_Toc184313255"/>
      <w:bookmarkEnd w:id="315"/>
      <w:bookmarkStart w:id="316" w:name="_Toc184313303"/>
      <w:bookmarkEnd w:id="316"/>
      <w:bookmarkStart w:id="317" w:name="_Toc184312100"/>
      <w:bookmarkEnd w:id="317"/>
      <w:bookmarkStart w:id="318" w:name="_Toc184313274"/>
      <w:bookmarkEnd w:id="318"/>
      <w:bookmarkStart w:id="319" w:name="_Toc184313262"/>
      <w:bookmarkEnd w:id="319"/>
      <w:bookmarkStart w:id="320" w:name="_Toc184310291"/>
      <w:bookmarkEnd w:id="320"/>
      <w:bookmarkStart w:id="321" w:name="_Toc184314439"/>
      <w:bookmarkEnd w:id="321"/>
      <w:bookmarkStart w:id="322" w:name="_Toc184314465"/>
      <w:bookmarkEnd w:id="322"/>
      <w:bookmarkStart w:id="323" w:name="_Toc184314456"/>
      <w:bookmarkEnd w:id="323"/>
      <w:bookmarkStart w:id="324" w:name="_Toc184313251"/>
      <w:bookmarkEnd w:id="324"/>
      <w:bookmarkStart w:id="325" w:name="_Toc184314460"/>
      <w:bookmarkEnd w:id="325"/>
      <w:bookmarkStart w:id="326" w:name="_Toc184310283"/>
      <w:bookmarkEnd w:id="326"/>
      <w:bookmarkStart w:id="327" w:name="_Toc184314472"/>
      <w:bookmarkEnd w:id="327"/>
      <w:bookmarkStart w:id="328" w:name="_Toc184308048"/>
      <w:bookmarkEnd w:id="328"/>
      <w:bookmarkStart w:id="329" w:name="_Toc184314457"/>
      <w:bookmarkEnd w:id="329"/>
      <w:bookmarkStart w:id="330" w:name="_Toc184313298"/>
      <w:bookmarkEnd w:id="330"/>
      <w:bookmarkStart w:id="331" w:name="_Toc184313270"/>
      <w:bookmarkEnd w:id="331"/>
      <w:bookmarkStart w:id="332" w:name="_Toc184313287"/>
      <w:bookmarkEnd w:id="332"/>
      <w:bookmarkStart w:id="333" w:name="_Toc184313244"/>
      <w:bookmarkEnd w:id="333"/>
      <w:bookmarkStart w:id="334" w:name="_Toc184312134"/>
      <w:bookmarkEnd w:id="334"/>
      <w:bookmarkStart w:id="335" w:name="_Toc184310316"/>
      <w:bookmarkEnd w:id="335"/>
      <w:bookmarkStart w:id="336" w:name="_Toc184313300"/>
      <w:bookmarkEnd w:id="336"/>
      <w:bookmarkStart w:id="337" w:name="_Toc184314463"/>
      <w:bookmarkEnd w:id="337"/>
      <w:bookmarkStart w:id="338" w:name="_Toc184308039"/>
      <w:bookmarkEnd w:id="338"/>
      <w:bookmarkStart w:id="339" w:name="_Toc184314447"/>
      <w:bookmarkEnd w:id="339"/>
      <w:bookmarkStart w:id="340" w:name="_Toc184310324"/>
      <w:bookmarkEnd w:id="340"/>
      <w:bookmarkStart w:id="341" w:name="_Toc184312121"/>
      <w:bookmarkEnd w:id="341"/>
      <w:bookmarkStart w:id="342" w:name="_Toc184308107"/>
      <w:bookmarkEnd w:id="342"/>
      <w:bookmarkStart w:id="343" w:name="_Toc184314464"/>
      <w:bookmarkEnd w:id="343"/>
      <w:bookmarkStart w:id="344" w:name="_Toc184312107"/>
      <w:bookmarkEnd w:id="344"/>
      <w:bookmarkStart w:id="345" w:name="_Toc184310278"/>
      <w:bookmarkEnd w:id="345"/>
      <w:bookmarkStart w:id="346" w:name="_Toc184312071"/>
      <w:bookmarkEnd w:id="346"/>
      <w:bookmarkStart w:id="347" w:name="_Toc184313256"/>
      <w:bookmarkEnd w:id="347"/>
      <w:bookmarkStart w:id="348" w:name="_Toc184312069"/>
      <w:bookmarkEnd w:id="348"/>
      <w:bookmarkStart w:id="349" w:name="_Toc184313296"/>
      <w:bookmarkEnd w:id="349"/>
      <w:bookmarkStart w:id="350" w:name="_Toc184313266"/>
      <w:bookmarkEnd w:id="350"/>
      <w:bookmarkStart w:id="351" w:name="_Toc184312130"/>
      <w:bookmarkEnd w:id="351"/>
      <w:bookmarkStart w:id="352" w:name="_Toc184308047"/>
      <w:bookmarkEnd w:id="352"/>
      <w:bookmarkStart w:id="353" w:name="_Toc184312102"/>
      <w:bookmarkEnd w:id="353"/>
      <w:bookmarkStart w:id="354" w:name="_Toc184310328"/>
      <w:bookmarkEnd w:id="354"/>
      <w:bookmarkStart w:id="355" w:name="_Toc184308052"/>
      <w:bookmarkEnd w:id="355"/>
      <w:bookmarkStart w:id="356" w:name="_Toc184312094"/>
      <w:bookmarkEnd w:id="356"/>
      <w:bookmarkStart w:id="357" w:name="_Toc184310290"/>
      <w:bookmarkEnd w:id="357"/>
      <w:bookmarkStart w:id="358" w:name="_Toc184313289"/>
      <w:bookmarkEnd w:id="358"/>
      <w:bookmarkStart w:id="359" w:name="_Toc184308069"/>
      <w:bookmarkEnd w:id="359"/>
      <w:bookmarkStart w:id="360" w:name="_Toc184310272"/>
      <w:bookmarkEnd w:id="360"/>
      <w:bookmarkStart w:id="361" w:name="_Toc184313247"/>
      <w:bookmarkEnd w:id="361"/>
      <w:bookmarkStart w:id="362" w:name="_Toc184314441"/>
      <w:bookmarkEnd w:id="362"/>
      <w:bookmarkStart w:id="363" w:name="_Toc184314446"/>
      <w:bookmarkEnd w:id="363"/>
      <w:bookmarkStart w:id="364" w:name="_Toc184314426"/>
      <w:bookmarkEnd w:id="364"/>
      <w:bookmarkStart w:id="365" w:name="_Toc184314437"/>
      <w:bookmarkEnd w:id="365"/>
      <w:bookmarkStart w:id="366" w:name="_Toc184314450"/>
      <w:bookmarkEnd w:id="366"/>
      <w:bookmarkStart w:id="367" w:name="_Toc184313246"/>
      <w:bookmarkEnd w:id="367"/>
      <w:bookmarkStart w:id="368" w:name="_Toc184308085"/>
      <w:bookmarkEnd w:id="368"/>
      <w:bookmarkStart w:id="369" w:name="_Toc184308086"/>
      <w:bookmarkEnd w:id="369"/>
      <w:bookmarkStart w:id="370" w:name="_Toc184308097"/>
      <w:bookmarkEnd w:id="370"/>
      <w:bookmarkStart w:id="371" w:name="_Toc184308092"/>
      <w:bookmarkEnd w:id="371"/>
      <w:bookmarkStart w:id="372" w:name="_Toc184310296"/>
      <w:bookmarkEnd w:id="372"/>
      <w:bookmarkStart w:id="373" w:name="_Toc184314476"/>
      <w:bookmarkEnd w:id="373"/>
      <w:bookmarkStart w:id="374" w:name="_Toc184313276"/>
      <w:bookmarkEnd w:id="374"/>
      <w:bookmarkStart w:id="375" w:name="_Toc184308040"/>
      <w:bookmarkEnd w:id="375"/>
      <w:bookmarkStart w:id="376" w:name="_Toc184314431"/>
      <w:bookmarkEnd w:id="376"/>
      <w:bookmarkStart w:id="377" w:name="_Toc184310342"/>
      <w:bookmarkEnd w:id="377"/>
      <w:bookmarkStart w:id="378" w:name="_Toc184314449"/>
      <w:bookmarkEnd w:id="378"/>
      <w:bookmarkStart w:id="379" w:name="_Toc184310343"/>
      <w:bookmarkEnd w:id="379"/>
      <w:bookmarkStart w:id="380" w:name="_Toc184313259"/>
      <w:bookmarkEnd w:id="380"/>
      <w:bookmarkStart w:id="381" w:name="_Toc184314422"/>
      <w:bookmarkEnd w:id="381"/>
      <w:bookmarkStart w:id="382" w:name="_Toc184310323"/>
      <w:bookmarkEnd w:id="382"/>
      <w:bookmarkStart w:id="383" w:name="_Toc184313284"/>
      <w:bookmarkEnd w:id="383"/>
      <w:bookmarkStart w:id="384" w:name="_Toc184314417"/>
      <w:bookmarkEnd w:id="384"/>
      <w:bookmarkStart w:id="385" w:name="_Toc184314428"/>
      <w:bookmarkEnd w:id="385"/>
      <w:bookmarkStart w:id="386" w:name="_Toc184308068"/>
      <w:bookmarkEnd w:id="386"/>
      <w:bookmarkStart w:id="387" w:name="_Toc184310330"/>
      <w:bookmarkEnd w:id="387"/>
      <w:bookmarkStart w:id="388" w:name="_Toc184310321"/>
      <w:bookmarkEnd w:id="388"/>
      <w:bookmarkStart w:id="389" w:name="_Toc184312070"/>
      <w:bookmarkEnd w:id="389"/>
      <w:bookmarkStart w:id="390" w:name="_Toc184312081"/>
      <w:bookmarkEnd w:id="390"/>
      <w:bookmarkStart w:id="391" w:name="_Toc184312083"/>
      <w:bookmarkEnd w:id="391"/>
      <w:bookmarkStart w:id="392" w:name="_Toc184314470"/>
      <w:bookmarkEnd w:id="392"/>
      <w:bookmarkStart w:id="393" w:name="_Toc184310312"/>
      <w:bookmarkEnd w:id="393"/>
      <w:bookmarkStart w:id="394" w:name="_Toc184314474"/>
      <w:bookmarkEnd w:id="394"/>
      <w:bookmarkStart w:id="395" w:name="_Toc184313271"/>
      <w:bookmarkEnd w:id="395"/>
      <w:bookmarkStart w:id="396" w:name="_Toc184312116"/>
      <w:bookmarkEnd w:id="396"/>
      <w:bookmarkStart w:id="397" w:name="_Toc184312114"/>
      <w:bookmarkEnd w:id="397"/>
      <w:bookmarkStart w:id="398" w:name="_Toc184310279"/>
      <w:bookmarkEnd w:id="398"/>
      <w:bookmarkStart w:id="399" w:name="_Toc184312135"/>
      <w:bookmarkEnd w:id="399"/>
      <w:bookmarkStart w:id="400" w:name="_Toc184312131"/>
      <w:bookmarkEnd w:id="400"/>
      <w:bookmarkStart w:id="401" w:name="_Toc184312118"/>
      <w:bookmarkEnd w:id="401"/>
      <w:bookmarkStart w:id="402" w:name="_Toc184312090"/>
      <w:bookmarkEnd w:id="402"/>
      <w:bookmarkStart w:id="403" w:name="_Toc184308044"/>
      <w:bookmarkEnd w:id="403"/>
      <w:r>
        <w:rPr>
          <w:rFonts w:hint="eastAsia" w:ascii="华文中宋" w:hAnsi="华文中宋" w:eastAsia="华文中宋" w:cs="Times New Roman"/>
          <w:b/>
          <w:color w:val="auto"/>
          <w:kern w:val="44"/>
          <w:sz w:val="36"/>
          <w:szCs w:val="36"/>
          <w:lang w:val="en-US" w:eastAsia="zh-CN" w:bidi="ar-SA"/>
        </w:rPr>
        <w:t>评标办法</w:t>
      </w:r>
    </w:p>
    <w:p w14:paraId="384DF78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03F44F5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4A7F8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4B39F1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14:paraId="751992E3">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w:t>
      </w:r>
    </w:p>
    <w:p w14:paraId="43B3E406">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标项1：</w:t>
      </w:r>
      <w:r>
        <w:rPr>
          <w:rFonts w:hint="eastAsia" w:ascii="仿宋" w:hAnsi="仿宋" w:eastAsia="仿宋" w:cs="仿宋"/>
          <w:color w:val="auto"/>
          <w:sz w:val="24"/>
          <w:szCs w:val="24"/>
          <w:highlight w:val="none"/>
          <w:lang w:val="en-US" w:eastAsia="zh-CN"/>
        </w:rPr>
        <w:t>通信类设备</w:t>
      </w:r>
      <w:r>
        <w:rPr>
          <w:rFonts w:hint="eastAsia" w:ascii="仿宋" w:hAnsi="仿宋" w:eastAsia="仿宋" w:cs="仿宋"/>
          <w:color w:val="auto"/>
          <w:sz w:val="24"/>
          <w:highlight w:val="none"/>
          <w:lang w:val="en-US" w:eastAsia="zh-CN"/>
        </w:rPr>
        <w:t>（70分）</w:t>
      </w:r>
    </w:p>
    <w:tbl>
      <w:tblPr>
        <w:tblStyle w:val="65"/>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115"/>
        <w:gridCol w:w="721"/>
      </w:tblGrid>
      <w:tr w14:paraId="290F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22" w:type="dxa"/>
            <w:tcBorders>
              <w:top w:val="single" w:color="auto" w:sz="4" w:space="0"/>
              <w:left w:val="single" w:color="auto" w:sz="4" w:space="0"/>
              <w:bottom w:val="single" w:color="auto" w:sz="4" w:space="0"/>
              <w:right w:val="single" w:color="auto" w:sz="4" w:space="0"/>
            </w:tcBorders>
            <w:noWrap w:val="0"/>
            <w:vAlign w:val="center"/>
          </w:tcPr>
          <w:p w14:paraId="4307FDB9">
            <w:pPr>
              <w:tabs>
                <w:tab w:val="left" w:pos="0"/>
              </w:tabs>
              <w:autoSpaceDE w:val="0"/>
              <w:autoSpaceDN w:val="0"/>
              <w:adjustRightInd w:val="0"/>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1E024E3B">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评分项目内容</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7596E4B">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30FE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2" w:type="dxa"/>
            <w:tcBorders>
              <w:top w:val="single" w:color="auto" w:sz="4" w:space="0"/>
              <w:left w:val="single" w:color="auto" w:sz="4" w:space="0"/>
              <w:bottom w:val="single" w:color="auto" w:sz="4" w:space="0"/>
              <w:right w:val="single" w:color="auto" w:sz="4" w:space="0"/>
            </w:tcBorders>
            <w:noWrap w:val="0"/>
            <w:vAlign w:val="center"/>
          </w:tcPr>
          <w:p w14:paraId="7FF94848">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1.类似业绩</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7A3E1656">
            <w:pPr>
              <w:pStyle w:val="36"/>
              <w:keepNext w:val="0"/>
              <w:keepLines w:val="0"/>
              <w:pageBreakBefore w:val="0"/>
              <w:kinsoku/>
              <w:wordWrap/>
              <w:overflowPunct/>
              <w:topLinePunct w:val="0"/>
              <w:autoSpaceDE w:val="0"/>
              <w:autoSpaceDN w:val="0"/>
              <w:bidi w:val="0"/>
              <w:snapToGrid/>
              <w:spacing w:line="264" w:lineRule="auto"/>
              <w:ind w:firstLine="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 xml:space="preserve">年1月1日以来（以合同签订日期为准）承担过类似项目业绩，每提供一个得1分，最高得3分。 </w:t>
            </w:r>
            <w:r>
              <w:rPr>
                <w:rFonts w:hint="eastAsia" w:ascii="仿宋" w:hAnsi="仿宋" w:eastAsia="仿宋" w:cs="仿宋"/>
                <w:b/>
                <w:bCs/>
                <w:color w:val="auto"/>
                <w:kern w:val="0"/>
                <w:sz w:val="24"/>
                <w:szCs w:val="24"/>
                <w:highlight w:val="none"/>
              </w:rPr>
              <w:t>投标文件中提供合同扫描件加盖投标人公章</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若为联合体投标，任意一方有类似业绩即可得分。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6101604">
            <w:pPr>
              <w:pStyle w:val="36"/>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3分</w:t>
            </w:r>
          </w:p>
        </w:tc>
      </w:tr>
      <w:tr w14:paraId="296D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2" w:type="dxa"/>
            <w:tcBorders>
              <w:top w:val="single" w:color="auto" w:sz="4" w:space="0"/>
              <w:left w:val="single" w:color="auto" w:sz="4" w:space="0"/>
              <w:right w:val="single" w:color="auto" w:sz="4" w:space="0"/>
            </w:tcBorders>
            <w:noWrap w:val="0"/>
            <w:vAlign w:val="center"/>
          </w:tcPr>
          <w:p w14:paraId="6C509923">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2.项目总体理解</w:t>
            </w:r>
          </w:p>
        </w:tc>
        <w:tc>
          <w:tcPr>
            <w:tcW w:w="8115" w:type="dxa"/>
            <w:tcBorders>
              <w:top w:val="single" w:color="auto" w:sz="4" w:space="0"/>
              <w:left w:val="single" w:color="auto" w:sz="4" w:space="0"/>
              <w:bottom w:val="single" w:color="auto" w:sz="4" w:space="0"/>
              <w:right w:val="single" w:color="auto" w:sz="4" w:space="0"/>
            </w:tcBorders>
            <w:noWrap w:val="0"/>
            <w:vAlign w:val="top"/>
          </w:tcPr>
          <w:p w14:paraId="489413B0">
            <w:pPr>
              <w:pStyle w:val="966"/>
              <w:keepNext w:val="0"/>
              <w:keepLines w:val="0"/>
              <w:pageBreakBefore w:val="0"/>
              <w:kinsoku/>
              <w:wordWrap/>
              <w:overflowPunct/>
              <w:topLinePunct w:val="0"/>
              <w:autoSpaceDE w:val="0"/>
              <w:autoSpaceDN w:val="0"/>
              <w:bidi w:val="0"/>
              <w:snapToGrid/>
              <w:spacing w:line="264" w:lineRule="auto"/>
              <w:ind w:right="97"/>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0"/>
                <w:sz w:val="24"/>
                <w:szCs w:val="24"/>
                <w:highlight w:val="none"/>
                <w:lang w:val="en-US" w:bidi="ar-SA"/>
              </w:rPr>
              <w:t>根据投标</w:t>
            </w:r>
            <w:r>
              <w:rPr>
                <w:rFonts w:hint="eastAsia" w:ascii="仿宋" w:hAnsi="仿宋" w:eastAsia="仿宋" w:cs="仿宋"/>
                <w:color w:val="auto"/>
                <w:kern w:val="0"/>
                <w:sz w:val="24"/>
                <w:szCs w:val="24"/>
                <w:highlight w:val="none"/>
                <w:lang w:val="en-US" w:eastAsia="zh-CN" w:bidi="ar-SA"/>
              </w:rPr>
              <w:t>人</w:t>
            </w:r>
            <w:r>
              <w:rPr>
                <w:rFonts w:hint="eastAsia" w:ascii="仿宋" w:hAnsi="仿宋" w:eastAsia="仿宋" w:cs="仿宋"/>
                <w:color w:val="auto"/>
                <w:kern w:val="0"/>
                <w:sz w:val="24"/>
                <w:szCs w:val="24"/>
                <w:highlight w:val="none"/>
                <w:lang w:val="en-US" w:bidi="ar-SA"/>
              </w:rPr>
              <w:t>对本项目的总体理解</w:t>
            </w:r>
            <w:r>
              <w:rPr>
                <w:rFonts w:hint="eastAsia" w:ascii="仿宋" w:hAnsi="仿宋" w:eastAsia="仿宋" w:cs="仿宋"/>
                <w:color w:val="auto"/>
                <w:kern w:val="0"/>
                <w:sz w:val="24"/>
                <w:szCs w:val="24"/>
                <w:highlight w:val="none"/>
                <w:lang w:val="en-US" w:eastAsia="zh-CN" w:bidi="ar-SA"/>
              </w:rPr>
              <w:t>是否详细、全面、可行</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bidi="ar-SA"/>
              </w:rPr>
              <w:t>，包含以下要点：</w:t>
            </w:r>
            <w:r>
              <w:rPr>
                <w:rFonts w:hint="eastAsia" w:ascii="仿宋" w:hAnsi="仿宋" w:eastAsia="仿宋" w:cs="仿宋"/>
                <w:color w:val="auto"/>
                <w:kern w:val="0"/>
                <w:sz w:val="24"/>
                <w:szCs w:val="24"/>
                <w:highlight w:val="none"/>
              </w:rPr>
              <w:t>①</w:t>
            </w:r>
            <w:r>
              <w:rPr>
                <w:rFonts w:hint="eastAsia" w:ascii="仿宋" w:hAnsi="仿宋" w:eastAsia="仿宋" w:cs="仿宋"/>
                <w:b w:val="0"/>
                <w:bCs/>
                <w:color w:val="auto"/>
                <w:sz w:val="24"/>
                <w:szCs w:val="24"/>
                <w:highlight w:val="none"/>
              </w:rPr>
              <w:t>产品总体选型、配置方案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b w:val="0"/>
                <w:bCs/>
                <w:color w:val="auto"/>
                <w:sz w:val="24"/>
                <w:szCs w:val="24"/>
                <w:highlight w:val="none"/>
                <w:lang w:val="en-US" w:eastAsia="zh-CN"/>
              </w:rPr>
              <w:t>技术工艺方案（2分）；</w:t>
            </w:r>
            <w:r>
              <w:rPr>
                <w:rFonts w:hint="eastAsia" w:ascii="仿宋" w:hAnsi="仿宋" w:eastAsia="仿宋" w:cs="仿宋"/>
                <w:color w:val="auto"/>
                <w:kern w:val="0"/>
                <w:sz w:val="24"/>
                <w:szCs w:val="24"/>
                <w:highlight w:val="none"/>
              </w:rPr>
              <w:t>③</w:t>
            </w:r>
            <w:r>
              <w:rPr>
                <w:rFonts w:hint="eastAsia" w:ascii="仿宋" w:hAnsi="仿宋" w:eastAsia="仿宋" w:cs="仿宋"/>
                <w:b w:val="0"/>
                <w:bCs/>
                <w:color w:val="auto"/>
                <w:sz w:val="24"/>
                <w:szCs w:val="24"/>
                <w:highlight w:val="none"/>
                <w:lang w:val="en-US" w:eastAsia="zh-CN"/>
              </w:rPr>
              <w:t>设计方案：</w:t>
            </w:r>
            <w:r>
              <w:rPr>
                <w:rFonts w:hint="eastAsia" w:ascii="仿宋" w:hAnsi="仿宋" w:eastAsia="仿宋" w:cs="仿宋"/>
                <w:b w:val="0"/>
                <w:bCs/>
                <w:color w:val="auto"/>
                <w:sz w:val="24"/>
                <w:szCs w:val="24"/>
                <w:highlight w:val="none"/>
              </w:rPr>
              <w:t>包括所投产品的主要技术、结构、功能、特点、配置、操作说明等阐述</w:t>
            </w:r>
            <w:r>
              <w:rPr>
                <w:rFonts w:hint="eastAsia" w:ascii="仿宋" w:hAnsi="仿宋" w:eastAsia="仿宋" w:cs="仿宋"/>
                <w:b w:val="0"/>
                <w:bCs/>
                <w:color w:val="auto"/>
                <w:sz w:val="24"/>
                <w:szCs w:val="24"/>
                <w:highlight w:val="none"/>
                <w:lang w:val="en-US" w:eastAsia="zh-CN"/>
              </w:rPr>
              <w:t>（2分）。</w:t>
            </w:r>
          </w:p>
          <w:p w14:paraId="1261655F">
            <w:pPr>
              <w:pStyle w:val="966"/>
              <w:keepNext w:val="0"/>
              <w:keepLines w:val="0"/>
              <w:pageBreakBefore w:val="0"/>
              <w:kinsoku/>
              <w:wordWrap/>
              <w:overflowPunct/>
              <w:topLinePunct w:val="0"/>
              <w:autoSpaceDE w:val="0"/>
              <w:autoSpaceDN w:val="0"/>
              <w:bidi w:val="0"/>
              <w:snapToGrid/>
              <w:spacing w:line="264" w:lineRule="auto"/>
              <w:ind w:right="97"/>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内容完整全面、合理可行的得2分；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内容存在欠缺但相对完整、基本可行的得1分；③内容简单、可行性不高的得0.5分；④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A09E6CA">
            <w:pPr>
              <w:pStyle w:val="966"/>
              <w:keepNext w:val="0"/>
              <w:keepLines w:val="0"/>
              <w:pageBreakBefore w:val="0"/>
              <w:kinsoku/>
              <w:wordWrap/>
              <w:overflowPunct/>
              <w:topLinePunct w:val="0"/>
              <w:autoSpaceDE w:val="0"/>
              <w:autoSpaceDN w:val="0"/>
              <w:bidi w:val="0"/>
              <w:snapToGrid/>
              <w:spacing w:line="264" w:lineRule="auto"/>
              <w:ind w:right="97"/>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bidi="ar-SA"/>
              </w:rPr>
              <w:t>6</w:t>
            </w:r>
            <w:r>
              <w:rPr>
                <w:rFonts w:hint="eastAsia" w:ascii="仿宋" w:hAnsi="仿宋" w:eastAsia="仿宋" w:cs="仿宋"/>
                <w:b/>
                <w:bCs/>
                <w:color w:val="auto"/>
                <w:kern w:val="0"/>
                <w:sz w:val="24"/>
                <w:szCs w:val="24"/>
                <w:highlight w:val="none"/>
                <w:lang w:val="en-US" w:bidi="ar-SA"/>
              </w:rPr>
              <w:t>分</w:t>
            </w:r>
          </w:p>
        </w:tc>
      </w:tr>
      <w:tr w14:paraId="3A77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2" w:type="dxa"/>
            <w:noWrap w:val="0"/>
            <w:vAlign w:val="center"/>
          </w:tcPr>
          <w:p w14:paraId="766FD9E2">
            <w:pPr>
              <w:keepNext w:val="0"/>
              <w:keepLines w:val="0"/>
              <w:pageBreakBefore w:val="0"/>
              <w:widowControl/>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3.项目实施方案</w:t>
            </w:r>
          </w:p>
        </w:tc>
        <w:tc>
          <w:tcPr>
            <w:tcW w:w="8115" w:type="dxa"/>
            <w:noWrap w:val="0"/>
            <w:vAlign w:val="center"/>
          </w:tcPr>
          <w:p w14:paraId="76035B81">
            <w:pPr>
              <w:pStyle w:val="966"/>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sz w:val="24"/>
                <w:szCs w:val="24"/>
                <w:lang w:val="en-US" w:eastAsia="zh-CN"/>
              </w:rPr>
            </w:pPr>
            <w:r>
              <w:rPr>
                <w:rFonts w:hint="eastAsia" w:ascii="仿宋" w:hAnsi="仿宋" w:eastAsia="仿宋" w:cs="仿宋"/>
                <w:color w:val="auto"/>
                <w:kern w:val="0"/>
                <w:sz w:val="24"/>
                <w:szCs w:val="24"/>
                <w:highlight w:val="none"/>
                <w:lang w:val="en-US" w:bidi="ar-SA"/>
              </w:rPr>
              <w:t>根据投标人针对本次采购项目制定的详细实施方案</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sz w:val="24"/>
                <w:szCs w:val="24"/>
                <w:lang w:val="en-US" w:eastAsia="zh-CN"/>
              </w:rPr>
              <w:t>包含：</w:t>
            </w:r>
            <w:r>
              <w:rPr>
                <w:rFonts w:hint="eastAsia" w:ascii="仿宋" w:hAnsi="仿宋" w:eastAsia="仿宋" w:cs="仿宋"/>
                <w:color w:val="auto"/>
                <w:kern w:val="0"/>
                <w:sz w:val="24"/>
                <w:szCs w:val="24"/>
                <w:highlight w:val="none"/>
              </w:rPr>
              <w:t>①</w:t>
            </w:r>
            <w:r>
              <w:rPr>
                <w:rFonts w:hint="eastAsia" w:ascii="仿宋" w:hAnsi="仿宋" w:eastAsia="仿宋" w:cs="仿宋"/>
                <w:sz w:val="24"/>
                <w:szCs w:val="24"/>
                <w:lang w:val="en-US" w:eastAsia="zh-CN"/>
              </w:rPr>
              <w:t>项目实施人员计划安排（2分）；</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sz w:val="24"/>
                <w:szCs w:val="24"/>
                <w:lang w:val="en-US" w:eastAsia="zh-CN"/>
              </w:rPr>
              <w:t>实施进度安排（2分）；</w:t>
            </w:r>
            <w:r>
              <w:rPr>
                <w:rFonts w:hint="eastAsia" w:ascii="仿宋" w:hAnsi="仿宋" w:eastAsia="仿宋" w:cs="仿宋"/>
                <w:color w:val="auto"/>
                <w:kern w:val="0"/>
                <w:sz w:val="24"/>
                <w:szCs w:val="24"/>
                <w:highlight w:val="none"/>
              </w:rPr>
              <w:t>③</w:t>
            </w:r>
            <w:r>
              <w:rPr>
                <w:rFonts w:hint="eastAsia" w:ascii="仿宋" w:hAnsi="仿宋" w:eastAsia="仿宋" w:cs="仿宋"/>
                <w:sz w:val="24"/>
                <w:szCs w:val="24"/>
                <w:lang w:val="en-US" w:eastAsia="zh-CN"/>
              </w:rPr>
              <w:t>项目管理方案、项目保障方案（2分）。</w:t>
            </w:r>
          </w:p>
          <w:p w14:paraId="73696367">
            <w:pPr>
              <w:pStyle w:val="966"/>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内容完整全面、合理可行的得2分；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内容存在欠缺但相对完整、基本可行的得1分；③内容简单、可行性不高的得0.5分；④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3EAAD2C0">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32B8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2" w:type="dxa"/>
            <w:noWrap w:val="0"/>
            <w:vAlign w:val="center"/>
          </w:tcPr>
          <w:p w14:paraId="654E347B">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4.质量保证措施</w:t>
            </w:r>
          </w:p>
        </w:tc>
        <w:tc>
          <w:tcPr>
            <w:tcW w:w="8115" w:type="dxa"/>
            <w:noWrap w:val="0"/>
            <w:vAlign w:val="center"/>
          </w:tcPr>
          <w:p w14:paraId="36B2407C">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提供针对本项目质量保证的措施进行综合评审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val="en-US" w:eastAsia="zh-CN"/>
              </w:rPr>
              <w:t>质量管理制度与生产质量控制流程（3分）；</w:t>
            </w:r>
            <w:r>
              <w:rPr>
                <w:rFonts w:hint="eastAsia" w:ascii="仿宋" w:hAnsi="仿宋" w:eastAsia="仿宋" w:cs="仿宋"/>
                <w:color w:val="auto"/>
                <w:kern w:val="0"/>
                <w:sz w:val="24"/>
                <w:szCs w:val="24"/>
                <w:highlight w:val="none"/>
              </w:rPr>
              <w:t>②对采购需求</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响应情况</w:t>
            </w:r>
            <w:r>
              <w:rPr>
                <w:rFonts w:hint="eastAsia" w:ascii="仿宋" w:hAnsi="仿宋" w:eastAsia="仿宋" w:cs="仿宋"/>
                <w:color w:val="auto"/>
                <w:kern w:val="0"/>
                <w:sz w:val="24"/>
                <w:szCs w:val="24"/>
                <w:highlight w:val="none"/>
                <w:lang w:val="en-US" w:eastAsia="zh-CN"/>
              </w:rPr>
              <w:t>以及在紧急情况下的应对措施（3分）</w:t>
            </w:r>
            <w:r>
              <w:rPr>
                <w:rFonts w:hint="eastAsia" w:ascii="仿宋" w:hAnsi="仿宋" w:eastAsia="仿宋" w:cs="仿宋"/>
                <w:color w:val="auto"/>
                <w:kern w:val="0"/>
                <w:sz w:val="24"/>
                <w:szCs w:val="24"/>
                <w:highlight w:val="none"/>
              </w:rPr>
              <w:t>。</w:t>
            </w:r>
          </w:p>
          <w:p w14:paraId="6989650C">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内容完整全面、合理可行的得3分；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内容存在欠缺但相对完整、基本可行的得2分；③内容简单、可行性不高的得1分；④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5E5BAEA6">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5380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2" w:type="dxa"/>
            <w:noWrap w:val="0"/>
            <w:vAlign w:val="center"/>
          </w:tcPr>
          <w:p w14:paraId="42A265FA">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5.技术指标响应情况</w:t>
            </w:r>
          </w:p>
        </w:tc>
        <w:tc>
          <w:tcPr>
            <w:tcW w:w="8115" w:type="dxa"/>
            <w:noWrap w:val="0"/>
            <w:vAlign w:val="center"/>
          </w:tcPr>
          <w:p w14:paraId="390A2707">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评委根据投标人提供的技术参数要求是否满足招标文件技术参数要求情况打分。</w:t>
            </w:r>
          </w:p>
          <w:p w14:paraId="6976080B">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1.全部满足招标文件技术参数要求内容的得</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分。</w:t>
            </w:r>
          </w:p>
          <w:p w14:paraId="393A96EB">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2.带“▲”号标识的条款或要求为重要技术参数指标或者要求，每负偏离一项扣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分；其他技术指标或参数要求每负偏离一项扣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分，扣完为止。</w:t>
            </w:r>
          </w:p>
          <w:p w14:paraId="6C8D90A3">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（注：本项最高得</w:t>
            </w: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投标人应当在投标文件商务技术偏离表中注意对照采购需求进行投标响应；招标需求中有明确要求提供证明材料的（如有），应当根据要求提供，否则视为负偏离；未明确要求的，由评审专家根据投标人商务技术偏离表中的响应情况进行评定；如投标文件商务技术偏离表响应情况与投标文件中所提供的产品技术材料不一致时，以提供的产品技术材料为准。）</w:t>
            </w:r>
          </w:p>
        </w:tc>
        <w:tc>
          <w:tcPr>
            <w:tcW w:w="721" w:type="dxa"/>
            <w:noWrap w:val="0"/>
            <w:vAlign w:val="center"/>
          </w:tcPr>
          <w:p w14:paraId="22D0C8AD">
            <w:pPr>
              <w:pStyle w:val="36"/>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w:t>
            </w:r>
          </w:p>
        </w:tc>
      </w:tr>
      <w:tr w14:paraId="20B3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2" w:type="dxa"/>
            <w:noWrap w:val="0"/>
            <w:vAlign w:val="center"/>
          </w:tcPr>
          <w:p w14:paraId="0A5B536F">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6.拟投入人员情况</w:t>
            </w:r>
          </w:p>
        </w:tc>
        <w:tc>
          <w:tcPr>
            <w:tcW w:w="8115" w:type="dxa"/>
            <w:noWrap w:val="0"/>
            <w:vAlign w:val="center"/>
          </w:tcPr>
          <w:p w14:paraId="39DB43F7">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1、项目负责人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具备信息技术类专业高级职称证书</w:t>
            </w:r>
            <w:r>
              <w:rPr>
                <w:rFonts w:hint="eastAsia" w:ascii="仿宋" w:hAnsi="仿宋" w:eastAsia="仿宋" w:cs="仿宋"/>
                <w:color w:val="auto"/>
                <w:kern w:val="0"/>
                <w:sz w:val="24"/>
                <w:szCs w:val="24"/>
                <w:highlight w:val="none"/>
                <w:lang w:val="en-US" w:eastAsia="zh-CN"/>
              </w:rPr>
              <w:t>的得1分；具有</w:t>
            </w:r>
            <w:r>
              <w:rPr>
                <w:rFonts w:hint="eastAsia" w:ascii="仿宋" w:hAnsi="仿宋" w:eastAsia="仿宋" w:cs="仿宋"/>
                <w:color w:val="auto"/>
                <w:kern w:val="0"/>
                <w:sz w:val="24"/>
                <w:szCs w:val="24"/>
                <w:highlight w:val="none"/>
              </w:rPr>
              <w:t>信息系统项目管理师证书的得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本项最高得2分</w:t>
            </w:r>
            <w:r>
              <w:rPr>
                <w:rFonts w:hint="eastAsia" w:ascii="仿宋" w:hAnsi="仿宋" w:eastAsia="仿宋" w:cs="仿宋"/>
                <w:color w:val="auto"/>
                <w:kern w:val="0"/>
                <w:sz w:val="24"/>
                <w:szCs w:val="24"/>
                <w:highlight w:val="none"/>
              </w:rPr>
              <w:t>。</w:t>
            </w:r>
          </w:p>
          <w:p w14:paraId="7C6C59C7">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2、项目实施负责人（项目负责人除外）</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具备信息安全工程师</w:t>
            </w:r>
            <w:r>
              <w:rPr>
                <w:rFonts w:hint="eastAsia" w:ascii="仿宋" w:hAnsi="仿宋" w:eastAsia="仿宋" w:cs="仿宋"/>
                <w:color w:val="auto"/>
                <w:kern w:val="0"/>
                <w:sz w:val="24"/>
                <w:szCs w:val="24"/>
                <w:highlight w:val="none"/>
                <w:lang w:val="en-US" w:eastAsia="zh-CN"/>
              </w:rPr>
              <w:t>证书的得1分；具有</w:t>
            </w:r>
            <w:r>
              <w:rPr>
                <w:rFonts w:hint="eastAsia" w:ascii="仿宋" w:hAnsi="仿宋" w:eastAsia="仿宋" w:cs="仿宋"/>
                <w:color w:val="auto"/>
                <w:kern w:val="0"/>
                <w:sz w:val="24"/>
                <w:szCs w:val="24"/>
                <w:highlight w:val="none"/>
              </w:rPr>
              <w:t>信息系统管理工程师证书</w:t>
            </w:r>
            <w:r>
              <w:rPr>
                <w:rFonts w:hint="eastAsia" w:ascii="仿宋" w:hAnsi="仿宋" w:eastAsia="仿宋" w:cs="仿宋"/>
                <w:color w:val="auto"/>
                <w:kern w:val="0"/>
                <w:sz w:val="24"/>
                <w:szCs w:val="24"/>
                <w:highlight w:val="none"/>
                <w:lang w:val="en-US" w:eastAsia="zh-CN"/>
              </w:rPr>
              <w:t>的得1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本项最高得2分</w:t>
            </w:r>
            <w:r>
              <w:rPr>
                <w:rFonts w:hint="eastAsia" w:ascii="仿宋" w:hAnsi="仿宋" w:eastAsia="仿宋" w:cs="仿宋"/>
                <w:color w:val="auto"/>
                <w:kern w:val="0"/>
                <w:sz w:val="24"/>
                <w:szCs w:val="24"/>
                <w:highlight w:val="none"/>
              </w:rPr>
              <w:t>。</w:t>
            </w:r>
          </w:p>
          <w:p w14:paraId="521B6E88">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3、项目组成员</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（除项目负责人、项目实施负责人外）具备网络工程师证书、通信专业技术人员职业资格（互联网技术）证书、信息系统项目管理师证书的，每类证书得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分（同类证书多本或者一人多证的，均不累计计分）。</w:t>
            </w:r>
          </w:p>
          <w:p w14:paraId="3E5C37D4">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（注：需提供以上服务团队人员相关证书复印件以及投标人为其缴纳的近三个月内任意一个月的社保证明（社保缴纳证明以社保机构出具的社保证明为准），不提供或提供不全的相关项不得分。）</w:t>
            </w:r>
          </w:p>
        </w:tc>
        <w:tc>
          <w:tcPr>
            <w:tcW w:w="721" w:type="dxa"/>
            <w:noWrap w:val="0"/>
            <w:vAlign w:val="center"/>
          </w:tcPr>
          <w:p w14:paraId="53E6967E">
            <w:pPr>
              <w:keepNext w:val="0"/>
              <w:keepLines w:val="0"/>
              <w:pageBreakBefore w:val="0"/>
              <w:widowControl/>
              <w:kinsoku/>
              <w:wordWrap/>
              <w:overflowPunct/>
              <w:topLinePunct w:val="0"/>
              <w:autoSpaceDE w:val="0"/>
              <w:autoSpaceDN w:val="0"/>
              <w:bidi w:val="0"/>
              <w:snapToGrid/>
              <w:spacing w:line="264" w:lineRule="auto"/>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分</w:t>
            </w:r>
          </w:p>
        </w:tc>
      </w:tr>
      <w:tr w14:paraId="31E1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2" w:type="dxa"/>
            <w:noWrap w:val="0"/>
            <w:vAlign w:val="center"/>
          </w:tcPr>
          <w:p w14:paraId="1B04144D">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7.供货方案</w:t>
            </w:r>
          </w:p>
        </w:tc>
        <w:tc>
          <w:tcPr>
            <w:tcW w:w="8115" w:type="dxa"/>
            <w:noWrap w:val="0"/>
            <w:vAlign w:val="center"/>
          </w:tcPr>
          <w:p w14:paraId="68A330E4">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供货方案</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包括①</w:t>
            </w:r>
            <w:r>
              <w:rPr>
                <w:rFonts w:hint="eastAsia" w:ascii="仿宋" w:hAnsi="仿宋" w:eastAsia="仿宋" w:cs="仿宋"/>
                <w:color w:val="auto"/>
                <w:kern w:val="0"/>
                <w:sz w:val="24"/>
                <w:szCs w:val="24"/>
                <w:highlight w:val="none"/>
                <w:lang w:val="en-US" w:eastAsia="zh-CN"/>
              </w:rPr>
              <w:t>供货周期保障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运输保障方案（2分）；</w:t>
            </w: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lang w:val="en-US" w:eastAsia="zh-CN"/>
              </w:rPr>
              <w:t>紧急联络机制（2分）。</w:t>
            </w:r>
          </w:p>
          <w:p w14:paraId="1DE99EBC">
            <w:pPr>
              <w:keepNext w:val="0"/>
              <w:keepLines w:val="0"/>
              <w:pageBreakBefore w:val="0"/>
              <w:kinsoku/>
              <w:wordWrap/>
              <w:overflowPunct/>
              <w:topLinePunct w:val="0"/>
              <w:autoSpaceDE w:val="0"/>
              <w:autoSpaceDN w:val="0"/>
              <w:bidi w:val="0"/>
              <w:snapToGrid/>
              <w:spacing w:line="264"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内容完整全面、合理可行的得2分；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内容存在欠缺但相对完整、基本可行的得1分；③内容简单、可行性不高的得0.5分；④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2BB69007">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分</w:t>
            </w:r>
          </w:p>
        </w:tc>
      </w:tr>
      <w:tr w14:paraId="505A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2" w:type="dxa"/>
            <w:noWrap w:val="0"/>
            <w:vAlign w:val="center"/>
          </w:tcPr>
          <w:p w14:paraId="23DA8906">
            <w:pPr>
              <w:keepNext w:val="0"/>
              <w:keepLines w:val="0"/>
              <w:pageBreakBefore w:val="0"/>
              <w:kinsoku/>
              <w:wordWrap/>
              <w:overflowPunct/>
              <w:topLinePunct w:val="0"/>
              <w:autoSpaceDE w:val="0"/>
              <w:autoSpaceDN w:val="0"/>
              <w:bidi w:val="0"/>
              <w:snapToGrid/>
              <w:spacing w:line="264"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8.培训方案</w:t>
            </w:r>
          </w:p>
        </w:tc>
        <w:tc>
          <w:tcPr>
            <w:tcW w:w="8115" w:type="dxa"/>
            <w:noWrap w:val="0"/>
            <w:vAlign w:val="center"/>
          </w:tcPr>
          <w:p w14:paraId="21D67A79">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投标人针对</w:t>
            </w: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rPr>
              <w:t>的培训方案进行综合评审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包括①培训对象、课时内容安排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②师资力量安排，培训的形式等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p>
          <w:p w14:paraId="5ED0D0EB">
            <w:pPr>
              <w:keepNext w:val="0"/>
              <w:keepLines w:val="0"/>
              <w:pageBreakBefore w:val="0"/>
              <w:kinsoku/>
              <w:wordWrap/>
              <w:overflowPunct/>
              <w:topLinePunct w:val="0"/>
              <w:autoSpaceDE w:val="0"/>
              <w:autoSpaceDN w:val="0"/>
              <w:bidi w:val="0"/>
              <w:snapToGrid/>
              <w:spacing w:line="264" w:lineRule="auto"/>
              <w:jc w:val="left"/>
              <w:rPr>
                <w:rFonts w:hint="default"/>
                <w:sz w:val="24"/>
                <w:highlight w:val="none"/>
                <w:lang w:val="en-US" w:eastAsia="zh-CN"/>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0C8B3906">
            <w:pPr>
              <w:keepNext w:val="0"/>
              <w:keepLines w:val="0"/>
              <w:pageBreakBefore w:val="0"/>
              <w:kinsoku/>
              <w:wordWrap/>
              <w:overflowPunct/>
              <w:topLinePunct w:val="0"/>
              <w:autoSpaceDE w:val="0"/>
              <w:autoSpaceDN w:val="0"/>
              <w:bidi w:val="0"/>
              <w:snapToGrid/>
              <w:spacing w:line="264"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2分</w:t>
            </w:r>
          </w:p>
        </w:tc>
      </w:tr>
      <w:tr w14:paraId="4A3E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2" w:type="dxa"/>
            <w:noWrap w:val="0"/>
            <w:vAlign w:val="center"/>
          </w:tcPr>
          <w:p w14:paraId="78A5FEEA">
            <w:pPr>
              <w:pStyle w:val="36"/>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rPr>
              <w:t>.安装调试验收方案</w:t>
            </w:r>
          </w:p>
        </w:tc>
        <w:tc>
          <w:tcPr>
            <w:tcW w:w="8115" w:type="dxa"/>
            <w:noWrap w:val="0"/>
            <w:vAlign w:val="top"/>
          </w:tcPr>
          <w:p w14:paraId="56F1B589">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结合本项目特点，</w:t>
            </w:r>
            <w:r>
              <w:rPr>
                <w:rFonts w:hint="eastAsia" w:ascii="仿宋" w:hAnsi="仿宋" w:eastAsia="仿宋" w:cs="仿宋"/>
                <w:color w:val="auto"/>
                <w:kern w:val="0"/>
                <w:sz w:val="24"/>
                <w:szCs w:val="24"/>
                <w:highlight w:val="none"/>
                <w:lang w:val="en-US" w:eastAsia="zh-CN"/>
              </w:rPr>
              <w:t>针对投标人提供</w:t>
            </w:r>
            <w:r>
              <w:rPr>
                <w:rFonts w:hint="eastAsia" w:ascii="仿宋" w:hAnsi="仿宋" w:eastAsia="仿宋" w:cs="仿宋"/>
                <w:color w:val="auto"/>
                <w:kern w:val="0"/>
                <w:sz w:val="24"/>
                <w:szCs w:val="24"/>
                <w:highlight w:val="none"/>
              </w:rPr>
              <w:t>的安装调试</w:t>
            </w:r>
            <w:r>
              <w:rPr>
                <w:rFonts w:hint="eastAsia" w:ascii="仿宋" w:hAnsi="仿宋" w:eastAsia="仿宋" w:cs="仿宋"/>
                <w:color w:val="auto"/>
                <w:kern w:val="0"/>
                <w:sz w:val="24"/>
                <w:szCs w:val="24"/>
                <w:highlight w:val="none"/>
                <w:lang w:val="en-US" w:eastAsia="zh-CN"/>
              </w:rPr>
              <w:t>验收</w:t>
            </w:r>
            <w:r>
              <w:rPr>
                <w:rFonts w:hint="eastAsia" w:ascii="仿宋" w:hAnsi="仿宋" w:eastAsia="仿宋" w:cs="仿宋"/>
                <w:color w:val="auto"/>
                <w:kern w:val="0"/>
                <w:sz w:val="24"/>
                <w:szCs w:val="24"/>
                <w:highlight w:val="none"/>
              </w:rPr>
              <w:t>方案等进行综合评审，主要包括：①人员的安排</w:t>
            </w:r>
            <w:r>
              <w:rPr>
                <w:rFonts w:hint="eastAsia" w:ascii="仿宋" w:hAnsi="仿宋" w:eastAsia="仿宋" w:cs="仿宋"/>
                <w:color w:val="auto"/>
                <w:kern w:val="0"/>
                <w:sz w:val="24"/>
                <w:szCs w:val="24"/>
                <w:highlight w:val="none"/>
                <w:lang w:val="en-US" w:eastAsia="zh-CN"/>
              </w:rPr>
              <w:t>情况、</w:t>
            </w:r>
            <w:r>
              <w:rPr>
                <w:rFonts w:hint="eastAsia" w:ascii="仿宋" w:hAnsi="仿宋" w:eastAsia="仿宋" w:cs="仿宋"/>
                <w:color w:val="auto"/>
                <w:kern w:val="0"/>
                <w:sz w:val="24"/>
                <w:szCs w:val="24"/>
                <w:highlight w:val="none"/>
              </w:rPr>
              <w:t>时间进度的规划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②对设备的调试进度安排，调试的步骤、措施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③</w:t>
            </w:r>
            <w:r>
              <w:rPr>
                <w:rFonts w:hint="eastAsia" w:ascii="仿宋" w:hAnsi="仿宋" w:eastAsia="仿宋" w:cs="仿宋"/>
                <w:b w:val="0"/>
                <w:bCs/>
                <w:color w:val="auto"/>
                <w:sz w:val="24"/>
                <w:szCs w:val="24"/>
                <w:highlight w:val="none"/>
              </w:rPr>
              <w:t>验收保障方案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包括验收组织和协调等验收配合措施、验收反馈处理机制</w:t>
            </w:r>
            <w:r>
              <w:rPr>
                <w:rFonts w:hint="eastAsia" w:ascii="仿宋" w:hAnsi="仿宋" w:eastAsia="仿宋" w:cs="仿宋"/>
                <w:b w:val="0"/>
                <w:bCs/>
                <w:color w:val="auto"/>
                <w:sz w:val="24"/>
                <w:szCs w:val="24"/>
                <w:highlight w:val="none"/>
                <w:lang w:val="en-US" w:eastAsia="zh-CN"/>
              </w:rPr>
              <w:t>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④重点难点</w:t>
            </w:r>
            <w:r>
              <w:rPr>
                <w:rFonts w:hint="eastAsia" w:ascii="仿宋" w:hAnsi="仿宋" w:eastAsia="仿宋" w:cs="仿宋"/>
                <w:color w:val="auto"/>
                <w:kern w:val="0"/>
                <w:sz w:val="24"/>
                <w:szCs w:val="24"/>
                <w:highlight w:val="none"/>
                <w:lang w:val="en-US" w:eastAsia="zh-CN"/>
              </w:rPr>
              <w:t>以及</w:t>
            </w:r>
            <w:r>
              <w:rPr>
                <w:rFonts w:hint="eastAsia" w:ascii="仿宋" w:hAnsi="仿宋" w:eastAsia="仿宋" w:cs="仿宋"/>
                <w:color w:val="auto"/>
                <w:kern w:val="0"/>
                <w:sz w:val="24"/>
                <w:szCs w:val="24"/>
                <w:highlight w:val="none"/>
              </w:rPr>
              <w:t>问题的解决方案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49CDC467">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6495D002">
            <w:pPr>
              <w:pStyle w:val="36"/>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分</w:t>
            </w:r>
          </w:p>
        </w:tc>
      </w:tr>
      <w:tr w14:paraId="6141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2" w:type="dxa"/>
            <w:noWrap w:val="0"/>
            <w:vAlign w:val="center"/>
          </w:tcPr>
          <w:p w14:paraId="45E4216E">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rPr>
              <w:t>.售后服务</w:t>
            </w:r>
          </w:p>
        </w:tc>
        <w:tc>
          <w:tcPr>
            <w:tcW w:w="8115" w:type="dxa"/>
            <w:noWrap w:val="0"/>
            <w:vAlign w:val="center"/>
          </w:tcPr>
          <w:p w14:paraId="7E01E167">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结合本项目特点，对</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提供的运维保障及措施进行评分，包含但不限于：</w:t>
            </w:r>
          </w:p>
          <w:p w14:paraId="03EABC1F">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①质保期服务内容承诺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rPr>
              <w:t>；②响应方式、响应时间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rPr>
              <w:t>；③根据零部件、备品备件的</w:t>
            </w:r>
            <w:r>
              <w:rPr>
                <w:rFonts w:hint="eastAsia" w:ascii="仿宋" w:hAnsi="仿宋" w:eastAsia="仿宋" w:cs="仿宋"/>
                <w:color w:val="auto"/>
                <w:kern w:val="0"/>
                <w:sz w:val="24"/>
                <w:szCs w:val="24"/>
                <w:highlight w:val="none"/>
                <w:lang w:val="en-US" w:eastAsia="zh-CN"/>
              </w:rPr>
              <w:t>保障措施（1分）</w:t>
            </w:r>
            <w:r>
              <w:rPr>
                <w:rFonts w:hint="eastAsia" w:ascii="仿宋" w:hAnsi="仿宋" w:eastAsia="仿宋" w:cs="仿宋"/>
                <w:color w:val="auto"/>
                <w:kern w:val="0"/>
                <w:sz w:val="24"/>
                <w:szCs w:val="24"/>
                <w:highlight w:val="none"/>
              </w:rPr>
              <w:t>；④售后服务点设置情况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；⑤保修期外服务承诺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；⑥质保期外易损件的收费情况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p>
          <w:p w14:paraId="3A9CDCD5">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6EF9B3AF">
            <w:pPr>
              <w:pStyle w:val="966"/>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bidi="ar-SA"/>
              </w:rPr>
              <w:t>6分</w:t>
            </w:r>
          </w:p>
        </w:tc>
      </w:tr>
      <w:tr w14:paraId="705F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8" w:type="dxa"/>
            <w:gridSpan w:val="3"/>
            <w:noWrap w:val="0"/>
            <w:vAlign w:val="center"/>
          </w:tcPr>
          <w:p w14:paraId="2F0FBDBB">
            <w:pPr>
              <w:pStyle w:val="966"/>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若为联合体</w:t>
            </w:r>
            <w:r>
              <w:rPr>
                <w:rFonts w:hint="eastAsia" w:ascii="仿宋" w:hAnsi="仿宋" w:eastAsia="仿宋" w:cs="仿宋"/>
                <w:b/>
                <w:bCs/>
                <w:color w:val="auto"/>
                <w:kern w:val="0"/>
                <w:sz w:val="24"/>
                <w:szCs w:val="24"/>
                <w:highlight w:val="none"/>
                <w:lang w:val="en-US" w:eastAsia="zh-CN"/>
              </w:rPr>
              <w:t>参加</w:t>
            </w:r>
            <w:r>
              <w:rPr>
                <w:rFonts w:hint="eastAsia" w:ascii="仿宋" w:hAnsi="仿宋" w:eastAsia="仿宋" w:cs="仿宋"/>
                <w:b/>
                <w:bCs/>
                <w:color w:val="auto"/>
                <w:kern w:val="0"/>
                <w:sz w:val="24"/>
                <w:szCs w:val="24"/>
                <w:highlight w:val="none"/>
              </w:rPr>
              <w:t>投标</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联合体一方满足评分条件的，</w:t>
            </w:r>
            <w:r>
              <w:rPr>
                <w:rFonts w:hint="eastAsia" w:ascii="仿宋" w:hAnsi="仿宋" w:eastAsia="仿宋" w:cs="仿宋"/>
                <w:b/>
                <w:bCs/>
                <w:color w:val="auto"/>
                <w:kern w:val="0"/>
                <w:sz w:val="24"/>
                <w:szCs w:val="24"/>
                <w:highlight w:val="none"/>
              </w:rPr>
              <w:t>即</w:t>
            </w:r>
            <w:r>
              <w:rPr>
                <w:rFonts w:hint="eastAsia" w:ascii="仿宋" w:hAnsi="仿宋" w:eastAsia="仿宋" w:cs="仿宋"/>
                <w:b/>
                <w:bCs/>
                <w:color w:val="auto"/>
                <w:kern w:val="0"/>
                <w:sz w:val="24"/>
                <w:szCs w:val="24"/>
                <w:highlight w:val="none"/>
                <w:lang w:val="en-US" w:eastAsia="zh-CN"/>
              </w:rPr>
              <w:t>予以认可</w:t>
            </w:r>
            <w:r>
              <w:rPr>
                <w:rFonts w:hint="eastAsia" w:ascii="仿宋" w:hAnsi="仿宋" w:eastAsia="仿宋" w:cs="仿宋"/>
                <w:b/>
                <w:bCs/>
                <w:color w:val="auto"/>
                <w:kern w:val="0"/>
                <w:sz w:val="24"/>
                <w:szCs w:val="24"/>
                <w:highlight w:val="none"/>
              </w:rPr>
              <w:t>得分</w:t>
            </w:r>
            <w:r>
              <w:rPr>
                <w:rFonts w:hint="eastAsia" w:ascii="仿宋" w:hAnsi="仿宋" w:eastAsia="仿宋" w:cs="仿宋"/>
                <w:color w:val="auto"/>
                <w:kern w:val="0"/>
                <w:sz w:val="24"/>
                <w:szCs w:val="24"/>
                <w:highlight w:val="none"/>
                <w:lang w:eastAsia="zh-CN"/>
              </w:rPr>
              <w:t>。</w:t>
            </w:r>
          </w:p>
        </w:tc>
      </w:tr>
    </w:tbl>
    <w:p w14:paraId="1D0DB630">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p>
    <w:p w14:paraId="52681FB7">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标项2：</w:t>
      </w:r>
      <w:r>
        <w:rPr>
          <w:rFonts w:hint="eastAsia" w:ascii="仿宋" w:hAnsi="仿宋" w:eastAsia="仿宋" w:cs="仿宋"/>
          <w:color w:val="auto"/>
          <w:sz w:val="24"/>
          <w:szCs w:val="24"/>
          <w:highlight w:val="none"/>
          <w:lang w:val="en-US" w:eastAsia="zh-CN"/>
        </w:rPr>
        <w:t>应急消防救援装备</w:t>
      </w:r>
      <w:r>
        <w:rPr>
          <w:rFonts w:hint="eastAsia" w:ascii="仿宋" w:hAnsi="仿宋" w:eastAsia="仿宋" w:cs="仿宋"/>
          <w:color w:val="auto"/>
          <w:sz w:val="24"/>
          <w:highlight w:val="none"/>
          <w:lang w:val="en-US" w:eastAsia="zh-CN"/>
        </w:rPr>
        <w:t>（70分）</w:t>
      </w:r>
    </w:p>
    <w:tbl>
      <w:tblPr>
        <w:tblStyle w:val="65"/>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115"/>
        <w:gridCol w:w="721"/>
      </w:tblGrid>
      <w:tr w14:paraId="7FB2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09054E31">
            <w:pPr>
              <w:tabs>
                <w:tab w:val="left" w:pos="0"/>
              </w:tabs>
              <w:autoSpaceDE w:val="0"/>
              <w:autoSpaceDN w:val="0"/>
              <w:adjustRightInd w:val="0"/>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674E624D">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评分项目内容</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3F213A2">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0E4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64246675">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1.类似业绩</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554D7528">
            <w:pPr>
              <w:pStyle w:val="36"/>
              <w:keepNext w:val="0"/>
              <w:keepLines w:val="0"/>
              <w:pageBreakBefore w:val="0"/>
              <w:kinsoku/>
              <w:wordWrap/>
              <w:overflowPunct/>
              <w:topLinePunct w:val="0"/>
              <w:autoSpaceDE w:val="0"/>
              <w:autoSpaceDN w:val="0"/>
              <w:bidi w:val="0"/>
              <w:snapToGrid/>
              <w:spacing w:line="264" w:lineRule="auto"/>
              <w:ind w:firstLine="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 xml:space="preserve">年1月1日以来（以合同签订日期为准）承担过类似项目业绩，每提供一个得1分，最高得3分。 </w:t>
            </w:r>
            <w:r>
              <w:rPr>
                <w:rFonts w:hint="eastAsia" w:ascii="仿宋" w:hAnsi="仿宋" w:eastAsia="仿宋" w:cs="仿宋"/>
                <w:b/>
                <w:bCs/>
                <w:color w:val="auto"/>
                <w:kern w:val="0"/>
                <w:sz w:val="24"/>
                <w:szCs w:val="24"/>
                <w:highlight w:val="none"/>
              </w:rPr>
              <w:t>投标文件中提供合同扫描件加盖投标人公章</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若为联合体投标，任意一方有类似业绩即可得分。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A21EB48">
            <w:pPr>
              <w:pStyle w:val="36"/>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3分</w:t>
            </w:r>
          </w:p>
        </w:tc>
      </w:tr>
      <w:tr w14:paraId="32CA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right w:val="single" w:color="auto" w:sz="4" w:space="0"/>
            </w:tcBorders>
            <w:noWrap w:val="0"/>
            <w:vAlign w:val="center"/>
          </w:tcPr>
          <w:p w14:paraId="07B7334A">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2.项目总体理解</w:t>
            </w:r>
          </w:p>
        </w:tc>
        <w:tc>
          <w:tcPr>
            <w:tcW w:w="8115" w:type="dxa"/>
            <w:tcBorders>
              <w:top w:val="single" w:color="auto" w:sz="4" w:space="0"/>
              <w:left w:val="single" w:color="auto" w:sz="4" w:space="0"/>
              <w:bottom w:val="single" w:color="auto" w:sz="4" w:space="0"/>
              <w:right w:val="single" w:color="auto" w:sz="4" w:space="0"/>
            </w:tcBorders>
            <w:noWrap w:val="0"/>
            <w:vAlign w:val="top"/>
          </w:tcPr>
          <w:p w14:paraId="7E6BB8DC">
            <w:pPr>
              <w:pStyle w:val="966"/>
              <w:keepNext w:val="0"/>
              <w:keepLines w:val="0"/>
              <w:pageBreakBefore w:val="0"/>
              <w:kinsoku/>
              <w:wordWrap/>
              <w:overflowPunct/>
              <w:topLinePunct w:val="0"/>
              <w:autoSpaceDE w:val="0"/>
              <w:autoSpaceDN w:val="0"/>
              <w:bidi w:val="0"/>
              <w:snapToGrid/>
              <w:spacing w:line="264" w:lineRule="auto"/>
              <w:ind w:right="97"/>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0"/>
                <w:sz w:val="24"/>
                <w:szCs w:val="24"/>
                <w:highlight w:val="none"/>
                <w:lang w:val="en-US" w:bidi="ar-SA"/>
              </w:rPr>
              <w:t>根据投标</w:t>
            </w:r>
            <w:r>
              <w:rPr>
                <w:rFonts w:hint="eastAsia" w:ascii="仿宋" w:hAnsi="仿宋" w:eastAsia="仿宋" w:cs="仿宋"/>
                <w:color w:val="auto"/>
                <w:kern w:val="0"/>
                <w:sz w:val="24"/>
                <w:szCs w:val="24"/>
                <w:highlight w:val="none"/>
                <w:lang w:val="en-US" w:eastAsia="zh-CN" w:bidi="ar-SA"/>
              </w:rPr>
              <w:t>人</w:t>
            </w:r>
            <w:r>
              <w:rPr>
                <w:rFonts w:hint="eastAsia" w:ascii="仿宋" w:hAnsi="仿宋" w:eastAsia="仿宋" w:cs="仿宋"/>
                <w:color w:val="auto"/>
                <w:kern w:val="0"/>
                <w:sz w:val="24"/>
                <w:szCs w:val="24"/>
                <w:highlight w:val="none"/>
                <w:lang w:val="en-US" w:bidi="ar-SA"/>
              </w:rPr>
              <w:t>对本项目的总体理解</w:t>
            </w:r>
            <w:r>
              <w:rPr>
                <w:rFonts w:hint="eastAsia" w:ascii="仿宋" w:hAnsi="仿宋" w:eastAsia="仿宋" w:cs="仿宋"/>
                <w:color w:val="auto"/>
                <w:kern w:val="0"/>
                <w:sz w:val="24"/>
                <w:szCs w:val="24"/>
                <w:highlight w:val="none"/>
                <w:lang w:val="en-US" w:eastAsia="zh-CN" w:bidi="ar-SA"/>
              </w:rPr>
              <w:t>是否详细、全面、可行</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bidi="ar-SA"/>
              </w:rPr>
              <w:t>，包含以下要点：</w:t>
            </w:r>
            <w:r>
              <w:rPr>
                <w:rFonts w:hint="eastAsia" w:ascii="仿宋" w:hAnsi="仿宋" w:eastAsia="仿宋" w:cs="仿宋"/>
                <w:color w:val="auto"/>
                <w:kern w:val="0"/>
                <w:sz w:val="24"/>
                <w:szCs w:val="24"/>
                <w:highlight w:val="none"/>
              </w:rPr>
              <w:t>①</w:t>
            </w:r>
            <w:r>
              <w:rPr>
                <w:rFonts w:hint="eastAsia" w:ascii="仿宋" w:hAnsi="仿宋" w:eastAsia="仿宋" w:cs="仿宋"/>
                <w:b w:val="0"/>
                <w:bCs/>
                <w:color w:val="auto"/>
                <w:sz w:val="24"/>
                <w:szCs w:val="24"/>
                <w:highlight w:val="none"/>
              </w:rPr>
              <w:t>产品总体选型、配置方案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b w:val="0"/>
                <w:bCs/>
                <w:color w:val="auto"/>
                <w:sz w:val="24"/>
                <w:szCs w:val="24"/>
                <w:highlight w:val="none"/>
                <w:lang w:val="en-US" w:eastAsia="zh-CN"/>
              </w:rPr>
              <w:t>技术工艺方案（2分）；</w:t>
            </w:r>
            <w:r>
              <w:rPr>
                <w:rFonts w:hint="eastAsia" w:ascii="仿宋" w:hAnsi="仿宋" w:eastAsia="仿宋" w:cs="仿宋"/>
                <w:color w:val="auto"/>
                <w:kern w:val="0"/>
                <w:sz w:val="24"/>
                <w:szCs w:val="24"/>
                <w:highlight w:val="none"/>
              </w:rPr>
              <w:t>③</w:t>
            </w:r>
            <w:r>
              <w:rPr>
                <w:rFonts w:hint="eastAsia" w:ascii="仿宋" w:hAnsi="仿宋" w:eastAsia="仿宋" w:cs="仿宋"/>
                <w:b w:val="0"/>
                <w:bCs/>
                <w:color w:val="auto"/>
                <w:sz w:val="24"/>
                <w:szCs w:val="24"/>
                <w:highlight w:val="none"/>
                <w:lang w:val="en-US" w:eastAsia="zh-CN"/>
              </w:rPr>
              <w:t>设计方案：</w:t>
            </w:r>
            <w:r>
              <w:rPr>
                <w:rFonts w:hint="eastAsia" w:ascii="仿宋" w:hAnsi="仿宋" w:eastAsia="仿宋" w:cs="仿宋"/>
                <w:b w:val="0"/>
                <w:bCs/>
                <w:color w:val="auto"/>
                <w:sz w:val="24"/>
                <w:szCs w:val="24"/>
                <w:highlight w:val="none"/>
              </w:rPr>
              <w:t>包括所投产品的主要技术、结构、功能、特点、配置、操作说明等阐述</w:t>
            </w:r>
            <w:r>
              <w:rPr>
                <w:rFonts w:hint="eastAsia" w:ascii="仿宋" w:hAnsi="仿宋" w:eastAsia="仿宋" w:cs="仿宋"/>
                <w:b w:val="0"/>
                <w:bCs/>
                <w:color w:val="auto"/>
                <w:sz w:val="24"/>
                <w:szCs w:val="24"/>
                <w:highlight w:val="none"/>
                <w:lang w:val="en-US" w:eastAsia="zh-CN"/>
              </w:rPr>
              <w:t>（2分）。</w:t>
            </w:r>
          </w:p>
          <w:p w14:paraId="55C3A461">
            <w:pPr>
              <w:pStyle w:val="966"/>
              <w:keepNext w:val="0"/>
              <w:keepLines w:val="0"/>
              <w:pageBreakBefore w:val="0"/>
              <w:kinsoku/>
              <w:wordWrap/>
              <w:overflowPunct/>
              <w:topLinePunct w:val="0"/>
              <w:autoSpaceDE w:val="0"/>
              <w:autoSpaceDN w:val="0"/>
              <w:bidi w:val="0"/>
              <w:snapToGrid/>
              <w:spacing w:line="264" w:lineRule="auto"/>
              <w:ind w:right="97" w:rightChars="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内容完整全面、合理可行的得2分；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内容存在欠缺但相对完整、基本可行的得1分；③内容简单、可行性不高的得0.5分；④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34A052F">
            <w:pPr>
              <w:pStyle w:val="966"/>
              <w:keepNext w:val="0"/>
              <w:keepLines w:val="0"/>
              <w:pageBreakBefore w:val="0"/>
              <w:kinsoku/>
              <w:wordWrap/>
              <w:overflowPunct/>
              <w:topLinePunct w:val="0"/>
              <w:autoSpaceDE w:val="0"/>
              <w:autoSpaceDN w:val="0"/>
              <w:bidi w:val="0"/>
              <w:snapToGrid/>
              <w:spacing w:line="264" w:lineRule="auto"/>
              <w:ind w:right="97" w:rightChars="0"/>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bidi="ar-SA"/>
              </w:rPr>
              <w:t>6</w:t>
            </w:r>
            <w:r>
              <w:rPr>
                <w:rFonts w:hint="eastAsia" w:ascii="仿宋" w:hAnsi="仿宋" w:eastAsia="仿宋" w:cs="仿宋"/>
                <w:b/>
                <w:bCs/>
                <w:color w:val="auto"/>
                <w:kern w:val="0"/>
                <w:sz w:val="24"/>
                <w:szCs w:val="24"/>
                <w:highlight w:val="none"/>
                <w:lang w:val="en-US" w:bidi="ar-SA"/>
              </w:rPr>
              <w:t>分</w:t>
            </w:r>
          </w:p>
        </w:tc>
      </w:tr>
      <w:tr w14:paraId="047D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6F7FA671">
            <w:pPr>
              <w:keepNext w:val="0"/>
              <w:keepLines w:val="0"/>
              <w:pageBreakBefore w:val="0"/>
              <w:widowControl/>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3.项目实施方案</w:t>
            </w:r>
          </w:p>
        </w:tc>
        <w:tc>
          <w:tcPr>
            <w:tcW w:w="8115" w:type="dxa"/>
            <w:noWrap w:val="0"/>
            <w:vAlign w:val="center"/>
          </w:tcPr>
          <w:p w14:paraId="67C3E26A">
            <w:pPr>
              <w:pStyle w:val="966"/>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sz w:val="24"/>
                <w:szCs w:val="24"/>
                <w:lang w:val="en-US" w:eastAsia="zh-CN"/>
              </w:rPr>
            </w:pPr>
            <w:r>
              <w:rPr>
                <w:rFonts w:hint="eastAsia" w:ascii="仿宋" w:hAnsi="仿宋" w:eastAsia="仿宋" w:cs="仿宋"/>
                <w:color w:val="auto"/>
                <w:kern w:val="0"/>
                <w:sz w:val="24"/>
                <w:szCs w:val="24"/>
                <w:highlight w:val="none"/>
                <w:lang w:val="en-US" w:bidi="ar-SA"/>
              </w:rPr>
              <w:t>根据投标人针对本次采购项目制定的详细实施方案</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sz w:val="24"/>
                <w:szCs w:val="24"/>
                <w:lang w:val="en-US" w:eastAsia="zh-CN"/>
              </w:rPr>
              <w:t>包含：</w:t>
            </w:r>
            <w:r>
              <w:rPr>
                <w:rFonts w:hint="eastAsia" w:ascii="仿宋" w:hAnsi="仿宋" w:eastAsia="仿宋" w:cs="仿宋"/>
                <w:color w:val="auto"/>
                <w:kern w:val="0"/>
                <w:sz w:val="24"/>
                <w:szCs w:val="24"/>
                <w:highlight w:val="none"/>
              </w:rPr>
              <w:t>①</w:t>
            </w:r>
            <w:r>
              <w:rPr>
                <w:rFonts w:hint="eastAsia" w:ascii="仿宋" w:hAnsi="仿宋" w:eastAsia="仿宋" w:cs="仿宋"/>
                <w:sz w:val="24"/>
                <w:szCs w:val="24"/>
                <w:lang w:val="en-US" w:eastAsia="zh-CN"/>
              </w:rPr>
              <w:t>项目实施人员计划安排（2分）；</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sz w:val="24"/>
                <w:szCs w:val="24"/>
                <w:lang w:val="en-US" w:eastAsia="zh-CN"/>
              </w:rPr>
              <w:t>实施进度安排（2分）；</w:t>
            </w:r>
            <w:r>
              <w:rPr>
                <w:rFonts w:hint="eastAsia" w:ascii="仿宋" w:hAnsi="仿宋" w:eastAsia="仿宋" w:cs="仿宋"/>
                <w:color w:val="auto"/>
                <w:kern w:val="0"/>
                <w:sz w:val="24"/>
                <w:szCs w:val="24"/>
                <w:highlight w:val="none"/>
              </w:rPr>
              <w:t>③</w:t>
            </w:r>
            <w:r>
              <w:rPr>
                <w:rFonts w:hint="eastAsia" w:ascii="仿宋" w:hAnsi="仿宋" w:eastAsia="仿宋" w:cs="仿宋"/>
                <w:sz w:val="24"/>
                <w:szCs w:val="24"/>
                <w:lang w:val="en-US" w:eastAsia="zh-CN"/>
              </w:rPr>
              <w:t>项目管理方案、项目保障方案（2分）。</w:t>
            </w:r>
          </w:p>
          <w:p w14:paraId="7FB044BD">
            <w:pPr>
              <w:pStyle w:val="966"/>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内容完整全面、合理可行的得2分；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内容存在欠缺但相对完整、基本可行的得1分；③内容简单、可行性不高的得0.5分；④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1DFF5208">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1FE0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55DADCFF">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4.质量保证措施</w:t>
            </w:r>
          </w:p>
        </w:tc>
        <w:tc>
          <w:tcPr>
            <w:tcW w:w="8115" w:type="dxa"/>
            <w:noWrap w:val="0"/>
            <w:vAlign w:val="center"/>
          </w:tcPr>
          <w:p w14:paraId="4E6F7208">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提供针对本项目质量保证的措施进行综合评审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val="en-US" w:eastAsia="zh-CN"/>
              </w:rPr>
              <w:t>质量管理制度与生产质量控制流程（3分）；</w:t>
            </w:r>
            <w:r>
              <w:rPr>
                <w:rFonts w:hint="eastAsia" w:ascii="仿宋" w:hAnsi="仿宋" w:eastAsia="仿宋" w:cs="仿宋"/>
                <w:color w:val="auto"/>
                <w:kern w:val="0"/>
                <w:sz w:val="24"/>
                <w:szCs w:val="24"/>
                <w:highlight w:val="none"/>
              </w:rPr>
              <w:t>②对采购需求</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响应情况</w:t>
            </w:r>
            <w:r>
              <w:rPr>
                <w:rFonts w:hint="eastAsia" w:ascii="仿宋" w:hAnsi="仿宋" w:eastAsia="仿宋" w:cs="仿宋"/>
                <w:color w:val="auto"/>
                <w:kern w:val="0"/>
                <w:sz w:val="24"/>
                <w:szCs w:val="24"/>
                <w:highlight w:val="none"/>
                <w:lang w:val="en-US" w:eastAsia="zh-CN"/>
              </w:rPr>
              <w:t>以及在紧急情况下的应对措施（3分）</w:t>
            </w:r>
            <w:r>
              <w:rPr>
                <w:rFonts w:hint="eastAsia" w:ascii="仿宋" w:hAnsi="仿宋" w:eastAsia="仿宋" w:cs="仿宋"/>
                <w:color w:val="auto"/>
                <w:kern w:val="0"/>
                <w:sz w:val="24"/>
                <w:szCs w:val="24"/>
                <w:highlight w:val="none"/>
              </w:rPr>
              <w:t>。</w:t>
            </w:r>
          </w:p>
          <w:p w14:paraId="1B87B795">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内容完整全面、合理可行的得3分；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内容存在欠缺但相对完整、基本可行的得2分；③内容简单、可行性不高的得1分；④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0FD6D5AB">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256F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65BD3147">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5.技术指标响应情况</w:t>
            </w:r>
          </w:p>
        </w:tc>
        <w:tc>
          <w:tcPr>
            <w:tcW w:w="8115" w:type="dxa"/>
            <w:noWrap w:val="0"/>
            <w:vAlign w:val="center"/>
          </w:tcPr>
          <w:p w14:paraId="0C9623B3">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评委根据投标人提供的技术参数要求是否满足招标文件技术参数要求情况打分。</w:t>
            </w:r>
          </w:p>
          <w:p w14:paraId="053DB925">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1.全部满足招标文件技术参数要求内容的得</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分。</w:t>
            </w:r>
          </w:p>
          <w:p w14:paraId="24916B32">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2.带“▲”号标识的条款或要求为重要技术参数指标或者要求，每负偏离一项扣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分；其他技术指标或参数要求每负偏离一项扣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分，扣完为止。</w:t>
            </w:r>
          </w:p>
          <w:p w14:paraId="38836C03">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（注：本项最高得</w:t>
            </w: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投标人应当在投标文件商务技术偏离表中注意对照采购需求进行投标响应；招标需求中有明确要求提供证明材料的（如有），应当根据要求提供，否则视为负偏离；未明确要求的，由评审专家根据投标人商务技术偏离表中的响应情况进行评定；如投标文件商务技术偏离表响应情况与投标文件中所提供的产品技术材料不一致时，以提供的产品技术材料为准。）</w:t>
            </w:r>
          </w:p>
        </w:tc>
        <w:tc>
          <w:tcPr>
            <w:tcW w:w="721" w:type="dxa"/>
            <w:noWrap w:val="0"/>
            <w:vAlign w:val="center"/>
          </w:tcPr>
          <w:p w14:paraId="76FD0000">
            <w:pPr>
              <w:pStyle w:val="36"/>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w:t>
            </w:r>
          </w:p>
        </w:tc>
      </w:tr>
      <w:tr w14:paraId="6EA9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30E5D341">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6.拟投入人员情况</w:t>
            </w:r>
          </w:p>
        </w:tc>
        <w:tc>
          <w:tcPr>
            <w:tcW w:w="8115" w:type="dxa"/>
            <w:noWrap w:val="0"/>
            <w:vAlign w:val="center"/>
          </w:tcPr>
          <w:p w14:paraId="107C8B77">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根据投标人拟投入本项目的人员</w:t>
            </w:r>
            <w:r>
              <w:rPr>
                <w:rFonts w:hint="eastAsia" w:ascii="仿宋" w:hAnsi="仿宋" w:eastAsia="仿宋" w:cs="仿宋"/>
                <w:color w:val="auto"/>
                <w:kern w:val="0"/>
                <w:sz w:val="24"/>
                <w:szCs w:val="24"/>
                <w:highlight w:val="none"/>
                <w:lang w:val="en-US" w:eastAsia="zh-CN"/>
              </w:rPr>
              <w:t>情况</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eastAsia="zh-CN"/>
              </w:rPr>
              <w:t>：包括：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val="en-US" w:eastAsia="zh-CN"/>
              </w:rPr>
              <w:t>人员</w:t>
            </w:r>
            <w:r>
              <w:rPr>
                <w:rFonts w:hint="eastAsia" w:ascii="仿宋" w:hAnsi="仿宋" w:eastAsia="仿宋" w:cs="仿宋"/>
                <w:color w:val="auto"/>
                <w:kern w:val="0"/>
                <w:sz w:val="24"/>
                <w:szCs w:val="24"/>
                <w:highlight w:val="none"/>
              </w:rPr>
              <w:t>的专业技术能力</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②工作经验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③团队结构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④人员数量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⑤</w:t>
            </w:r>
            <w:r>
              <w:rPr>
                <w:rFonts w:hint="eastAsia" w:ascii="仿宋" w:hAnsi="仿宋" w:eastAsia="仿宋" w:cs="仿宋"/>
                <w:color w:val="auto"/>
                <w:kern w:val="0"/>
                <w:sz w:val="24"/>
                <w:szCs w:val="24"/>
                <w:highlight w:val="none"/>
                <w:lang w:val="en-US" w:eastAsia="zh-CN"/>
              </w:rPr>
              <w:t>应急响应能力（1分）。</w:t>
            </w:r>
          </w:p>
          <w:p w14:paraId="2AC2DFEE">
            <w:pPr>
              <w:keepNext w:val="0"/>
              <w:keepLines w:val="0"/>
              <w:pageBreakBefore w:val="0"/>
              <w:widowControl/>
              <w:kinsoku/>
              <w:wordWrap/>
              <w:overflowPunct/>
              <w:topLinePunct w:val="0"/>
              <w:autoSpaceDE w:val="0"/>
              <w:autoSpaceDN w:val="0"/>
              <w:bidi w:val="0"/>
              <w:snapToGrid/>
              <w:spacing w:line="264" w:lineRule="auto"/>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10026C33">
            <w:pPr>
              <w:keepNext w:val="0"/>
              <w:keepLines w:val="0"/>
              <w:pageBreakBefore w:val="0"/>
              <w:widowControl/>
              <w:kinsoku/>
              <w:wordWrap/>
              <w:overflowPunct/>
              <w:topLinePunct w:val="0"/>
              <w:autoSpaceDE w:val="0"/>
              <w:autoSpaceDN w:val="0"/>
              <w:bidi w:val="0"/>
              <w:snapToGrid/>
              <w:spacing w:line="264" w:lineRule="auto"/>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分</w:t>
            </w:r>
          </w:p>
        </w:tc>
      </w:tr>
      <w:tr w14:paraId="0632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634EA321">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7.供货方案</w:t>
            </w:r>
          </w:p>
        </w:tc>
        <w:tc>
          <w:tcPr>
            <w:tcW w:w="8115" w:type="dxa"/>
            <w:noWrap w:val="0"/>
            <w:vAlign w:val="center"/>
          </w:tcPr>
          <w:p w14:paraId="4EBA512A">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供货方案</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包括①</w:t>
            </w:r>
            <w:r>
              <w:rPr>
                <w:rFonts w:hint="eastAsia" w:ascii="仿宋" w:hAnsi="仿宋" w:eastAsia="仿宋" w:cs="仿宋"/>
                <w:color w:val="auto"/>
                <w:kern w:val="0"/>
                <w:sz w:val="24"/>
                <w:szCs w:val="24"/>
                <w:highlight w:val="none"/>
                <w:lang w:val="en-US" w:eastAsia="zh-CN"/>
              </w:rPr>
              <w:t>供货周期保障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运输保障方案（2分）；</w:t>
            </w: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lang w:val="en-US" w:eastAsia="zh-CN"/>
              </w:rPr>
              <w:t>紧急联络机制（2分）。</w:t>
            </w:r>
          </w:p>
          <w:p w14:paraId="4B0993C1">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内容完整全面、合理可行的得2分；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内容存在欠缺但相对完整、基本可行的得1分；③内容简单、可行性不高的得0.5分；④</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279867D6">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分</w:t>
            </w:r>
          </w:p>
        </w:tc>
      </w:tr>
      <w:tr w14:paraId="15AD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25DA934C">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8.培训方案</w:t>
            </w:r>
          </w:p>
        </w:tc>
        <w:tc>
          <w:tcPr>
            <w:tcW w:w="8115" w:type="dxa"/>
            <w:noWrap w:val="0"/>
            <w:vAlign w:val="center"/>
          </w:tcPr>
          <w:p w14:paraId="4A398237">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投标人针对</w:t>
            </w: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rPr>
              <w:t>的培训方案进行综合评审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包括①培训对象、课时内容安排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②师资力量安排，培训的形式等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p>
          <w:p w14:paraId="09D56FC0">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63EFF8BE">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2分</w:t>
            </w:r>
          </w:p>
        </w:tc>
      </w:tr>
      <w:tr w14:paraId="1425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1022FDD0">
            <w:pPr>
              <w:pStyle w:val="36"/>
              <w:keepNext w:val="0"/>
              <w:keepLines w:val="0"/>
              <w:pageBreakBefore w:val="0"/>
              <w:kinsoku/>
              <w:wordWrap/>
              <w:overflowPunct/>
              <w:topLinePunct w:val="0"/>
              <w:autoSpaceDE w:val="0"/>
              <w:autoSpaceDN w:val="0"/>
              <w:bidi w:val="0"/>
              <w:snapToGrid/>
              <w:spacing w:line="264" w:lineRule="auto"/>
              <w:ind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rPr>
              <w:t>.安装调试验收方案</w:t>
            </w:r>
          </w:p>
        </w:tc>
        <w:tc>
          <w:tcPr>
            <w:tcW w:w="8115" w:type="dxa"/>
            <w:noWrap w:val="0"/>
            <w:vAlign w:val="top"/>
          </w:tcPr>
          <w:p w14:paraId="539CCEC0">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结合本项目特点，</w:t>
            </w:r>
            <w:r>
              <w:rPr>
                <w:rFonts w:hint="eastAsia" w:ascii="仿宋" w:hAnsi="仿宋" w:eastAsia="仿宋" w:cs="仿宋"/>
                <w:color w:val="auto"/>
                <w:kern w:val="0"/>
                <w:sz w:val="24"/>
                <w:szCs w:val="24"/>
                <w:highlight w:val="none"/>
                <w:lang w:val="en-US" w:eastAsia="zh-CN"/>
              </w:rPr>
              <w:t>针对投标人提供</w:t>
            </w:r>
            <w:r>
              <w:rPr>
                <w:rFonts w:hint="eastAsia" w:ascii="仿宋" w:hAnsi="仿宋" w:eastAsia="仿宋" w:cs="仿宋"/>
                <w:color w:val="auto"/>
                <w:kern w:val="0"/>
                <w:sz w:val="24"/>
                <w:szCs w:val="24"/>
                <w:highlight w:val="none"/>
              </w:rPr>
              <w:t>的安装调试</w:t>
            </w:r>
            <w:r>
              <w:rPr>
                <w:rFonts w:hint="eastAsia" w:ascii="仿宋" w:hAnsi="仿宋" w:eastAsia="仿宋" w:cs="仿宋"/>
                <w:color w:val="auto"/>
                <w:kern w:val="0"/>
                <w:sz w:val="24"/>
                <w:szCs w:val="24"/>
                <w:highlight w:val="none"/>
                <w:lang w:val="en-US" w:eastAsia="zh-CN"/>
              </w:rPr>
              <w:t>验收</w:t>
            </w:r>
            <w:r>
              <w:rPr>
                <w:rFonts w:hint="eastAsia" w:ascii="仿宋" w:hAnsi="仿宋" w:eastAsia="仿宋" w:cs="仿宋"/>
                <w:color w:val="auto"/>
                <w:kern w:val="0"/>
                <w:sz w:val="24"/>
                <w:szCs w:val="24"/>
                <w:highlight w:val="none"/>
              </w:rPr>
              <w:t>方案等进行综合评审，主要包括：①人员的安排</w:t>
            </w:r>
            <w:r>
              <w:rPr>
                <w:rFonts w:hint="eastAsia" w:ascii="仿宋" w:hAnsi="仿宋" w:eastAsia="仿宋" w:cs="仿宋"/>
                <w:color w:val="auto"/>
                <w:kern w:val="0"/>
                <w:sz w:val="24"/>
                <w:szCs w:val="24"/>
                <w:highlight w:val="none"/>
                <w:lang w:val="en-US" w:eastAsia="zh-CN"/>
              </w:rPr>
              <w:t>情况、</w:t>
            </w:r>
            <w:r>
              <w:rPr>
                <w:rFonts w:hint="eastAsia" w:ascii="仿宋" w:hAnsi="仿宋" w:eastAsia="仿宋" w:cs="仿宋"/>
                <w:color w:val="auto"/>
                <w:kern w:val="0"/>
                <w:sz w:val="24"/>
                <w:szCs w:val="24"/>
                <w:highlight w:val="none"/>
              </w:rPr>
              <w:t>时间进度的规划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②对设备的调试进度安排，调试的步骤、措施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③</w:t>
            </w:r>
            <w:r>
              <w:rPr>
                <w:rFonts w:hint="eastAsia" w:ascii="仿宋" w:hAnsi="仿宋" w:eastAsia="仿宋" w:cs="仿宋"/>
                <w:b w:val="0"/>
                <w:bCs/>
                <w:color w:val="auto"/>
                <w:sz w:val="24"/>
                <w:szCs w:val="24"/>
                <w:highlight w:val="none"/>
              </w:rPr>
              <w:t>验收保障方案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包括验收组织和协调等验收配合措施、验收反馈处理机制</w:t>
            </w:r>
            <w:r>
              <w:rPr>
                <w:rFonts w:hint="eastAsia" w:ascii="仿宋" w:hAnsi="仿宋" w:eastAsia="仿宋" w:cs="仿宋"/>
                <w:b w:val="0"/>
                <w:bCs/>
                <w:color w:val="auto"/>
                <w:sz w:val="24"/>
                <w:szCs w:val="24"/>
                <w:highlight w:val="none"/>
                <w:lang w:val="en-US" w:eastAsia="zh-CN"/>
              </w:rPr>
              <w:t>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④重点难点</w:t>
            </w:r>
            <w:r>
              <w:rPr>
                <w:rFonts w:hint="eastAsia" w:ascii="仿宋" w:hAnsi="仿宋" w:eastAsia="仿宋" w:cs="仿宋"/>
                <w:color w:val="auto"/>
                <w:kern w:val="0"/>
                <w:sz w:val="24"/>
                <w:szCs w:val="24"/>
                <w:highlight w:val="none"/>
                <w:lang w:val="en-US" w:eastAsia="zh-CN"/>
              </w:rPr>
              <w:t>以及</w:t>
            </w:r>
            <w:r>
              <w:rPr>
                <w:rFonts w:hint="eastAsia" w:ascii="仿宋" w:hAnsi="仿宋" w:eastAsia="仿宋" w:cs="仿宋"/>
                <w:color w:val="auto"/>
                <w:kern w:val="0"/>
                <w:sz w:val="24"/>
                <w:szCs w:val="24"/>
                <w:highlight w:val="none"/>
              </w:rPr>
              <w:t>问题的解决方案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23A48E1C">
            <w:pPr>
              <w:pStyle w:val="36"/>
              <w:keepNext w:val="0"/>
              <w:keepLines w:val="0"/>
              <w:pageBreakBefore w:val="0"/>
              <w:kinsoku/>
              <w:wordWrap/>
              <w:overflowPunct/>
              <w:topLinePunct w:val="0"/>
              <w:autoSpaceDE w:val="0"/>
              <w:autoSpaceDN w:val="0"/>
              <w:bidi w:val="0"/>
              <w:snapToGrid/>
              <w:spacing w:line="264"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0A8205C1">
            <w:pPr>
              <w:pStyle w:val="36"/>
              <w:keepNext w:val="0"/>
              <w:keepLines w:val="0"/>
              <w:pageBreakBefore w:val="0"/>
              <w:kinsoku/>
              <w:wordWrap/>
              <w:overflowPunct/>
              <w:topLinePunct w:val="0"/>
              <w:autoSpaceDE w:val="0"/>
              <w:autoSpaceDN w:val="0"/>
              <w:bidi w:val="0"/>
              <w:snapToGrid/>
              <w:spacing w:line="264" w:lineRule="auto"/>
              <w:ind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分</w:t>
            </w:r>
          </w:p>
        </w:tc>
      </w:tr>
      <w:tr w14:paraId="1D03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728B1CB1">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rPr>
              <w:t>.售后服务</w:t>
            </w:r>
          </w:p>
        </w:tc>
        <w:tc>
          <w:tcPr>
            <w:tcW w:w="8115" w:type="dxa"/>
            <w:noWrap w:val="0"/>
            <w:vAlign w:val="center"/>
          </w:tcPr>
          <w:p w14:paraId="4DDCDA0E">
            <w:pPr>
              <w:pStyle w:val="36"/>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结合本项目特点，对</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提供的运维保障及措施进行综合评审，包含但不限于：①质保期服务内容承诺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rPr>
              <w:t>；②响应方式、响应时间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rPr>
              <w:t>；③根据零部件、备品备件的</w:t>
            </w:r>
            <w:r>
              <w:rPr>
                <w:rFonts w:hint="eastAsia" w:ascii="仿宋" w:hAnsi="仿宋" w:eastAsia="仿宋" w:cs="仿宋"/>
                <w:color w:val="auto"/>
                <w:kern w:val="0"/>
                <w:sz w:val="24"/>
                <w:szCs w:val="24"/>
                <w:highlight w:val="none"/>
                <w:lang w:val="en-US" w:eastAsia="zh-CN"/>
              </w:rPr>
              <w:t>保障措施（1分）</w:t>
            </w:r>
            <w:r>
              <w:rPr>
                <w:rFonts w:hint="eastAsia" w:ascii="仿宋" w:hAnsi="仿宋" w:eastAsia="仿宋" w:cs="仿宋"/>
                <w:color w:val="auto"/>
                <w:kern w:val="0"/>
                <w:sz w:val="24"/>
                <w:szCs w:val="24"/>
                <w:highlight w:val="none"/>
              </w:rPr>
              <w:t>；④售后服务点设置情况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；⑤保修期外服务承诺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；⑥质保期外易损件的收费情况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eastAsia="zh-CN"/>
              </w:rPr>
              <w:t>）；</w:t>
            </w:r>
          </w:p>
          <w:p w14:paraId="2F829682">
            <w:pPr>
              <w:pStyle w:val="36"/>
              <w:keepNext w:val="0"/>
              <w:keepLines w:val="0"/>
              <w:pageBreakBefore w:val="0"/>
              <w:kinsoku/>
              <w:wordWrap/>
              <w:overflowPunct/>
              <w:topLinePunct w:val="0"/>
              <w:autoSpaceDE w:val="0"/>
              <w:autoSpaceDN w:val="0"/>
              <w:bidi w:val="0"/>
              <w:snapToGrid/>
              <w:spacing w:line="264" w:lineRule="auto"/>
              <w:ind w:firstLine="0" w:firstLineChars="0"/>
              <w:jc w:val="left"/>
              <w:rPr>
                <w:rFonts w:hint="eastAsia" w:ascii="仿宋" w:hAnsi="仿宋" w:eastAsia="仿宋" w:cs="仿宋"/>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rPr>
              <w:t>注：以上每小项：</w:t>
            </w:r>
            <w:r>
              <w:rPr>
                <w:rFonts w:hint="default" w:ascii="仿宋" w:hAnsi="仿宋" w:eastAsia="仿宋" w:cs="仿宋"/>
                <w:b/>
                <w:bCs/>
                <w:color w:val="auto"/>
                <w:kern w:val="0"/>
                <w:sz w:val="24"/>
                <w:szCs w:val="24"/>
                <w:highlight w:val="none"/>
                <w:lang w:val="en-US" w:eastAsia="zh-CN"/>
              </w:rPr>
              <w:t>①</w:t>
            </w:r>
            <w:r>
              <w:rPr>
                <w:rFonts w:hint="eastAsia" w:ascii="仿宋" w:hAnsi="仿宋" w:eastAsia="仿宋" w:cs="仿宋"/>
                <w:b/>
                <w:bCs/>
                <w:color w:val="auto"/>
                <w:kern w:val="0"/>
                <w:sz w:val="24"/>
                <w:szCs w:val="24"/>
                <w:highlight w:val="none"/>
                <w:lang w:val="en-US" w:eastAsia="zh-CN"/>
              </w:rPr>
              <w:t>内容完整全面、合理可行的得1分；</w:t>
            </w:r>
            <w:r>
              <w:rPr>
                <w:rFonts w:hint="default"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lang w:val="en-US" w:eastAsia="zh-CN"/>
              </w:rPr>
              <w:t>内容简单、可行性不高的得0.5分；③</w:t>
            </w:r>
            <w:r>
              <w:rPr>
                <w:rFonts w:hint="eastAsia" w:ascii="仿宋" w:hAnsi="仿宋" w:eastAsia="仿宋" w:cs="仿宋"/>
                <w:b/>
                <w:bCs/>
                <w:color w:val="auto"/>
                <w:kern w:val="0"/>
                <w:sz w:val="24"/>
                <w:szCs w:val="24"/>
                <w:highlight w:val="none"/>
                <w:lang w:val="zh-CN" w:eastAsia="zh-CN"/>
              </w:rPr>
              <w:t>未提供相关</w:t>
            </w:r>
            <w:r>
              <w:rPr>
                <w:rFonts w:hint="eastAsia" w:ascii="仿宋" w:hAnsi="仿宋" w:eastAsia="仿宋" w:cs="仿宋"/>
                <w:b/>
                <w:bCs/>
                <w:color w:val="auto"/>
                <w:kern w:val="0"/>
                <w:sz w:val="24"/>
                <w:szCs w:val="24"/>
                <w:highlight w:val="none"/>
                <w:lang w:val="en-US" w:eastAsia="zh-CN"/>
              </w:rPr>
              <w:t>内容</w:t>
            </w:r>
            <w:r>
              <w:rPr>
                <w:rFonts w:hint="eastAsia" w:ascii="仿宋" w:hAnsi="仿宋" w:eastAsia="仿宋" w:cs="仿宋"/>
                <w:b/>
                <w:bCs/>
                <w:color w:val="auto"/>
                <w:kern w:val="0"/>
                <w:sz w:val="24"/>
                <w:szCs w:val="24"/>
                <w:highlight w:val="none"/>
                <w:lang w:val="zh-CN" w:eastAsia="zh-CN"/>
              </w:rPr>
              <w:t>或与项目不符的不得分</w:t>
            </w:r>
            <w:r>
              <w:rPr>
                <w:rFonts w:hint="eastAsia" w:ascii="仿宋" w:hAnsi="仿宋" w:eastAsia="仿宋" w:cs="仿宋"/>
                <w:b/>
                <w:bCs/>
                <w:color w:val="auto"/>
                <w:kern w:val="0"/>
                <w:sz w:val="24"/>
                <w:szCs w:val="24"/>
                <w:highlight w:val="none"/>
                <w:lang w:val="en-US" w:eastAsia="zh-CN"/>
              </w:rPr>
              <w:t>。</w:t>
            </w:r>
          </w:p>
        </w:tc>
        <w:tc>
          <w:tcPr>
            <w:tcW w:w="721" w:type="dxa"/>
            <w:noWrap w:val="0"/>
            <w:vAlign w:val="center"/>
          </w:tcPr>
          <w:p w14:paraId="739C51DE">
            <w:pPr>
              <w:pStyle w:val="966"/>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bidi="ar-SA"/>
              </w:rPr>
              <w:t>6分</w:t>
            </w:r>
          </w:p>
        </w:tc>
      </w:tr>
      <w:tr w14:paraId="3FDE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8" w:type="dxa"/>
            <w:gridSpan w:val="3"/>
            <w:noWrap w:val="0"/>
            <w:vAlign w:val="center"/>
          </w:tcPr>
          <w:p w14:paraId="1D1C0F59">
            <w:pPr>
              <w:pStyle w:val="966"/>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若为联合体</w:t>
            </w:r>
            <w:r>
              <w:rPr>
                <w:rFonts w:hint="eastAsia" w:ascii="仿宋" w:hAnsi="仿宋" w:eastAsia="仿宋" w:cs="仿宋"/>
                <w:b/>
                <w:bCs/>
                <w:color w:val="auto"/>
                <w:kern w:val="0"/>
                <w:sz w:val="24"/>
                <w:szCs w:val="24"/>
                <w:highlight w:val="none"/>
                <w:lang w:val="en-US" w:eastAsia="zh-CN"/>
              </w:rPr>
              <w:t>参加</w:t>
            </w:r>
            <w:r>
              <w:rPr>
                <w:rFonts w:hint="eastAsia" w:ascii="仿宋" w:hAnsi="仿宋" w:eastAsia="仿宋" w:cs="仿宋"/>
                <w:b/>
                <w:bCs/>
                <w:color w:val="auto"/>
                <w:kern w:val="0"/>
                <w:sz w:val="24"/>
                <w:szCs w:val="24"/>
                <w:highlight w:val="none"/>
              </w:rPr>
              <w:t>投标</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联合体一方满足评分条件的，</w:t>
            </w:r>
            <w:r>
              <w:rPr>
                <w:rFonts w:hint="eastAsia" w:ascii="仿宋" w:hAnsi="仿宋" w:eastAsia="仿宋" w:cs="仿宋"/>
                <w:b/>
                <w:bCs/>
                <w:color w:val="auto"/>
                <w:kern w:val="0"/>
                <w:sz w:val="24"/>
                <w:szCs w:val="24"/>
                <w:highlight w:val="none"/>
              </w:rPr>
              <w:t>即</w:t>
            </w:r>
            <w:r>
              <w:rPr>
                <w:rFonts w:hint="eastAsia" w:ascii="仿宋" w:hAnsi="仿宋" w:eastAsia="仿宋" w:cs="仿宋"/>
                <w:b/>
                <w:bCs/>
                <w:color w:val="auto"/>
                <w:kern w:val="0"/>
                <w:sz w:val="24"/>
                <w:szCs w:val="24"/>
                <w:highlight w:val="none"/>
                <w:lang w:val="en-US" w:eastAsia="zh-CN"/>
              </w:rPr>
              <w:t>予以认可</w:t>
            </w:r>
            <w:r>
              <w:rPr>
                <w:rFonts w:hint="eastAsia" w:ascii="仿宋" w:hAnsi="仿宋" w:eastAsia="仿宋" w:cs="仿宋"/>
                <w:b/>
                <w:bCs/>
                <w:color w:val="auto"/>
                <w:kern w:val="0"/>
                <w:sz w:val="24"/>
                <w:szCs w:val="24"/>
                <w:highlight w:val="none"/>
              </w:rPr>
              <w:t>得分</w:t>
            </w:r>
            <w:r>
              <w:rPr>
                <w:rFonts w:hint="eastAsia" w:ascii="仿宋" w:hAnsi="仿宋" w:eastAsia="仿宋" w:cs="仿宋"/>
                <w:color w:val="auto"/>
                <w:kern w:val="0"/>
                <w:sz w:val="24"/>
                <w:szCs w:val="24"/>
                <w:highlight w:val="none"/>
                <w:lang w:eastAsia="zh-CN"/>
              </w:rPr>
              <w:t>。</w:t>
            </w:r>
          </w:p>
        </w:tc>
      </w:tr>
    </w:tbl>
    <w:p w14:paraId="6010904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通过资格评审和符合性评审的</w:t>
      </w:r>
      <w:r>
        <w:rPr>
          <w:rFonts w:hint="eastAsia" w:ascii="仿宋" w:hAnsi="仿宋" w:eastAsia="仿宋" w:cs="仿宋"/>
          <w:b/>
          <w:bCs/>
          <w:color w:val="auto"/>
          <w:kern w:val="2"/>
          <w:sz w:val="24"/>
          <w:szCs w:val="24"/>
        </w:rPr>
        <w:t>供应商</w:t>
      </w:r>
      <w:r>
        <w:rPr>
          <w:rFonts w:hint="eastAsia" w:ascii="仿宋" w:hAnsi="仿宋" w:eastAsia="仿宋" w:cs="仿宋"/>
          <w:b/>
          <w:color w:val="auto"/>
          <w:sz w:val="24"/>
          <w:szCs w:val="24"/>
        </w:rPr>
        <w:t>全部入围进行商务评审。</w:t>
      </w:r>
    </w:p>
    <w:p w14:paraId="5F1ABD9D">
      <w:pPr>
        <w:keepNext w:val="0"/>
        <w:keepLines w:val="0"/>
        <w:pageBreakBefore w:val="0"/>
        <w:widowControl w:val="0"/>
        <w:kinsoku/>
        <w:wordWrap/>
        <w:overflowPunct/>
        <w:topLinePunct w:val="0"/>
        <w:bidi w:val="0"/>
        <w:snapToGrid/>
        <w:spacing w:line="24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highlight w:val="none"/>
        </w:rPr>
        <w:t>本次评审有效投标人全部入围再进行商务评审。</w:t>
      </w:r>
    </w:p>
    <w:p w14:paraId="25C4FBA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color w:val="auto"/>
          <w:kern w:val="1"/>
          <w:sz w:val="24"/>
          <w:szCs w:val="24"/>
          <w:highlight w:val="none"/>
          <w:u w:val="singl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color w:val="auto"/>
          <w:kern w:val="1"/>
          <w:sz w:val="24"/>
          <w:szCs w:val="24"/>
          <w:highlight w:val="none"/>
          <w:u w:val="single"/>
        </w:rPr>
        <w:t>特别说明</w:t>
      </w:r>
    </w:p>
    <w:p w14:paraId="51BBAA1E">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color w:val="auto"/>
          <w:kern w:val="1"/>
          <w:sz w:val="24"/>
          <w:szCs w:val="24"/>
          <w:highlight w:val="none"/>
          <w:u w:val="single"/>
        </w:rPr>
      </w:pPr>
      <w:r>
        <w:rPr>
          <w:rFonts w:hint="eastAsia" w:ascii="仿宋" w:hAnsi="仿宋" w:eastAsia="仿宋" w:cs="仿宋"/>
          <w:b/>
          <w:color w:val="auto"/>
          <w:kern w:val="1"/>
          <w:sz w:val="24"/>
          <w:szCs w:val="24"/>
          <w:highlight w:val="none"/>
          <w:u w:val="single"/>
          <w:lang w:val="en-US" w:eastAsia="zh-CN"/>
        </w:rPr>
        <w:t>4.</w:t>
      </w:r>
      <w:r>
        <w:rPr>
          <w:rFonts w:hint="eastAsia" w:ascii="仿宋" w:hAnsi="仿宋" w:eastAsia="仿宋" w:cs="仿宋"/>
          <w:b/>
          <w:color w:val="auto"/>
          <w:kern w:val="1"/>
          <w:sz w:val="24"/>
          <w:szCs w:val="24"/>
          <w:highlight w:val="none"/>
          <w:u w:val="single"/>
        </w:rPr>
        <w:t>本项目共</w:t>
      </w:r>
      <w:r>
        <w:rPr>
          <w:rFonts w:hint="eastAsia" w:ascii="仿宋" w:hAnsi="仿宋" w:eastAsia="仿宋" w:cs="仿宋"/>
          <w:b/>
          <w:color w:val="auto"/>
          <w:kern w:val="1"/>
          <w:sz w:val="24"/>
          <w:szCs w:val="24"/>
          <w:highlight w:val="none"/>
          <w:u w:val="single"/>
          <w:lang w:val="en-US" w:eastAsia="zh-CN"/>
        </w:rPr>
        <w:t>二</w:t>
      </w:r>
      <w:r>
        <w:rPr>
          <w:rFonts w:hint="eastAsia" w:ascii="仿宋" w:hAnsi="仿宋" w:eastAsia="仿宋" w:cs="仿宋"/>
          <w:b/>
          <w:color w:val="auto"/>
          <w:kern w:val="1"/>
          <w:sz w:val="24"/>
          <w:szCs w:val="24"/>
          <w:highlight w:val="none"/>
          <w:u w:val="single"/>
        </w:rPr>
        <w:t>个标</w:t>
      </w:r>
      <w:r>
        <w:rPr>
          <w:rFonts w:hint="eastAsia" w:ascii="仿宋" w:hAnsi="仿宋" w:eastAsia="仿宋" w:cs="仿宋"/>
          <w:b/>
          <w:color w:val="auto"/>
          <w:kern w:val="1"/>
          <w:sz w:val="24"/>
          <w:szCs w:val="24"/>
          <w:highlight w:val="none"/>
          <w:u w:val="single"/>
          <w:lang w:val="en-US" w:eastAsia="zh-CN"/>
        </w:rPr>
        <w:t>项</w:t>
      </w:r>
      <w:r>
        <w:rPr>
          <w:rFonts w:hint="eastAsia" w:ascii="仿宋" w:hAnsi="仿宋" w:eastAsia="仿宋" w:cs="仿宋"/>
          <w:b/>
          <w:color w:val="auto"/>
          <w:kern w:val="1"/>
          <w:sz w:val="24"/>
          <w:szCs w:val="24"/>
          <w:highlight w:val="none"/>
          <w:u w:val="single"/>
        </w:rPr>
        <w:t>，投标人可以选择多个标</w:t>
      </w:r>
      <w:r>
        <w:rPr>
          <w:rFonts w:hint="eastAsia" w:ascii="仿宋" w:hAnsi="仿宋" w:eastAsia="仿宋" w:cs="仿宋"/>
          <w:b/>
          <w:color w:val="auto"/>
          <w:kern w:val="1"/>
          <w:sz w:val="24"/>
          <w:szCs w:val="24"/>
          <w:highlight w:val="none"/>
          <w:u w:val="single"/>
          <w:lang w:val="en-US" w:eastAsia="zh-CN"/>
        </w:rPr>
        <w:t>项</w:t>
      </w:r>
      <w:r>
        <w:rPr>
          <w:rFonts w:hint="eastAsia" w:ascii="仿宋" w:hAnsi="仿宋" w:eastAsia="仿宋" w:cs="仿宋"/>
          <w:b/>
          <w:color w:val="auto"/>
          <w:kern w:val="1"/>
          <w:sz w:val="24"/>
          <w:szCs w:val="24"/>
          <w:highlight w:val="none"/>
          <w:u w:val="single"/>
        </w:rPr>
        <w:t>投标，技术商务评分汇总从标</w:t>
      </w:r>
      <w:r>
        <w:rPr>
          <w:rFonts w:hint="eastAsia" w:ascii="仿宋" w:hAnsi="仿宋" w:eastAsia="仿宋" w:cs="仿宋"/>
          <w:b/>
          <w:color w:val="auto"/>
          <w:kern w:val="1"/>
          <w:sz w:val="24"/>
          <w:szCs w:val="24"/>
          <w:highlight w:val="none"/>
          <w:u w:val="single"/>
          <w:lang w:val="en-US" w:eastAsia="zh-CN"/>
        </w:rPr>
        <w:t>项一</w:t>
      </w:r>
      <w:r>
        <w:rPr>
          <w:rFonts w:hint="eastAsia" w:ascii="仿宋" w:hAnsi="仿宋" w:eastAsia="仿宋" w:cs="仿宋"/>
          <w:b/>
          <w:color w:val="auto"/>
          <w:kern w:val="1"/>
          <w:sz w:val="24"/>
          <w:szCs w:val="24"/>
          <w:highlight w:val="none"/>
          <w:u w:val="single"/>
        </w:rPr>
        <w:t>到标</w:t>
      </w:r>
      <w:r>
        <w:rPr>
          <w:rFonts w:hint="eastAsia" w:ascii="仿宋" w:hAnsi="仿宋" w:eastAsia="仿宋" w:cs="仿宋"/>
          <w:b/>
          <w:color w:val="auto"/>
          <w:kern w:val="1"/>
          <w:sz w:val="24"/>
          <w:szCs w:val="24"/>
          <w:highlight w:val="none"/>
          <w:u w:val="single"/>
          <w:lang w:val="en-US" w:eastAsia="zh-CN"/>
        </w:rPr>
        <w:t>项三</w:t>
      </w:r>
      <w:r>
        <w:rPr>
          <w:rFonts w:hint="eastAsia" w:ascii="仿宋" w:hAnsi="仿宋" w:eastAsia="仿宋" w:cs="仿宋"/>
          <w:b/>
          <w:color w:val="auto"/>
          <w:kern w:val="1"/>
          <w:sz w:val="24"/>
          <w:szCs w:val="24"/>
          <w:highlight w:val="none"/>
          <w:u w:val="single"/>
        </w:rPr>
        <w:t>的顺序进行；</w:t>
      </w:r>
    </w:p>
    <w:p w14:paraId="5C8870C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color w:val="auto"/>
          <w:kern w:val="1"/>
          <w:sz w:val="24"/>
          <w:szCs w:val="24"/>
          <w:highlight w:val="none"/>
          <w:u w:val="single"/>
        </w:rPr>
      </w:pPr>
      <w:r>
        <w:rPr>
          <w:rFonts w:hint="eastAsia" w:ascii="仿宋" w:hAnsi="仿宋" w:eastAsia="仿宋" w:cs="仿宋"/>
          <w:b/>
          <w:color w:val="auto"/>
          <w:kern w:val="1"/>
          <w:sz w:val="24"/>
          <w:szCs w:val="24"/>
          <w:highlight w:val="none"/>
          <w:u w:val="single"/>
          <w:lang w:val="en-US" w:eastAsia="zh-CN"/>
        </w:rPr>
        <w:t>5.</w:t>
      </w:r>
      <w:r>
        <w:rPr>
          <w:rFonts w:hint="eastAsia" w:ascii="仿宋" w:hAnsi="仿宋" w:eastAsia="仿宋" w:cs="仿宋"/>
          <w:b/>
          <w:color w:val="auto"/>
          <w:kern w:val="1"/>
          <w:sz w:val="24"/>
          <w:szCs w:val="24"/>
          <w:highlight w:val="none"/>
          <w:u w:val="single"/>
        </w:rPr>
        <w:t>各标</w:t>
      </w:r>
      <w:r>
        <w:rPr>
          <w:rFonts w:hint="eastAsia" w:ascii="仿宋" w:hAnsi="仿宋" w:eastAsia="仿宋" w:cs="仿宋"/>
          <w:b/>
          <w:color w:val="auto"/>
          <w:kern w:val="1"/>
          <w:sz w:val="24"/>
          <w:szCs w:val="24"/>
          <w:highlight w:val="none"/>
          <w:u w:val="single"/>
          <w:lang w:val="en-US" w:eastAsia="zh-CN"/>
        </w:rPr>
        <w:t>项</w:t>
      </w:r>
      <w:r>
        <w:rPr>
          <w:rFonts w:hint="eastAsia" w:ascii="仿宋" w:hAnsi="仿宋" w:eastAsia="仿宋" w:cs="仿宋"/>
          <w:b/>
          <w:color w:val="auto"/>
          <w:kern w:val="1"/>
          <w:sz w:val="24"/>
          <w:szCs w:val="24"/>
          <w:highlight w:val="none"/>
          <w:u w:val="single"/>
        </w:rPr>
        <w:t>有效投标人</w:t>
      </w:r>
      <w:r>
        <w:rPr>
          <w:rFonts w:hint="eastAsia" w:ascii="仿宋" w:hAnsi="仿宋" w:eastAsia="仿宋" w:cs="仿宋"/>
          <w:b/>
          <w:color w:val="auto"/>
          <w:kern w:val="1"/>
          <w:sz w:val="24"/>
          <w:szCs w:val="24"/>
          <w:highlight w:val="none"/>
          <w:u w:val="single"/>
          <w:lang w:val="en-US" w:eastAsia="zh-CN"/>
        </w:rPr>
        <w:t>三</w:t>
      </w:r>
      <w:r>
        <w:rPr>
          <w:rFonts w:hint="eastAsia" w:ascii="仿宋" w:hAnsi="仿宋" w:eastAsia="仿宋" w:cs="仿宋"/>
          <w:b/>
          <w:color w:val="auto"/>
          <w:kern w:val="1"/>
          <w:sz w:val="24"/>
          <w:szCs w:val="24"/>
          <w:highlight w:val="none"/>
          <w:u w:val="single"/>
        </w:rPr>
        <w:t>家及以上时每个投标人只能中一个标</w:t>
      </w:r>
      <w:r>
        <w:rPr>
          <w:rFonts w:hint="eastAsia" w:ascii="仿宋" w:hAnsi="仿宋" w:eastAsia="仿宋" w:cs="仿宋"/>
          <w:b/>
          <w:color w:val="auto"/>
          <w:kern w:val="1"/>
          <w:sz w:val="24"/>
          <w:szCs w:val="24"/>
          <w:highlight w:val="none"/>
          <w:u w:val="single"/>
          <w:lang w:val="en-US" w:eastAsia="zh-CN"/>
        </w:rPr>
        <w:t>项</w:t>
      </w:r>
      <w:r>
        <w:rPr>
          <w:rFonts w:hint="eastAsia" w:ascii="仿宋" w:hAnsi="仿宋" w:eastAsia="仿宋" w:cs="仿宋"/>
          <w:b/>
          <w:color w:val="auto"/>
          <w:kern w:val="1"/>
          <w:sz w:val="24"/>
          <w:szCs w:val="24"/>
          <w:highlight w:val="none"/>
          <w:u w:val="single"/>
        </w:rPr>
        <w:t>，中标后自动退出后续标</w:t>
      </w:r>
      <w:r>
        <w:rPr>
          <w:rFonts w:hint="eastAsia" w:ascii="仿宋" w:hAnsi="仿宋" w:eastAsia="仿宋" w:cs="仿宋"/>
          <w:b/>
          <w:color w:val="auto"/>
          <w:kern w:val="1"/>
          <w:sz w:val="24"/>
          <w:szCs w:val="24"/>
          <w:highlight w:val="none"/>
          <w:u w:val="single"/>
          <w:lang w:val="en-US" w:eastAsia="zh-CN"/>
        </w:rPr>
        <w:t>项</w:t>
      </w:r>
      <w:r>
        <w:rPr>
          <w:rFonts w:hint="eastAsia" w:ascii="仿宋" w:hAnsi="仿宋" w:eastAsia="仿宋" w:cs="仿宋"/>
          <w:b/>
          <w:color w:val="auto"/>
          <w:kern w:val="1"/>
          <w:sz w:val="24"/>
          <w:szCs w:val="24"/>
          <w:highlight w:val="none"/>
          <w:u w:val="single"/>
        </w:rPr>
        <w:t>评审；</w:t>
      </w:r>
    </w:p>
    <w:p w14:paraId="426857AD">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kern w:val="1"/>
          <w:sz w:val="24"/>
          <w:szCs w:val="24"/>
          <w:highlight w:val="none"/>
          <w:u w:val="single"/>
          <w:lang w:val="en-US" w:eastAsia="zh-CN"/>
        </w:rPr>
        <w:t>6.</w:t>
      </w:r>
      <w:r>
        <w:rPr>
          <w:rFonts w:hint="eastAsia" w:ascii="仿宋" w:hAnsi="仿宋" w:eastAsia="仿宋" w:cs="仿宋"/>
          <w:b/>
          <w:color w:val="auto"/>
          <w:kern w:val="1"/>
          <w:sz w:val="24"/>
          <w:szCs w:val="24"/>
          <w:highlight w:val="none"/>
          <w:u w:val="single"/>
        </w:rPr>
        <w:t>若后续标</w:t>
      </w:r>
      <w:r>
        <w:rPr>
          <w:rFonts w:hint="eastAsia" w:ascii="仿宋" w:hAnsi="仿宋" w:eastAsia="仿宋" w:cs="仿宋"/>
          <w:b/>
          <w:color w:val="auto"/>
          <w:kern w:val="1"/>
          <w:sz w:val="24"/>
          <w:szCs w:val="24"/>
          <w:highlight w:val="none"/>
          <w:u w:val="single"/>
          <w:lang w:val="en-US" w:eastAsia="zh-CN"/>
        </w:rPr>
        <w:t>项</w:t>
      </w:r>
      <w:r>
        <w:rPr>
          <w:rFonts w:hint="eastAsia" w:ascii="仿宋" w:hAnsi="仿宋" w:eastAsia="仿宋" w:cs="仿宋"/>
          <w:b/>
          <w:color w:val="auto"/>
          <w:kern w:val="1"/>
          <w:sz w:val="24"/>
          <w:szCs w:val="24"/>
          <w:highlight w:val="none"/>
          <w:u w:val="single"/>
        </w:rPr>
        <w:t>有效投标人不足三家时允许上述标</w:t>
      </w:r>
      <w:r>
        <w:rPr>
          <w:rFonts w:hint="eastAsia" w:ascii="仿宋" w:hAnsi="仿宋" w:eastAsia="仿宋" w:cs="仿宋"/>
          <w:b/>
          <w:color w:val="auto"/>
          <w:kern w:val="1"/>
          <w:sz w:val="24"/>
          <w:szCs w:val="24"/>
          <w:highlight w:val="none"/>
          <w:u w:val="single"/>
          <w:lang w:val="en-US" w:eastAsia="zh-CN"/>
        </w:rPr>
        <w:t>项</w:t>
      </w:r>
      <w:r>
        <w:rPr>
          <w:rFonts w:hint="eastAsia" w:ascii="仿宋" w:hAnsi="仿宋" w:eastAsia="仿宋" w:cs="仿宋"/>
          <w:b/>
          <w:color w:val="auto"/>
          <w:kern w:val="1"/>
          <w:sz w:val="24"/>
          <w:szCs w:val="24"/>
          <w:highlight w:val="none"/>
          <w:u w:val="single"/>
        </w:rPr>
        <w:t>中标人继续参加后续标</w:t>
      </w:r>
      <w:r>
        <w:rPr>
          <w:rFonts w:hint="eastAsia" w:ascii="仿宋" w:hAnsi="仿宋" w:eastAsia="仿宋" w:cs="仿宋"/>
          <w:b/>
          <w:color w:val="auto"/>
          <w:kern w:val="1"/>
          <w:sz w:val="24"/>
          <w:szCs w:val="24"/>
          <w:highlight w:val="none"/>
          <w:u w:val="single"/>
          <w:lang w:val="en-US" w:eastAsia="zh-CN"/>
        </w:rPr>
        <w:t>项</w:t>
      </w:r>
      <w:r>
        <w:rPr>
          <w:rFonts w:hint="eastAsia" w:ascii="仿宋" w:hAnsi="仿宋" w:eastAsia="仿宋" w:cs="仿宋"/>
          <w:b/>
          <w:color w:val="auto"/>
          <w:kern w:val="1"/>
          <w:sz w:val="24"/>
          <w:szCs w:val="24"/>
          <w:highlight w:val="none"/>
          <w:u w:val="single"/>
        </w:rPr>
        <w:t>的评审，</w:t>
      </w:r>
      <w:r>
        <w:rPr>
          <w:rFonts w:hint="eastAsia" w:ascii="仿宋" w:hAnsi="仿宋" w:eastAsia="仿宋" w:cs="仿宋"/>
          <w:b/>
          <w:color w:val="auto"/>
          <w:kern w:val="1"/>
          <w:sz w:val="24"/>
          <w:szCs w:val="24"/>
          <w:highlight w:val="none"/>
          <w:u w:val="single"/>
          <w:lang w:val="en-US" w:eastAsia="zh-CN"/>
        </w:rPr>
        <w:t>此时</w:t>
      </w:r>
      <w:r>
        <w:rPr>
          <w:rFonts w:hint="eastAsia" w:ascii="仿宋" w:hAnsi="仿宋" w:eastAsia="仿宋" w:cs="仿宋"/>
          <w:b/>
          <w:color w:val="auto"/>
          <w:kern w:val="1"/>
          <w:sz w:val="24"/>
          <w:szCs w:val="24"/>
          <w:highlight w:val="none"/>
          <w:u w:val="single"/>
        </w:rPr>
        <w:t>一个投标人最多能中标</w:t>
      </w:r>
      <w:r>
        <w:rPr>
          <w:rFonts w:hint="eastAsia" w:ascii="仿宋" w:hAnsi="仿宋" w:eastAsia="仿宋" w:cs="仿宋"/>
          <w:b/>
          <w:color w:val="auto"/>
          <w:kern w:val="1"/>
          <w:sz w:val="24"/>
          <w:szCs w:val="24"/>
          <w:highlight w:val="none"/>
          <w:u w:val="single"/>
          <w:lang w:val="en-US" w:eastAsia="zh-CN"/>
        </w:rPr>
        <w:t>二</w:t>
      </w:r>
      <w:r>
        <w:rPr>
          <w:rFonts w:hint="eastAsia" w:ascii="仿宋" w:hAnsi="仿宋" w:eastAsia="仿宋" w:cs="仿宋"/>
          <w:b/>
          <w:color w:val="auto"/>
          <w:kern w:val="1"/>
          <w:sz w:val="24"/>
          <w:szCs w:val="24"/>
          <w:highlight w:val="none"/>
          <w:u w:val="single"/>
        </w:rPr>
        <w:t>个标</w:t>
      </w:r>
      <w:r>
        <w:rPr>
          <w:rFonts w:hint="eastAsia" w:ascii="仿宋" w:hAnsi="仿宋" w:eastAsia="仿宋" w:cs="仿宋"/>
          <w:b/>
          <w:color w:val="auto"/>
          <w:kern w:val="1"/>
          <w:sz w:val="24"/>
          <w:szCs w:val="24"/>
          <w:highlight w:val="none"/>
          <w:u w:val="single"/>
          <w:lang w:val="en-US" w:eastAsia="zh-CN"/>
        </w:rPr>
        <w:t>项</w:t>
      </w:r>
      <w:r>
        <w:rPr>
          <w:rFonts w:hint="eastAsia" w:ascii="仿宋" w:hAnsi="仿宋" w:eastAsia="仿宋" w:cs="仿宋"/>
          <w:b/>
          <w:color w:val="auto"/>
          <w:kern w:val="1"/>
          <w:sz w:val="24"/>
          <w:szCs w:val="24"/>
          <w:highlight w:val="none"/>
          <w:u w:val="single"/>
        </w:rPr>
        <w:t>。</w:t>
      </w:r>
    </w:p>
    <w:p w14:paraId="58C6BF8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7.上述评审细则中要求提供的相关资质、证书等证明材料均需加盖投标人公章，</w:t>
      </w:r>
      <w:r>
        <w:rPr>
          <w:rFonts w:hint="eastAsia" w:ascii="仿宋" w:hAnsi="仿宋" w:eastAsia="仿宋" w:cs="仿宋"/>
          <w:b/>
          <w:bCs/>
          <w:sz w:val="24"/>
        </w:rPr>
        <w:t>否则视同未提供，对应项不得分；</w:t>
      </w:r>
    </w:p>
    <w:p w14:paraId="0DC4CC6E">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8</w:t>
      </w:r>
      <w:r>
        <w:rPr>
          <w:rFonts w:hint="eastAsia" w:ascii="仿宋" w:hAnsi="仿宋" w:eastAsia="仿宋" w:cs="仿宋"/>
          <w:b/>
          <w:bCs/>
          <w:sz w:val="24"/>
        </w:rPr>
        <w:t>.相关评分资质、证书等证明材料必须在有效期内，否则对应项不得分；</w:t>
      </w:r>
    </w:p>
    <w:p w14:paraId="296FCA6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9.</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516301F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53890F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5792F9F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0E1E640C">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996569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B651D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4244AB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9C06B7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6B9A2F6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39DC43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FCD8E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6A8C5C3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0F1641F">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2B2EDA9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A558FC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824699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4A4FCBA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59C1D7B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E1179AD">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232C038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ED747F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F8EBE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2361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C1DC39">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9028A98">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95FEA">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DFD3D0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2A266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3CAC82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DBE8F0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CD7A6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20A9946">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D16E90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BB8334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F36F24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CDBFC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7688011">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58077A8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7C5FC1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766B29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FD1844">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21A7D0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15EDD7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52D3411">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D0F49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E74A68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4151AF6A">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07B71C">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088B88C">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B2C66A9">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51A5E521">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015C86E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AD671D7">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404" w:name="第五部分"/>
      <w:bookmarkStart w:id="405" w:name="_Toc86217003"/>
    </w:p>
    <w:p w14:paraId="7D85699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AC027E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C0040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E6A8AA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4AF67260">
      <w:pPr>
        <w:rPr>
          <w:rFonts w:hint="eastAsia" w:ascii="仿宋" w:hAnsi="仿宋" w:eastAsia="仿宋" w:cs="仿宋"/>
          <w:sz w:val="24"/>
        </w:rPr>
      </w:pPr>
    </w:p>
    <w:p w14:paraId="0B4B3083">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926C858">
      <w:pPr>
        <w:spacing w:line="480" w:lineRule="auto"/>
        <w:jc w:val="both"/>
        <w:rPr>
          <w:rFonts w:hint="eastAsia" w:ascii="仿宋" w:hAnsi="仿宋" w:eastAsia="仿宋" w:cs="仿宋"/>
          <w:b/>
          <w:sz w:val="36"/>
          <w:szCs w:val="36"/>
        </w:rPr>
      </w:pPr>
    </w:p>
    <w:p w14:paraId="4B81B9CF">
      <w:pPr>
        <w:pStyle w:val="23"/>
        <w:rPr>
          <w:rFonts w:hint="eastAsia" w:ascii="仿宋" w:hAnsi="仿宋" w:eastAsia="仿宋" w:cs="仿宋"/>
        </w:rPr>
      </w:pPr>
    </w:p>
    <w:p w14:paraId="3A217B52">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F518B9F">
      <w:pPr>
        <w:pStyle w:val="24"/>
        <w:ind w:left="0" w:leftChars="0" w:firstLine="0" w:firstLineChars="0"/>
        <w:rPr>
          <w:rFonts w:hint="eastAsia" w:ascii="仿宋" w:hAnsi="仿宋" w:eastAsia="仿宋" w:cs="仿宋"/>
        </w:rPr>
      </w:pPr>
    </w:p>
    <w:p w14:paraId="3054660E">
      <w:pPr>
        <w:spacing w:before="120" w:line="22" w:lineRule="atLeast"/>
        <w:rPr>
          <w:rFonts w:hint="eastAsia" w:ascii="仿宋" w:hAnsi="仿宋" w:eastAsia="仿宋" w:cs="仿宋"/>
          <w:sz w:val="24"/>
        </w:rPr>
      </w:pPr>
    </w:p>
    <w:p w14:paraId="72E84B8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966A7D">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5262C13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7113BD6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7EAF3BC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2593BF">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F3622E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4DEE3F1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2BB672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74ABBA">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A4CF96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008DEB99">
      <w:pPr>
        <w:pStyle w:val="63"/>
        <w:rPr>
          <w:rFonts w:hint="eastAsia" w:ascii="仿宋" w:hAnsi="仿宋" w:eastAsia="仿宋" w:cs="仿宋"/>
          <w:sz w:val="21"/>
          <w:szCs w:val="21"/>
          <w:u w:val="single"/>
        </w:rPr>
      </w:pPr>
    </w:p>
    <w:p w14:paraId="2947B983">
      <w:pPr>
        <w:pStyle w:val="64"/>
        <w:rPr>
          <w:rFonts w:hint="eastAsia" w:ascii="仿宋" w:hAnsi="仿宋" w:eastAsia="仿宋" w:cs="仿宋"/>
          <w:sz w:val="21"/>
          <w:szCs w:val="21"/>
          <w:u w:val="single"/>
        </w:rPr>
      </w:pPr>
    </w:p>
    <w:p w14:paraId="567AFFDD">
      <w:pPr>
        <w:rPr>
          <w:rFonts w:hint="eastAsia" w:ascii="仿宋" w:hAnsi="仿宋" w:eastAsia="仿宋" w:cs="仿宋"/>
          <w:sz w:val="21"/>
          <w:szCs w:val="21"/>
          <w:u w:val="single"/>
        </w:rPr>
      </w:pPr>
    </w:p>
    <w:p w14:paraId="43673670">
      <w:pPr>
        <w:pStyle w:val="63"/>
        <w:rPr>
          <w:rFonts w:hint="eastAsia" w:ascii="仿宋" w:hAnsi="仿宋" w:eastAsia="仿宋" w:cs="仿宋"/>
          <w:sz w:val="21"/>
          <w:szCs w:val="21"/>
          <w:u w:val="single"/>
        </w:rPr>
      </w:pPr>
    </w:p>
    <w:p w14:paraId="02A7CD25">
      <w:pPr>
        <w:pStyle w:val="64"/>
        <w:rPr>
          <w:rFonts w:hint="eastAsia" w:ascii="仿宋" w:hAnsi="仿宋" w:eastAsia="仿宋" w:cs="仿宋"/>
          <w:sz w:val="21"/>
          <w:szCs w:val="21"/>
          <w:u w:val="single"/>
        </w:rPr>
      </w:pPr>
    </w:p>
    <w:p w14:paraId="5F351DB2">
      <w:pPr>
        <w:rPr>
          <w:rFonts w:hint="eastAsia" w:ascii="仿宋" w:hAnsi="仿宋" w:eastAsia="仿宋" w:cs="仿宋"/>
          <w:sz w:val="21"/>
          <w:szCs w:val="21"/>
          <w:u w:val="single"/>
        </w:rPr>
      </w:pPr>
    </w:p>
    <w:p w14:paraId="7AA4F108">
      <w:pPr>
        <w:pStyle w:val="83"/>
        <w:rPr>
          <w:rFonts w:hint="eastAsia" w:ascii="仿宋" w:hAnsi="仿宋" w:eastAsia="仿宋" w:cs="仿宋"/>
          <w:sz w:val="21"/>
          <w:szCs w:val="21"/>
          <w:u w:val="single"/>
        </w:rPr>
      </w:pPr>
    </w:p>
    <w:p w14:paraId="2BB2854B">
      <w:pPr>
        <w:pStyle w:val="83"/>
        <w:rPr>
          <w:rFonts w:hint="eastAsia" w:ascii="仿宋" w:hAnsi="仿宋" w:eastAsia="仿宋" w:cs="仿宋"/>
          <w:sz w:val="21"/>
          <w:szCs w:val="21"/>
          <w:u w:val="single"/>
        </w:rPr>
      </w:pPr>
    </w:p>
    <w:p w14:paraId="61D7453F">
      <w:pPr>
        <w:pStyle w:val="83"/>
        <w:rPr>
          <w:rFonts w:hint="eastAsia" w:ascii="仿宋" w:hAnsi="仿宋" w:eastAsia="仿宋" w:cs="仿宋"/>
          <w:sz w:val="21"/>
          <w:szCs w:val="21"/>
          <w:u w:val="single"/>
        </w:rPr>
      </w:pPr>
    </w:p>
    <w:p w14:paraId="27E71F1B">
      <w:pPr>
        <w:pStyle w:val="83"/>
        <w:rPr>
          <w:rFonts w:hint="eastAsia" w:ascii="仿宋" w:hAnsi="仿宋" w:eastAsia="仿宋" w:cs="仿宋"/>
          <w:sz w:val="21"/>
          <w:szCs w:val="21"/>
          <w:u w:val="single"/>
        </w:rPr>
      </w:pPr>
      <w:bookmarkStart w:id="408" w:name="_GoBack"/>
      <w:bookmarkEnd w:id="408"/>
    </w:p>
    <w:p w14:paraId="552E929C">
      <w:pPr>
        <w:pStyle w:val="83"/>
        <w:rPr>
          <w:rFonts w:hint="eastAsia" w:ascii="仿宋" w:hAnsi="仿宋" w:eastAsia="仿宋" w:cs="仿宋"/>
          <w:sz w:val="21"/>
          <w:szCs w:val="21"/>
          <w:u w:val="single"/>
        </w:rPr>
      </w:pPr>
    </w:p>
    <w:p w14:paraId="6A6323C7">
      <w:pPr>
        <w:pStyle w:val="83"/>
        <w:rPr>
          <w:rFonts w:hint="eastAsia" w:ascii="仿宋" w:hAnsi="仿宋" w:eastAsia="仿宋" w:cs="仿宋"/>
          <w:sz w:val="21"/>
          <w:szCs w:val="21"/>
          <w:u w:val="single"/>
        </w:rPr>
      </w:pPr>
    </w:p>
    <w:p w14:paraId="69A7F451">
      <w:pPr>
        <w:rPr>
          <w:rFonts w:hint="eastAsia" w:ascii="仿宋" w:hAnsi="仿宋" w:eastAsia="仿宋" w:cs="仿宋"/>
          <w:sz w:val="21"/>
          <w:szCs w:val="21"/>
          <w:u w:val="single"/>
        </w:rPr>
      </w:pPr>
    </w:p>
    <w:p w14:paraId="3C9406A7">
      <w:pPr>
        <w:rPr>
          <w:rFonts w:hint="eastAsia" w:ascii="仿宋" w:hAnsi="仿宋" w:eastAsia="仿宋" w:cs="仿宋"/>
          <w:sz w:val="21"/>
          <w:szCs w:val="21"/>
          <w:u w:val="single"/>
        </w:rPr>
      </w:pPr>
    </w:p>
    <w:p w14:paraId="30882E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57B40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F91E75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3E1A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F3FB0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12607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1A99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BC114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A80006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DC8F9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0B707075">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F5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433F00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3ABB5E2">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DAAC9E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463837CB">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68B26AD">
            <w:pPr>
              <w:jc w:val="center"/>
              <w:rPr>
                <w:rFonts w:ascii="仿宋" w:hAnsi="仿宋" w:eastAsia="仿宋" w:cs="仿宋"/>
                <w:sz w:val="21"/>
                <w:szCs w:val="21"/>
              </w:rPr>
            </w:pPr>
            <w:r>
              <w:rPr>
                <w:rFonts w:hint="eastAsia" w:ascii="仿宋" w:hAnsi="仿宋" w:eastAsia="仿宋" w:cs="仿宋"/>
                <w:sz w:val="21"/>
                <w:szCs w:val="21"/>
              </w:rPr>
              <w:t>合价（元）</w:t>
            </w:r>
          </w:p>
        </w:tc>
      </w:tr>
      <w:tr w14:paraId="4A52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48B121">
            <w:pPr>
              <w:jc w:val="center"/>
              <w:rPr>
                <w:rFonts w:ascii="仿宋" w:hAnsi="仿宋" w:eastAsia="仿宋" w:cs="仿宋"/>
                <w:sz w:val="21"/>
                <w:szCs w:val="21"/>
              </w:rPr>
            </w:pPr>
          </w:p>
        </w:tc>
        <w:tc>
          <w:tcPr>
            <w:tcW w:w="3960" w:type="dxa"/>
          </w:tcPr>
          <w:p w14:paraId="5DC305A7">
            <w:pPr>
              <w:jc w:val="center"/>
              <w:rPr>
                <w:rFonts w:ascii="仿宋" w:hAnsi="仿宋" w:eastAsia="仿宋" w:cs="仿宋"/>
                <w:sz w:val="21"/>
                <w:szCs w:val="21"/>
              </w:rPr>
            </w:pPr>
          </w:p>
        </w:tc>
        <w:tc>
          <w:tcPr>
            <w:tcW w:w="1080" w:type="dxa"/>
          </w:tcPr>
          <w:p w14:paraId="21C9BCB5">
            <w:pPr>
              <w:jc w:val="center"/>
              <w:rPr>
                <w:rFonts w:ascii="仿宋" w:hAnsi="仿宋" w:eastAsia="仿宋" w:cs="仿宋"/>
                <w:sz w:val="21"/>
                <w:szCs w:val="21"/>
              </w:rPr>
            </w:pPr>
          </w:p>
        </w:tc>
        <w:tc>
          <w:tcPr>
            <w:tcW w:w="1260" w:type="dxa"/>
          </w:tcPr>
          <w:p w14:paraId="30D64BE6">
            <w:pPr>
              <w:jc w:val="center"/>
              <w:rPr>
                <w:rFonts w:ascii="仿宋" w:hAnsi="仿宋" w:eastAsia="仿宋" w:cs="仿宋"/>
                <w:sz w:val="21"/>
                <w:szCs w:val="21"/>
              </w:rPr>
            </w:pPr>
          </w:p>
        </w:tc>
        <w:tc>
          <w:tcPr>
            <w:tcW w:w="1440" w:type="dxa"/>
          </w:tcPr>
          <w:p w14:paraId="2947EED4">
            <w:pPr>
              <w:jc w:val="center"/>
              <w:rPr>
                <w:rFonts w:ascii="仿宋" w:hAnsi="仿宋" w:eastAsia="仿宋" w:cs="仿宋"/>
                <w:sz w:val="21"/>
                <w:szCs w:val="21"/>
              </w:rPr>
            </w:pPr>
          </w:p>
        </w:tc>
      </w:tr>
      <w:tr w14:paraId="13B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2747AEF">
            <w:pPr>
              <w:jc w:val="center"/>
              <w:rPr>
                <w:rFonts w:ascii="仿宋" w:hAnsi="仿宋" w:eastAsia="仿宋" w:cs="仿宋"/>
                <w:sz w:val="21"/>
                <w:szCs w:val="21"/>
              </w:rPr>
            </w:pPr>
          </w:p>
        </w:tc>
        <w:tc>
          <w:tcPr>
            <w:tcW w:w="3960" w:type="dxa"/>
          </w:tcPr>
          <w:p w14:paraId="682E5C55">
            <w:pPr>
              <w:jc w:val="center"/>
              <w:rPr>
                <w:rFonts w:ascii="仿宋" w:hAnsi="仿宋" w:eastAsia="仿宋" w:cs="仿宋"/>
                <w:sz w:val="21"/>
                <w:szCs w:val="21"/>
              </w:rPr>
            </w:pPr>
          </w:p>
        </w:tc>
        <w:tc>
          <w:tcPr>
            <w:tcW w:w="1080" w:type="dxa"/>
          </w:tcPr>
          <w:p w14:paraId="0CA243E4">
            <w:pPr>
              <w:jc w:val="center"/>
              <w:rPr>
                <w:rFonts w:ascii="仿宋" w:hAnsi="仿宋" w:eastAsia="仿宋" w:cs="仿宋"/>
                <w:sz w:val="21"/>
                <w:szCs w:val="21"/>
              </w:rPr>
            </w:pPr>
          </w:p>
        </w:tc>
        <w:tc>
          <w:tcPr>
            <w:tcW w:w="1260" w:type="dxa"/>
          </w:tcPr>
          <w:p w14:paraId="2059ADEA">
            <w:pPr>
              <w:jc w:val="center"/>
              <w:rPr>
                <w:rFonts w:ascii="仿宋" w:hAnsi="仿宋" w:eastAsia="仿宋" w:cs="仿宋"/>
                <w:sz w:val="21"/>
                <w:szCs w:val="21"/>
              </w:rPr>
            </w:pPr>
          </w:p>
        </w:tc>
        <w:tc>
          <w:tcPr>
            <w:tcW w:w="1440" w:type="dxa"/>
          </w:tcPr>
          <w:p w14:paraId="155E2E12">
            <w:pPr>
              <w:jc w:val="center"/>
              <w:rPr>
                <w:rFonts w:ascii="仿宋" w:hAnsi="仿宋" w:eastAsia="仿宋" w:cs="仿宋"/>
                <w:sz w:val="21"/>
                <w:szCs w:val="21"/>
              </w:rPr>
            </w:pPr>
          </w:p>
        </w:tc>
      </w:tr>
      <w:tr w14:paraId="285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9190627">
            <w:pPr>
              <w:jc w:val="center"/>
              <w:rPr>
                <w:rFonts w:ascii="仿宋" w:hAnsi="仿宋" w:eastAsia="仿宋" w:cs="仿宋"/>
                <w:sz w:val="21"/>
                <w:szCs w:val="21"/>
              </w:rPr>
            </w:pPr>
          </w:p>
        </w:tc>
        <w:tc>
          <w:tcPr>
            <w:tcW w:w="3960" w:type="dxa"/>
          </w:tcPr>
          <w:p w14:paraId="5A7AE824">
            <w:pPr>
              <w:jc w:val="center"/>
              <w:rPr>
                <w:rFonts w:ascii="仿宋" w:hAnsi="仿宋" w:eastAsia="仿宋" w:cs="仿宋"/>
                <w:sz w:val="21"/>
                <w:szCs w:val="21"/>
              </w:rPr>
            </w:pPr>
          </w:p>
        </w:tc>
        <w:tc>
          <w:tcPr>
            <w:tcW w:w="1080" w:type="dxa"/>
          </w:tcPr>
          <w:p w14:paraId="4ED2C494">
            <w:pPr>
              <w:jc w:val="center"/>
              <w:rPr>
                <w:rFonts w:ascii="仿宋" w:hAnsi="仿宋" w:eastAsia="仿宋" w:cs="仿宋"/>
                <w:sz w:val="21"/>
                <w:szCs w:val="21"/>
              </w:rPr>
            </w:pPr>
          </w:p>
        </w:tc>
        <w:tc>
          <w:tcPr>
            <w:tcW w:w="1260" w:type="dxa"/>
          </w:tcPr>
          <w:p w14:paraId="5E6DF18A">
            <w:pPr>
              <w:jc w:val="center"/>
              <w:rPr>
                <w:rFonts w:ascii="仿宋" w:hAnsi="仿宋" w:eastAsia="仿宋" w:cs="仿宋"/>
                <w:sz w:val="21"/>
                <w:szCs w:val="21"/>
              </w:rPr>
            </w:pPr>
          </w:p>
        </w:tc>
        <w:tc>
          <w:tcPr>
            <w:tcW w:w="1440" w:type="dxa"/>
          </w:tcPr>
          <w:p w14:paraId="09B0CF78">
            <w:pPr>
              <w:jc w:val="center"/>
              <w:rPr>
                <w:rFonts w:ascii="仿宋" w:hAnsi="仿宋" w:eastAsia="仿宋" w:cs="仿宋"/>
                <w:sz w:val="21"/>
                <w:szCs w:val="21"/>
              </w:rPr>
            </w:pPr>
          </w:p>
        </w:tc>
      </w:tr>
    </w:tbl>
    <w:p w14:paraId="451EB32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10DC6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483241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4E22B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632F0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0A007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C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F627D6">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59DE2F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1351AD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1611EB19">
            <w:pPr>
              <w:jc w:val="center"/>
              <w:rPr>
                <w:rFonts w:ascii="仿宋" w:hAnsi="仿宋" w:eastAsia="仿宋" w:cs="仿宋"/>
                <w:sz w:val="21"/>
                <w:szCs w:val="21"/>
              </w:rPr>
            </w:pPr>
            <w:r>
              <w:rPr>
                <w:rFonts w:hint="eastAsia" w:ascii="仿宋" w:hAnsi="仿宋" w:eastAsia="仿宋" w:cs="仿宋"/>
                <w:sz w:val="21"/>
                <w:szCs w:val="21"/>
              </w:rPr>
              <w:t>金额（元）</w:t>
            </w:r>
          </w:p>
        </w:tc>
      </w:tr>
      <w:tr w14:paraId="149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EED95E4">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6DCABF6">
            <w:pPr>
              <w:jc w:val="center"/>
              <w:rPr>
                <w:rFonts w:ascii="仿宋" w:hAnsi="仿宋" w:eastAsia="仿宋" w:cs="仿宋"/>
                <w:sz w:val="21"/>
                <w:szCs w:val="21"/>
              </w:rPr>
            </w:pPr>
          </w:p>
        </w:tc>
        <w:tc>
          <w:tcPr>
            <w:tcW w:w="4394" w:type="dxa"/>
            <w:vAlign w:val="center"/>
          </w:tcPr>
          <w:p w14:paraId="17B7BDD4">
            <w:pPr>
              <w:jc w:val="center"/>
              <w:rPr>
                <w:rFonts w:ascii="仿宋" w:hAnsi="仿宋" w:eastAsia="仿宋" w:cs="仿宋"/>
                <w:sz w:val="21"/>
                <w:szCs w:val="21"/>
              </w:rPr>
            </w:pPr>
          </w:p>
        </w:tc>
        <w:tc>
          <w:tcPr>
            <w:tcW w:w="1413" w:type="dxa"/>
            <w:vAlign w:val="center"/>
          </w:tcPr>
          <w:p w14:paraId="599248E6">
            <w:pPr>
              <w:jc w:val="center"/>
              <w:rPr>
                <w:rFonts w:ascii="仿宋" w:hAnsi="仿宋" w:eastAsia="仿宋" w:cs="仿宋"/>
                <w:sz w:val="21"/>
                <w:szCs w:val="21"/>
              </w:rPr>
            </w:pPr>
          </w:p>
        </w:tc>
      </w:tr>
      <w:tr w14:paraId="5FE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753C9B9D">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2EE1815C">
            <w:pPr>
              <w:jc w:val="center"/>
              <w:rPr>
                <w:rFonts w:ascii="仿宋" w:hAnsi="仿宋" w:eastAsia="仿宋" w:cs="仿宋"/>
                <w:sz w:val="21"/>
                <w:szCs w:val="21"/>
              </w:rPr>
            </w:pPr>
          </w:p>
        </w:tc>
        <w:tc>
          <w:tcPr>
            <w:tcW w:w="4394" w:type="dxa"/>
            <w:vAlign w:val="center"/>
          </w:tcPr>
          <w:p w14:paraId="22BE8969">
            <w:pPr>
              <w:jc w:val="left"/>
              <w:rPr>
                <w:rFonts w:ascii="仿宋" w:hAnsi="仿宋" w:eastAsia="仿宋" w:cs="仿宋"/>
                <w:sz w:val="21"/>
                <w:szCs w:val="21"/>
              </w:rPr>
            </w:pPr>
          </w:p>
        </w:tc>
        <w:tc>
          <w:tcPr>
            <w:tcW w:w="1413" w:type="dxa"/>
            <w:vAlign w:val="center"/>
          </w:tcPr>
          <w:p w14:paraId="6399BA6F">
            <w:pPr>
              <w:jc w:val="center"/>
              <w:rPr>
                <w:rFonts w:ascii="仿宋" w:hAnsi="仿宋" w:eastAsia="仿宋" w:cs="仿宋"/>
                <w:sz w:val="21"/>
                <w:szCs w:val="21"/>
              </w:rPr>
            </w:pPr>
          </w:p>
        </w:tc>
      </w:tr>
      <w:tr w14:paraId="705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63F3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19ABDB47">
            <w:pPr>
              <w:rPr>
                <w:rFonts w:ascii="仿宋" w:hAnsi="仿宋" w:eastAsia="仿宋" w:cs="仿宋"/>
                <w:sz w:val="21"/>
                <w:szCs w:val="21"/>
              </w:rPr>
            </w:pPr>
          </w:p>
        </w:tc>
        <w:tc>
          <w:tcPr>
            <w:tcW w:w="4394" w:type="dxa"/>
            <w:vAlign w:val="center"/>
          </w:tcPr>
          <w:p w14:paraId="105F1EE2">
            <w:pPr>
              <w:jc w:val="center"/>
              <w:rPr>
                <w:rFonts w:ascii="仿宋" w:hAnsi="仿宋" w:eastAsia="仿宋" w:cs="仿宋"/>
                <w:sz w:val="21"/>
                <w:szCs w:val="21"/>
              </w:rPr>
            </w:pPr>
          </w:p>
        </w:tc>
        <w:tc>
          <w:tcPr>
            <w:tcW w:w="1413" w:type="dxa"/>
            <w:vAlign w:val="center"/>
          </w:tcPr>
          <w:p w14:paraId="1B4BB679">
            <w:pPr>
              <w:jc w:val="center"/>
              <w:rPr>
                <w:rFonts w:ascii="仿宋" w:hAnsi="仿宋" w:eastAsia="仿宋" w:cs="仿宋"/>
                <w:sz w:val="21"/>
                <w:szCs w:val="21"/>
              </w:rPr>
            </w:pPr>
          </w:p>
        </w:tc>
      </w:tr>
    </w:tbl>
    <w:p w14:paraId="45689E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1D31A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2C83C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23F3E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0D8E0A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详见招标文件</w:t>
      </w:r>
      <w:r>
        <w:rPr>
          <w:rFonts w:hint="eastAsia" w:ascii="仿宋" w:hAnsi="仿宋" w:eastAsia="仿宋" w:cs="仿宋"/>
          <w:b/>
          <w:bCs/>
          <w:sz w:val="21"/>
          <w:szCs w:val="21"/>
          <w:lang w:eastAsia="zh-CN"/>
        </w:rPr>
        <w:t>。</w:t>
      </w:r>
    </w:p>
    <w:p w14:paraId="5E9171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D8915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73B47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641942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583151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9895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9824A2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589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583425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1B6D4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2A21AD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6CEC32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06D224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9C5607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11809AD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甲方</w:t>
      </w:r>
      <w:r>
        <w:rPr>
          <w:rFonts w:hint="eastAsia" w:ascii="仿宋" w:hAnsi="仿宋" w:eastAsia="仿宋" w:cs="仿宋"/>
          <w:sz w:val="21"/>
          <w:szCs w:val="21"/>
        </w:rPr>
        <w:t>无正当理由拒收货物，由</w:t>
      </w:r>
      <w:r>
        <w:rPr>
          <w:rFonts w:hint="eastAsia" w:ascii="仿宋" w:hAnsi="仿宋" w:eastAsia="仿宋" w:cs="仿宋"/>
          <w:sz w:val="21"/>
          <w:szCs w:val="21"/>
          <w:lang w:eastAsia="zh-CN"/>
        </w:rPr>
        <w:t>甲方</w:t>
      </w:r>
      <w:r>
        <w:rPr>
          <w:rFonts w:hint="eastAsia" w:ascii="仿宋" w:hAnsi="仿宋" w:eastAsia="仿宋" w:cs="仿宋"/>
          <w:sz w:val="21"/>
          <w:szCs w:val="21"/>
        </w:rPr>
        <w:t>向</w:t>
      </w:r>
      <w:r>
        <w:rPr>
          <w:rFonts w:hint="eastAsia" w:ascii="仿宋" w:hAnsi="仿宋" w:eastAsia="仿宋" w:cs="仿宋"/>
          <w:sz w:val="21"/>
          <w:szCs w:val="21"/>
          <w:lang w:eastAsia="zh-CN"/>
        </w:rPr>
        <w:t>乙方</w:t>
      </w:r>
      <w:r>
        <w:rPr>
          <w:rFonts w:hint="eastAsia" w:ascii="仿宋" w:hAnsi="仿宋" w:eastAsia="仿宋" w:cs="仿宋"/>
          <w:sz w:val="21"/>
          <w:szCs w:val="21"/>
        </w:rPr>
        <w:t>偿付拒收货物价的5%违约金。</w:t>
      </w:r>
    </w:p>
    <w:p w14:paraId="5FE62EA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2.乙方</w:t>
      </w:r>
      <w:r>
        <w:rPr>
          <w:rFonts w:hint="eastAsia" w:ascii="仿宋" w:hAnsi="仿宋" w:eastAsia="仿宋" w:cs="仿宋"/>
          <w:sz w:val="21"/>
          <w:szCs w:val="21"/>
        </w:rPr>
        <w:t>不得转包和</w:t>
      </w:r>
      <w:r>
        <w:rPr>
          <w:rFonts w:hint="eastAsia" w:ascii="仿宋" w:hAnsi="仿宋" w:eastAsia="仿宋" w:cs="仿宋"/>
          <w:sz w:val="21"/>
          <w:szCs w:val="21"/>
          <w:lang w:val="en-US" w:eastAsia="zh-CN"/>
        </w:rPr>
        <w:t>违法</w:t>
      </w:r>
      <w:r>
        <w:rPr>
          <w:rFonts w:hint="eastAsia" w:ascii="仿宋" w:hAnsi="仿宋" w:eastAsia="仿宋" w:cs="仿宋"/>
          <w:sz w:val="21"/>
          <w:szCs w:val="21"/>
        </w:rPr>
        <w:t>分包。否则视作违约，</w:t>
      </w:r>
      <w:r>
        <w:rPr>
          <w:rFonts w:hint="eastAsia" w:ascii="仿宋" w:hAnsi="仿宋" w:eastAsia="仿宋" w:cs="仿宋"/>
          <w:sz w:val="21"/>
          <w:szCs w:val="21"/>
          <w:lang w:eastAsia="zh-CN"/>
        </w:rPr>
        <w:t>甲方</w:t>
      </w:r>
      <w:r>
        <w:rPr>
          <w:rFonts w:hint="eastAsia" w:ascii="仿宋" w:hAnsi="仿宋" w:eastAsia="仿宋" w:cs="仿宋"/>
          <w:sz w:val="21"/>
          <w:szCs w:val="21"/>
        </w:rPr>
        <w:t>有权解除合同并没收全部履约保证金，并且</w:t>
      </w:r>
      <w:r>
        <w:rPr>
          <w:rFonts w:hint="eastAsia" w:ascii="仿宋" w:hAnsi="仿宋" w:eastAsia="仿宋" w:cs="仿宋"/>
          <w:sz w:val="21"/>
          <w:szCs w:val="21"/>
          <w:lang w:eastAsia="zh-CN"/>
        </w:rPr>
        <w:t>乙方</w:t>
      </w:r>
      <w:r>
        <w:rPr>
          <w:rFonts w:hint="eastAsia" w:ascii="仿宋" w:hAnsi="仿宋" w:eastAsia="仿宋" w:cs="仿宋"/>
          <w:sz w:val="21"/>
          <w:szCs w:val="21"/>
        </w:rPr>
        <w:t>需承担由此引起的一切经济损失。</w:t>
      </w:r>
    </w:p>
    <w:p w14:paraId="22E34D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无特殊情况，</w:t>
      </w:r>
      <w:r>
        <w:rPr>
          <w:rFonts w:hint="eastAsia" w:ascii="仿宋" w:hAnsi="仿宋" w:eastAsia="仿宋" w:cs="仿宋"/>
          <w:sz w:val="21"/>
          <w:szCs w:val="21"/>
          <w:lang w:eastAsia="zh-CN"/>
        </w:rPr>
        <w:t>乙方</w:t>
      </w:r>
      <w:r>
        <w:rPr>
          <w:rFonts w:hint="eastAsia" w:ascii="仿宋" w:hAnsi="仿宋" w:eastAsia="仿宋" w:cs="仿宋"/>
          <w:sz w:val="21"/>
          <w:szCs w:val="21"/>
        </w:rPr>
        <w:t>擅自终止合同的，</w:t>
      </w:r>
      <w:r>
        <w:rPr>
          <w:rFonts w:hint="eastAsia" w:ascii="仿宋" w:hAnsi="仿宋" w:eastAsia="仿宋" w:cs="仿宋"/>
          <w:sz w:val="21"/>
          <w:szCs w:val="21"/>
          <w:lang w:eastAsia="zh-CN"/>
        </w:rPr>
        <w:t>甲方</w:t>
      </w:r>
      <w:r>
        <w:rPr>
          <w:rFonts w:hint="eastAsia" w:ascii="仿宋" w:hAnsi="仿宋" w:eastAsia="仿宋" w:cs="仿宋"/>
          <w:sz w:val="21"/>
          <w:szCs w:val="21"/>
        </w:rPr>
        <w:t>有权没收其全部履约保证金，履约保证金不足以赔偿</w:t>
      </w:r>
      <w:r>
        <w:rPr>
          <w:rFonts w:hint="eastAsia" w:ascii="仿宋" w:hAnsi="仿宋" w:eastAsia="仿宋" w:cs="仿宋"/>
          <w:sz w:val="21"/>
          <w:szCs w:val="21"/>
          <w:lang w:eastAsia="zh-CN"/>
        </w:rPr>
        <w:t>甲方</w:t>
      </w:r>
      <w:r>
        <w:rPr>
          <w:rFonts w:hint="eastAsia" w:ascii="仿宋" w:hAnsi="仿宋" w:eastAsia="仿宋" w:cs="仿宋"/>
          <w:sz w:val="21"/>
          <w:szCs w:val="21"/>
        </w:rPr>
        <w:t>损失的，</w:t>
      </w:r>
      <w:r>
        <w:rPr>
          <w:rFonts w:hint="eastAsia" w:ascii="仿宋" w:hAnsi="仿宋" w:eastAsia="仿宋" w:cs="仿宋"/>
          <w:sz w:val="21"/>
          <w:szCs w:val="21"/>
          <w:lang w:eastAsia="zh-CN"/>
        </w:rPr>
        <w:t>乙方</w:t>
      </w:r>
      <w:r>
        <w:rPr>
          <w:rFonts w:hint="eastAsia" w:ascii="仿宋" w:hAnsi="仿宋" w:eastAsia="仿宋" w:cs="仿宋"/>
          <w:sz w:val="21"/>
          <w:szCs w:val="21"/>
        </w:rPr>
        <w:t>按实际损失赔偿。</w:t>
      </w:r>
    </w:p>
    <w:p w14:paraId="6FAE2EB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如果乙方没有按照合同规定期限内完成所有设备供货安装，则甲方可以在履约保证金中扣除违约赔偿金，违约赔偿金按每迟延一日扣除中标金额0.5%计，但违约赔偿金的最高限额为迟交货物计价金额的5%。如果乙方在达到最高限额后仍不能交付的，甲方有权解除合同，解除合同的通知自到达乙方时生效。因迟延履行造成甲方损失的，甲方有权要求赔偿。</w:t>
      </w:r>
    </w:p>
    <w:p w14:paraId="7D66ADC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14:paraId="52D4A1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62F70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ED083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1AE1FA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149BE4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70051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577374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04CCF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09EDF0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6F1A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1C5FF5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1DA57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D8C008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26FA68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622E02A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6773E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57E35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1EA03C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2586A7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DD0C0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EB6C7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B01E22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1C1A9B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47F5AC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0DB5A8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46F3B7E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7B5DB4F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55CF428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7051A4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C7D31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58BF63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458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4DC568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20E3EA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3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27B61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63511A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289ED1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7213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31AF5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589C7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6793C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9D6FC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A7502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B0DC5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8A273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6BC25F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14E052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5C0D7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A5A47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6149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A20B0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3CE3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019A5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94989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498A5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69F6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DB05C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65C3447">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9343C3">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2F0D1FE">
      <w:pPr>
        <w:spacing w:line="360" w:lineRule="auto"/>
        <w:jc w:val="center"/>
        <w:outlineLvl w:val="0"/>
        <w:rPr>
          <w:rFonts w:hint="eastAsia" w:ascii="仿宋" w:hAnsi="仿宋" w:eastAsia="仿宋" w:cs="仿宋"/>
          <w:b/>
          <w:sz w:val="36"/>
          <w:szCs w:val="20"/>
        </w:rPr>
      </w:pPr>
    </w:p>
    <w:p w14:paraId="2EC74982">
      <w:pPr>
        <w:spacing w:line="360" w:lineRule="auto"/>
        <w:jc w:val="center"/>
        <w:outlineLvl w:val="0"/>
        <w:rPr>
          <w:rFonts w:hint="eastAsia" w:ascii="仿宋" w:hAnsi="仿宋" w:eastAsia="仿宋" w:cs="仿宋"/>
          <w:b/>
          <w:sz w:val="36"/>
          <w:szCs w:val="20"/>
        </w:rPr>
      </w:pPr>
    </w:p>
    <w:p w14:paraId="2176F78F">
      <w:pPr>
        <w:spacing w:line="360" w:lineRule="auto"/>
        <w:jc w:val="center"/>
        <w:outlineLvl w:val="0"/>
        <w:rPr>
          <w:rFonts w:hint="eastAsia" w:ascii="仿宋" w:hAnsi="仿宋" w:eastAsia="仿宋" w:cs="仿宋"/>
          <w:b/>
          <w:sz w:val="36"/>
          <w:szCs w:val="20"/>
        </w:rPr>
      </w:pPr>
    </w:p>
    <w:p w14:paraId="0D3B0E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2CB5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3BE1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B04FA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A667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2FCF147">
      <w:pPr>
        <w:pStyle w:val="2"/>
        <w:rPr>
          <w:rFonts w:hint="eastAsia"/>
          <w:lang w:val="en-US" w:eastAsia="zh-CN"/>
        </w:rPr>
      </w:pPr>
    </w:p>
    <w:p w14:paraId="15B036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4B882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25CDA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404"/>
      <w:r>
        <w:rPr>
          <w:rFonts w:hint="eastAsia" w:ascii="华文中宋" w:hAnsi="华文中宋" w:eastAsia="华文中宋" w:cs="Times New Roman"/>
          <w:b/>
          <w:color w:val="auto"/>
          <w:kern w:val="44"/>
          <w:sz w:val="36"/>
          <w:szCs w:val="36"/>
          <w:lang w:val="en-US" w:eastAsia="zh-CN" w:bidi="ar-SA"/>
        </w:rPr>
        <w:t xml:space="preserve"> </w:t>
      </w:r>
      <w:bookmarkEnd w:id="405"/>
      <w:r>
        <w:rPr>
          <w:rFonts w:hint="eastAsia" w:ascii="华文中宋" w:hAnsi="华文中宋" w:eastAsia="华文中宋" w:cs="Times New Roman"/>
          <w:b/>
          <w:color w:val="auto"/>
          <w:kern w:val="44"/>
          <w:sz w:val="36"/>
          <w:szCs w:val="36"/>
          <w:lang w:val="en-US" w:eastAsia="zh-CN" w:bidi="ar-SA"/>
        </w:rPr>
        <w:t>应提交的有关格式范例</w:t>
      </w:r>
    </w:p>
    <w:p w14:paraId="7332EE8B">
      <w:pPr>
        <w:spacing w:line="360" w:lineRule="auto"/>
        <w:jc w:val="center"/>
        <w:outlineLvl w:val="0"/>
        <w:rPr>
          <w:rFonts w:hint="eastAsia" w:ascii="仿宋" w:hAnsi="仿宋" w:eastAsia="仿宋" w:cs="仿宋"/>
          <w:b/>
          <w:kern w:val="0"/>
          <w:sz w:val="36"/>
          <w:szCs w:val="36"/>
        </w:rPr>
      </w:pPr>
    </w:p>
    <w:p w14:paraId="07C8E71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85594E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32932E">
      <w:pPr>
        <w:snapToGrid w:val="0"/>
        <w:spacing w:line="360" w:lineRule="auto"/>
        <w:rPr>
          <w:rFonts w:hint="eastAsia" w:ascii="仿宋" w:hAnsi="仿宋" w:eastAsia="仿宋" w:cs="仿宋"/>
          <w:sz w:val="24"/>
        </w:rPr>
      </w:pPr>
    </w:p>
    <w:p w14:paraId="16037C34">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3716C8F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493D83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4217F1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796688">
      <w:pPr>
        <w:snapToGrid w:val="0"/>
        <w:spacing w:line="360" w:lineRule="auto"/>
        <w:ind w:firstLine="480" w:firstLineChars="200"/>
        <w:rPr>
          <w:rFonts w:hint="eastAsia" w:ascii="仿宋" w:hAnsi="仿宋" w:eastAsia="仿宋" w:cs="仿宋"/>
          <w:sz w:val="24"/>
        </w:rPr>
      </w:pPr>
    </w:p>
    <w:p w14:paraId="5CEE1B87">
      <w:pPr>
        <w:spacing w:line="360" w:lineRule="auto"/>
        <w:ind w:firstLine="480" w:firstLineChars="200"/>
        <w:rPr>
          <w:rFonts w:hint="eastAsia" w:ascii="仿宋" w:hAnsi="仿宋" w:eastAsia="仿宋" w:cs="仿宋"/>
          <w:sz w:val="24"/>
        </w:rPr>
      </w:pPr>
    </w:p>
    <w:p w14:paraId="03B081D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DBAF115">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077" w:right="1247" w:bottom="964" w:left="1134" w:header="737" w:footer="680" w:gutter="0"/>
          <w:pgBorders>
            <w:top w:val="none" w:sz="0" w:space="0"/>
            <w:left w:val="none" w:sz="0" w:space="0"/>
            <w:bottom w:val="none" w:sz="0" w:space="0"/>
            <w:right w:val="none" w:sz="0" w:space="0"/>
          </w:pgBorders>
          <w:pgNumType w:fmt="decimal"/>
          <w:cols w:space="720" w:num="1"/>
          <w:titlePg/>
          <w:docGrid w:type="lines" w:linePitch="312" w:charSpace="0"/>
        </w:sectPr>
      </w:pPr>
    </w:p>
    <w:p w14:paraId="13A7232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6A00C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A4FDB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C4CA46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04673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90BA21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2646EC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566131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0FCE2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0A5D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500B3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C6950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32DEB3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19BAD6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F334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79822C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40D5644">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31ABB5">
      <w:pPr>
        <w:rPr>
          <w:rFonts w:hint="eastAsia" w:ascii="仿宋" w:hAnsi="仿宋" w:eastAsia="仿宋" w:cs="仿宋"/>
        </w:rPr>
      </w:pPr>
    </w:p>
    <w:p w14:paraId="1E6F600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2924581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90B3BB2">
      <w:pPr>
        <w:snapToGrid w:val="0"/>
        <w:spacing w:line="360" w:lineRule="auto"/>
        <w:ind w:right="480"/>
        <w:jc w:val="center"/>
        <w:rPr>
          <w:rFonts w:hint="eastAsia" w:ascii="仿宋" w:hAnsi="仿宋" w:eastAsia="仿宋" w:cs="仿宋"/>
          <w:b/>
          <w:kern w:val="0"/>
          <w:sz w:val="32"/>
          <w:szCs w:val="32"/>
        </w:rPr>
      </w:pPr>
    </w:p>
    <w:p w14:paraId="1D7632EA">
      <w:pPr>
        <w:snapToGrid w:val="0"/>
        <w:spacing w:line="360" w:lineRule="auto"/>
        <w:ind w:right="480"/>
        <w:jc w:val="center"/>
        <w:rPr>
          <w:rFonts w:hint="eastAsia" w:ascii="仿宋" w:hAnsi="仿宋" w:eastAsia="仿宋" w:cs="仿宋"/>
          <w:b/>
          <w:kern w:val="0"/>
          <w:sz w:val="32"/>
          <w:szCs w:val="32"/>
        </w:rPr>
      </w:pPr>
    </w:p>
    <w:p w14:paraId="1FC04C6C">
      <w:pPr>
        <w:snapToGrid w:val="0"/>
        <w:spacing w:line="360" w:lineRule="auto"/>
        <w:ind w:right="480"/>
        <w:jc w:val="center"/>
        <w:rPr>
          <w:rFonts w:hint="eastAsia" w:ascii="仿宋" w:hAnsi="仿宋" w:eastAsia="仿宋" w:cs="仿宋"/>
          <w:b/>
          <w:kern w:val="0"/>
          <w:sz w:val="32"/>
          <w:szCs w:val="32"/>
          <w:lang w:val="en-US" w:eastAsia="zh-CN"/>
        </w:rPr>
      </w:pPr>
    </w:p>
    <w:p w14:paraId="51826DF4">
      <w:pPr>
        <w:snapToGrid w:val="0"/>
        <w:spacing w:line="360" w:lineRule="auto"/>
        <w:ind w:right="480"/>
        <w:jc w:val="center"/>
        <w:rPr>
          <w:rFonts w:hint="eastAsia" w:ascii="仿宋" w:hAnsi="仿宋" w:eastAsia="仿宋" w:cs="仿宋"/>
          <w:b/>
          <w:kern w:val="0"/>
          <w:sz w:val="32"/>
          <w:szCs w:val="32"/>
          <w:lang w:val="en-US" w:eastAsia="zh-CN"/>
        </w:rPr>
      </w:pPr>
    </w:p>
    <w:p w14:paraId="0370809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3F7786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9ECBCE9">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3F91E35">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5AF66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A1793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3CB7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D71C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6C8F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14C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66CE7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9AA6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33F17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D1356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7B2A2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17ED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C95FC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22F0D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CCF2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C7BB64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4ADA20">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3A636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8B7C6F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6D8A7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F8A098">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D32EC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60303A">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FE90F8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BD52EC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E54A5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BAEBDC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37E4DE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9AD930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6909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59B5C3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A285C0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D87021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18E34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86BE88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17A0643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2F8908A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CE30A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CA07DF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D9082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EA863">
      <w:pPr>
        <w:widowControl/>
        <w:spacing w:line="360" w:lineRule="auto"/>
        <w:ind w:left="150"/>
        <w:jc w:val="center"/>
        <w:rPr>
          <w:rFonts w:hint="eastAsia" w:ascii="仿宋" w:hAnsi="仿宋" w:eastAsia="仿宋" w:cs="仿宋"/>
          <w:b/>
          <w:kern w:val="0"/>
          <w:sz w:val="32"/>
          <w:szCs w:val="32"/>
        </w:rPr>
      </w:pPr>
    </w:p>
    <w:p w14:paraId="5F94331A">
      <w:pPr>
        <w:widowControl/>
        <w:spacing w:line="360" w:lineRule="auto"/>
        <w:ind w:left="150"/>
        <w:jc w:val="center"/>
        <w:rPr>
          <w:rFonts w:hint="eastAsia" w:ascii="仿宋" w:hAnsi="仿宋" w:eastAsia="仿宋" w:cs="仿宋"/>
          <w:b/>
          <w:kern w:val="0"/>
          <w:sz w:val="32"/>
          <w:szCs w:val="32"/>
        </w:rPr>
      </w:pPr>
    </w:p>
    <w:p w14:paraId="0B0C3A12">
      <w:pPr>
        <w:widowControl/>
        <w:spacing w:line="360" w:lineRule="auto"/>
        <w:ind w:left="150"/>
        <w:jc w:val="center"/>
        <w:rPr>
          <w:rFonts w:hint="eastAsia" w:ascii="仿宋" w:hAnsi="仿宋" w:eastAsia="仿宋" w:cs="仿宋"/>
          <w:b/>
          <w:kern w:val="0"/>
          <w:sz w:val="32"/>
          <w:szCs w:val="32"/>
        </w:rPr>
      </w:pPr>
    </w:p>
    <w:p w14:paraId="0D33EB9E">
      <w:pPr>
        <w:widowControl/>
        <w:spacing w:line="360" w:lineRule="auto"/>
        <w:ind w:left="150"/>
        <w:jc w:val="center"/>
        <w:rPr>
          <w:rFonts w:hint="eastAsia" w:ascii="仿宋" w:hAnsi="仿宋" w:eastAsia="仿宋" w:cs="仿宋"/>
          <w:b/>
          <w:kern w:val="0"/>
          <w:sz w:val="32"/>
          <w:szCs w:val="32"/>
        </w:rPr>
      </w:pPr>
    </w:p>
    <w:p w14:paraId="1E0E7780">
      <w:pPr>
        <w:widowControl/>
        <w:spacing w:line="360" w:lineRule="auto"/>
        <w:ind w:left="150"/>
        <w:jc w:val="center"/>
        <w:rPr>
          <w:rFonts w:hint="eastAsia" w:ascii="仿宋" w:hAnsi="仿宋" w:eastAsia="仿宋" w:cs="仿宋"/>
          <w:b/>
          <w:kern w:val="0"/>
          <w:sz w:val="32"/>
          <w:szCs w:val="32"/>
          <w:lang w:val="en-US" w:eastAsia="zh-CN"/>
        </w:rPr>
      </w:pPr>
    </w:p>
    <w:p w14:paraId="4F81370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020106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320169E">
      <w:pPr>
        <w:rPr>
          <w:rFonts w:hint="eastAsia" w:ascii="仿宋" w:hAnsi="仿宋" w:eastAsia="仿宋" w:cs="仿宋"/>
        </w:rPr>
      </w:pPr>
    </w:p>
    <w:p w14:paraId="199DFAB1">
      <w:pPr>
        <w:snapToGrid w:val="0"/>
        <w:spacing w:line="360" w:lineRule="auto"/>
        <w:ind w:right="480"/>
        <w:jc w:val="center"/>
        <w:rPr>
          <w:rFonts w:hint="eastAsia" w:ascii="仿宋" w:hAnsi="仿宋" w:eastAsia="仿宋" w:cs="仿宋"/>
          <w:b/>
          <w:kern w:val="0"/>
          <w:sz w:val="32"/>
          <w:szCs w:val="32"/>
        </w:rPr>
      </w:pPr>
    </w:p>
    <w:p w14:paraId="246B76AE">
      <w:pPr>
        <w:snapToGrid w:val="0"/>
        <w:spacing w:line="360" w:lineRule="auto"/>
        <w:ind w:right="480"/>
        <w:jc w:val="center"/>
        <w:rPr>
          <w:rFonts w:hint="eastAsia" w:ascii="仿宋" w:hAnsi="仿宋" w:eastAsia="仿宋" w:cs="仿宋"/>
          <w:b/>
          <w:kern w:val="0"/>
          <w:sz w:val="32"/>
          <w:szCs w:val="32"/>
        </w:rPr>
      </w:pPr>
    </w:p>
    <w:p w14:paraId="4DD048BB">
      <w:pPr>
        <w:snapToGrid w:val="0"/>
        <w:spacing w:line="360" w:lineRule="auto"/>
        <w:ind w:right="480"/>
        <w:jc w:val="center"/>
        <w:rPr>
          <w:rFonts w:hint="eastAsia" w:ascii="仿宋" w:hAnsi="仿宋" w:eastAsia="仿宋" w:cs="仿宋"/>
          <w:b/>
          <w:kern w:val="0"/>
          <w:sz w:val="32"/>
          <w:szCs w:val="32"/>
        </w:rPr>
      </w:pPr>
    </w:p>
    <w:p w14:paraId="60CAB894">
      <w:pPr>
        <w:snapToGrid w:val="0"/>
        <w:spacing w:line="360" w:lineRule="auto"/>
        <w:ind w:right="480"/>
        <w:jc w:val="center"/>
        <w:rPr>
          <w:rFonts w:hint="eastAsia" w:ascii="仿宋" w:hAnsi="仿宋" w:eastAsia="仿宋" w:cs="仿宋"/>
          <w:b/>
          <w:kern w:val="0"/>
          <w:sz w:val="32"/>
          <w:szCs w:val="32"/>
        </w:rPr>
      </w:pPr>
    </w:p>
    <w:p w14:paraId="7F1FC836">
      <w:pPr>
        <w:snapToGrid w:val="0"/>
        <w:spacing w:line="360" w:lineRule="auto"/>
        <w:ind w:right="480"/>
        <w:jc w:val="center"/>
        <w:rPr>
          <w:rFonts w:hint="eastAsia" w:ascii="仿宋" w:hAnsi="仿宋" w:eastAsia="仿宋" w:cs="仿宋"/>
          <w:b/>
          <w:kern w:val="0"/>
          <w:sz w:val="32"/>
          <w:szCs w:val="32"/>
        </w:rPr>
      </w:pPr>
    </w:p>
    <w:p w14:paraId="7A3C6DCD">
      <w:pPr>
        <w:snapToGrid w:val="0"/>
        <w:spacing w:line="360" w:lineRule="auto"/>
        <w:ind w:right="480"/>
        <w:jc w:val="center"/>
        <w:rPr>
          <w:rFonts w:hint="eastAsia" w:ascii="仿宋" w:hAnsi="仿宋" w:eastAsia="仿宋" w:cs="仿宋"/>
          <w:b/>
          <w:kern w:val="0"/>
          <w:sz w:val="32"/>
          <w:szCs w:val="32"/>
        </w:rPr>
      </w:pPr>
    </w:p>
    <w:p w14:paraId="322B19F1">
      <w:pPr>
        <w:pStyle w:val="3"/>
        <w:rPr>
          <w:rFonts w:hint="eastAsia" w:ascii="仿宋" w:hAnsi="仿宋" w:eastAsia="仿宋" w:cs="仿宋"/>
          <w:lang w:val="en-US"/>
        </w:rPr>
      </w:pPr>
    </w:p>
    <w:p w14:paraId="2FF3788B">
      <w:pPr>
        <w:rPr>
          <w:rFonts w:hint="eastAsia" w:ascii="仿宋" w:hAnsi="仿宋" w:eastAsia="仿宋" w:cs="仿宋"/>
        </w:rPr>
      </w:pPr>
    </w:p>
    <w:p w14:paraId="5BCFCE03">
      <w:pPr>
        <w:pStyle w:val="3"/>
        <w:rPr>
          <w:rFonts w:hint="eastAsia" w:ascii="仿宋" w:hAnsi="仿宋" w:eastAsia="仿宋" w:cs="仿宋"/>
          <w:lang w:val="en-US"/>
        </w:rPr>
      </w:pPr>
    </w:p>
    <w:p w14:paraId="669429A0">
      <w:pPr>
        <w:rPr>
          <w:rFonts w:hint="eastAsia" w:ascii="仿宋" w:hAnsi="仿宋" w:eastAsia="仿宋" w:cs="仿宋"/>
        </w:rPr>
      </w:pPr>
    </w:p>
    <w:p w14:paraId="182088A4">
      <w:pPr>
        <w:pStyle w:val="3"/>
        <w:rPr>
          <w:rFonts w:hint="eastAsia" w:ascii="仿宋" w:hAnsi="仿宋" w:eastAsia="仿宋" w:cs="仿宋"/>
          <w:lang w:val="en-US"/>
        </w:rPr>
      </w:pPr>
    </w:p>
    <w:p w14:paraId="214C8E38">
      <w:pPr>
        <w:rPr>
          <w:rFonts w:hint="eastAsia" w:ascii="仿宋" w:hAnsi="仿宋" w:eastAsia="仿宋" w:cs="仿宋"/>
        </w:rPr>
      </w:pPr>
    </w:p>
    <w:p w14:paraId="05F8D958">
      <w:pPr>
        <w:pStyle w:val="3"/>
        <w:rPr>
          <w:rFonts w:hint="eastAsia" w:ascii="仿宋" w:hAnsi="仿宋" w:eastAsia="仿宋" w:cs="仿宋"/>
          <w:lang w:val="en-US"/>
        </w:rPr>
      </w:pPr>
    </w:p>
    <w:p w14:paraId="5579CA10">
      <w:pPr>
        <w:rPr>
          <w:rFonts w:hint="eastAsia" w:ascii="仿宋" w:hAnsi="仿宋" w:eastAsia="仿宋" w:cs="仿宋"/>
        </w:rPr>
      </w:pPr>
    </w:p>
    <w:p w14:paraId="45BD8AB1">
      <w:pPr>
        <w:pStyle w:val="3"/>
        <w:rPr>
          <w:rFonts w:hint="eastAsia" w:ascii="仿宋" w:hAnsi="仿宋" w:eastAsia="仿宋" w:cs="仿宋"/>
          <w:lang w:val="en-US"/>
        </w:rPr>
      </w:pPr>
    </w:p>
    <w:p w14:paraId="265F67DD">
      <w:pPr>
        <w:rPr>
          <w:rFonts w:hint="eastAsia" w:ascii="仿宋" w:hAnsi="仿宋" w:eastAsia="仿宋" w:cs="仿宋"/>
        </w:rPr>
      </w:pPr>
    </w:p>
    <w:p w14:paraId="513107A1">
      <w:pPr>
        <w:spacing w:line="360" w:lineRule="auto"/>
        <w:jc w:val="center"/>
        <w:outlineLvl w:val="0"/>
        <w:rPr>
          <w:rFonts w:hint="eastAsia" w:ascii="仿宋" w:hAnsi="仿宋" w:eastAsia="仿宋" w:cs="仿宋"/>
          <w:b/>
          <w:kern w:val="0"/>
          <w:sz w:val="36"/>
          <w:szCs w:val="36"/>
        </w:rPr>
      </w:pPr>
    </w:p>
    <w:p w14:paraId="71281627">
      <w:pPr>
        <w:snapToGrid w:val="0"/>
        <w:spacing w:line="360" w:lineRule="auto"/>
        <w:ind w:right="480"/>
        <w:jc w:val="center"/>
        <w:rPr>
          <w:rFonts w:hint="eastAsia" w:ascii="仿宋" w:hAnsi="仿宋" w:eastAsia="仿宋" w:cs="仿宋"/>
          <w:b/>
          <w:kern w:val="0"/>
          <w:sz w:val="32"/>
          <w:szCs w:val="32"/>
        </w:rPr>
      </w:pPr>
    </w:p>
    <w:p w14:paraId="36D2A6CB">
      <w:pPr>
        <w:spacing w:line="360" w:lineRule="auto"/>
        <w:ind w:right="420" w:firstLine="3213" w:firstLineChars="1000"/>
        <w:rPr>
          <w:rFonts w:hint="eastAsia" w:ascii="仿宋" w:hAnsi="仿宋" w:eastAsia="仿宋" w:cs="仿宋"/>
          <w:b/>
          <w:kern w:val="0"/>
          <w:sz w:val="32"/>
          <w:szCs w:val="32"/>
        </w:rPr>
      </w:pPr>
    </w:p>
    <w:p w14:paraId="633F1399">
      <w:pPr>
        <w:spacing w:line="360" w:lineRule="auto"/>
        <w:ind w:right="420" w:firstLine="3213" w:firstLineChars="1000"/>
        <w:rPr>
          <w:rFonts w:hint="eastAsia" w:ascii="仿宋" w:hAnsi="仿宋" w:eastAsia="仿宋" w:cs="仿宋"/>
          <w:b/>
          <w:kern w:val="0"/>
          <w:sz w:val="32"/>
          <w:szCs w:val="32"/>
        </w:rPr>
      </w:pPr>
    </w:p>
    <w:p w14:paraId="4E484DAA">
      <w:pPr>
        <w:spacing w:line="360" w:lineRule="auto"/>
        <w:ind w:right="420" w:firstLine="3213" w:firstLineChars="1000"/>
        <w:rPr>
          <w:rFonts w:hint="eastAsia" w:ascii="仿宋" w:hAnsi="仿宋" w:eastAsia="仿宋" w:cs="仿宋"/>
          <w:b/>
          <w:kern w:val="0"/>
          <w:sz w:val="32"/>
          <w:szCs w:val="32"/>
        </w:rPr>
      </w:pPr>
    </w:p>
    <w:p w14:paraId="79E72ED5">
      <w:pPr>
        <w:spacing w:line="360" w:lineRule="auto"/>
        <w:ind w:right="420" w:firstLine="3213" w:firstLineChars="1000"/>
        <w:rPr>
          <w:rFonts w:hint="eastAsia" w:ascii="仿宋" w:hAnsi="仿宋" w:eastAsia="仿宋" w:cs="仿宋"/>
          <w:b/>
          <w:kern w:val="0"/>
          <w:sz w:val="32"/>
          <w:szCs w:val="32"/>
        </w:rPr>
      </w:pPr>
    </w:p>
    <w:p w14:paraId="24D7B858">
      <w:pPr>
        <w:spacing w:line="360" w:lineRule="auto"/>
        <w:ind w:right="420" w:firstLine="3213" w:firstLineChars="1000"/>
        <w:rPr>
          <w:rFonts w:hint="eastAsia" w:ascii="仿宋" w:hAnsi="仿宋" w:eastAsia="仿宋" w:cs="仿宋"/>
          <w:b/>
          <w:kern w:val="0"/>
          <w:sz w:val="32"/>
          <w:szCs w:val="32"/>
        </w:rPr>
      </w:pPr>
    </w:p>
    <w:p w14:paraId="12DDA5D8">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3EF9D67">
      <w:pPr>
        <w:spacing w:line="360" w:lineRule="auto"/>
        <w:jc w:val="center"/>
        <w:outlineLvl w:val="0"/>
        <w:rPr>
          <w:rFonts w:hint="eastAsia" w:ascii="仿宋" w:hAnsi="仿宋" w:eastAsia="仿宋" w:cs="仿宋"/>
          <w:b/>
          <w:kern w:val="0"/>
          <w:sz w:val="24"/>
        </w:rPr>
      </w:pPr>
    </w:p>
    <w:p w14:paraId="409075B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43D4B5">
      <w:pPr>
        <w:numPr>
          <w:ilvl w:val="0"/>
          <w:numId w:val="9"/>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8E271EC">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8FBEFA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73A2EBF5">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1B960ED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AF77DB9">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41426FB">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95AC73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62168F9">
      <w:pPr>
        <w:snapToGrid w:val="0"/>
        <w:spacing w:line="360" w:lineRule="auto"/>
        <w:jc w:val="center"/>
        <w:rPr>
          <w:rFonts w:hint="eastAsia" w:ascii="仿宋" w:hAnsi="仿宋" w:eastAsia="仿宋" w:cs="仿宋"/>
          <w:b/>
          <w:kern w:val="0"/>
          <w:sz w:val="32"/>
          <w:szCs w:val="32"/>
          <w:lang w:val="zh-CN"/>
        </w:rPr>
      </w:pPr>
    </w:p>
    <w:p w14:paraId="0710F367">
      <w:pPr>
        <w:snapToGrid w:val="0"/>
        <w:spacing w:line="360" w:lineRule="auto"/>
        <w:jc w:val="center"/>
        <w:rPr>
          <w:rFonts w:hint="eastAsia" w:ascii="仿宋" w:hAnsi="仿宋" w:eastAsia="仿宋" w:cs="仿宋"/>
          <w:b/>
          <w:kern w:val="0"/>
          <w:sz w:val="32"/>
          <w:szCs w:val="32"/>
          <w:lang w:val="zh-CN"/>
        </w:rPr>
      </w:pPr>
    </w:p>
    <w:p w14:paraId="242CF1C0">
      <w:pPr>
        <w:snapToGrid w:val="0"/>
        <w:spacing w:line="360" w:lineRule="auto"/>
        <w:jc w:val="center"/>
        <w:rPr>
          <w:rFonts w:hint="eastAsia" w:ascii="仿宋" w:hAnsi="仿宋" w:eastAsia="仿宋" w:cs="仿宋"/>
          <w:b/>
          <w:kern w:val="0"/>
          <w:sz w:val="32"/>
          <w:szCs w:val="32"/>
          <w:lang w:val="zh-CN"/>
        </w:rPr>
      </w:pPr>
    </w:p>
    <w:p w14:paraId="67780A63">
      <w:pPr>
        <w:snapToGrid w:val="0"/>
        <w:spacing w:line="360" w:lineRule="auto"/>
        <w:jc w:val="center"/>
        <w:rPr>
          <w:rFonts w:hint="eastAsia" w:ascii="仿宋" w:hAnsi="仿宋" w:eastAsia="仿宋" w:cs="仿宋"/>
          <w:b/>
          <w:kern w:val="0"/>
          <w:sz w:val="32"/>
          <w:szCs w:val="32"/>
          <w:lang w:val="zh-CN"/>
        </w:rPr>
      </w:pPr>
    </w:p>
    <w:p w14:paraId="286DD32F">
      <w:pPr>
        <w:snapToGrid w:val="0"/>
        <w:spacing w:line="360" w:lineRule="auto"/>
        <w:jc w:val="center"/>
        <w:rPr>
          <w:rFonts w:hint="eastAsia" w:ascii="仿宋" w:hAnsi="仿宋" w:eastAsia="仿宋" w:cs="仿宋"/>
          <w:b/>
          <w:kern w:val="0"/>
          <w:sz w:val="32"/>
          <w:szCs w:val="32"/>
          <w:lang w:val="zh-CN"/>
        </w:rPr>
      </w:pPr>
    </w:p>
    <w:p w14:paraId="1D408A59">
      <w:pPr>
        <w:snapToGrid w:val="0"/>
        <w:spacing w:line="360" w:lineRule="auto"/>
        <w:jc w:val="center"/>
        <w:outlineLvl w:val="0"/>
        <w:rPr>
          <w:rFonts w:hint="eastAsia" w:ascii="仿宋" w:hAnsi="仿宋" w:eastAsia="仿宋" w:cs="仿宋"/>
          <w:b/>
          <w:kern w:val="0"/>
          <w:sz w:val="32"/>
          <w:szCs w:val="32"/>
        </w:rPr>
      </w:pPr>
    </w:p>
    <w:p w14:paraId="56004EDA">
      <w:pPr>
        <w:snapToGrid w:val="0"/>
        <w:spacing w:line="360" w:lineRule="auto"/>
        <w:jc w:val="center"/>
        <w:outlineLvl w:val="0"/>
        <w:rPr>
          <w:rFonts w:hint="eastAsia" w:ascii="仿宋" w:hAnsi="仿宋" w:eastAsia="仿宋" w:cs="仿宋"/>
          <w:b/>
          <w:kern w:val="0"/>
          <w:sz w:val="32"/>
          <w:szCs w:val="32"/>
        </w:rPr>
      </w:pPr>
    </w:p>
    <w:p w14:paraId="101F85F6">
      <w:pPr>
        <w:rPr>
          <w:rFonts w:hint="eastAsia" w:ascii="仿宋" w:hAnsi="仿宋" w:eastAsia="仿宋" w:cs="仿宋"/>
        </w:rPr>
      </w:pPr>
    </w:p>
    <w:p w14:paraId="308CF7A4">
      <w:pPr>
        <w:snapToGrid w:val="0"/>
        <w:spacing w:line="360" w:lineRule="auto"/>
        <w:jc w:val="center"/>
        <w:outlineLvl w:val="0"/>
        <w:rPr>
          <w:rFonts w:hint="eastAsia" w:ascii="仿宋" w:hAnsi="仿宋" w:eastAsia="仿宋" w:cs="仿宋"/>
          <w:b/>
          <w:kern w:val="0"/>
          <w:sz w:val="32"/>
          <w:szCs w:val="32"/>
        </w:rPr>
      </w:pPr>
    </w:p>
    <w:p w14:paraId="40E8E8DF">
      <w:pPr>
        <w:snapToGrid w:val="0"/>
        <w:spacing w:line="360" w:lineRule="auto"/>
        <w:jc w:val="center"/>
        <w:outlineLvl w:val="0"/>
        <w:rPr>
          <w:rFonts w:hint="eastAsia" w:ascii="仿宋" w:hAnsi="仿宋" w:eastAsia="仿宋" w:cs="仿宋"/>
          <w:b/>
          <w:kern w:val="0"/>
          <w:sz w:val="32"/>
          <w:szCs w:val="32"/>
        </w:rPr>
      </w:pPr>
    </w:p>
    <w:p w14:paraId="4E17EE19">
      <w:pPr>
        <w:snapToGrid w:val="0"/>
        <w:spacing w:line="360" w:lineRule="auto"/>
        <w:jc w:val="center"/>
        <w:outlineLvl w:val="0"/>
        <w:rPr>
          <w:rFonts w:hint="eastAsia" w:ascii="仿宋" w:hAnsi="仿宋" w:eastAsia="仿宋" w:cs="仿宋"/>
          <w:b/>
          <w:kern w:val="0"/>
          <w:sz w:val="32"/>
          <w:szCs w:val="32"/>
        </w:rPr>
      </w:pPr>
    </w:p>
    <w:p w14:paraId="2FBC42DF">
      <w:pPr>
        <w:snapToGrid w:val="0"/>
        <w:spacing w:line="360" w:lineRule="auto"/>
        <w:jc w:val="center"/>
        <w:outlineLvl w:val="0"/>
        <w:rPr>
          <w:rFonts w:hint="eastAsia" w:ascii="仿宋" w:hAnsi="仿宋" w:eastAsia="仿宋" w:cs="仿宋"/>
          <w:b/>
          <w:kern w:val="0"/>
          <w:sz w:val="32"/>
          <w:szCs w:val="32"/>
        </w:rPr>
      </w:pPr>
    </w:p>
    <w:p w14:paraId="77F3A4CA">
      <w:pPr>
        <w:snapToGrid w:val="0"/>
        <w:spacing w:line="360" w:lineRule="auto"/>
        <w:jc w:val="center"/>
        <w:outlineLvl w:val="0"/>
        <w:rPr>
          <w:rFonts w:hint="eastAsia" w:ascii="仿宋" w:hAnsi="仿宋" w:eastAsia="仿宋" w:cs="仿宋"/>
          <w:b/>
          <w:kern w:val="0"/>
          <w:sz w:val="32"/>
          <w:szCs w:val="32"/>
        </w:rPr>
      </w:pPr>
    </w:p>
    <w:p w14:paraId="683E7FEE">
      <w:pPr>
        <w:snapToGrid w:val="0"/>
        <w:spacing w:line="360" w:lineRule="auto"/>
        <w:jc w:val="center"/>
        <w:outlineLvl w:val="0"/>
        <w:rPr>
          <w:rFonts w:hint="eastAsia" w:ascii="仿宋" w:hAnsi="仿宋" w:eastAsia="仿宋" w:cs="仿宋"/>
          <w:b/>
          <w:kern w:val="0"/>
          <w:sz w:val="32"/>
          <w:szCs w:val="32"/>
        </w:rPr>
      </w:pPr>
    </w:p>
    <w:p w14:paraId="10BC14F6">
      <w:pPr>
        <w:snapToGrid w:val="0"/>
        <w:spacing w:line="360" w:lineRule="auto"/>
        <w:jc w:val="center"/>
        <w:outlineLvl w:val="0"/>
        <w:rPr>
          <w:rFonts w:hint="eastAsia" w:ascii="仿宋" w:hAnsi="仿宋" w:eastAsia="仿宋" w:cs="仿宋"/>
          <w:b/>
          <w:kern w:val="0"/>
          <w:sz w:val="32"/>
          <w:szCs w:val="32"/>
        </w:rPr>
      </w:pPr>
    </w:p>
    <w:p w14:paraId="0C18D17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8BE3E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B6DBEC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9A6076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31BA4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F1AC9B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8FD3A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42DD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AC8A9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5D2E55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35A6A1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B55E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B581AD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E9CF8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6F6268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60547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25E1EC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16F6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04B92D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41A3A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653A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187E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37B56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6A3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FC249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3673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8C222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97E8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B7827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5F7C7D">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ABC04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CFBB1A5">
      <w:pPr>
        <w:jc w:val="center"/>
        <w:rPr>
          <w:rFonts w:hint="eastAsia" w:ascii="仿宋" w:hAnsi="仿宋" w:eastAsia="仿宋" w:cs="仿宋"/>
          <w:b/>
          <w:kern w:val="0"/>
          <w:sz w:val="32"/>
          <w:szCs w:val="32"/>
          <w:lang w:val="zh-CN"/>
        </w:rPr>
      </w:pPr>
    </w:p>
    <w:p w14:paraId="1C4B40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B361E9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1885DB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120F736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8CB3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7FB1AF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C543DC">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4F71C22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1AD4AB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7492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CEEB55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3EBDBB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7A5AC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927B0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64AA9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E7616D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2B0912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7C4438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6AD1D1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8ED0B8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63C0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6DC0DE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2920F">
      <w:pPr>
        <w:snapToGrid w:val="0"/>
        <w:spacing w:line="360" w:lineRule="auto"/>
        <w:rPr>
          <w:rFonts w:hint="eastAsia" w:ascii="仿宋" w:hAnsi="仿宋" w:eastAsia="仿宋" w:cs="仿宋"/>
          <w:kern w:val="0"/>
          <w:sz w:val="24"/>
          <w:lang w:val="zh-CN"/>
        </w:rPr>
      </w:pPr>
    </w:p>
    <w:p w14:paraId="6B8A49A5">
      <w:pPr>
        <w:snapToGrid w:val="0"/>
        <w:spacing w:line="360" w:lineRule="auto"/>
        <w:rPr>
          <w:rFonts w:hint="eastAsia" w:ascii="仿宋" w:hAnsi="仿宋" w:eastAsia="仿宋" w:cs="仿宋"/>
          <w:kern w:val="0"/>
          <w:sz w:val="24"/>
          <w:lang w:val="zh-CN"/>
        </w:rPr>
      </w:pPr>
    </w:p>
    <w:p w14:paraId="7703D7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30459A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462401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7AFB62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5A3E52">
      <w:pPr>
        <w:snapToGrid w:val="0"/>
        <w:spacing w:line="360" w:lineRule="auto"/>
        <w:jc w:val="right"/>
        <w:rPr>
          <w:rFonts w:hint="eastAsia" w:ascii="仿宋" w:hAnsi="仿宋" w:eastAsia="仿宋" w:cs="仿宋"/>
          <w:kern w:val="0"/>
          <w:sz w:val="24"/>
          <w:lang w:val="zh-CN"/>
        </w:rPr>
      </w:pPr>
    </w:p>
    <w:p w14:paraId="576CF026">
      <w:pPr>
        <w:snapToGrid w:val="0"/>
        <w:spacing w:line="360" w:lineRule="auto"/>
        <w:rPr>
          <w:rFonts w:hint="eastAsia" w:ascii="仿宋" w:hAnsi="仿宋" w:eastAsia="仿宋" w:cs="仿宋"/>
          <w:sz w:val="24"/>
        </w:rPr>
      </w:pPr>
    </w:p>
    <w:p w14:paraId="03ED0A0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1818573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3D58A85B">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13A501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55369">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3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F2C42">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6997063">
            <w:pPr>
              <w:pStyle w:val="181"/>
              <w:adjustRightInd w:val="0"/>
              <w:spacing w:line="360" w:lineRule="auto"/>
              <w:rPr>
                <w:rFonts w:hint="eastAsia" w:ascii="仿宋" w:hAnsi="仿宋" w:eastAsia="仿宋" w:cs="仿宋"/>
                <w:bCs/>
                <w:sz w:val="24"/>
                <w:szCs w:val="21"/>
              </w:rPr>
            </w:pPr>
          </w:p>
        </w:tc>
      </w:tr>
    </w:tbl>
    <w:p w14:paraId="39AA7FC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BBAEA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97507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BA71A0">
      <w:pPr>
        <w:jc w:val="center"/>
        <w:rPr>
          <w:rFonts w:hint="eastAsia" w:ascii="仿宋" w:hAnsi="仿宋" w:eastAsia="仿宋" w:cs="仿宋"/>
          <w:b/>
          <w:kern w:val="0"/>
          <w:sz w:val="32"/>
          <w:szCs w:val="32"/>
        </w:rPr>
      </w:pPr>
    </w:p>
    <w:p w14:paraId="07236E62">
      <w:pPr>
        <w:jc w:val="center"/>
        <w:rPr>
          <w:rFonts w:hint="eastAsia" w:ascii="仿宋" w:hAnsi="仿宋" w:eastAsia="仿宋" w:cs="仿宋"/>
          <w:b/>
          <w:kern w:val="0"/>
          <w:sz w:val="32"/>
          <w:szCs w:val="32"/>
        </w:rPr>
      </w:pPr>
    </w:p>
    <w:p w14:paraId="28D74390">
      <w:pPr>
        <w:jc w:val="center"/>
        <w:rPr>
          <w:rFonts w:hint="eastAsia" w:ascii="仿宋" w:hAnsi="仿宋" w:eastAsia="仿宋" w:cs="仿宋"/>
          <w:b/>
          <w:kern w:val="0"/>
          <w:sz w:val="32"/>
          <w:szCs w:val="32"/>
        </w:rPr>
      </w:pPr>
    </w:p>
    <w:p w14:paraId="2CC8CB8E">
      <w:pPr>
        <w:jc w:val="center"/>
        <w:rPr>
          <w:rFonts w:hint="eastAsia" w:ascii="仿宋" w:hAnsi="仿宋" w:eastAsia="仿宋" w:cs="仿宋"/>
          <w:b/>
          <w:kern w:val="0"/>
          <w:sz w:val="32"/>
          <w:szCs w:val="32"/>
        </w:rPr>
      </w:pPr>
    </w:p>
    <w:p w14:paraId="025EF13F">
      <w:pPr>
        <w:jc w:val="center"/>
        <w:rPr>
          <w:rFonts w:hint="eastAsia" w:ascii="仿宋" w:hAnsi="仿宋" w:eastAsia="仿宋" w:cs="仿宋"/>
          <w:b/>
          <w:kern w:val="0"/>
          <w:sz w:val="32"/>
          <w:szCs w:val="32"/>
        </w:rPr>
      </w:pPr>
    </w:p>
    <w:p w14:paraId="7F20AA75">
      <w:pPr>
        <w:jc w:val="center"/>
        <w:rPr>
          <w:rFonts w:hint="eastAsia" w:ascii="仿宋" w:hAnsi="仿宋" w:eastAsia="仿宋" w:cs="仿宋"/>
          <w:b/>
          <w:kern w:val="0"/>
          <w:sz w:val="32"/>
          <w:szCs w:val="32"/>
        </w:rPr>
      </w:pPr>
    </w:p>
    <w:p w14:paraId="1351A5CD">
      <w:pPr>
        <w:jc w:val="center"/>
        <w:rPr>
          <w:rFonts w:hint="eastAsia" w:ascii="仿宋" w:hAnsi="仿宋" w:eastAsia="仿宋" w:cs="仿宋"/>
          <w:b/>
          <w:kern w:val="0"/>
          <w:sz w:val="32"/>
          <w:szCs w:val="32"/>
        </w:rPr>
      </w:pPr>
    </w:p>
    <w:p w14:paraId="2A7550EA">
      <w:pPr>
        <w:jc w:val="center"/>
        <w:rPr>
          <w:rFonts w:hint="eastAsia" w:ascii="仿宋" w:hAnsi="仿宋" w:eastAsia="仿宋" w:cs="仿宋"/>
          <w:b/>
          <w:kern w:val="0"/>
          <w:sz w:val="32"/>
          <w:szCs w:val="32"/>
        </w:rPr>
      </w:pPr>
    </w:p>
    <w:p w14:paraId="21AA0D66">
      <w:pPr>
        <w:jc w:val="center"/>
        <w:rPr>
          <w:rFonts w:hint="eastAsia" w:ascii="仿宋" w:hAnsi="仿宋" w:eastAsia="仿宋" w:cs="仿宋"/>
          <w:b/>
          <w:kern w:val="0"/>
          <w:sz w:val="32"/>
          <w:szCs w:val="32"/>
        </w:rPr>
      </w:pPr>
    </w:p>
    <w:p w14:paraId="1C067C95">
      <w:pPr>
        <w:jc w:val="center"/>
        <w:rPr>
          <w:rFonts w:hint="eastAsia" w:ascii="仿宋" w:hAnsi="仿宋" w:eastAsia="仿宋" w:cs="仿宋"/>
          <w:b/>
          <w:kern w:val="0"/>
          <w:sz w:val="32"/>
          <w:szCs w:val="32"/>
        </w:rPr>
      </w:pPr>
    </w:p>
    <w:p w14:paraId="5647A2BE">
      <w:pPr>
        <w:jc w:val="center"/>
        <w:rPr>
          <w:rFonts w:hint="eastAsia" w:ascii="仿宋" w:hAnsi="仿宋" w:eastAsia="仿宋" w:cs="仿宋"/>
          <w:b/>
          <w:kern w:val="0"/>
          <w:sz w:val="32"/>
          <w:szCs w:val="32"/>
        </w:rPr>
      </w:pPr>
    </w:p>
    <w:p w14:paraId="131601CF">
      <w:pPr>
        <w:jc w:val="center"/>
        <w:rPr>
          <w:rFonts w:hint="eastAsia" w:ascii="仿宋" w:hAnsi="仿宋" w:eastAsia="仿宋" w:cs="仿宋"/>
          <w:b/>
          <w:kern w:val="0"/>
          <w:sz w:val="32"/>
          <w:szCs w:val="32"/>
        </w:rPr>
      </w:pPr>
    </w:p>
    <w:p w14:paraId="14117C8A">
      <w:pPr>
        <w:jc w:val="center"/>
        <w:rPr>
          <w:rFonts w:hint="eastAsia" w:ascii="仿宋" w:hAnsi="仿宋" w:eastAsia="仿宋" w:cs="仿宋"/>
          <w:b/>
          <w:kern w:val="0"/>
          <w:sz w:val="32"/>
          <w:szCs w:val="32"/>
        </w:rPr>
      </w:pPr>
    </w:p>
    <w:p w14:paraId="18BC6F3C">
      <w:pPr>
        <w:jc w:val="center"/>
        <w:rPr>
          <w:rFonts w:hint="eastAsia" w:ascii="仿宋" w:hAnsi="仿宋" w:eastAsia="仿宋" w:cs="仿宋"/>
          <w:b/>
          <w:kern w:val="0"/>
          <w:sz w:val="32"/>
          <w:szCs w:val="32"/>
        </w:rPr>
      </w:pPr>
    </w:p>
    <w:p w14:paraId="12C4BAD9">
      <w:pPr>
        <w:jc w:val="center"/>
        <w:rPr>
          <w:rFonts w:hint="eastAsia" w:ascii="仿宋" w:hAnsi="仿宋" w:eastAsia="仿宋" w:cs="仿宋"/>
          <w:b/>
          <w:kern w:val="0"/>
          <w:sz w:val="32"/>
          <w:szCs w:val="32"/>
        </w:rPr>
      </w:pPr>
    </w:p>
    <w:p w14:paraId="3BD42CB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D9BE3F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68A014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F0C608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E25B5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E23F23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59A6BB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64E31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9E2405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CFEF2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7A76F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E0D06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877ED4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ACE0C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4B25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8491B6">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9B47E1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320FE8A">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8743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A8C79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3053A9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57B6B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3E4DD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8CAB82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C0E20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3E46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0F77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3AD94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A1685C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F9FFE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AF62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0D61D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87E99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15ED0D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EE9250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C3F67C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83AFB8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78D8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B4DA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5ADA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528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36CAA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F7059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4107E3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30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D5AE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97F88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9AFE4B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763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4129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E3B1D3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E8AA75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76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61CF2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CF74CF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3053A8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43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C843C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94202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AC14F7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D4AE0B4">
      <w:pPr>
        <w:jc w:val="center"/>
        <w:rPr>
          <w:rFonts w:hint="eastAsia" w:ascii="仿宋" w:hAnsi="仿宋" w:eastAsia="仿宋" w:cs="仿宋"/>
          <w:b/>
          <w:kern w:val="0"/>
          <w:sz w:val="32"/>
          <w:szCs w:val="32"/>
        </w:rPr>
      </w:pPr>
    </w:p>
    <w:p w14:paraId="440C4D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45CA24">
      <w:pPr>
        <w:jc w:val="center"/>
        <w:rPr>
          <w:rFonts w:hint="eastAsia" w:ascii="仿宋" w:hAnsi="仿宋" w:eastAsia="仿宋" w:cs="仿宋"/>
          <w:b/>
          <w:kern w:val="0"/>
          <w:sz w:val="32"/>
          <w:szCs w:val="32"/>
        </w:rPr>
      </w:pPr>
    </w:p>
    <w:p w14:paraId="00211ED5">
      <w:pPr>
        <w:jc w:val="center"/>
        <w:rPr>
          <w:rFonts w:hint="eastAsia" w:ascii="仿宋" w:hAnsi="仿宋" w:eastAsia="仿宋" w:cs="仿宋"/>
          <w:b/>
          <w:kern w:val="0"/>
          <w:sz w:val="32"/>
          <w:szCs w:val="32"/>
        </w:rPr>
      </w:pPr>
    </w:p>
    <w:p w14:paraId="20E6B349">
      <w:pPr>
        <w:jc w:val="center"/>
        <w:rPr>
          <w:rFonts w:hint="eastAsia" w:ascii="仿宋" w:hAnsi="仿宋" w:eastAsia="仿宋" w:cs="仿宋"/>
          <w:b/>
          <w:kern w:val="0"/>
          <w:sz w:val="32"/>
          <w:szCs w:val="32"/>
        </w:rPr>
      </w:pPr>
    </w:p>
    <w:p w14:paraId="0A034CBB">
      <w:pPr>
        <w:jc w:val="center"/>
        <w:rPr>
          <w:rFonts w:hint="eastAsia" w:ascii="仿宋" w:hAnsi="仿宋" w:eastAsia="仿宋" w:cs="仿宋"/>
          <w:b/>
          <w:kern w:val="0"/>
          <w:sz w:val="32"/>
          <w:szCs w:val="32"/>
        </w:rPr>
      </w:pPr>
    </w:p>
    <w:p w14:paraId="2D0FB3E5">
      <w:pPr>
        <w:jc w:val="center"/>
        <w:rPr>
          <w:rFonts w:hint="eastAsia" w:ascii="仿宋" w:hAnsi="仿宋" w:eastAsia="仿宋" w:cs="仿宋"/>
          <w:b/>
          <w:kern w:val="0"/>
          <w:sz w:val="32"/>
          <w:szCs w:val="32"/>
        </w:rPr>
      </w:pPr>
    </w:p>
    <w:p w14:paraId="63AD755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CDE1A6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AE615F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67C8D4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31031C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CBB83B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20446B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33C25C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137079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A12EB17">
      <w:pPr>
        <w:jc w:val="center"/>
        <w:rPr>
          <w:rFonts w:hint="eastAsia" w:ascii="仿宋" w:hAnsi="仿宋" w:eastAsia="仿宋" w:cs="仿宋"/>
          <w:b/>
          <w:kern w:val="0"/>
          <w:sz w:val="32"/>
          <w:szCs w:val="32"/>
        </w:rPr>
      </w:pPr>
    </w:p>
    <w:p w14:paraId="7BA32A91">
      <w:pPr>
        <w:jc w:val="center"/>
        <w:rPr>
          <w:rFonts w:hint="eastAsia" w:ascii="仿宋" w:hAnsi="仿宋" w:eastAsia="仿宋" w:cs="仿宋"/>
          <w:b/>
          <w:kern w:val="0"/>
          <w:sz w:val="32"/>
          <w:szCs w:val="32"/>
        </w:rPr>
      </w:pPr>
    </w:p>
    <w:p w14:paraId="01E35046">
      <w:pPr>
        <w:jc w:val="center"/>
        <w:rPr>
          <w:rFonts w:hint="eastAsia" w:ascii="仿宋" w:hAnsi="仿宋" w:eastAsia="仿宋" w:cs="仿宋"/>
          <w:b/>
          <w:kern w:val="0"/>
          <w:sz w:val="32"/>
          <w:szCs w:val="32"/>
        </w:rPr>
      </w:pPr>
    </w:p>
    <w:p w14:paraId="44C8A63F">
      <w:pPr>
        <w:jc w:val="center"/>
        <w:rPr>
          <w:rFonts w:hint="eastAsia" w:ascii="仿宋" w:hAnsi="仿宋" w:eastAsia="仿宋" w:cs="仿宋"/>
          <w:b/>
          <w:kern w:val="0"/>
          <w:sz w:val="32"/>
          <w:szCs w:val="32"/>
        </w:rPr>
      </w:pPr>
    </w:p>
    <w:p w14:paraId="6CB70508">
      <w:pPr>
        <w:jc w:val="center"/>
        <w:rPr>
          <w:rFonts w:hint="eastAsia" w:ascii="仿宋" w:hAnsi="仿宋" w:eastAsia="仿宋" w:cs="仿宋"/>
          <w:b/>
          <w:kern w:val="0"/>
          <w:sz w:val="32"/>
          <w:szCs w:val="32"/>
        </w:rPr>
      </w:pPr>
    </w:p>
    <w:p w14:paraId="27D59328">
      <w:pPr>
        <w:jc w:val="center"/>
        <w:rPr>
          <w:rFonts w:hint="eastAsia" w:ascii="仿宋" w:hAnsi="仿宋" w:eastAsia="仿宋" w:cs="仿宋"/>
          <w:b/>
          <w:kern w:val="0"/>
          <w:sz w:val="32"/>
          <w:szCs w:val="32"/>
        </w:rPr>
      </w:pPr>
    </w:p>
    <w:p w14:paraId="000D2C74">
      <w:pPr>
        <w:jc w:val="center"/>
        <w:rPr>
          <w:rFonts w:hint="eastAsia" w:ascii="仿宋" w:hAnsi="仿宋" w:eastAsia="仿宋" w:cs="仿宋"/>
          <w:b/>
          <w:kern w:val="0"/>
          <w:sz w:val="32"/>
          <w:szCs w:val="32"/>
        </w:rPr>
      </w:pPr>
    </w:p>
    <w:p w14:paraId="0126B317">
      <w:pPr>
        <w:jc w:val="center"/>
        <w:rPr>
          <w:rFonts w:hint="eastAsia" w:ascii="仿宋" w:hAnsi="仿宋" w:eastAsia="仿宋" w:cs="仿宋"/>
          <w:b/>
          <w:kern w:val="0"/>
          <w:sz w:val="32"/>
          <w:szCs w:val="32"/>
        </w:rPr>
      </w:pPr>
    </w:p>
    <w:p w14:paraId="109FF8CA">
      <w:pPr>
        <w:jc w:val="center"/>
        <w:rPr>
          <w:rFonts w:hint="eastAsia" w:ascii="仿宋" w:hAnsi="仿宋" w:eastAsia="仿宋" w:cs="仿宋"/>
          <w:b/>
          <w:kern w:val="0"/>
          <w:sz w:val="32"/>
          <w:szCs w:val="32"/>
        </w:rPr>
      </w:pPr>
    </w:p>
    <w:p w14:paraId="7EAA22F2">
      <w:pPr>
        <w:jc w:val="center"/>
        <w:rPr>
          <w:rFonts w:hint="eastAsia" w:ascii="仿宋" w:hAnsi="仿宋" w:eastAsia="仿宋" w:cs="仿宋"/>
          <w:b/>
          <w:kern w:val="0"/>
          <w:sz w:val="32"/>
          <w:szCs w:val="32"/>
        </w:rPr>
      </w:pPr>
    </w:p>
    <w:p w14:paraId="7502992E">
      <w:pPr>
        <w:jc w:val="center"/>
        <w:rPr>
          <w:rFonts w:hint="eastAsia" w:ascii="仿宋" w:hAnsi="仿宋" w:eastAsia="仿宋" w:cs="仿宋"/>
          <w:b/>
          <w:kern w:val="0"/>
          <w:sz w:val="32"/>
          <w:szCs w:val="32"/>
        </w:rPr>
      </w:pPr>
    </w:p>
    <w:p w14:paraId="05C00C49">
      <w:pPr>
        <w:jc w:val="center"/>
        <w:rPr>
          <w:rFonts w:hint="eastAsia" w:ascii="仿宋" w:hAnsi="仿宋" w:eastAsia="仿宋" w:cs="仿宋"/>
          <w:b/>
          <w:kern w:val="0"/>
          <w:sz w:val="32"/>
          <w:szCs w:val="32"/>
        </w:rPr>
      </w:pPr>
    </w:p>
    <w:p w14:paraId="4B90294C">
      <w:pPr>
        <w:jc w:val="center"/>
        <w:rPr>
          <w:rFonts w:hint="eastAsia" w:ascii="仿宋" w:hAnsi="仿宋" w:eastAsia="仿宋" w:cs="仿宋"/>
          <w:b/>
          <w:kern w:val="0"/>
          <w:sz w:val="32"/>
          <w:szCs w:val="32"/>
        </w:rPr>
      </w:pPr>
    </w:p>
    <w:p w14:paraId="59FADF67">
      <w:pPr>
        <w:jc w:val="center"/>
        <w:rPr>
          <w:rFonts w:hint="eastAsia" w:ascii="仿宋" w:hAnsi="仿宋" w:eastAsia="仿宋" w:cs="仿宋"/>
          <w:b/>
          <w:kern w:val="0"/>
          <w:sz w:val="32"/>
          <w:szCs w:val="32"/>
        </w:rPr>
      </w:pPr>
    </w:p>
    <w:p w14:paraId="4F510FB5">
      <w:pPr>
        <w:jc w:val="center"/>
        <w:rPr>
          <w:rFonts w:hint="eastAsia" w:ascii="仿宋" w:hAnsi="仿宋" w:eastAsia="仿宋" w:cs="仿宋"/>
          <w:b/>
          <w:kern w:val="0"/>
          <w:sz w:val="32"/>
          <w:szCs w:val="32"/>
        </w:rPr>
      </w:pPr>
    </w:p>
    <w:p w14:paraId="2456ADEE">
      <w:pPr>
        <w:jc w:val="center"/>
        <w:rPr>
          <w:rFonts w:hint="eastAsia" w:ascii="仿宋" w:hAnsi="仿宋" w:eastAsia="仿宋" w:cs="仿宋"/>
          <w:b/>
          <w:kern w:val="0"/>
          <w:sz w:val="32"/>
          <w:szCs w:val="32"/>
        </w:rPr>
      </w:pPr>
    </w:p>
    <w:p w14:paraId="59E0FEDC">
      <w:pPr>
        <w:jc w:val="center"/>
        <w:rPr>
          <w:rFonts w:hint="eastAsia" w:ascii="仿宋" w:hAnsi="仿宋" w:eastAsia="仿宋" w:cs="仿宋"/>
          <w:b/>
          <w:kern w:val="0"/>
          <w:sz w:val="32"/>
          <w:szCs w:val="32"/>
        </w:rPr>
      </w:pPr>
    </w:p>
    <w:p w14:paraId="1B8DC0E0">
      <w:pPr>
        <w:jc w:val="center"/>
        <w:rPr>
          <w:rFonts w:hint="eastAsia" w:ascii="仿宋" w:hAnsi="仿宋" w:eastAsia="仿宋" w:cs="仿宋"/>
          <w:b/>
          <w:kern w:val="0"/>
          <w:sz w:val="32"/>
          <w:szCs w:val="32"/>
        </w:rPr>
      </w:pPr>
    </w:p>
    <w:p w14:paraId="48A71B55">
      <w:pPr>
        <w:jc w:val="center"/>
        <w:rPr>
          <w:rFonts w:hint="eastAsia" w:ascii="仿宋" w:hAnsi="仿宋" w:eastAsia="仿宋" w:cs="仿宋"/>
          <w:b/>
          <w:kern w:val="0"/>
          <w:sz w:val="32"/>
          <w:szCs w:val="32"/>
        </w:rPr>
      </w:pPr>
    </w:p>
    <w:p w14:paraId="442ED21C">
      <w:pPr>
        <w:jc w:val="center"/>
        <w:rPr>
          <w:rFonts w:hint="eastAsia" w:ascii="仿宋" w:hAnsi="仿宋" w:eastAsia="仿宋" w:cs="仿宋"/>
          <w:b/>
          <w:kern w:val="0"/>
          <w:sz w:val="32"/>
          <w:szCs w:val="32"/>
        </w:rPr>
      </w:pPr>
    </w:p>
    <w:p w14:paraId="6871E3AE">
      <w:pPr>
        <w:jc w:val="center"/>
        <w:rPr>
          <w:rFonts w:hint="eastAsia" w:ascii="仿宋" w:hAnsi="仿宋" w:eastAsia="仿宋" w:cs="仿宋"/>
          <w:b/>
          <w:kern w:val="0"/>
          <w:sz w:val="32"/>
          <w:szCs w:val="32"/>
        </w:rPr>
      </w:pPr>
    </w:p>
    <w:p w14:paraId="45004675">
      <w:pPr>
        <w:jc w:val="center"/>
        <w:rPr>
          <w:rFonts w:hint="eastAsia" w:ascii="仿宋" w:hAnsi="仿宋" w:eastAsia="仿宋" w:cs="仿宋"/>
          <w:b/>
          <w:kern w:val="0"/>
          <w:sz w:val="32"/>
          <w:szCs w:val="32"/>
        </w:rPr>
      </w:pPr>
    </w:p>
    <w:p w14:paraId="0E3417C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A1AFE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3732501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A8C15C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CFE413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A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16B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E6FF7D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B548C7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52D45D3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6FF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5249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40D843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EE74E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2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EC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63111B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A4F61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1F94A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899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CF3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301720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FE5A3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6A9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A4BB79C">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6207923">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22A69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5D8122E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39AA9E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E5D0F0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4E72A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7CD8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9EA9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31AB4373">
      <w:pPr>
        <w:jc w:val="center"/>
        <w:rPr>
          <w:rFonts w:hint="eastAsia" w:ascii="仿宋" w:hAnsi="仿宋" w:eastAsia="仿宋" w:cs="仿宋"/>
          <w:b/>
          <w:kern w:val="0"/>
          <w:sz w:val="32"/>
          <w:szCs w:val="32"/>
        </w:rPr>
      </w:pPr>
    </w:p>
    <w:p w14:paraId="058E9BA8">
      <w:pPr>
        <w:jc w:val="center"/>
        <w:rPr>
          <w:rFonts w:hint="eastAsia" w:ascii="仿宋" w:hAnsi="仿宋" w:eastAsia="仿宋" w:cs="仿宋"/>
          <w:b/>
          <w:kern w:val="0"/>
          <w:sz w:val="32"/>
          <w:szCs w:val="32"/>
        </w:rPr>
      </w:pPr>
    </w:p>
    <w:p w14:paraId="13C9E706">
      <w:pPr>
        <w:jc w:val="center"/>
        <w:rPr>
          <w:rFonts w:hint="eastAsia" w:ascii="仿宋" w:hAnsi="仿宋" w:eastAsia="仿宋" w:cs="仿宋"/>
          <w:b/>
          <w:kern w:val="0"/>
          <w:sz w:val="32"/>
          <w:szCs w:val="32"/>
        </w:rPr>
      </w:pPr>
    </w:p>
    <w:p w14:paraId="254044F6">
      <w:pPr>
        <w:jc w:val="center"/>
        <w:rPr>
          <w:rFonts w:hint="eastAsia" w:ascii="仿宋" w:hAnsi="仿宋" w:eastAsia="仿宋" w:cs="仿宋"/>
          <w:b/>
          <w:kern w:val="0"/>
          <w:sz w:val="32"/>
          <w:szCs w:val="32"/>
        </w:rPr>
      </w:pPr>
    </w:p>
    <w:p w14:paraId="47762D12">
      <w:pPr>
        <w:jc w:val="center"/>
        <w:rPr>
          <w:rFonts w:hint="eastAsia" w:ascii="仿宋" w:hAnsi="仿宋" w:eastAsia="仿宋" w:cs="仿宋"/>
          <w:b/>
          <w:kern w:val="0"/>
          <w:sz w:val="32"/>
          <w:szCs w:val="32"/>
        </w:rPr>
      </w:pPr>
    </w:p>
    <w:p w14:paraId="36435196">
      <w:pPr>
        <w:jc w:val="center"/>
        <w:rPr>
          <w:rFonts w:hint="eastAsia" w:ascii="仿宋" w:hAnsi="仿宋" w:eastAsia="仿宋" w:cs="仿宋"/>
          <w:b/>
          <w:kern w:val="0"/>
          <w:sz w:val="32"/>
          <w:szCs w:val="32"/>
        </w:rPr>
      </w:pPr>
    </w:p>
    <w:p w14:paraId="08B0A2CA">
      <w:pPr>
        <w:jc w:val="center"/>
        <w:rPr>
          <w:rFonts w:hint="eastAsia" w:ascii="仿宋" w:hAnsi="仿宋" w:eastAsia="仿宋" w:cs="仿宋"/>
          <w:b/>
          <w:kern w:val="0"/>
          <w:sz w:val="32"/>
          <w:szCs w:val="32"/>
        </w:rPr>
      </w:pPr>
    </w:p>
    <w:p w14:paraId="7147E824">
      <w:pPr>
        <w:jc w:val="center"/>
        <w:rPr>
          <w:rFonts w:hint="eastAsia" w:ascii="仿宋" w:hAnsi="仿宋" w:eastAsia="仿宋" w:cs="仿宋"/>
          <w:b/>
          <w:kern w:val="0"/>
          <w:sz w:val="32"/>
          <w:szCs w:val="32"/>
        </w:rPr>
      </w:pPr>
    </w:p>
    <w:p w14:paraId="3122B11E">
      <w:pPr>
        <w:jc w:val="center"/>
        <w:rPr>
          <w:rFonts w:hint="eastAsia" w:ascii="仿宋" w:hAnsi="仿宋" w:eastAsia="仿宋" w:cs="仿宋"/>
          <w:b/>
          <w:kern w:val="0"/>
          <w:sz w:val="32"/>
          <w:szCs w:val="32"/>
        </w:rPr>
      </w:pPr>
    </w:p>
    <w:p w14:paraId="193EA1EB">
      <w:pPr>
        <w:ind w:firstLine="2891" w:firstLineChars="900"/>
        <w:rPr>
          <w:rFonts w:hint="eastAsia" w:ascii="仿宋" w:hAnsi="仿宋" w:eastAsia="仿宋" w:cs="仿宋"/>
          <w:b/>
          <w:bCs/>
          <w:sz w:val="32"/>
          <w:szCs w:val="32"/>
        </w:rPr>
      </w:pPr>
    </w:p>
    <w:p w14:paraId="2C924131">
      <w:pPr>
        <w:ind w:firstLine="2891" w:firstLineChars="900"/>
        <w:rPr>
          <w:rFonts w:hint="eastAsia" w:ascii="仿宋" w:hAnsi="仿宋" w:eastAsia="仿宋" w:cs="仿宋"/>
          <w:b/>
          <w:bCs/>
          <w:sz w:val="32"/>
          <w:szCs w:val="32"/>
        </w:rPr>
      </w:pPr>
    </w:p>
    <w:p w14:paraId="5030434D">
      <w:pPr>
        <w:ind w:firstLine="2891" w:firstLineChars="900"/>
        <w:rPr>
          <w:rFonts w:hint="eastAsia" w:ascii="仿宋" w:hAnsi="仿宋" w:eastAsia="仿宋" w:cs="仿宋"/>
          <w:b/>
          <w:bCs/>
          <w:sz w:val="32"/>
          <w:szCs w:val="32"/>
        </w:rPr>
      </w:pPr>
    </w:p>
    <w:p w14:paraId="50C87890">
      <w:pPr>
        <w:ind w:firstLine="1911" w:firstLineChars="595"/>
        <w:rPr>
          <w:rFonts w:hint="eastAsia" w:ascii="仿宋" w:hAnsi="仿宋" w:eastAsia="仿宋" w:cs="仿宋"/>
          <w:b/>
          <w:kern w:val="0"/>
          <w:sz w:val="32"/>
          <w:szCs w:val="32"/>
        </w:rPr>
      </w:pPr>
    </w:p>
    <w:p w14:paraId="41609F63">
      <w:pPr>
        <w:ind w:firstLine="1911" w:firstLineChars="595"/>
        <w:rPr>
          <w:rFonts w:hint="eastAsia" w:ascii="仿宋" w:hAnsi="仿宋" w:eastAsia="仿宋" w:cs="仿宋"/>
          <w:b/>
          <w:kern w:val="0"/>
          <w:sz w:val="32"/>
          <w:szCs w:val="32"/>
        </w:rPr>
      </w:pPr>
    </w:p>
    <w:p w14:paraId="505C4DF5">
      <w:pPr>
        <w:ind w:firstLine="1911" w:firstLineChars="595"/>
        <w:rPr>
          <w:rFonts w:hint="eastAsia" w:ascii="仿宋" w:hAnsi="仿宋" w:eastAsia="仿宋" w:cs="仿宋"/>
          <w:b/>
          <w:kern w:val="0"/>
          <w:sz w:val="32"/>
          <w:szCs w:val="32"/>
        </w:rPr>
      </w:pPr>
    </w:p>
    <w:p w14:paraId="3D378CA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496AF96">
      <w:pPr>
        <w:snapToGrid w:val="0"/>
        <w:spacing w:line="360" w:lineRule="auto"/>
        <w:rPr>
          <w:rFonts w:hint="eastAsia" w:ascii="仿宋" w:hAnsi="仿宋" w:eastAsia="仿宋" w:cs="仿宋"/>
          <w:sz w:val="24"/>
        </w:rPr>
      </w:pPr>
    </w:p>
    <w:p w14:paraId="1310669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66619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E371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1A5EA5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05C16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2849B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8377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A3BD6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59A6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68F510">
      <w:pPr>
        <w:autoSpaceDE w:val="0"/>
        <w:autoSpaceDN w:val="0"/>
        <w:spacing w:line="360" w:lineRule="auto"/>
        <w:ind w:left="2"/>
        <w:jc w:val="left"/>
        <w:rPr>
          <w:rFonts w:hint="eastAsia" w:ascii="仿宋" w:hAnsi="仿宋" w:eastAsia="仿宋" w:cs="仿宋"/>
          <w:kern w:val="0"/>
          <w:sz w:val="24"/>
          <w:lang w:val="zh-CN"/>
        </w:rPr>
      </w:pPr>
    </w:p>
    <w:p w14:paraId="3EF75451">
      <w:pPr>
        <w:autoSpaceDE w:val="0"/>
        <w:autoSpaceDN w:val="0"/>
        <w:spacing w:line="360" w:lineRule="auto"/>
        <w:ind w:left="2"/>
        <w:jc w:val="left"/>
        <w:rPr>
          <w:rFonts w:hint="eastAsia" w:ascii="仿宋" w:hAnsi="仿宋" w:eastAsia="仿宋" w:cs="仿宋"/>
          <w:kern w:val="0"/>
          <w:sz w:val="24"/>
          <w:lang w:val="zh-CN"/>
        </w:rPr>
      </w:pPr>
    </w:p>
    <w:p w14:paraId="3F81F63C">
      <w:pPr>
        <w:autoSpaceDE w:val="0"/>
        <w:autoSpaceDN w:val="0"/>
        <w:spacing w:line="360" w:lineRule="auto"/>
        <w:ind w:left="2"/>
        <w:jc w:val="left"/>
        <w:rPr>
          <w:rFonts w:hint="eastAsia" w:ascii="仿宋" w:hAnsi="仿宋" w:eastAsia="仿宋" w:cs="仿宋"/>
          <w:kern w:val="0"/>
          <w:sz w:val="24"/>
          <w:lang w:val="zh-CN"/>
        </w:rPr>
      </w:pPr>
    </w:p>
    <w:p w14:paraId="0AC9A8F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67A3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5E84CA7">
      <w:pPr>
        <w:spacing w:line="360" w:lineRule="auto"/>
        <w:jc w:val="center"/>
        <w:rPr>
          <w:rFonts w:hint="eastAsia" w:ascii="仿宋" w:hAnsi="仿宋" w:eastAsia="仿宋" w:cs="仿宋"/>
          <w:b/>
          <w:bCs/>
          <w:sz w:val="24"/>
        </w:rPr>
      </w:pPr>
    </w:p>
    <w:p w14:paraId="16B7BD17">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693A864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201FF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AA776D">
      <w:pPr>
        <w:spacing w:line="360" w:lineRule="auto"/>
        <w:jc w:val="center"/>
        <w:outlineLvl w:val="0"/>
        <w:rPr>
          <w:rFonts w:hint="eastAsia" w:ascii="仿宋" w:hAnsi="仿宋" w:eastAsia="仿宋" w:cs="仿宋"/>
          <w:b/>
          <w:kern w:val="0"/>
          <w:sz w:val="36"/>
          <w:szCs w:val="36"/>
        </w:rPr>
      </w:pPr>
    </w:p>
    <w:p w14:paraId="30236E3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9EE27FC">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14DD353">
      <w:pPr>
        <w:snapToGrid w:val="0"/>
        <w:spacing w:line="360" w:lineRule="auto"/>
        <w:ind w:right="480"/>
        <w:jc w:val="center"/>
        <w:rPr>
          <w:rFonts w:hint="eastAsia" w:ascii="仿宋" w:hAnsi="仿宋" w:eastAsia="仿宋" w:cs="仿宋"/>
          <w:b/>
          <w:kern w:val="0"/>
          <w:sz w:val="32"/>
          <w:szCs w:val="32"/>
        </w:rPr>
      </w:pPr>
    </w:p>
    <w:p w14:paraId="695EAE33">
      <w:pPr>
        <w:snapToGrid w:val="0"/>
        <w:spacing w:line="360" w:lineRule="auto"/>
        <w:ind w:right="480"/>
        <w:jc w:val="center"/>
        <w:rPr>
          <w:rFonts w:hint="eastAsia" w:ascii="仿宋" w:hAnsi="仿宋" w:eastAsia="仿宋" w:cs="仿宋"/>
          <w:b/>
          <w:kern w:val="0"/>
          <w:sz w:val="32"/>
          <w:szCs w:val="32"/>
        </w:rPr>
      </w:pPr>
    </w:p>
    <w:p w14:paraId="10FC7471">
      <w:pPr>
        <w:snapToGrid w:val="0"/>
        <w:spacing w:line="360" w:lineRule="auto"/>
        <w:ind w:right="480"/>
        <w:jc w:val="center"/>
        <w:rPr>
          <w:rFonts w:hint="eastAsia" w:ascii="仿宋" w:hAnsi="仿宋" w:eastAsia="仿宋" w:cs="仿宋"/>
          <w:b/>
          <w:kern w:val="0"/>
          <w:sz w:val="32"/>
          <w:szCs w:val="32"/>
        </w:rPr>
      </w:pPr>
    </w:p>
    <w:p w14:paraId="192033A5">
      <w:pPr>
        <w:snapToGrid w:val="0"/>
        <w:spacing w:line="360" w:lineRule="auto"/>
        <w:ind w:right="480"/>
        <w:jc w:val="center"/>
        <w:rPr>
          <w:rFonts w:hint="eastAsia" w:ascii="仿宋" w:hAnsi="仿宋" w:eastAsia="仿宋" w:cs="仿宋"/>
          <w:b/>
          <w:kern w:val="0"/>
          <w:sz w:val="32"/>
          <w:szCs w:val="32"/>
        </w:rPr>
      </w:pPr>
    </w:p>
    <w:p w14:paraId="07F7211E">
      <w:pPr>
        <w:snapToGrid w:val="0"/>
        <w:spacing w:line="360" w:lineRule="auto"/>
        <w:ind w:right="480"/>
        <w:jc w:val="center"/>
        <w:rPr>
          <w:rFonts w:hint="eastAsia" w:ascii="仿宋" w:hAnsi="仿宋" w:eastAsia="仿宋" w:cs="仿宋"/>
          <w:b/>
          <w:kern w:val="0"/>
          <w:sz w:val="32"/>
          <w:szCs w:val="32"/>
        </w:rPr>
      </w:pPr>
    </w:p>
    <w:p w14:paraId="163EBE11">
      <w:pPr>
        <w:snapToGrid w:val="0"/>
        <w:spacing w:line="360" w:lineRule="auto"/>
        <w:ind w:right="480"/>
        <w:jc w:val="center"/>
        <w:rPr>
          <w:rFonts w:hint="eastAsia" w:ascii="仿宋" w:hAnsi="仿宋" w:eastAsia="仿宋" w:cs="仿宋"/>
          <w:b/>
          <w:kern w:val="0"/>
          <w:sz w:val="32"/>
          <w:szCs w:val="32"/>
        </w:rPr>
      </w:pPr>
    </w:p>
    <w:p w14:paraId="12864832">
      <w:pPr>
        <w:snapToGrid w:val="0"/>
        <w:spacing w:line="360" w:lineRule="auto"/>
        <w:ind w:right="480"/>
        <w:jc w:val="center"/>
        <w:rPr>
          <w:rFonts w:hint="eastAsia" w:ascii="仿宋" w:hAnsi="仿宋" w:eastAsia="仿宋" w:cs="仿宋"/>
          <w:b/>
          <w:kern w:val="0"/>
          <w:sz w:val="32"/>
          <w:szCs w:val="32"/>
        </w:rPr>
      </w:pPr>
    </w:p>
    <w:p w14:paraId="67830C6A">
      <w:pPr>
        <w:snapToGrid w:val="0"/>
        <w:spacing w:line="360" w:lineRule="auto"/>
        <w:ind w:right="480"/>
        <w:jc w:val="center"/>
        <w:rPr>
          <w:rFonts w:hint="eastAsia" w:ascii="仿宋" w:hAnsi="仿宋" w:eastAsia="仿宋" w:cs="仿宋"/>
          <w:b/>
          <w:kern w:val="0"/>
          <w:sz w:val="32"/>
          <w:szCs w:val="32"/>
        </w:rPr>
      </w:pPr>
    </w:p>
    <w:p w14:paraId="472A4C33">
      <w:pPr>
        <w:snapToGrid w:val="0"/>
        <w:spacing w:line="360" w:lineRule="auto"/>
        <w:ind w:right="480"/>
        <w:jc w:val="center"/>
        <w:rPr>
          <w:rFonts w:hint="eastAsia" w:ascii="仿宋" w:hAnsi="仿宋" w:eastAsia="仿宋" w:cs="仿宋"/>
          <w:b/>
          <w:kern w:val="0"/>
          <w:sz w:val="32"/>
          <w:szCs w:val="32"/>
        </w:rPr>
      </w:pPr>
    </w:p>
    <w:p w14:paraId="44DA03D5">
      <w:pPr>
        <w:snapToGrid w:val="0"/>
        <w:spacing w:line="360" w:lineRule="auto"/>
        <w:ind w:right="480"/>
        <w:jc w:val="center"/>
        <w:rPr>
          <w:rFonts w:hint="eastAsia" w:ascii="仿宋" w:hAnsi="仿宋" w:eastAsia="仿宋" w:cs="仿宋"/>
          <w:b/>
          <w:kern w:val="0"/>
          <w:sz w:val="32"/>
          <w:szCs w:val="32"/>
        </w:rPr>
      </w:pPr>
    </w:p>
    <w:p w14:paraId="4E2F2AAE">
      <w:pPr>
        <w:snapToGrid w:val="0"/>
        <w:spacing w:line="360" w:lineRule="auto"/>
        <w:ind w:right="480"/>
        <w:jc w:val="center"/>
        <w:rPr>
          <w:rFonts w:hint="eastAsia" w:ascii="仿宋" w:hAnsi="仿宋" w:eastAsia="仿宋" w:cs="仿宋"/>
          <w:b/>
          <w:kern w:val="0"/>
          <w:sz w:val="32"/>
          <w:szCs w:val="32"/>
        </w:rPr>
      </w:pPr>
    </w:p>
    <w:p w14:paraId="2892CF5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24451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01B3">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A94EC7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86CA3C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EC92E17">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07AAA4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color w:val="auto"/>
          <w:kern w:val="2"/>
          <w:sz w:val="32"/>
          <w:szCs w:val="32"/>
          <w:highlight w:val="none"/>
        </w:rPr>
        <w:t>（报价表）</w:t>
      </w:r>
    </w:p>
    <w:p w14:paraId="3907E287">
      <w:pPr>
        <w:pStyle w:val="63"/>
        <w:ind w:left="0" w:leftChars="0" w:firstLine="0" w:firstLineChars="0"/>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项目名称：</w:t>
      </w:r>
      <w:r>
        <w:rPr>
          <w:rFonts w:hint="eastAsia" w:ascii="仿宋" w:hAnsi="仿宋" w:eastAsia="仿宋" w:cs="仿宋"/>
          <w:b/>
          <w:bCs w:val="0"/>
          <w:color w:val="auto"/>
          <w:sz w:val="24"/>
          <w:szCs w:val="24"/>
          <w:lang w:eastAsia="zh-CN"/>
        </w:rPr>
        <w:t>诸暨市应急消防管理站提质升级设备采购项目</w:t>
      </w:r>
    </w:p>
    <w:p w14:paraId="2B57ECF6">
      <w:pPr>
        <w:pStyle w:val="63"/>
        <w:ind w:left="0" w:leftChars="0" w:firstLine="0" w:firstLineChars="0"/>
        <w:jc w:val="both"/>
        <w:rPr>
          <w:rFonts w:hint="eastAsia" w:ascii="仿宋" w:hAnsi="仿宋" w:eastAsia="仿宋" w:cs="仿宋"/>
          <w:sz w:val="24"/>
          <w:szCs w:val="24"/>
        </w:rPr>
      </w:pPr>
      <w:r>
        <w:rPr>
          <w:rFonts w:hint="eastAsia" w:ascii="仿宋" w:hAnsi="仿宋" w:eastAsia="仿宋" w:cs="仿宋"/>
          <w:b/>
          <w:bCs w:val="0"/>
          <w:color w:val="auto"/>
          <w:sz w:val="24"/>
          <w:szCs w:val="24"/>
        </w:rPr>
        <w:t>项目编号：</w:t>
      </w:r>
      <w:r>
        <w:rPr>
          <w:rFonts w:hint="eastAsia" w:ascii="仿宋" w:hAnsi="仿宋" w:eastAsia="仿宋" w:cs="仿宋"/>
          <w:b/>
          <w:bCs w:val="0"/>
          <w:color w:val="auto"/>
          <w:sz w:val="24"/>
          <w:szCs w:val="24"/>
          <w:lang w:val="en-US" w:eastAsia="zh-CN"/>
        </w:rPr>
        <w:t>诸正开2025-06-10</w:t>
      </w:r>
    </w:p>
    <w:tbl>
      <w:tblPr>
        <w:tblStyle w:val="65"/>
        <w:tblpPr w:leftFromText="180" w:rightFromText="180" w:vertAnchor="text" w:horzAnchor="page" w:tblpX="1380" w:tblpY="201"/>
        <w:tblOverlap w:val="never"/>
        <w:tblW w:w="9218" w:type="dxa"/>
        <w:tblInd w:w="0" w:type="dxa"/>
        <w:tblLayout w:type="fixed"/>
        <w:tblCellMar>
          <w:top w:w="0" w:type="dxa"/>
          <w:left w:w="0" w:type="dxa"/>
          <w:bottom w:w="0" w:type="dxa"/>
          <w:right w:w="0" w:type="dxa"/>
        </w:tblCellMar>
      </w:tblPr>
      <w:tblGrid>
        <w:gridCol w:w="709"/>
        <w:gridCol w:w="996"/>
        <w:gridCol w:w="3256"/>
        <w:gridCol w:w="993"/>
        <w:gridCol w:w="992"/>
        <w:gridCol w:w="909"/>
        <w:gridCol w:w="1363"/>
      </w:tblGrid>
      <w:tr w14:paraId="5419E2D1">
        <w:tblPrEx>
          <w:tblCellMar>
            <w:top w:w="0" w:type="dxa"/>
            <w:left w:w="0" w:type="dxa"/>
            <w:bottom w:w="0" w:type="dxa"/>
            <w:right w:w="0"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vAlign w:val="center"/>
          </w:tcPr>
          <w:p w14:paraId="4057EC12">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996" w:type="dxa"/>
            <w:tcBorders>
              <w:top w:val="single" w:color="auto" w:sz="4" w:space="0"/>
              <w:left w:val="single" w:color="auto" w:sz="4" w:space="0"/>
              <w:bottom w:val="single" w:color="auto" w:sz="4" w:space="0"/>
              <w:right w:val="single" w:color="auto" w:sz="4" w:space="0"/>
            </w:tcBorders>
            <w:vAlign w:val="center"/>
          </w:tcPr>
          <w:p w14:paraId="1A05004F">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名称</w:t>
            </w:r>
          </w:p>
        </w:tc>
        <w:tc>
          <w:tcPr>
            <w:tcW w:w="3256" w:type="dxa"/>
            <w:tcBorders>
              <w:top w:val="single" w:color="auto" w:sz="4" w:space="0"/>
              <w:left w:val="single" w:color="auto" w:sz="4" w:space="0"/>
              <w:bottom w:val="single" w:color="auto" w:sz="4" w:space="0"/>
              <w:right w:val="single" w:color="auto" w:sz="4" w:space="0"/>
            </w:tcBorders>
            <w:vAlign w:val="center"/>
          </w:tcPr>
          <w:p w14:paraId="189D2BAB">
            <w:pPr>
              <w:pStyle w:val="991"/>
              <w:spacing w:line="240" w:lineRule="auto"/>
              <w:ind w:left="63" w:right="63"/>
              <w:rPr>
                <w:rFonts w:ascii="仿宋" w:hAnsi="仿宋" w:eastAsia="仿宋"/>
                <w:sz w:val="24"/>
                <w:szCs w:val="24"/>
              </w:rPr>
            </w:pPr>
            <w:r>
              <w:rPr>
                <w:rFonts w:hint="eastAsia" w:ascii="仿宋" w:hAnsi="仿宋" w:eastAsia="仿宋" w:cs="仿宋"/>
                <w:kern w:val="0"/>
                <w:sz w:val="24"/>
                <w:lang w:val="zh-CN"/>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14:paraId="4DCF7985">
            <w:pPr>
              <w:pStyle w:val="991"/>
              <w:spacing w:line="240" w:lineRule="auto"/>
              <w:ind w:left="63" w:right="63"/>
              <w:rPr>
                <w:rFonts w:ascii="仿宋" w:hAnsi="仿宋" w:eastAsia="仿宋"/>
                <w:sz w:val="24"/>
                <w:szCs w:val="24"/>
              </w:rPr>
            </w:pPr>
            <w:r>
              <w:rPr>
                <w:rFonts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7AB409DE">
            <w:pPr>
              <w:pStyle w:val="991"/>
              <w:spacing w:after="0" w:line="240" w:lineRule="auto"/>
              <w:ind w:left="62" w:right="62"/>
              <w:rPr>
                <w:rFonts w:ascii="仿宋" w:hAnsi="仿宋" w:eastAsia="仿宋"/>
                <w:sz w:val="24"/>
                <w:szCs w:val="24"/>
              </w:rPr>
            </w:pPr>
            <w:r>
              <w:rPr>
                <w:rFonts w:hint="eastAsia" w:ascii="仿宋" w:hAnsi="仿宋" w:eastAsia="仿宋"/>
                <w:sz w:val="24"/>
                <w:szCs w:val="24"/>
              </w:rPr>
              <w:t>单价</w:t>
            </w:r>
          </w:p>
          <w:p w14:paraId="7C40E6E5">
            <w:pPr>
              <w:pStyle w:val="991"/>
              <w:spacing w:after="0" w:line="240" w:lineRule="auto"/>
              <w:ind w:left="62" w:right="62"/>
              <w:rPr>
                <w:rFonts w:ascii="仿宋" w:hAnsi="仿宋" w:eastAsia="仿宋"/>
                <w:sz w:val="24"/>
                <w:szCs w:val="24"/>
              </w:rPr>
            </w:pPr>
            <w:r>
              <w:rPr>
                <w:rFonts w:hint="eastAsia" w:ascii="仿宋" w:hAnsi="仿宋" w:eastAsia="仿宋"/>
                <w:sz w:val="24"/>
                <w:szCs w:val="24"/>
              </w:rPr>
              <w:t>（元）</w:t>
            </w:r>
          </w:p>
        </w:tc>
        <w:tc>
          <w:tcPr>
            <w:tcW w:w="909" w:type="dxa"/>
            <w:tcBorders>
              <w:top w:val="single" w:color="auto" w:sz="4" w:space="0"/>
              <w:left w:val="nil"/>
              <w:bottom w:val="single" w:color="auto" w:sz="4" w:space="0"/>
              <w:right w:val="single" w:color="auto" w:sz="4" w:space="0"/>
            </w:tcBorders>
            <w:vAlign w:val="center"/>
          </w:tcPr>
          <w:p w14:paraId="1F9B6761">
            <w:pPr>
              <w:pStyle w:val="991"/>
              <w:spacing w:after="0" w:line="240" w:lineRule="auto"/>
              <w:ind w:left="62" w:right="62"/>
              <w:rPr>
                <w:rFonts w:ascii="仿宋" w:hAnsi="仿宋" w:eastAsia="仿宋"/>
                <w:sz w:val="24"/>
                <w:szCs w:val="24"/>
              </w:rPr>
            </w:pPr>
            <w:r>
              <w:rPr>
                <w:rFonts w:ascii="仿宋" w:hAnsi="仿宋" w:eastAsia="仿宋"/>
                <w:sz w:val="24"/>
                <w:szCs w:val="24"/>
              </w:rPr>
              <w:t>合计</w:t>
            </w:r>
          </w:p>
          <w:p w14:paraId="49AB9C06">
            <w:pPr>
              <w:pStyle w:val="991"/>
              <w:spacing w:after="0" w:line="240" w:lineRule="auto"/>
              <w:ind w:left="62" w:right="62"/>
              <w:rPr>
                <w:rFonts w:ascii="仿宋" w:hAnsi="仿宋" w:eastAsia="仿宋"/>
                <w:sz w:val="24"/>
                <w:szCs w:val="24"/>
              </w:rPr>
            </w:pPr>
            <w:r>
              <w:rPr>
                <w:rFonts w:ascii="仿宋" w:hAnsi="仿宋" w:eastAsia="仿宋"/>
                <w:sz w:val="24"/>
                <w:szCs w:val="24"/>
              </w:rPr>
              <w:t>（元）</w:t>
            </w:r>
          </w:p>
        </w:tc>
        <w:tc>
          <w:tcPr>
            <w:tcW w:w="1363" w:type="dxa"/>
            <w:tcBorders>
              <w:top w:val="single" w:color="auto" w:sz="4" w:space="0"/>
              <w:left w:val="nil"/>
              <w:bottom w:val="single" w:color="auto" w:sz="4" w:space="0"/>
              <w:right w:val="single" w:color="auto" w:sz="4" w:space="0"/>
            </w:tcBorders>
            <w:vAlign w:val="center"/>
          </w:tcPr>
          <w:p w14:paraId="35E53A2D">
            <w:pPr>
              <w:pStyle w:val="991"/>
              <w:spacing w:line="240" w:lineRule="auto"/>
              <w:ind w:left="63" w:right="63"/>
              <w:rPr>
                <w:rFonts w:ascii="仿宋" w:hAnsi="仿宋" w:eastAsia="仿宋"/>
                <w:sz w:val="24"/>
                <w:szCs w:val="24"/>
              </w:rPr>
            </w:pPr>
            <w:r>
              <w:rPr>
                <w:rFonts w:ascii="仿宋" w:hAnsi="仿宋" w:eastAsia="仿宋"/>
                <w:sz w:val="24"/>
                <w:szCs w:val="24"/>
              </w:rPr>
              <w:t>服务期限</w:t>
            </w:r>
          </w:p>
        </w:tc>
      </w:tr>
      <w:tr w14:paraId="3D5E0AC7">
        <w:tblPrEx>
          <w:tblCellMar>
            <w:top w:w="0" w:type="dxa"/>
            <w:left w:w="0" w:type="dxa"/>
            <w:bottom w:w="0" w:type="dxa"/>
            <w:right w:w="0"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vAlign w:val="center"/>
          </w:tcPr>
          <w:p w14:paraId="6F08F1A7">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996" w:type="dxa"/>
            <w:tcBorders>
              <w:top w:val="single" w:color="auto" w:sz="4" w:space="0"/>
              <w:left w:val="single" w:color="auto" w:sz="4" w:space="0"/>
              <w:bottom w:val="single" w:color="auto" w:sz="4" w:space="0"/>
              <w:right w:val="single" w:color="auto" w:sz="4" w:space="0"/>
            </w:tcBorders>
            <w:vAlign w:val="center"/>
          </w:tcPr>
          <w:p w14:paraId="74770DA4">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07B77C0B">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556D25A">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4A43A2">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60A3EC81">
            <w:pPr>
              <w:pStyle w:val="991"/>
              <w:spacing w:line="360" w:lineRule="auto"/>
              <w:ind w:left="63" w:right="63"/>
              <w:rPr>
                <w:rFonts w:ascii="仿宋" w:hAnsi="仿宋" w:eastAsia="仿宋"/>
                <w:sz w:val="24"/>
                <w:szCs w:val="24"/>
              </w:rPr>
            </w:pPr>
          </w:p>
        </w:tc>
        <w:tc>
          <w:tcPr>
            <w:tcW w:w="1363" w:type="dxa"/>
            <w:vMerge w:val="restart"/>
            <w:tcBorders>
              <w:top w:val="single" w:color="auto" w:sz="4" w:space="0"/>
              <w:left w:val="nil"/>
              <w:right w:val="single" w:color="auto" w:sz="4" w:space="0"/>
            </w:tcBorders>
            <w:vAlign w:val="center"/>
          </w:tcPr>
          <w:p w14:paraId="2B81EDC8">
            <w:pPr>
              <w:pStyle w:val="991"/>
              <w:spacing w:line="360" w:lineRule="auto"/>
              <w:ind w:left="63" w:right="63"/>
              <w:rPr>
                <w:rFonts w:ascii="仿宋" w:hAnsi="仿宋" w:eastAsia="仿宋"/>
                <w:sz w:val="24"/>
                <w:szCs w:val="24"/>
              </w:rPr>
            </w:pPr>
            <w:r>
              <w:rPr>
                <w:rFonts w:ascii="仿宋" w:hAnsi="仿宋" w:eastAsia="仿宋"/>
                <w:sz w:val="24"/>
                <w:szCs w:val="24"/>
              </w:rPr>
              <w:t>响应招标文件要求</w:t>
            </w:r>
          </w:p>
        </w:tc>
      </w:tr>
      <w:tr w14:paraId="7C9EC3CB">
        <w:tblPrEx>
          <w:tblCellMar>
            <w:top w:w="0" w:type="dxa"/>
            <w:left w:w="0" w:type="dxa"/>
            <w:bottom w:w="0" w:type="dxa"/>
            <w:right w:w="0" w:type="dxa"/>
          </w:tblCellMar>
        </w:tblPrEx>
        <w:trPr>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46930CA1">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2</w:t>
            </w:r>
          </w:p>
        </w:tc>
        <w:tc>
          <w:tcPr>
            <w:tcW w:w="996" w:type="dxa"/>
            <w:tcBorders>
              <w:top w:val="single" w:color="auto" w:sz="4" w:space="0"/>
              <w:left w:val="single" w:color="auto" w:sz="4" w:space="0"/>
              <w:bottom w:val="single" w:color="auto" w:sz="4" w:space="0"/>
              <w:right w:val="single" w:color="auto" w:sz="4" w:space="0"/>
            </w:tcBorders>
            <w:vAlign w:val="center"/>
          </w:tcPr>
          <w:p w14:paraId="1955F96E">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7F5E502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2491341">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C1CDA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57E621D9">
            <w:pPr>
              <w:pStyle w:val="991"/>
              <w:spacing w:line="360" w:lineRule="auto"/>
              <w:ind w:left="63" w:right="63"/>
              <w:rPr>
                <w:rFonts w:ascii="仿宋" w:hAnsi="仿宋" w:eastAsia="仿宋"/>
                <w:sz w:val="24"/>
                <w:szCs w:val="24"/>
              </w:rPr>
            </w:pPr>
          </w:p>
        </w:tc>
        <w:tc>
          <w:tcPr>
            <w:tcW w:w="1363" w:type="dxa"/>
            <w:vMerge w:val="continue"/>
            <w:tcBorders>
              <w:left w:val="nil"/>
              <w:right w:val="single" w:color="auto" w:sz="4" w:space="0"/>
            </w:tcBorders>
          </w:tcPr>
          <w:p w14:paraId="18265607">
            <w:pPr>
              <w:pStyle w:val="991"/>
              <w:spacing w:line="360" w:lineRule="auto"/>
              <w:ind w:left="63" w:right="63"/>
              <w:rPr>
                <w:rFonts w:ascii="仿宋" w:hAnsi="仿宋" w:eastAsia="仿宋"/>
                <w:sz w:val="24"/>
                <w:szCs w:val="24"/>
              </w:rPr>
            </w:pPr>
          </w:p>
        </w:tc>
      </w:tr>
      <w:tr w14:paraId="199F5D4F">
        <w:tblPrEx>
          <w:tblCellMar>
            <w:top w:w="0" w:type="dxa"/>
            <w:left w:w="0" w:type="dxa"/>
            <w:bottom w:w="0" w:type="dxa"/>
            <w:right w:w="0" w:type="dxa"/>
          </w:tblCellMar>
        </w:tblPrEx>
        <w:trPr>
          <w:trHeight w:val="378" w:hRule="atLeast"/>
        </w:trPr>
        <w:tc>
          <w:tcPr>
            <w:tcW w:w="709" w:type="dxa"/>
            <w:tcBorders>
              <w:top w:val="single" w:color="auto" w:sz="4" w:space="0"/>
              <w:left w:val="single" w:color="auto" w:sz="4" w:space="0"/>
              <w:bottom w:val="single" w:color="auto" w:sz="4" w:space="0"/>
              <w:right w:val="single" w:color="auto" w:sz="4" w:space="0"/>
            </w:tcBorders>
            <w:vAlign w:val="center"/>
          </w:tcPr>
          <w:p w14:paraId="3DE61090">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996" w:type="dxa"/>
            <w:tcBorders>
              <w:top w:val="single" w:color="auto" w:sz="4" w:space="0"/>
              <w:left w:val="single" w:color="auto" w:sz="4" w:space="0"/>
              <w:bottom w:val="single" w:color="auto" w:sz="4" w:space="0"/>
              <w:right w:val="single" w:color="auto" w:sz="4" w:space="0"/>
            </w:tcBorders>
            <w:vAlign w:val="center"/>
          </w:tcPr>
          <w:p w14:paraId="515434A9">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3E4DFD6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80F698F">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63C335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140A535E">
            <w:pPr>
              <w:pStyle w:val="991"/>
              <w:spacing w:line="360" w:lineRule="auto"/>
              <w:ind w:left="63" w:right="63"/>
              <w:rPr>
                <w:rFonts w:ascii="仿宋" w:hAnsi="仿宋" w:eastAsia="仿宋"/>
                <w:sz w:val="24"/>
                <w:szCs w:val="24"/>
              </w:rPr>
            </w:pPr>
          </w:p>
        </w:tc>
        <w:tc>
          <w:tcPr>
            <w:tcW w:w="1363" w:type="dxa"/>
            <w:vMerge w:val="continue"/>
            <w:tcBorders>
              <w:left w:val="nil"/>
              <w:bottom w:val="single" w:color="auto" w:sz="4" w:space="0"/>
              <w:right w:val="single" w:color="auto" w:sz="4" w:space="0"/>
            </w:tcBorders>
          </w:tcPr>
          <w:p w14:paraId="5CED3645">
            <w:pPr>
              <w:pStyle w:val="991"/>
              <w:spacing w:line="360" w:lineRule="auto"/>
              <w:ind w:left="63" w:right="63"/>
              <w:rPr>
                <w:rFonts w:ascii="仿宋" w:hAnsi="仿宋" w:eastAsia="仿宋"/>
                <w:sz w:val="24"/>
                <w:szCs w:val="24"/>
              </w:rPr>
            </w:pPr>
          </w:p>
        </w:tc>
      </w:tr>
      <w:tr w14:paraId="0EE765BB">
        <w:tblPrEx>
          <w:tblCellMar>
            <w:top w:w="0" w:type="dxa"/>
            <w:left w:w="0" w:type="dxa"/>
            <w:bottom w:w="0" w:type="dxa"/>
            <w:right w:w="0" w:type="dxa"/>
          </w:tblCellMar>
        </w:tblPrEx>
        <w:trPr>
          <w:trHeight w:val="1119" w:hRule="atLeast"/>
        </w:trPr>
        <w:tc>
          <w:tcPr>
            <w:tcW w:w="9218" w:type="dxa"/>
            <w:gridSpan w:val="7"/>
            <w:tcBorders>
              <w:top w:val="single" w:color="auto" w:sz="4" w:space="0"/>
              <w:left w:val="single" w:color="auto" w:sz="4" w:space="0"/>
              <w:bottom w:val="single" w:color="auto" w:sz="4" w:space="0"/>
              <w:right w:val="single" w:color="auto" w:sz="4" w:space="0"/>
            </w:tcBorders>
            <w:vAlign w:val="center"/>
          </w:tcPr>
          <w:p w14:paraId="1F732F15">
            <w:pPr>
              <w:spacing w:beforeLines="50" w:line="240" w:lineRule="auto"/>
              <w:ind w:firstLine="480" w:firstLineChars="200"/>
              <w:jc w:val="center"/>
              <w:rPr>
                <w:rFonts w:hint="eastAsia" w:ascii="仿宋" w:hAnsi="仿宋" w:eastAsia="仿宋" w:cs="Arial Unicode MS"/>
                <w:color w:val="auto"/>
                <w:sz w:val="24"/>
                <w:szCs w:val="24"/>
              </w:rPr>
            </w:pPr>
            <w:r>
              <w:rPr>
                <w:rFonts w:hint="eastAsia" w:ascii="仿宋" w:hAnsi="仿宋" w:eastAsia="仿宋" w:cs="Arial Unicode MS"/>
                <w:color w:val="auto"/>
                <w:sz w:val="24"/>
                <w:szCs w:val="24"/>
              </w:rPr>
              <w:t>投标报价（总价，元）</w:t>
            </w:r>
          </w:p>
          <w:p w14:paraId="57C0BDE8">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小写金额：</w:t>
            </w:r>
          </w:p>
          <w:p w14:paraId="184215C7">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大写金额：</w:t>
            </w:r>
          </w:p>
        </w:tc>
      </w:tr>
    </w:tbl>
    <w:p w14:paraId="071F6D75">
      <w:pPr>
        <w:snapToGrid w:val="0"/>
        <w:spacing w:line="360" w:lineRule="auto"/>
        <w:ind w:firstLine="482" w:firstLineChars="200"/>
        <w:rPr>
          <w:rFonts w:hint="eastAsia" w:ascii="仿宋" w:hAnsi="仿宋" w:eastAsia="仿宋" w:cs="仿宋"/>
          <w:b/>
          <w:color w:val="auto"/>
          <w:kern w:val="0"/>
          <w:sz w:val="24"/>
          <w:highlight w:val="none"/>
          <w:lang w:val="zh-CN"/>
        </w:rPr>
      </w:pPr>
    </w:p>
    <w:p w14:paraId="75163283">
      <w:pPr>
        <w:snapToGrid w:val="0"/>
        <w:spacing w:line="360" w:lineRule="auto"/>
        <w:ind w:firstLine="482" w:firstLineChars="200"/>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投标人名称（电子签名）：</w:t>
      </w:r>
    </w:p>
    <w:p w14:paraId="4DC05EE9">
      <w:pPr>
        <w:snapToGrid w:val="0"/>
        <w:spacing w:line="360" w:lineRule="auto"/>
        <w:ind w:firstLine="482" w:firstLineChars="200"/>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日  期：</w:t>
      </w:r>
    </w:p>
    <w:p w14:paraId="4B806D5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5F6D94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2E595B3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05B0318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AB5D3B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45886EA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001DE7">
      <w:pPr>
        <w:pStyle w:val="703"/>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14:paraId="2806DD29">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F40A9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57298DB">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F7669D8">
      <w:pPr>
        <w:spacing w:line="360" w:lineRule="auto"/>
        <w:ind w:right="420" w:firstLine="3614" w:firstLineChars="1000"/>
        <w:rPr>
          <w:rFonts w:hint="eastAsia" w:ascii="仿宋" w:hAnsi="仿宋" w:eastAsia="仿宋" w:cs="仿宋"/>
          <w:b/>
          <w:kern w:val="0"/>
          <w:sz w:val="36"/>
          <w:szCs w:val="36"/>
        </w:rPr>
      </w:pPr>
    </w:p>
    <w:p w14:paraId="4CC4EA14">
      <w:pPr>
        <w:spacing w:line="360" w:lineRule="auto"/>
        <w:ind w:right="420" w:firstLine="3614" w:firstLineChars="1000"/>
        <w:rPr>
          <w:rFonts w:hint="eastAsia" w:ascii="仿宋" w:hAnsi="仿宋" w:eastAsia="仿宋" w:cs="仿宋"/>
          <w:b/>
          <w:kern w:val="0"/>
          <w:sz w:val="36"/>
          <w:szCs w:val="36"/>
        </w:rPr>
      </w:pPr>
    </w:p>
    <w:p w14:paraId="22DF3EC6">
      <w:pPr>
        <w:spacing w:line="360" w:lineRule="auto"/>
        <w:ind w:right="420" w:firstLine="3614" w:firstLineChars="1000"/>
        <w:rPr>
          <w:rFonts w:hint="eastAsia" w:ascii="仿宋" w:hAnsi="仿宋" w:eastAsia="仿宋" w:cs="仿宋"/>
          <w:b/>
          <w:kern w:val="0"/>
          <w:sz w:val="36"/>
          <w:szCs w:val="36"/>
        </w:rPr>
      </w:pPr>
    </w:p>
    <w:p w14:paraId="49CBA0D1">
      <w:pPr>
        <w:spacing w:line="360" w:lineRule="auto"/>
        <w:ind w:right="420" w:firstLine="3614" w:firstLineChars="1000"/>
        <w:rPr>
          <w:rFonts w:hint="eastAsia" w:ascii="仿宋" w:hAnsi="仿宋" w:eastAsia="仿宋" w:cs="仿宋"/>
          <w:b/>
          <w:kern w:val="0"/>
          <w:sz w:val="36"/>
          <w:szCs w:val="36"/>
        </w:rPr>
      </w:pPr>
    </w:p>
    <w:p w14:paraId="0935E745">
      <w:pPr>
        <w:spacing w:line="360" w:lineRule="auto"/>
        <w:ind w:right="420" w:firstLine="3614" w:firstLineChars="1000"/>
        <w:rPr>
          <w:rFonts w:hint="eastAsia" w:ascii="仿宋" w:hAnsi="仿宋" w:eastAsia="仿宋" w:cs="仿宋"/>
          <w:b/>
          <w:kern w:val="0"/>
          <w:sz w:val="36"/>
          <w:szCs w:val="36"/>
        </w:rPr>
      </w:pPr>
    </w:p>
    <w:p w14:paraId="1A28B114">
      <w:pPr>
        <w:spacing w:line="360" w:lineRule="auto"/>
        <w:ind w:right="420" w:firstLine="3614" w:firstLineChars="1000"/>
        <w:rPr>
          <w:rFonts w:hint="eastAsia" w:ascii="仿宋" w:hAnsi="仿宋" w:eastAsia="仿宋" w:cs="仿宋"/>
          <w:b/>
          <w:kern w:val="0"/>
          <w:sz w:val="36"/>
          <w:szCs w:val="36"/>
        </w:rPr>
      </w:pPr>
    </w:p>
    <w:p w14:paraId="135E7767">
      <w:pPr>
        <w:spacing w:line="360" w:lineRule="auto"/>
        <w:ind w:right="420" w:firstLine="3614" w:firstLineChars="1000"/>
        <w:rPr>
          <w:rFonts w:hint="eastAsia" w:ascii="仿宋" w:hAnsi="仿宋" w:eastAsia="仿宋" w:cs="仿宋"/>
          <w:b/>
          <w:kern w:val="0"/>
          <w:sz w:val="36"/>
          <w:szCs w:val="36"/>
        </w:rPr>
      </w:pPr>
    </w:p>
    <w:p w14:paraId="6296CA70">
      <w:pPr>
        <w:spacing w:line="360" w:lineRule="auto"/>
        <w:ind w:right="420" w:firstLine="3614" w:firstLineChars="1000"/>
        <w:rPr>
          <w:rFonts w:hint="eastAsia" w:ascii="仿宋" w:hAnsi="仿宋" w:eastAsia="仿宋" w:cs="仿宋"/>
          <w:b/>
          <w:kern w:val="0"/>
          <w:sz w:val="36"/>
          <w:szCs w:val="36"/>
        </w:rPr>
      </w:pPr>
    </w:p>
    <w:p w14:paraId="3277B886">
      <w:pPr>
        <w:spacing w:line="360" w:lineRule="auto"/>
        <w:ind w:right="420" w:firstLine="3614" w:firstLineChars="1000"/>
        <w:rPr>
          <w:rFonts w:hint="eastAsia" w:ascii="仿宋" w:hAnsi="仿宋" w:eastAsia="仿宋" w:cs="仿宋"/>
          <w:b/>
          <w:kern w:val="0"/>
          <w:sz w:val="36"/>
          <w:szCs w:val="36"/>
        </w:rPr>
      </w:pPr>
    </w:p>
    <w:p w14:paraId="7E6C166D">
      <w:pPr>
        <w:spacing w:line="360" w:lineRule="auto"/>
        <w:ind w:right="420" w:firstLine="3614" w:firstLineChars="1000"/>
        <w:rPr>
          <w:rFonts w:hint="eastAsia" w:ascii="仿宋" w:hAnsi="仿宋" w:eastAsia="仿宋" w:cs="仿宋"/>
          <w:b/>
          <w:kern w:val="0"/>
          <w:sz w:val="36"/>
          <w:szCs w:val="36"/>
        </w:rPr>
      </w:pPr>
    </w:p>
    <w:p w14:paraId="01C18040">
      <w:pPr>
        <w:spacing w:line="360" w:lineRule="auto"/>
        <w:ind w:right="420" w:firstLine="3614" w:firstLineChars="1000"/>
        <w:rPr>
          <w:rFonts w:hint="eastAsia" w:ascii="仿宋" w:hAnsi="仿宋" w:eastAsia="仿宋" w:cs="仿宋"/>
          <w:b/>
          <w:kern w:val="0"/>
          <w:sz w:val="36"/>
          <w:szCs w:val="36"/>
        </w:rPr>
      </w:pPr>
    </w:p>
    <w:p w14:paraId="1EA0A6F8">
      <w:pPr>
        <w:spacing w:line="360" w:lineRule="auto"/>
        <w:ind w:right="420" w:firstLine="3614" w:firstLineChars="1000"/>
        <w:rPr>
          <w:rFonts w:hint="eastAsia" w:ascii="仿宋" w:hAnsi="仿宋" w:eastAsia="仿宋" w:cs="仿宋"/>
          <w:b/>
          <w:kern w:val="0"/>
          <w:sz w:val="36"/>
          <w:szCs w:val="36"/>
        </w:rPr>
      </w:pPr>
    </w:p>
    <w:p w14:paraId="1C94DDF4">
      <w:pPr>
        <w:spacing w:line="360" w:lineRule="auto"/>
        <w:ind w:right="420" w:firstLine="3614" w:firstLineChars="1000"/>
        <w:rPr>
          <w:rFonts w:hint="eastAsia" w:ascii="仿宋" w:hAnsi="仿宋" w:eastAsia="仿宋" w:cs="仿宋"/>
          <w:b/>
          <w:kern w:val="0"/>
          <w:sz w:val="36"/>
          <w:szCs w:val="36"/>
        </w:rPr>
      </w:pPr>
    </w:p>
    <w:p w14:paraId="57C73BAE">
      <w:pPr>
        <w:spacing w:line="360" w:lineRule="auto"/>
        <w:ind w:right="420" w:firstLine="3614" w:firstLineChars="1000"/>
        <w:rPr>
          <w:rFonts w:hint="eastAsia" w:ascii="仿宋" w:hAnsi="仿宋" w:eastAsia="仿宋" w:cs="仿宋"/>
          <w:b/>
          <w:kern w:val="0"/>
          <w:sz w:val="36"/>
          <w:szCs w:val="36"/>
        </w:rPr>
      </w:pPr>
    </w:p>
    <w:p w14:paraId="7AFD5291">
      <w:pPr>
        <w:spacing w:line="360" w:lineRule="auto"/>
        <w:ind w:right="420" w:firstLine="3614" w:firstLineChars="1000"/>
        <w:rPr>
          <w:rFonts w:hint="eastAsia" w:ascii="仿宋" w:hAnsi="仿宋" w:eastAsia="仿宋" w:cs="仿宋"/>
          <w:b/>
          <w:kern w:val="0"/>
          <w:sz w:val="36"/>
          <w:szCs w:val="36"/>
        </w:rPr>
      </w:pPr>
    </w:p>
    <w:p w14:paraId="55492BD5">
      <w:pPr>
        <w:spacing w:line="360" w:lineRule="auto"/>
        <w:ind w:right="420" w:firstLine="3614" w:firstLineChars="1000"/>
        <w:rPr>
          <w:rFonts w:hint="eastAsia" w:ascii="仿宋" w:hAnsi="仿宋" w:eastAsia="仿宋" w:cs="仿宋"/>
          <w:b/>
          <w:kern w:val="0"/>
          <w:sz w:val="36"/>
          <w:szCs w:val="36"/>
        </w:rPr>
      </w:pPr>
    </w:p>
    <w:p w14:paraId="11963100">
      <w:pPr>
        <w:tabs>
          <w:tab w:val="left" w:pos="8085"/>
        </w:tabs>
        <w:spacing w:line="360" w:lineRule="auto"/>
        <w:ind w:firstLine="1285" w:firstLineChars="400"/>
        <w:jc w:val="left"/>
        <w:rPr>
          <w:rFonts w:hint="eastAsia" w:ascii="仿宋" w:hAnsi="仿宋" w:eastAsia="仿宋" w:cs="仿宋"/>
          <w:b/>
          <w:sz w:val="32"/>
          <w:szCs w:val="32"/>
        </w:rPr>
      </w:pPr>
    </w:p>
    <w:p w14:paraId="432E060E">
      <w:pPr>
        <w:tabs>
          <w:tab w:val="left" w:pos="8085"/>
        </w:tabs>
        <w:spacing w:line="360" w:lineRule="auto"/>
        <w:ind w:firstLine="1285" w:firstLineChars="400"/>
        <w:jc w:val="left"/>
        <w:rPr>
          <w:rFonts w:hint="eastAsia" w:ascii="仿宋" w:hAnsi="仿宋" w:eastAsia="仿宋" w:cs="仿宋"/>
          <w:b/>
          <w:sz w:val="32"/>
          <w:szCs w:val="32"/>
        </w:rPr>
      </w:pPr>
    </w:p>
    <w:p w14:paraId="7FE53A9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16C7D9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129ADB">
      <w:pPr>
        <w:spacing w:line="360" w:lineRule="auto"/>
        <w:rPr>
          <w:rFonts w:hint="eastAsia" w:ascii="仿宋" w:hAnsi="仿宋" w:eastAsia="仿宋" w:cs="仿宋"/>
          <w:b/>
          <w:spacing w:val="6"/>
          <w:sz w:val="32"/>
          <w:szCs w:val="32"/>
        </w:rPr>
      </w:pPr>
    </w:p>
    <w:p w14:paraId="702A5B2F">
      <w:pPr>
        <w:spacing w:line="360" w:lineRule="auto"/>
        <w:rPr>
          <w:rFonts w:hint="eastAsia" w:ascii="仿宋" w:hAnsi="仿宋" w:eastAsia="仿宋" w:cs="仿宋"/>
          <w:b/>
          <w:spacing w:val="6"/>
          <w:sz w:val="32"/>
          <w:szCs w:val="32"/>
        </w:rPr>
      </w:pPr>
    </w:p>
    <w:p w14:paraId="7FB4D7B1">
      <w:pPr>
        <w:spacing w:line="360" w:lineRule="auto"/>
        <w:rPr>
          <w:rFonts w:hint="eastAsia" w:ascii="仿宋" w:hAnsi="仿宋" w:eastAsia="仿宋" w:cs="仿宋"/>
          <w:b/>
          <w:spacing w:val="6"/>
          <w:sz w:val="32"/>
          <w:szCs w:val="32"/>
        </w:rPr>
      </w:pPr>
    </w:p>
    <w:p w14:paraId="151F1EA7">
      <w:pPr>
        <w:spacing w:line="360" w:lineRule="auto"/>
        <w:rPr>
          <w:rFonts w:hint="eastAsia" w:ascii="仿宋" w:hAnsi="仿宋" w:eastAsia="仿宋" w:cs="仿宋"/>
          <w:b/>
          <w:spacing w:val="6"/>
          <w:sz w:val="32"/>
          <w:szCs w:val="32"/>
        </w:rPr>
      </w:pPr>
    </w:p>
    <w:p w14:paraId="2CB73320">
      <w:pPr>
        <w:spacing w:line="360" w:lineRule="auto"/>
        <w:rPr>
          <w:rFonts w:hint="eastAsia" w:ascii="仿宋" w:hAnsi="仿宋" w:eastAsia="仿宋" w:cs="仿宋"/>
          <w:b/>
          <w:spacing w:val="6"/>
          <w:sz w:val="32"/>
          <w:szCs w:val="32"/>
        </w:rPr>
      </w:pPr>
    </w:p>
    <w:p w14:paraId="187F8A6D">
      <w:pPr>
        <w:spacing w:line="360" w:lineRule="auto"/>
        <w:rPr>
          <w:rFonts w:hint="eastAsia" w:ascii="仿宋" w:hAnsi="仿宋" w:eastAsia="仿宋" w:cs="仿宋"/>
          <w:b/>
          <w:spacing w:val="6"/>
          <w:sz w:val="32"/>
          <w:szCs w:val="32"/>
        </w:rPr>
      </w:pPr>
    </w:p>
    <w:p w14:paraId="2C2DAF9A">
      <w:pPr>
        <w:spacing w:line="360" w:lineRule="auto"/>
        <w:rPr>
          <w:rFonts w:hint="eastAsia" w:ascii="仿宋" w:hAnsi="仿宋" w:eastAsia="仿宋" w:cs="仿宋"/>
          <w:b/>
          <w:spacing w:val="6"/>
          <w:sz w:val="32"/>
          <w:szCs w:val="32"/>
        </w:rPr>
      </w:pPr>
    </w:p>
    <w:p w14:paraId="75825023">
      <w:pPr>
        <w:spacing w:line="360" w:lineRule="auto"/>
        <w:rPr>
          <w:rFonts w:hint="eastAsia" w:ascii="仿宋" w:hAnsi="仿宋" w:eastAsia="仿宋" w:cs="仿宋"/>
          <w:b/>
          <w:spacing w:val="6"/>
          <w:sz w:val="32"/>
          <w:szCs w:val="32"/>
        </w:rPr>
      </w:pPr>
    </w:p>
    <w:p w14:paraId="1B16C5D6">
      <w:pPr>
        <w:spacing w:line="360" w:lineRule="auto"/>
        <w:rPr>
          <w:rFonts w:hint="eastAsia" w:ascii="仿宋" w:hAnsi="仿宋" w:eastAsia="仿宋" w:cs="仿宋"/>
          <w:b/>
          <w:spacing w:val="6"/>
          <w:sz w:val="32"/>
          <w:szCs w:val="32"/>
        </w:rPr>
      </w:pPr>
    </w:p>
    <w:p w14:paraId="559697EC">
      <w:pPr>
        <w:spacing w:line="360" w:lineRule="auto"/>
        <w:rPr>
          <w:rFonts w:hint="eastAsia" w:ascii="仿宋" w:hAnsi="仿宋" w:eastAsia="仿宋" w:cs="仿宋"/>
          <w:b/>
          <w:spacing w:val="6"/>
          <w:sz w:val="32"/>
          <w:szCs w:val="32"/>
        </w:rPr>
      </w:pPr>
    </w:p>
    <w:p w14:paraId="190D2BA0">
      <w:pPr>
        <w:spacing w:line="360" w:lineRule="auto"/>
        <w:rPr>
          <w:rFonts w:hint="eastAsia" w:ascii="仿宋" w:hAnsi="仿宋" w:eastAsia="仿宋" w:cs="仿宋"/>
          <w:b/>
          <w:spacing w:val="6"/>
          <w:sz w:val="32"/>
          <w:szCs w:val="32"/>
        </w:rPr>
      </w:pPr>
    </w:p>
    <w:p w14:paraId="7720B927">
      <w:pPr>
        <w:spacing w:line="360" w:lineRule="auto"/>
        <w:rPr>
          <w:rFonts w:hint="eastAsia" w:ascii="仿宋" w:hAnsi="仿宋" w:eastAsia="仿宋" w:cs="仿宋"/>
          <w:b/>
          <w:spacing w:val="6"/>
          <w:sz w:val="32"/>
          <w:szCs w:val="32"/>
        </w:rPr>
      </w:pPr>
    </w:p>
    <w:p w14:paraId="167BE7D1">
      <w:pPr>
        <w:spacing w:line="360" w:lineRule="auto"/>
        <w:rPr>
          <w:rFonts w:hint="eastAsia" w:ascii="仿宋" w:hAnsi="仿宋" w:eastAsia="仿宋" w:cs="仿宋"/>
          <w:b/>
          <w:spacing w:val="6"/>
          <w:sz w:val="32"/>
          <w:szCs w:val="32"/>
        </w:rPr>
      </w:pPr>
    </w:p>
    <w:p w14:paraId="113F56C7">
      <w:pPr>
        <w:spacing w:line="360" w:lineRule="auto"/>
        <w:rPr>
          <w:rFonts w:hint="eastAsia" w:ascii="仿宋" w:hAnsi="仿宋" w:eastAsia="仿宋" w:cs="仿宋"/>
          <w:b/>
          <w:spacing w:val="6"/>
          <w:sz w:val="32"/>
          <w:szCs w:val="32"/>
        </w:rPr>
      </w:pPr>
    </w:p>
    <w:p w14:paraId="2BB44106">
      <w:pPr>
        <w:spacing w:line="360" w:lineRule="auto"/>
        <w:rPr>
          <w:rFonts w:hint="eastAsia" w:ascii="仿宋" w:hAnsi="仿宋" w:eastAsia="仿宋" w:cs="仿宋"/>
          <w:b/>
          <w:spacing w:val="6"/>
          <w:sz w:val="32"/>
          <w:szCs w:val="32"/>
        </w:rPr>
      </w:pPr>
    </w:p>
    <w:p w14:paraId="27A21C87">
      <w:pPr>
        <w:spacing w:line="360" w:lineRule="auto"/>
        <w:rPr>
          <w:rFonts w:hint="eastAsia" w:ascii="仿宋" w:hAnsi="仿宋" w:eastAsia="仿宋" w:cs="仿宋"/>
          <w:b/>
          <w:spacing w:val="6"/>
          <w:sz w:val="32"/>
          <w:szCs w:val="32"/>
        </w:rPr>
      </w:pPr>
    </w:p>
    <w:p w14:paraId="4247D62B">
      <w:pPr>
        <w:pStyle w:val="83"/>
        <w:rPr>
          <w:rFonts w:hint="eastAsia" w:ascii="仿宋" w:hAnsi="仿宋" w:eastAsia="仿宋" w:cs="仿宋"/>
          <w:b/>
          <w:spacing w:val="6"/>
          <w:sz w:val="32"/>
          <w:szCs w:val="32"/>
        </w:rPr>
      </w:pPr>
    </w:p>
    <w:p w14:paraId="2D5B5418">
      <w:pPr>
        <w:pStyle w:val="83"/>
        <w:rPr>
          <w:rFonts w:hint="eastAsia" w:ascii="仿宋" w:hAnsi="仿宋" w:eastAsia="仿宋" w:cs="仿宋"/>
          <w:b/>
          <w:spacing w:val="6"/>
          <w:sz w:val="32"/>
          <w:szCs w:val="32"/>
        </w:rPr>
      </w:pPr>
    </w:p>
    <w:p w14:paraId="4544B698">
      <w:pPr>
        <w:spacing w:line="360" w:lineRule="auto"/>
        <w:rPr>
          <w:rFonts w:hint="eastAsia" w:ascii="仿宋" w:hAnsi="仿宋" w:eastAsia="仿宋" w:cs="仿宋"/>
          <w:b/>
          <w:spacing w:val="6"/>
          <w:sz w:val="32"/>
          <w:szCs w:val="32"/>
        </w:rPr>
      </w:pPr>
    </w:p>
    <w:p w14:paraId="1DF704F9">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6E3263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380A47">
      <w:pPr>
        <w:spacing w:line="360" w:lineRule="auto"/>
        <w:jc w:val="center"/>
        <w:rPr>
          <w:rFonts w:hint="eastAsia" w:ascii="仿宋" w:hAnsi="仿宋" w:eastAsia="仿宋" w:cs="仿宋"/>
          <w:b/>
          <w:spacing w:val="6"/>
          <w:sz w:val="32"/>
          <w:szCs w:val="32"/>
        </w:rPr>
      </w:pPr>
      <w:bookmarkStart w:id="406" w:name="OLE_LINK13"/>
      <w:bookmarkStart w:id="407" w:name="OLE_LINK14"/>
      <w:r>
        <w:rPr>
          <w:rFonts w:hint="eastAsia" w:ascii="仿宋" w:hAnsi="仿宋" w:eastAsia="仿宋" w:cs="仿宋"/>
          <w:b/>
          <w:spacing w:val="6"/>
          <w:sz w:val="32"/>
          <w:szCs w:val="32"/>
        </w:rPr>
        <w:t>残疾人福利性单位声明函</w:t>
      </w:r>
    </w:p>
    <w:bookmarkEnd w:id="406"/>
    <w:bookmarkEnd w:id="407"/>
    <w:p w14:paraId="1CB2A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2BE7A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6D20E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D80A85">
      <w:pPr>
        <w:spacing w:line="360" w:lineRule="auto"/>
        <w:ind w:firstLine="480" w:firstLineChars="200"/>
        <w:rPr>
          <w:rFonts w:hint="eastAsia" w:ascii="仿宋" w:hAnsi="仿宋" w:eastAsia="仿宋" w:cs="仿宋"/>
          <w:sz w:val="24"/>
        </w:rPr>
      </w:pPr>
    </w:p>
    <w:p w14:paraId="2D1E6748">
      <w:pPr>
        <w:spacing w:line="360" w:lineRule="auto"/>
        <w:ind w:firstLine="480" w:firstLineChars="200"/>
        <w:rPr>
          <w:rFonts w:hint="eastAsia" w:ascii="仿宋" w:hAnsi="仿宋" w:eastAsia="仿宋" w:cs="仿宋"/>
          <w:sz w:val="24"/>
        </w:rPr>
      </w:pPr>
    </w:p>
    <w:p w14:paraId="448C652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B7CEB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0D432">
      <w:pPr>
        <w:spacing w:line="360" w:lineRule="auto"/>
        <w:ind w:firstLine="480" w:firstLineChars="200"/>
        <w:rPr>
          <w:rFonts w:hint="eastAsia" w:ascii="仿宋" w:hAnsi="仿宋" w:eastAsia="仿宋" w:cs="仿宋"/>
          <w:sz w:val="24"/>
        </w:rPr>
      </w:pPr>
    </w:p>
    <w:p w14:paraId="4203DE34">
      <w:pPr>
        <w:spacing w:line="360" w:lineRule="auto"/>
        <w:ind w:firstLine="420" w:firstLineChars="200"/>
        <w:rPr>
          <w:rFonts w:hint="eastAsia" w:ascii="仿宋" w:hAnsi="仿宋" w:eastAsia="仿宋" w:cs="仿宋"/>
        </w:rPr>
      </w:pPr>
    </w:p>
    <w:p w14:paraId="2B6A51F1">
      <w:pPr>
        <w:spacing w:line="360" w:lineRule="auto"/>
        <w:ind w:firstLine="420" w:firstLineChars="200"/>
        <w:rPr>
          <w:rFonts w:hint="eastAsia" w:ascii="仿宋" w:hAnsi="仿宋" w:eastAsia="仿宋" w:cs="仿宋"/>
        </w:rPr>
      </w:pPr>
    </w:p>
    <w:p w14:paraId="6013C746">
      <w:pPr>
        <w:spacing w:line="360" w:lineRule="auto"/>
        <w:ind w:firstLine="420" w:firstLineChars="200"/>
        <w:rPr>
          <w:rFonts w:hint="eastAsia" w:ascii="仿宋" w:hAnsi="仿宋" w:eastAsia="仿宋" w:cs="仿宋"/>
        </w:rPr>
      </w:pPr>
    </w:p>
    <w:p w14:paraId="4E27F42C">
      <w:pPr>
        <w:spacing w:line="360" w:lineRule="auto"/>
        <w:ind w:firstLine="420" w:firstLineChars="200"/>
        <w:rPr>
          <w:rFonts w:hint="eastAsia" w:ascii="仿宋" w:hAnsi="仿宋" w:eastAsia="仿宋" w:cs="仿宋"/>
        </w:rPr>
      </w:pPr>
    </w:p>
    <w:p w14:paraId="68E99022">
      <w:pPr>
        <w:spacing w:line="360" w:lineRule="auto"/>
        <w:rPr>
          <w:rFonts w:hint="eastAsia" w:ascii="仿宋" w:hAnsi="仿宋" w:eastAsia="仿宋" w:cs="仿宋"/>
          <w:b/>
          <w:sz w:val="24"/>
        </w:rPr>
      </w:pPr>
    </w:p>
    <w:p w14:paraId="5AC4F07D">
      <w:pPr>
        <w:spacing w:line="360" w:lineRule="auto"/>
        <w:rPr>
          <w:rFonts w:hint="eastAsia" w:ascii="仿宋" w:hAnsi="仿宋" w:eastAsia="仿宋" w:cs="仿宋"/>
          <w:b/>
          <w:sz w:val="24"/>
        </w:rPr>
      </w:pPr>
    </w:p>
    <w:p w14:paraId="14CFD74E">
      <w:pPr>
        <w:spacing w:line="360" w:lineRule="auto"/>
        <w:rPr>
          <w:rFonts w:hint="eastAsia" w:ascii="仿宋" w:hAnsi="仿宋" w:eastAsia="仿宋" w:cs="仿宋"/>
          <w:b/>
          <w:sz w:val="24"/>
        </w:rPr>
      </w:pPr>
    </w:p>
    <w:p w14:paraId="5450E0BA">
      <w:pPr>
        <w:spacing w:line="360" w:lineRule="auto"/>
        <w:jc w:val="center"/>
        <w:rPr>
          <w:rFonts w:hint="eastAsia" w:ascii="仿宋" w:hAnsi="仿宋" w:eastAsia="仿宋" w:cs="仿宋"/>
          <w:b/>
          <w:spacing w:val="6"/>
          <w:sz w:val="32"/>
          <w:szCs w:val="32"/>
        </w:rPr>
      </w:pPr>
    </w:p>
    <w:p w14:paraId="1D6DD814">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601C3839">
      <w:pPr>
        <w:tabs>
          <w:tab w:val="left" w:pos="1559"/>
          <w:tab w:val="center" w:pos="4212"/>
        </w:tabs>
        <w:spacing w:line="360" w:lineRule="auto"/>
        <w:jc w:val="left"/>
        <w:rPr>
          <w:rFonts w:hint="eastAsia" w:ascii="仿宋" w:hAnsi="仿宋" w:eastAsia="仿宋" w:cs="仿宋"/>
          <w:b/>
          <w:spacing w:val="6"/>
          <w:sz w:val="32"/>
          <w:szCs w:val="32"/>
          <w:lang w:eastAsia="zh-CN"/>
        </w:rPr>
      </w:pPr>
    </w:p>
    <w:p w14:paraId="07DD324D">
      <w:pPr>
        <w:tabs>
          <w:tab w:val="left" w:pos="1559"/>
          <w:tab w:val="center" w:pos="4212"/>
        </w:tabs>
        <w:spacing w:line="360" w:lineRule="auto"/>
        <w:jc w:val="left"/>
        <w:rPr>
          <w:rFonts w:hint="eastAsia" w:ascii="仿宋" w:hAnsi="仿宋" w:eastAsia="仿宋" w:cs="仿宋"/>
          <w:b/>
          <w:spacing w:val="6"/>
          <w:sz w:val="32"/>
          <w:szCs w:val="32"/>
          <w:lang w:eastAsia="zh-CN"/>
        </w:rPr>
      </w:pPr>
    </w:p>
    <w:p w14:paraId="4302CF8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57AC6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D3D40E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AFC2A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734F9E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5F8E7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7E9C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9846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F5E2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3DF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7BDC9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484F64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8D73D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7E2C6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81F4D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E0082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24E35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D74D6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AECCE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3FBBC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6074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101C0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4CAAB1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4179DFC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89505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E626E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444A9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CFBD90C">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A1E880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F2B3F6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FD9231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8E39CE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A8B013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868B17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7CBDA06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6E0645">
      <w:pPr>
        <w:widowControl/>
        <w:spacing w:line="360" w:lineRule="auto"/>
        <w:ind w:firstLine="600" w:firstLineChars="200"/>
        <w:jc w:val="left"/>
        <w:rPr>
          <w:rFonts w:hint="eastAsia" w:ascii="仿宋" w:hAnsi="仿宋" w:eastAsia="仿宋" w:cs="仿宋"/>
          <w:sz w:val="30"/>
          <w:szCs w:val="30"/>
        </w:rPr>
      </w:pPr>
    </w:p>
    <w:p w14:paraId="2F0BBDF5">
      <w:pPr>
        <w:spacing w:line="360" w:lineRule="auto"/>
        <w:jc w:val="center"/>
        <w:rPr>
          <w:rFonts w:hint="eastAsia" w:ascii="仿宋" w:hAnsi="仿宋" w:eastAsia="仿宋" w:cs="仿宋"/>
          <w:b/>
          <w:spacing w:val="6"/>
          <w:sz w:val="32"/>
          <w:szCs w:val="32"/>
        </w:rPr>
      </w:pPr>
    </w:p>
    <w:p w14:paraId="456BD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4C7C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E2A3C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4C6BA0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BE07D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EA01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D1EE5">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0FE55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AF42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D5E6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E6B97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CF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9B63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3B9E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7F642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7810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32415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7EC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7FB1F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C85D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A125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094B5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A3716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66426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C4C7F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15D421CF">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B13FC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38C82F">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C1233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061C33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AA79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1D49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8726D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9BBCB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A3303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5007D8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1D58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72820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6086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4DA66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5DC7DD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B93B2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5E996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B3828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124EECA">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9000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CE7C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842A8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059F6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7EE216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4D3EDD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7F8B77A">
      <w:pPr>
        <w:spacing w:line="360" w:lineRule="auto"/>
        <w:rPr>
          <w:rFonts w:hint="eastAsia" w:ascii="仿宋" w:hAnsi="仿宋" w:eastAsia="仿宋" w:cs="仿宋"/>
          <w:b/>
          <w:sz w:val="24"/>
        </w:rPr>
      </w:pPr>
    </w:p>
    <w:p w14:paraId="6CB4E2BF">
      <w:pPr>
        <w:autoSpaceDE w:val="0"/>
        <w:autoSpaceDN w:val="0"/>
        <w:jc w:val="center"/>
        <w:rPr>
          <w:rFonts w:hint="eastAsia" w:ascii="仿宋" w:hAnsi="仿宋" w:eastAsia="仿宋" w:cs="仿宋"/>
          <w:b/>
          <w:spacing w:val="6"/>
          <w:sz w:val="32"/>
          <w:szCs w:val="32"/>
        </w:rPr>
      </w:pPr>
    </w:p>
    <w:p w14:paraId="5B2DA951">
      <w:pPr>
        <w:autoSpaceDE w:val="0"/>
        <w:autoSpaceDN w:val="0"/>
        <w:jc w:val="center"/>
        <w:rPr>
          <w:rFonts w:hint="eastAsia" w:ascii="仿宋" w:hAnsi="仿宋" w:eastAsia="仿宋" w:cs="仿宋"/>
          <w:b/>
          <w:spacing w:val="6"/>
          <w:sz w:val="32"/>
          <w:szCs w:val="32"/>
        </w:rPr>
      </w:pPr>
    </w:p>
    <w:p w14:paraId="36830328">
      <w:pPr>
        <w:autoSpaceDE w:val="0"/>
        <w:autoSpaceDN w:val="0"/>
        <w:jc w:val="center"/>
        <w:rPr>
          <w:rFonts w:hint="eastAsia" w:ascii="仿宋" w:hAnsi="仿宋" w:eastAsia="仿宋" w:cs="仿宋"/>
          <w:b/>
          <w:spacing w:val="6"/>
          <w:sz w:val="32"/>
          <w:szCs w:val="32"/>
        </w:rPr>
      </w:pPr>
    </w:p>
    <w:p w14:paraId="24DBCF2B">
      <w:pPr>
        <w:autoSpaceDE w:val="0"/>
        <w:autoSpaceDN w:val="0"/>
        <w:jc w:val="center"/>
        <w:rPr>
          <w:rFonts w:hint="eastAsia" w:ascii="仿宋" w:hAnsi="仿宋" w:eastAsia="仿宋" w:cs="仿宋"/>
          <w:b/>
          <w:spacing w:val="6"/>
          <w:sz w:val="32"/>
          <w:szCs w:val="32"/>
        </w:rPr>
      </w:pPr>
    </w:p>
    <w:p w14:paraId="795B014D">
      <w:pPr>
        <w:autoSpaceDE w:val="0"/>
        <w:autoSpaceDN w:val="0"/>
        <w:jc w:val="center"/>
        <w:rPr>
          <w:rFonts w:hint="eastAsia" w:ascii="仿宋" w:hAnsi="仿宋" w:eastAsia="仿宋" w:cs="仿宋"/>
          <w:b/>
          <w:spacing w:val="6"/>
          <w:sz w:val="32"/>
          <w:szCs w:val="32"/>
        </w:rPr>
      </w:pPr>
    </w:p>
    <w:p w14:paraId="4C6E5829">
      <w:pPr>
        <w:autoSpaceDE w:val="0"/>
        <w:autoSpaceDN w:val="0"/>
        <w:jc w:val="center"/>
        <w:rPr>
          <w:rFonts w:hint="eastAsia" w:ascii="仿宋" w:hAnsi="仿宋" w:eastAsia="仿宋" w:cs="仿宋"/>
          <w:b/>
          <w:spacing w:val="6"/>
          <w:sz w:val="32"/>
          <w:szCs w:val="32"/>
        </w:rPr>
      </w:pPr>
    </w:p>
    <w:p w14:paraId="0B3468AF">
      <w:pPr>
        <w:autoSpaceDE w:val="0"/>
        <w:autoSpaceDN w:val="0"/>
        <w:jc w:val="center"/>
        <w:rPr>
          <w:rFonts w:hint="eastAsia" w:ascii="仿宋" w:hAnsi="仿宋" w:eastAsia="仿宋" w:cs="仿宋"/>
          <w:b/>
          <w:spacing w:val="6"/>
          <w:sz w:val="32"/>
          <w:szCs w:val="32"/>
        </w:rPr>
      </w:pPr>
    </w:p>
    <w:p w14:paraId="162392E6">
      <w:pPr>
        <w:autoSpaceDE w:val="0"/>
        <w:autoSpaceDN w:val="0"/>
        <w:jc w:val="center"/>
        <w:rPr>
          <w:rFonts w:hint="eastAsia" w:ascii="仿宋" w:hAnsi="仿宋" w:eastAsia="仿宋" w:cs="仿宋"/>
          <w:b/>
          <w:spacing w:val="6"/>
          <w:sz w:val="32"/>
          <w:szCs w:val="32"/>
        </w:rPr>
      </w:pPr>
    </w:p>
    <w:p w14:paraId="6B685FDC">
      <w:pPr>
        <w:autoSpaceDE w:val="0"/>
        <w:autoSpaceDN w:val="0"/>
        <w:jc w:val="center"/>
        <w:rPr>
          <w:rFonts w:hint="eastAsia" w:ascii="仿宋" w:hAnsi="仿宋" w:eastAsia="仿宋" w:cs="仿宋"/>
          <w:b/>
          <w:spacing w:val="6"/>
          <w:sz w:val="32"/>
          <w:szCs w:val="32"/>
        </w:rPr>
      </w:pPr>
    </w:p>
    <w:p w14:paraId="231EC748">
      <w:pPr>
        <w:autoSpaceDE w:val="0"/>
        <w:autoSpaceDN w:val="0"/>
        <w:jc w:val="center"/>
        <w:rPr>
          <w:rFonts w:hint="eastAsia" w:ascii="仿宋" w:hAnsi="仿宋" w:eastAsia="仿宋" w:cs="仿宋"/>
          <w:b/>
          <w:spacing w:val="6"/>
          <w:sz w:val="32"/>
          <w:szCs w:val="32"/>
        </w:rPr>
      </w:pPr>
    </w:p>
    <w:p w14:paraId="0D13FC47">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66BA9E5D">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680B775D">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u w:val="single"/>
        </w:rPr>
        <w:t xml:space="preserve"> </w:t>
      </w:r>
      <w:r>
        <w:rPr>
          <w:rFonts w:hint="eastAsia" w:ascii="仿宋_GB2312" w:hAnsi="宋体" w:eastAsia="仿宋_GB2312"/>
          <w:sz w:val="24"/>
          <w:u w:val="single"/>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u w:val="single"/>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116EEA64">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w:t>
      </w:r>
      <w:r>
        <w:rPr>
          <w:rFonts w:hint="eastAsia" w:ascii="仿宋_GB2312" w:hAnsi="宋体" w:eastAsia="仿宋_GB2312"/>
          <w:sz w:val="24"/>
          <w:u w:val="single"/>
          <w:lang w:val="en-US" w:eastAsia="zh-CN"/>
        </w:rPr>
        <w:t>项</w:t>
      </w:r>
      <w:r>
        <w:rPr>
          <w:rFonts w:hint="eastAsia" w:ascii="仿宋_GB2312" w:hAnsi="宋体" w:eastAsia="仿宋_GB2312"/>
          <w:sz w:val="24"/>
          <w:u w:val="single"/>
        </w:rPr>
        <w:t>名称）</w:t>
      </w:r>
      <w:r>
        <w:rPr>
          <w:rFonts w:ascii="仿宋_GB2312" w:hAnsi="宋体" w:eastAsia="仿宋_GB2312"/>
          <w:sz w:val="24"/>
        </w:rPr>
        <w:t xml:space="preserve"> ，属于 </w:t>
      </w:r>
      <w:r>
        <w:rPr>
          <w:rFonts w:hint="eastAsia" w:ascii="仿宋_GB2312" w:hAnsi="宋体" w:eastAsia="仿宋_GB2312"/>
          <w:sz w:val="24"/>
          <w:u w:val="single"/>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1AD5EB56">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w:t>
      </w:r>
      <w:r>
        <w:rPr>
          <w:rFonts w:hint="eastAsia" w:ascii="仿宋_GB2312" w:hAnsi="宋体" w:eastAsia="仿宋_GB2312"/>
          <w:sz w:val="24"/>
          <w:u w:val="single"/>
          <w:lang w:val="en-US" w:eastAsia="zh-CN"/>
        </w:rPr>
        <w:t>项</w:t>
      </w:r>
      <w:r>
        <w:rPr>
          <w:rFonts w:hint="eastAsia" w:ascii="仿宋_GB2312" w:hAnsi="宋体" w:eastAsia="仿宋_GB2312"/>
          <w:sz w:val="24"/>
          <w:u w:val="single"/>
        </w:rPr>
        <w:t>名称）</w:t>
      </w:r>
      <w:r>
        <w:rPr>
          <w:rFonts w:ascii="仿宋_GB2312" w:hAnsi="宋体" w:eastAsia="仿宋_GB2312"/>
          <w:sz w:val="24"/>
        </w:rPr>
        <w:t xml:space="preserve"> ，属于 </w:t>
      </w:r>
      <w:r>
        <w:rPr>
          <w:rFonts w:hint="eastAsia" w:ascii="仿宋_GB2312" w:hAnsi="宋体" w:eastAsia="仿宋_GB2312"/>
          <w:sz w:val="24"/>
          <w:u w:val="single"/>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18976B27">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0D73743D">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13F22EE7">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15A03BB8">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C699BF3">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E069744">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从业人员、营业收入、资产总额填报上一年度数据，无上一年度数据的新成立企业可不填报。</w:t>
      </w:r>
    </w:p>
    <w:p w14:paraId="07403AA1">
      <w:pPr>
        <w:spacing w:line="360" w:lineRule="auto"/>
        <w:ind w:right="420" w:firstLine="482" w:firstLineChars="200"/>
        <w:rPr>
          <w:rFonts w:hint="eastAsia" w:ascii="仿宋" w:hAnsi="仿宋" w:eastAsia="仿宋" w:cs="仿宋"/>
          <w:b/>
          <w:bCs/>
          <w:sz w:val="24"/>
        </w:rPr>
      </w:pPr>
      <w:r>
        <w:rPr>
          <w:rFonts w:hint="eastAsia" w:ascii="仿宋" w:hAnsi="仿宋" w:eastAsia="仿宋" w:cs="仿宋"/>
          <w:b/>
          <w:bCs/>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57FB1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4A3">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ED3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660ED3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75D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06D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0C06D2">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62C49C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D59">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12CC">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8B12CC">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5EDB">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2CB64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34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865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E8865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102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0C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370C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53B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51F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6E051F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FE12">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C9B">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24C9B">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ED3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5B1B">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B5B1B">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7908CD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A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4C8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0A4C85">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36DD6A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DC5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E19DE">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BE19DE">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14:paraId="6C365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46E7">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1D83">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CA26">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3171">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095B">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DBFC">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F1F">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E87">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AF888"/>
    <w:multiLevelType w:val="singleLevel"/>
    <w:tmpl w:val="A2BAF888"/>
    <w:lvl w:ilvl="0" w:tentative="0">
      <w:start w:val="1"/>
      <w:numFmt w:val="decimal"/>
      <w:suff w:val="nothing"/>
      <w:lvlText w:val="%1、"/>
      <w:lvlJc w:val="left"/>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09E12FE3"/>
    <w:multiLevelType w:val="singleLevel"/>
    <w:tmpl w:val="09E12FE3"/>
    <w:lvl w:ilvl="0" w:tentative="0">
      <w:start w:val="1"/>
      <w:numFmt w:val="decimal"/>
      <w:suff w:val="nothing"/>
      <w:lvlText w:val="（%1）"/>
      <w:lvlJc w:val="left"/>
    </w:lvl>
  </w:abstractNum>
  <w:abstractNum w:abstractNumId="3">
    <w:nsid w:val="0A2CF38E"/>
    <w:multiLevelType w:val="singleLevel"/>
    <w:tmpl w:val="0A2CF38E"/>
    <w:lvl w:ilvl="0" w:tentative="0">
      <w:start w:val="1"/>
      <w:numFmt w:val="decimal"/>
      <w:suff w:val="nothing"/>
      <w:lvlText w:val="%1、"/>
      <w:lvlJc w:val="left"/>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C710C72"/>
    <w:multiLevelType w:val="singleLevel"/>
    <w:tmpl w:val="3C710C72"/>
    <w:lvl w:ilvl="0" w:tentative="0">
      <w:start w:val="1"/>
      <w:numFmt w:val="decimal"/>
      <w:lvlText w:val="%1."/>
      <w:lvlJc w:val="left"/>
      <w:pPr>
        <w:tabs>
          <w:tab w:val="left" w:pos="312"/>
        </w:tabs>
      </w:pPr>
    </w:lvl>
  </w:abstractNum>
  <w:abstractNum w:abstractNumId="6">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59FC7D01"/>
    <w:multiLevelType w:val="singleLevel"/>
    <w:tmpl w:val="59FC7D01"/>
    <w:lvl w:ilvl="0" w:tentative="0">
      <w:start w:val="2"/>
      <w:numFmt w:val="decimal"/>
      <w:lvlText w:val="%1."/>
      <w:lvlJc w:val="left"/>
      <w:pPr>
        <w:tabs>
          <w:tab w:val="left" w:pos="312"/>
        </w:tabs>
      </w:pPr>
    </w:lvl>
  </w:abstractNum>
  <w:num w:numId="1">
    <w:abstractNumId w:val="7"/>
  </w:num>
  <w:num w:numId="2">
    <w:abstractNumId w:val="4"/>
  </w:num>
  <w:num w:numId="3">
    <w:abstractNumId w:val="6"/>
  </w:num>
  <w:num w:numId="4">
    <w:abstractNumId w:val="0"/>
  </w:num>
  <w:num w:numId="5">
    <w:abstractNumId w:val="5"/>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4B0"/>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2C"/>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5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232CE"/>
    <w:rsid w:val="01236AFB"/>
    <w:rsid w:val="012D6E26"/>
    <w:rsid w:val="014F6641"/>
    <w:rsid w:val="015974C0"/>
    <w:rsid w:val="017B2F92"/>
    <w:rsid w:val="019E4ED3"/>
    <w:rsid w:val="019F7441"/>
    <w:rsid w:val="01B37585"/>
    <w:rsid w:val="01C40D93"/>
    <w:rsid w:val="01D55165"/>
    <w:rsid w:val="01DF6BF8"/>
    <w:rsid w:val="01E64C5E"/>
    <w:rsid w:val="01EC2C57"/>
    <w:rsid w:val="01F9035B"/>
    <w:rsid w:val="0203486B"/>
    <w:rsid w:val="0236335D"/>
    <w:rsid w:val="02441F1E"/>
    <w:rsid w:val="02445A7A"/>
    <w:rsid w:val="025263E9"/>
    <w:rsid w:val="026B2E25"/>
    <w:rsid w:val="02824D4D"/>
    <w:rsid w:val="02902A6D"/>
    <w:rsid w:val="02A824AD"/>
    <w:rsid w:val="02CD0493"/>
    <w:rsid w:val="02DC4B10"/>
    <w:rsid w:val="02DD76CE"/>
    <w:rsid w:val="02E8410E"/>
    <w:rsid w:val="02F36323"/>
    <w:rsid w:val="02F5619C"/>
    <w:rsid w:val="0326446A"/>
    <w:rsid w:val="032D5555"/>
    <w:rsid w:val="035E0DBD"/>
    <w:rsid w:val="035E4919"/>
    <w:rsid w:val="03654ED7"/>
    <w:rsid w:val="036634D2"/>
    <w:rsid w:val="036A1B0C"/>
    <w:rsid w:val="03771BF4"/>
    <w:rsid w:val="037B1947"/>
    <w:rsid w:val="03922815"/>
    <w:rsid w:val="03DD35E4"/>
    <w:rsid w:val="04076900"/>
    <w:rsid w:val="041A5A3B"/>
    <w:rsid w:val="041B6B58"/>
    <w:rsid w:val="042311BA"/>
    <w:rsid w:val="042B157A"/>
    <w:rsid w:val="042E253E"/>
    <w:rsid w:val="04351B1E"/>
    <w:rsid w:val="044004C3"/>
    <w:rsid w:val="045243E9"/>
    <w:rsid w:val="0489325D"/>
    <w:rsid w:val="048F763B"/>
    <w:rsid w:val="049F330E"/>
    <w:rsid w:val="04AA775C"/>
    <w:rsid w:val="04AF1889"/>
    <w:rsid w:val="04B74C29"/>
    <w:rsid w:val="04CA51F4"/>
    <w:rsid w:val="04CB5FDF"/>
    <w:rsid w:val="04D07A99"/>
    <w:rsid w:val="04E62470"/>
    <w:rsid w:val="04E62E18"/>
    <w:rsid w:val="04F66F48"/>
    <w:rsid w:val="05251E14"/>
    <w:rsid w:val="055661F0"/>
    <w:rsid w:val="05663030"/>
    <w:rsid w:val="05846DC8"/>
    <w:rsid w:val="058645FB"/>
    <w:rsid w:val="05A16594"/>
    <w:rsid w:val="05A7762D"/>
    <w:rsid w:val="05B2719F"/>
    <w:rsid w:val="05C3315A"/>
    <w:rsid w:val="05D00EC1"/>
    <w:rsid w:val="05EE467B"/>
    <w:rsid w:val="060E5941"/>
    <w:rsid w:val="06110FAF"/>
    <w:rsid w:val="061816F7"/>
    <w:rsid w:val="063F4ED6"/>
    <w:rsid w:val="06493CA7"/>
    <w:rsid w:val="0651544E"/>
    <w:rsid w:val="065A6178"/>
    <w:rsid w:val="066C6438"/>
    <w:rsid w:val="066F1CF3"/>
    <w:rsid w:val="0678654A"/>
    <w:rsid w:val="06930BB8"/>
    <w:rsid w:val="06B92EA7"/>
    <w:rsid w:val="06E25862"/>
    <w:rsid w:val="06E845C5"/>
    <w:rsid w:val="07245D42"/>
    <w:rsid w:val="07264C62"/>
    <w:rsid w:val="07387188"/>
    <w:rsid w:val="0779354C"/>
    <w:rsid w:val="078B5EF9"/>
    <w:rsid w:val="078B7CA7"/>
    <w:rsid w:val="07B0770E"/>
    <w:rsid w:val="08061376"/>
    <w:rsid w:val="08163A15"/>
    <w:rsid w:val="08452D77"/>
    <w:rsid w:val="08512C9F"/>
    <w:rsid w:val="086401F8"/>
    <w:rsid w:val="08751CAA"/>
    <w:rsid w:val="087B7D1C"/>
    <w:rsid w:val="087E4C40"/>
    <w:rsid w:val="088A58D8"/>
    <w:rsid w:val="08BD15AC"/>
    <w:rsid w:val="08D5567E"/>
    <w:rsid w:val="08D66AD6"/>
    <w:rsid w:val="08DA33A3"/>
    <w:rsid w:val="08E80F13"/>
    <w:rsid w:val="09164398"/>
    <w:rsid w:val="092501B8"/>
    <w:rsid w:val="09335624"/>
    <w:rsid w:val="0944690F"/>
    <w:rsid w:val="09535675"/>
    <w:rsid w:val="09581E0B"/>
    <w:rsid w:val="095F057D"/>
    <w:rsid w:val="09642282"/>
    <w:rsid w:val="09733572"/>
    <w:rsid w:val="09772C16"/>
    <w:rsid w:val="098353B5"/>
    <w:rsid w:val="09972933"/>
    <w:rsid w:val="09A92330"/>
    <w:rsid w:val="09B06B87"/>
    <w:rsid w:val="09BE6544"/>
    <w:rsid w:val="09C13146"/>
    <w:rsid w:val="09E04166"/>
    <w:rsid w:val="09EF276F"/>
    <w:rsid w:val="0A1C0718"/>
    <w:rsid w:val="0A3C7719"/>
    <w:rsid w:val="0A3E7710"/>
    <w:rsid w:val="0A440D5A"/>
    <w:rsid w:val="0A5922DF"/>
    <w:rsid w:val="0A5B7E63"/>
    <w:rsid w:val="0A60541B"/>
    <w:rsid w:val="0A776340"/>
    <w:rsid w:val="0AA374A5"/>
    <w:rsid w:val="0AAB7649"/>
    <w:rsid w:val="0ABC5606"/>
    <w:rsid w:val="0AC70E7F"/>
    <w:rsid w:val="0B29114E"/>
    <w:rsid w:val="0B30404E"/>
    <w:rsid w:val="0B367128"/>
    <w:rsid w:val="0B36793D"/>
    <w:rsid w:val="0B4C6C14"/>
    <w:rsid w:val="0B4F72C7"/>
    <w:rsid w:val="0B5A4560"/>
    <w:rsid w:val="0B631A88"/>
    <w:rsid w:val="0B683D45"/>
    <w:rsid w:val="0B7F3F11"/>
    <w:rsid w:val="0B884417"/>
    <w:rsid w:val="0BBC48D3"/>
    <w:rsid w:val="0BC31A7A"/>
    <w:rsid w:val="0BCD6FE7"/>
    <w:rsid w:val="0BEA58E4"/>
    <w:rsid w:val="0BF6188C"/>
    <w:rsid w:val="0BF73C91"/>
    <w:rsid w:val="0C170175"/>
    <w:rsid w:val="0C571A41"/>
    <w:rsid w:val="0C5C1171"/>
    <w:rsid w:val="0C5E1CBC"/>
    <w:rsid w:val="0C615B50"/>
    <w:rsid w:val="0C8445DA"/>
    <w:rsid w:val="0C87121B"/>
    <w:rsid w:val="0CAA5073"/>
    <w:rsid w:val="0CC007F7"/>
    <w:rsid w:val="0CFE707A"/>
    <w:rsid w:val="0D002EE5"/>
    <w:rsid w:val="0D063BDA"/>
    <w:rsid w:val="0D08375F"/>
    <w:rsid w:val="0D0E115E"/>
    <w:rsid w:val="0D184CFB"/>
    <w:rsid w:val="0D2606C0"/>
    <w:rsid w:val="0D4A7419"/>
    <w:rsid w:val="0D827401"/>
    <w:rsid w:val="0D84094E"/>
    <w:rsid w:val="0D894C89"/>
    <w:rsid w:val="0D8A00E9"/>
    <w:rsid w:val="0D8D589E"/>
    <w:rsid w:val="0DA01C73"/>
    <w:rsid w:val="0DA25D4B"/>
    <w:rsid w:val="0DBF06AB"/>
    <w:rsid w:val="0DD63300"/>
    <w:rsid w:val="0DF50604"/>
    <w:rsid w:val="0DF702FE"/>
    <w:rsid w:val="0E060E51"/>
    <w:rsid w:val="0E3966AF"/>
    <w:rsid w:val="0E5604B2"/>
    <w:rsid w:val="0E6D5D79"/>
    <w:rsid w:val="0E6D7766"/>
    <w:rsid w:val="0E7440FA"/>
    <w:rsid w:val="0E8D2557"/>
    <w:rsid w:val="0E910D8B"/>
    <w:rsid w:val="0E9D0089"/>
    <w:rsid w:val="0EAD0A9E"/>
    <w:rsid w:val="0EB61AAE"/>
    <w:rsid w:val="0EB803EE"/>
    <w:rsid w:val="0EB95933"/>
    <w:rsid w:val="0EBE4E06"/>
    <w:rsid w:val="0EDB7766"/>
    <w:rsid w:val="0EF94D4B"/>
    <w:rsid w:val="0F0E3698"/>
    <w:rsid w:val="0F1C3261"/>
    <w:rsid w:val="0F4958DC"/>
    <w:rsid w:val="0F515DF7"/>
    <w:rsid w:val="0F596BA8"/>
    <w:rsid w:val="0F6248D2"/>
    <w:rsid w:val="0F693536"/>
    <w:rsid w:val="0F725532"/>
    <w:rsid w:val="0F7B0511"/>
    <w:rsid w:val="0F7B76D9"/>
    <w:rsid w:val="0F7D25CB"/>
    <w:rsid w:val="0F7D72CC"/>
    <w:rsid w:val="0F803E6A"/>
    <w:rsid w:val="0F816ACD"/>
    <w:rsid w:val="0F9832DB"/>
    <w:rsid w:val="0F993509"/>
    <w:rsid w:val="0FB6788B"/>
    <w:rsid w:val="0FBF3FD2"/>
    <w:rsid w:val="0FBF7FF3"/>
    <w:rsid w:val="0FEC165C"/>
    <w:rsid w:val="0FF94348"/>
    <w:rsid w:val="100B37F0"/>
    <w:rsid w:val="102962AF"/>
    <w:rsid w:val="10374E70"/>
    <w:rsid w:val="104430E9"/>
    <w:rsid w:val="10482BD9"/>
    <w:rsid w:val="10615A49"/>
    <w:rsid w:val="10646583"/>
    <w:rsid w:val="107D4B15"/>
    <w:rsid w:val="10895484"/>
    <w:rsid w:val="108A3C80"/>
    <w:rsid w:val="10C26171"/>
    <w:rsid w:val="10CA1840"/>
    <w:rsid w:val="10F33360"/>
    <w:rsid w:val="10FC16EA"/>
    <w:rsid w:val="110F1D40"/>
    <w:rsid w:val="11160F29"/>
    <w:rsid w:val="11266F33"/>
    <w:rsid w:val="114E57CE"/>
    <w:rsid w:val="1171759F"/>
    <w:rsid w:val="118963A1"/>
    <w:rsid w:val="11C6522A"/>
    <w:rsid w:val="11E104CC"/>
    <w:rsid w:val="11E20309"/>
    <w:rsid w:val="120B0362"/>
    <w:rsid w:val="122431D2"/>
    <w:rsid w:val="12255233"/>
    <w:rsid w:val="12385FA8"/>
    <w:rsid w:val="12474790"/>
    <w:rsid w:val="12530213"/>
    <w:rsid w:val="127723A9"/>
    <w:rsid w:val="12862074"/>
    <w:rsid w:val="12883966"/>
    <w:rsid w:val="129B6365"/>
    <w:rsid w:val="129E45B4"/>
    <w:rsid w:val="12A0243C"/>
    <w:rsid w:val="12D81596"/>
    <w:rsid w:val="12FB4B4E"/>
    <w:rsid w:val="13072A44"/>
    <w:rsid w:val="130C4392"/>
    <w:rsid w:val="13225964"/>
    <w:rsid w:val="132F62D2"/>
    <w:rsid w:val="135F4BE2"/>
    <w:rsid w:val="13637D2A"/>
    <w:rsid w:val="13953C4B"/>
    <w:rsid w:val="139B1A0A"/>
    <w:rsid w:val="139D25C7"/>
    <w:rsid w:val="13BF3CE4"/>
    <w:rsid w:val="13E744B7"/>
    <w:rsid w:val="13F05A62"/>
    <w:rsid w:val="13FB1099"/>
    <w:rsid w:val="141008D8"/>
    <w:rsid w:val="14125FE6"/>
    <w:rsid w:val="144162BD"/>
    <w:rsid w:val="145A6363"/>
    <w:rsid w:val="146D271E"/>
    <w:rsid w:val="14740251"/>
    <w:rsid w:val="147A532B"/>
    <w:rsid w:val="147C10A3"/>
    <w:rsid w:val="14982588"/>
    <w:rsid w:val="149A5AD9"/>
    <w:rsid w:val="14A524FA"/>
    <w:rsid w:val="14A7619D"/>
    <w:rsid w:val="14AC342D"/>
    <w:rsid w:val="14AD2260"/>
    <w:rsid w:val="150536C3"/>
    <w:rsid w:val="150B2427"/>
    <w:rsid w:val="150C1963"/>
    <w:rsid w:val="151447A0"/>
    <w:rsid w:val="1545718F"/>
    <w:rsid w:val="154A6454"/>
    <w:rsid w:val="155A113F"/>
    <w:rsid w:val="155C2C83"/>
    <w:rsid w:val="15762120"/>
    <w:rsid w:val="15C210D9"/>
    <w:rsid w:val="15D62A35"/>
    <w:rsid w:val="15F35395"/>
    <w:rsid w:val="15F444DC"/>
    <w:rsid w:val="15FE1A14"/>
    <w:rsid w:val="16014137"/>
    <w:rsid w:val="16135A37"/>
    <w:rsid w:val="161B669A"/>
    <w:rsid w:val="16223ECC"/>
    <w:rsid w:val="162509CE"/>
    <w:rsid w:val="165D7C52"/>
    <w:rsid w:val="166C5148"/>
    <w:rsid w:val="166F1D9B"/>
    <w:rsid w:val="168E50BE"/>
    <w:rsid w:val="16900E36"/>
    <w:rsid w:val="169C77DB"/>
    <w:rsid w:val="16A8729C"/>
    <w:rsid w:val="16B33777"/>
    <w:rsid w:val="16BC70A7"/>
    <w:rsid w:val="16C15493"/>
    <w:rsid w:val="16C6339E"/>
    <w:rsid w:val="16CC2D0D"/>
    <w:rsid w:val="16DC3559"/>
    <w:rsid w:val="16E41182"/>
    <w:rsid w:val="172F2D79"/>
    <w:rsid w:val="17557BEF"/>
    <w:rsid w:val="17872239"/>
    <w:rsid w:val="178B779F"/>
    <w:rsid w:val="17A77B42"/>
    <w:rsid w:val="17BE19D3"/>
    <w:rsid w:val="17D349C1"/>
    <w:rsid w:val="17DD00AB"/>
    <w:rsid w:val="17DD62FD"/>
    <w:rsid w:val="17EE4066"/>
    <w:rsid w:val="17F13B56"/>
    <w:rsid w:val="180C273E"/>
    <w:rsid w:val="1830729E"/>
    <w:rsid w:val="183659F3"/>
    <w:rsid w:val="1870062C"/>
    <w:rsid w:val="18817102"/>
    <w:rsid w:val="18820C52"/>
    <w:rsid w:val="18830A15"/>
    <w:rsid w:val="18852B28"/>
    <w:rsid w:val="188B5321"/>
    <w:rsid w:val="18982224"/>
    <w:rsid w:val="18B65FBE"/>
    <w:rsid w:val="19500E46"/>
    <w:rsid w:val="19792055"/>
    <w:rsid w:val="19826FE8"/>
    <w:rsid w:val="19832ED4"/>
    <w:rsid w:val="198804EA"/>
    <w:rsid w:val="198A6011"/>
    <w:rsid w:val="19932372"/>
    <w:rsid w:val="19A20DD5"/>
    <w:rsid w:val="19A5109C"/>
    <w:rsid w:val="19AE03F1"/>
    <w:rsid w:val="19BE2C88"/>
    <w:rsid w:val="19CA11F8"/>
    <w:rsid w:val="19F3739B"/>
    <w:rsid w:val="1A071A03"/>
    <w:rsid w:val="1A1F16AE"/>
    <w:rsid w:val="1A3B5C77"/>
    <w:rsid w:val="1A984BAD"/>
    <w:rsid w:val="1AB8220E"/>
    <w:rsid w:val="1AE4166C"/>
    <w:rsid w:val="1AF06CFB"/>
    <w:rsid w:val="1AF11B8D"/>
    <w:rsid w:val="1B0E7A21"/>
    <w:rsid w:val="1B11359C"/>
    <w:rsid w:val="1B2A271F"/>
    <w:rsid w:val="1B481CDF"/>
    <w:rsid w:val="1B530544"/>
    <w:rsid w:val="1B713184"/>
    <w:rsid w:val="1B763515"/>
    <w:rsid w:val="1B8D1DE8"/>
    <w:rsid w:val="1B945CBD"/>
    <w:rsid w:val="1BA209CF"/>
    <w:rsid w:val="1BB4777D"/>
    <w:rsid w:val="1BCC2910"/>
    <w:rsid w:val="1BD75AB8"/>
    <w:rsid w:val="1C0459C2"/>
    <w:rsid w:val="1C1B3B4A"/>
    <w:rsid w:val="1C1F5136"/>
    <w:rsid w:val="1C24149D"/>
    <w:rsid w:val="1C88086E"/>
    <w:rsid w:val="1CA23671"/>
    <w:rsid w:val="1CB55D60"/>
    <w:rsid w:val="1CDB6935"/>
    <w:rsid w:val="1CE1063D"/>
    <w:rsid w:val="1CF163A7"/>
    <w:rsid w:val="1D104A7F"/>
    <w:rsid w:val="1D266CE1"/>
    <w:rsid w:val="1D3963AF"/>
    <w:rsid w:val="1D432AC3"/>
    <w:rsid w:val="1D556936"/>
    <w:rsid w:val="1D5726AE"/>
    <w:rsid w:val="1D5E74C5"/>
    <w:rsid w:val="1D6A673C"/>
    <w:rsid w:val="1D9247AE"/>
    <w:rsid w:val="1D9C27B6"/>
    <w:rsid w:val="1D9C4564"/>
    <w:rsid w:val="1DB016FD"/>
    <w:rsid w:val="1DB567EC"/>
    <w:rsid w:val="1DC55869"/>
    <w:rsid w:val="1DD106B2"/>
    <w:rsid w:val="1DD81FE2"/>
    <w:rsid w:val="1DE81558"/>
    <w:rsid w:val="1DE877AA"/>
    <w:rsid w:val="1DF148B0"/>
    <w:rsid w:val="1DF51A98"/>
    <w:rsid w:val="1E366767"/>
    <w:rsid w:val="1E3D060F"/>
    <w:rsid w:val="1E3F7D2E"/>
    <w:rsid w:val="1E4134E4"/>
    <w:rsid w:val="1E5062B3"/>
    <w:rsid w:val="1E523514"/>
    <w:rsid w:val="1E714A66"/>
    <w:rsid w:val="1E802593"/>
    <w:rsid w:val="1EA703CC"/>
    <w:rsid w:val="1EAA273C"/>
    <w:rsid w:val="1EAC07D7"/>
    <w:rsid w:val="1EB7330C"/>
    <w:rsid w:val="1EBD29E4"/>
    <w:rsid w:val="1EF52B6D"/>
    <w:rsid w:val="1F0A0FF3"/>
    <w:rsid w:val="1F0B4696"/>
    <w:rsid w:val="1F26058A"/>
    <w:rsid w:val="1F5771FF"/>
    <w:rsid w:val="1F6C4942"/>
    <w:rsid w:val="1F9A4AD4"/>
    <w:rsid w:val="1FB65DB1"/>
    <w:rsid w:val="1FBB7ACC"/>
    <w:rsid w:val="1FBC0EEE"/>
    <w:rsid w:val="1FC66391"/>
    <w:rsid w:val="1FE868A9"/>
    <w:rsid w:val="20034907"/>
    <w:rsid w:val="20124FB2"/>
    <w:rsid w:val="201723F5"/>
    <w:rsid w:val="20173E4B"/>
    <w:rsid w:val="203171E6"/>
    <w:rsid w:val="20366406"/>
    <w:rsid w:val="204B414A"/>
    <w:rsid w:val="204E48BC"/>
    <w:rsid w:val="205173F8"/>
    <w:rsid w:val="2059498F"/>
    <w:rsid w:val="205B24B5"/>
    <w:rsid w:val="206C7450"/>
    <w:rsid w:val="208921B3"/>
    <w:rsid w:val="20973DEB"/>
    <w:rsid w:val="20A23587"/>
    <w:rsid w:val="20AA51EA"/>
    <w:rsid w:val="20AA6F98"/>
    <w:rsid w:val="20B26522"/>
    <w:rsid w:val="20B44310"/>
    <w:rsid w:val="20BE435D"/>
    <w:rsid w:val="20CF69FF"/>
    <w:rsid w:val="20D02EA3"/>
    <w:rsid w:val="20EB7EEA"/>
    <w:rsid w:val="211116EB"/>
    <w:rsid w:val="216133FC"/>
    <w:rsid w:val="21721428"/>
    <w:rsid w:val="217557F8"/>
    <w:rsid w:val="217F21D3"/>
    <w:rsid w:val="21D56769"/>
    <w:rsid w:val="21E52EF3"/>
    <w:rsid w:val="21F506E7"/>
    <w:rsid w:val="21FB5D7B"/>
    <w:rsid w:val="21FC1141"/>
    <w:rsid w:val="220B1C3D"/>
    <w:rsid w:val="221D1D20"/>
    <w:rsid w:val="22274D44"/>
    <w:rsid w:val="22334A87"/>
    <w:rsid w:val="223C00C4"/>
    <w:rsid w:val="2245341D"/>
    <w:rsid w:val="225E003A"/>
    <w:rsid w:val="22631AF5"/>
    <w:rsid w:val="227635D6"/>
    <w:rsid w:val="22A34EAB"/>
    <w:rsid w:val="22BD7457"/>
    <w:rsid w:val="22BE6801"/>
    <w:rsid w:val="22D56B19"/>
    <w:rsid w:val="22F57858"/>
    <w:rsid w:val="22FD253B"/>
    <w:rsid w:val="231B5F2B"/>
    <w:rsid w:val="233500BF"/>
    <w:rsid w:val="23377FF7"/>
    <w:rsid w:val="2338088B"/>
    <w:rsid w:val="236B425F"/>
    <w:rsid w:val="23836192"/>
    <w:rsid w:val="23901F29"/>
    <w:rsid w:val="239C0061"/>
    <w:rsid w:val="23A7731B"/>
    <w:rsid w:val="23B908A4"/>
    <w:rsid w:val="23C42D4B"/>
    <w:rsid w:val="23CD5478"/>
    <w:rsid w:val="23CF23CE"/>
    <w:rsid w:val="23E95BEF"/>
    <w:rsid w:val="23FD0064"/>
    <w:rsid w:val="23FE7D27"/>
    <w:rsid w:val="24092228"/>
    <w:rsid w:val="24311EAA"/>
    <w:rsid w:val="24443260"/>
    <w:rsid w:val="244F40DF"/>
    <w:rsid w:val="245375B0"/>
    <w:rsid w:val="245E2574"/>
    <w:rsid w:val="2460583A"/>
    <w:rsid w:val="24642C0A"/>
    <w:rsid w:val="24642D73"/>
    <w:rsid w:val="247733A3"/>
    <w:rsid w:val="248D10AB"/>
    <w:rsid w:val="24A06A19"/>
    <w:rsid w:val="24B22173"/>
    <w:rsid w:val="24B95AD9"/>
    <w:rsid w:val="24BC2BC6"/>
    <w:rsid w:val="24BE24DA"/>
    <w:rsid w:val="24CF5825"/>
    <w:rsid w:val="24D45032"/>
    <w:rsid w:val="24D663E6"/>
    <w:rsid w:val="24D77F2B"/>
    <w:rsid w:val="25197E3A"/>
    <w:rsid w:val="25205A7B"/>
    <w:rsid w:val="253120B6"/>
    <w:rsid w:val="258B00E2"/>
    <w:rsid w:val="25A917A6"/>
    <w:rsid w:val="25B616AA"/>
    <w:rsid w:val="25B85E7F"/>
    <w:rsid w:val="25BE27CC"/>
    <w:rsid w:val="25D627BB"/>
    <w:rsid w:val="25F34F3E"/>
    <w:rsid w:val="25F56F08"/>
    <w:rsid w:val="25F74A5C"/>
    <w:rsid w:val="260E1D77"/>
    <w:rsid w:val="2628662C"/>
    <w:rsid w:val="262D45DE"/>
    <w:rsid w:val="264C0B67"/>
    <w:rsid w:val="265E2CFF"/>
    <w:rsid w:val="2661634B"/>
    <w:rsid w:val="26697A1A"/>
    <w:rsid w:val="2670658E"/>
    <w:rsid w:val="26907DFD"/>
    <w:rsid w:val="26A53EF9"/>
    <w:rsid w:val="26A94201"/>
    <w:rsid w:val="26AC274F"/>
    <w:rsid w:val="26AF70B6"/>
    <w:rsid w:val="26B446CD"/>
    <w:rsid w:val="26B507EF"/>
    <w:rsid w:val="26BC5D74"/>
    <w:rsid w:val="26C4369F"/>
    <w:rsid w:val="26CC6877"/>
    <w:rsid w:val="26E74AA2"/>
    <w:rsid w:val="27044A29"/>
    <w:rsid w:val="271D34C8"/>
    <w:rsid w:val="27221F7E"/>
    <w:rsid w:val="27276A11"/>
    <w:rsid w:val="275B69FA"/>
    <w:rsid w:val="276142BF"/>
    <w:rsid w:val="276F4A98"/>
    <w:rsid w:val="27783712"/>
    <w:rsid w:val="27814EF7"/>
    <w:rsid w:val="27870033"/>
    <w:rsid w:val="27907362"/>
    <w:rsid w:val="27B52300"/>
    <w:rsid w:val="27BF3329"/>
    <w:rsid w:val="27F65A7D"/>
    <w:rsid w:val="28101DD7"/>
    <w:rsid w:val="28333E1D"/>
    <w:rsid w:val="28454BD6"/>
    <w:rsid w:val="28455253"/>
    <w:rsid w:val="284D302B"/>
    <w:rsid w:val="28551971"/>
    <w:rsid w:val="285B1C53"/>
    <w:rsid w:val="285F6DE4"/>
    <w:rsid w:val="287A5400"/>
    <w:rsid w:val="28855745"/>
    <w:rsid w:val="289724F8"/>
    <w:rsid w:val="289F7086"/>
    <w:rsid w:val="28A04D7F"/>
    <w:rsid w:val="28B47E46"/>
    <w:rsid w:val="28B60528"/>
    <w:rsid w:val="28C32028"/>
    <w:rsid w:val="28CC490F"/>
    <w:rsid w:val="28DE40AA"/>
    <w:rsid w:val="28F214DC"/>
    <w:rsid w:val="29005CCD"/>
    <w:rsid w:val="29345E77"/>
    <w:rsid w:val="29377BB5"/>
    <w:rsid w:val="294000F1"/>
    <w:rsid w:val="29483A1A"/>
    <w:rsid w:val="294C5091"/>
    <w:rsid w:val="294C65AD"/>
    <w:rsid w:val="29515D72"/>
    <w:rsid w:val="2955005F"/>
    <w:rsid w:val="29804D3A"/>
    <w:rsid w:val="29806583"/>
    <w:rsid w:val="298B3C4C"/>
    <w:rsid w:val="29C966E1"/>
    <w:rsid w:val="29CD3A29"/>
    <w:rsid w:val="29F26D24"/>
    <w:rsid w:val="2A092F82"/>
    <w:rsid w:val="2A133E00"/>
    <w:rsid w:val="2A15033F"/>
    <w:rsid w:val="2A1662C1"/>
    <w:rsid w:val="2A1C7367"/>
    <w:rsid w:val="2A2815FA"/>
    <w:rsid w:val="2A4F1B5B"/>
    <w:rsid w:val="2A6D6092"/>
    <w:rsid w:val="2A7D76B4"/>
    <w:rsid w:val="2A8F7C7E"/>
    <w:rsid w:val="2A9211C9"/>
    <w:rsid w:val="2AA21BBD"/>
    <w:rsid w:val="2ABC4498"/>
    <w:rsid w:val="2AC450FA"/>
    <w:rsid w:val="2ACF5F79"/>
    <w:rsid w:val="2ADA66CC"/>
    <w:rsid w:val="2B141BDE"/>
    <w:rsid w:val="2B215E6F"/>
    <w:rsid w:val="2B230E8E"/>
    <w:rsid w:val="2B3E2076"/>
    <w:rsid w:val="2B437463"/>
    <w:rsid w:val="2B451BC7"/>
    <w:rsid w:val="2B7807EE"/>
    <w:rsid w:val="2BBD2276"/>
    <w:rsid w:val="2BBF00EC"/>
    <w:rsid w:val="2BC37CFD"/>
    <w:rsid w:val="2BC74EA2"/>
    <w:rsid w:val="2BD5237F"/>
    <w:rsid w:val="2BE536CE"/>
    <w:rsid w:val="2BE758D9"/>
    <w:rsid w:val="2C056B5B"/>
    <w:rsid w:val="2C09049E"/>
    <w:rsid w:val="2C0A653C"/>
    <w:rsid w:val="2C191F85"/>
    <w:rsid w:val="2C532BDA"/>
    <w:rsid w:val="2C584AAB"/>
    <w:rsid w:val="2C6158CE"/>
    <w:rsid w:val="2C7A1F15"/>
    <w:rsid w:val="2C9F197B"/>
    <w:rsid w:val="2CE43832"/>
    <w:rsid w:val="2CE675AA"/>
    <w:rsid w:val="2CE82D6F"/>
    <w:rsid w:val="2CF972DD"/>
    <w:rsid w:val="2D343236"/>
    <w:rsid w:val="2D4A53C6"/>
    <w:rsid w:val="2D6D7CCB"/>
    <w:rsid w:val="2D720E3E"/>
    <w:rsid w:val="2D7668CC"/>
    <w:rsid w:val="2D866ECD"/>
    <w:rsid w:val="2D9708A4"/>
    <w:rsid w:val="2DA336ED"/>
    <w:rsid w:val="2DAA05D8"/>
    <w:rsid w:val="2DB74641"/>
    <w:rsid w:val="2DC0604D"/>
    <w:rsid w:val="2DC56990"/>
    <w:rsid w:val="2DD15014"/>
    <w:rsid w:val="2DE51610"/>
    <w:rsid w:val="2DF6381D"/>
    <w:rsid w:val="2DF72DE4"/>
    <w:rsid w:val="2E0220AF"/>
    <w:rsid w:val="2E1667C1"/>
    <w:rsid w:val="2E41733E"/>
    <w:rsid w:val="2E4B082A"/>
    <w:rsid w:val="2E5D4E86"/>
    <w:rsid w:val="2E5D790B"/>
    <w:rsid w:val="2E5F2B4E"/>
    <w:rsid w:val="2E7F2E89"/>
    <w:rsid w:val="2E8E7EF9"/>
    <w:rsid w:val="2E94189D"/>
    <w:rsid w:val="2E9A3C18"/>
    <w:rsid w:val="2EA577F9"/>
    <w:rsid w:val="2EBB0FEE"/>
    <w:rsid w:val="2EC63002"/>
    <w:rsid w:val="2EF31501"/>
    <w:rsid w:val="2F0A6B38"/>
    <w:rsid w:val="2F351FF4"/>
    <w:rsid w:val="2F370591"/>
    <w:rsid w:val="2F4A3E20"/>
    <w:rsid w:val="2F7C0857"/>
    <w:rsid w:val="2F946CCB"/>
    <w:rsid w:val="2FA17659"/>
    <w:rsid w:val="2FAA48BF"/>
    <w:rsid w:val="2FC11C09"/>
    <w:rsid w:val="2FD25781"/>
    <w:rsid w:val="2FEE6EA1"/>
    <w:rsid w:val="2FFD7934"/>
    <w:rsid w:val="30071D11"/>
    <w:rsid w:val="30640F12"/>
    <w:rsid w:val="30733ACD"/>
    <w:rsid w:val="308415B4"/>
    <w:rsid w:val="308610F1"/>
    <w:rsid w:val="308C3862"/>
    <w:rsid w:val="309379D8"/>
    <w:rsid w:val="30986E0D"/>
    <w:rsid w:val="30A270F7"/>
    <w:rsid w:val="30B8125D"/>
    <w:rsid w:val="30BB21D9"/>
    <w:rsid w:val="30CE0A81"/>
    <w:rsid w:val="30DF1478"/>
    <w:rsid w:val="30E262DA"/>
    <w:rsid w:val="30EA2B2E"/>
    <w:rsid w:val="30EC586F"/>
    <w:rsid w:val="311961A0"/>
    <w:rsid w:val="314E49F2"/>
    <w:rsid w:val="31501725"/>
    <w:rsid w:val="31666F0B"/>
    <w:rsid w:val="31717D8A"/>
    <w:rsid w:val="319C6071"/>
    <w:rsid w:val="319E5A58"/>
    <w:rsid w:val="31AC537E"/>
    <w:rsid w:val="31C37EBA"/>
    <w:rsid w:val="31E3679B"/>
    <w:rsid w:val="31E732FD"/>
    <w:rsid w:val="31F91B2E"/>
    <w:rsid w:val="321921D0"/>
    <w:rsid w:val="321A3EDE"/>
    <w:rsid w:val="323F1C36"/>
    <w:rsid w:val="324E2D81"/>
    <w:rsid w:val="32517576"/>
    <w:rsid w:val="325D3E6B"/>
    <w:rsid w:val="327D6706"/>
    <w:rsid w:val="32BE5C2C"/>
    <w:rsid w:val="32E4633A"/>
    <w:rsid w:val="32F72511"/>
    <w:rsid w:val="32FB6478"/>
    <w:rsid w:val="33263B3F"/>
    <w:rsid w:val="3330157F"/>
    <w:rsid w:val="33365E13"/>
    <w:rsid w:val="33403BE0"/>
    <w:rsid w:val="33490893"/>
    <w:rsid w:val="334B63B9"/>
    <w:rsid w:val="336963EB"/>
    <w:rsid w:val="33816EEB"/>
    <w:rsid w:val="33837901"/>
    <w:rsid w:val="339A10EE"/>
    <w:rsid w:val="33B71CA0"/>
    <w:rsid w:val="33BD7ABE"/>
    <w:rsid w:val="33C341A1"/>
    <w:rsid w:val="33E04D53"/>
    <w:rsid w:val="33EB55CD"/>
    <w:rsid w:val="33EC4C02"/>
    <w:rsid w:val="33F65942"/>
    <w:rsid w:val="340B455E"/>
    <w:rsid w:val="340D2360"/>
    <w:rsid w:val="3410665D"/>
    <w:rsid w:val="34211214"/>
    <w:rsid w:val="342E63AB"/>
    <w:rsid w:val="342F3B76"/>
    <w:rsid w:val="343B01DB"/>
    <w:rsid w:val="343D03F7"/>
    <w:rsid w:val="344E171B"/>
    <w:rsid w:val="34533777"/>
    <w:rsid w:val="345968B4"/>
    <w:rsid w:val="345E3ECA"/>
    <w:rsid w:val="34621C0C"/>
    <w:rsid w:val="34626D28"/>
    <w:rsid w:val="346C7513"/>
    <w:rsid w:val="347100A1"/>
    <w:rsid w:val="34853B4C"/>
    <w:rsid w:val="34950E68"/>
    <w:rsid w:val="34986E94"/>
    <w:rsid w:val="34AF62C9"/>
    <w:rsid w:val="34CB4388"/>
    <w:rsid w:val="34CE72A2"/>
    <w:rsid w:val="34FA6E12"/>
    <w:rsid w:val="35103416"/>
    <w:rsid w:val="353C405C"/>
    <w:rsid w:val="354B444E"/>
    <w:rsid w:val="35523A2F"/>
    <w:rsid w:val="35741CF1"/>
    <w:rsid w:val="357A4D3C"/>
    <w:rsid w:val="357F1603"/>
    <w:rsid w:val="35843E04"/>
    <w:rsid w:val="358D5588"/>
    <w:rsid w:val="35FF1FBC"/>
    <w:rsid w:val="36142918"/>
    <w:rsid w:val="363A3B40"/>
    <w:rsid w:val="363E2205"/>
    <w:rsid w:val="365302AE"/>
    <w:rsid w:val="365C268B"/>
    <w:rsid w:val="365E28A7"/>
    <w:rsid w:val="36607A0A"/>
    <w:rsid w:val="366B28CE"/>
    <w:rsid w:val="366E227C"/>
    <w:rsid w:val="366F2E0D"/>
    <w:rsid w:val="367B6A5C"/>
    <w:rsid w:val="36987B67"/>
    <w:rsid w:val="36A74ADA"/>
    <w:rsid w:val="36AD60D5"/>
    <w:rsid w:val="36B224F9"/>
    <w:rsid w:val="36C559EF"/>
    <w:rsid w:val="36D41080"/>
    <w:rsid w:val="36EC0CC9"/>
    <w:rsid w:val="36FA437E"/>
    <w:rsid w:val="36FF5100"/>
    <w:rsid w:val="3700570C"/>
    <w:rsid w:val="372B3996"/>
    <w:rsid w:val="37312327"/>
    <w:rsid w:val="373F410B"/>
    <w:rsid w:val="37427AD3"/>
    <w:rsid w:val="375C6DE7"/>
    <w:rsid w:val="37696240"/>
    <w:rsid w:val="376D734B"/>
    <w:rsid w:val="37751C56"/>
    <w:rsid w:val="37893954"/>
    <w:rsid w:val="3795353A"/>
    <w:rsid w:val="37A82C68"/>
    <w:rsid w:val="37AB1B1C"/>
    <w:rsid w:val="37BD53AB"/>
    <w:rsid w:val="37EE7094"/>
    <w:rsid w:val="38296C89"/>
    <w:rsid w:val="383002EB"/>
    <w:rsid w:val="38586797"/>
    <w:rsid w:val="3894435E"/>
    <w:rsid w:val="38B467AE"/>
    <w:rsid w:val="38B8629F"/>
    <w:rsid w:val="38BC0149"/>
    <w:rsid w:val="38D40BFF"/>
    <w:rsid w:val="38D87D1C"/>
    <w:rsid w:val="38E05542"/>
    <w:rsid w:val="38F66DC7"/>
    <w:rsid w:val="391E324A"/>
    <w:rsid w:val="3930052B"/>
    <w:rsid w:val="393F4973"/>
    <w:rsid w:val="394E275F"/>
    <w:rsid w:val="395307B3"/>
    <w:rsid w:val="39636459"/>
    <w:rsid w:val="396B7F6C"/>
    <w:rsid w:val="39A700C1"/>
    <w:rsid w:val="39B14863"/>
    <w:rsid w:val="39B417A9"/>
    <w:rsid w:val="39C3713E"/>
    <w:rsid w:val="39C944DB"/>
    <w:rsid w:val="39D37108"/>
    <w:rsid w:val="39F03816"/>
    <w:rsid w:val="39F3586B"/>
    <w:rsid w:val="39FC5695"/>
    <w:rsid w:val="39FD03BC"/>
    <w:rsid w:val="3A006D8E"/>
    <w:rsid w:val="3A1514CF"/>
    <w:rsid w:val="3A1C3C84"/>
    <w:rsid w:val="3A2E433E"/>
    <w:rsid w:val="3A3651E5"/>
    <w:rsid w:val="3A4236C0"/>
    <w:rsid w:val="3A573895"/>
    <w:rsid w:val="3A6303AE"/>
    <w:rsid w:val="3A744481"/>
    <w:rsid w:val="3A7461F5"/>
    <w:rsid w:val="3A766411"/>
    <w:rsid w:val="3A8A09B4"/>
    <w:rsid w:val="3A8C7BEF"/>
    <w:rsid w:val="3A906246"/>
    <w:rsid w:val="3AB64A60"/>
    <w:rsid w:val="3AC70A1B"/>
    <w:rsid w:val="3ADB79F5"/>
    <w:rsid w:val="3AE35129"/>
    <w:rsid w:val="3B2349B7"/>
    <w:rsid w:val="3B3B6D13"/>
    <w:rsid w:val="3B5705F9"/>
    <w:rsid w:val="3B616CFF"/>
    <w:rsid w:val="3B6259F6"/>
    <w:rsid w:val="3B682566"/>
    <w:rsid w:val="3B7A4DF2"/>
    <w:rsid w:val="3B976654"/>
    <w:rsid w:val="3BC01EFC"/>
    <w:rsid w:val="3BCA786A"/>
    <w:rsid w:val="3BD31E2F"/>
    <w:rsid w:val="3BD86C58"/>
    <w:rsid w:val="3BF15831"/>
    <w:rsid w:val="3BF204AB"/>
    <w:rsid w:val="3C0E61D6"/>
    <w:rsid w:val="3C105946"/>
    <w:rsid w:val="3C2854E9"/>
    <w:rsid w:val="3C471448"/>
    <w:rsid w:val="3C576930"/>
    <w:rsid w:val="3C5F759A"/>
    <w:rsid w:val="3C6C525A"/>
    <w:rsid w:val="3C7D458E"/>
    <w:rsid w:val="3C9137E0"/>
    <w:rsid w:val="3C925059"/>
    <w:rsid w:val="3C9F32D2"/>
    <w:rsid w:val="3CC26E9F"/>
    <w:rsid w:val="3CCE23CB"/>
    <w:rsid w:val="3CD17D17"/>
    <w:rsid w:val="3D2959BD"/>
    <w:rsid w:val="3D3C7F39"/>
    <w:rsid w:val="3D440F09"/>
    <w:rsid w:val="3D4504A0"/>
    <w:rsid w:val="3D8734BB"/>
    <w:rsid w:val="3D9A11D4"/>
    <w:rsid w:val="3DA16D89"/>
    <w:rsid w:val="3DA364BE"/>
    <w:rsid w:val="3DAC116D"/>
    <w:rsid w:val="3DBC3C0B"/>
    <w:rsid w:val="3DC6320C"/>
    <w:rsid w:val="3DE041CB"/>
    <w:rsid w:val="3DF02037"/>
    <w:rsid w:val="3DF15DAF"/>
    <w:rsid w:val="3E0D48F6"/>
    <w:rsid w:val="3E1868B4"/>
    <w:rsid w:val="3E377251"/>
    <w:rsid w:val="3E3D2DA2"/>
    <w:rsid w:val="3E42664B"/>
    <w:rsid w:val="3E5A7334"/>
    <w:rsid w:val="3E5E239F"/>
    <w:rsid w:val="3E6A79D4"/>
    <w:rsid w:val="3E7B5D6B"/>
    <w:rsid w:val="3E7C38CA"/>
    <w:rsid w:val="3E843E66"/>
    <w:rsid w:val="3E8F51FE"/>
    <w:rsid w:val="3E926F87"/>
    <w:rsid w:val="3E9A59DE"/>
    <w:rsid w:val="3EAF4836"/>
    <w:rsid w:val="3EC33DFA"/>
    <w:rsid w:val="3EC3774B"/>
    <w:rsid w:val="3EDD3782"/>
    <w:rsid w:val="3EE82E22"/>
    <w:rsid w:val="3EF36716"/>
    <w:rsid w:val="3F060E16"/>
    <w:rsid w:val="3F1D1096"/>
    <w:rsid w:val="3F2F0234"/>
    <w:rsid w:val="3F361456"/>
    <w:rsid w:val="3F6363FE"/>
    <w:rsid w:val="3F756B8F"/>
    <w:rsid w:val="3F8A2017"/>
    <w:rsid w:val="3F95482B"/>
    <w:rsid w:val="3FA255B3"/>
    <w:rsid w:val="3FFF0C57"/>
    <w:rsid w:val="400B3158"/>
    <w:rsid w:val="4019356B"/>
    <w:rsid w:val="403A2CDD"/>
    <w:rsid w:val="40592157"/>
    <w:rsid w:val="406E1CAE"/>
    <w:rsid w:val="40792BC6"/>
    <w:rsid w:val="40A0133A"/>
    <w:rsid w:val="40A315E2"/>
    <w:rsid w:val="40A8320B"/>
    <w:rsid w:val="40A95E4A"/>
    <w:rsid w:val="40B66024"/>
    <w:rsid w:val="40C31A53"/>
    <w:rsid w:val="40E83499"/>
    <w:rsid w:val="40FB058A"/>
    <w:rsid w:val="40FF545D"/>
    <w:rsid w:val="410067C8"/>
    <w:rsid w:val="41095A24"/>
    <w:rsid w:val="412D2FF7"/>
    <w:rsid w:val="41306BEE"/>
    <w:rsid w:val="414032D5"/>
    <w:rsid w:val="414B2E3A"/>
    <w:rsid w:val="414F52C6"/>
    <w:rsid w:val="415154E1"/>
    <w:rsid w:val="41517290"/>
    <w:rsid w:val="41792343"/>
    <w:rsid w:val="418F0D2A"/>
    <w:rsid w:val="41D01505"/>
    <w:rsid w:val="41E06866"/>
    <w:rsid w:val="41FB12D8"/>
    <w:rsid w:val="420A5691"/>
    <w:rsid w:val="4235270E"/>
    <w:rsid w:val="423804AB"/>
    <w:rsid w:val="42401D71"/>
    <w:rsid w:val="42454B7B"/>
    <w:rsid w:val="42474939"/>
    <w:rsid w:val="424C3C57"/>
    <w:rsid w:val="42613FF3"/>
    <w:rsid w:val="42660D96"/>
    <w:rsid w:val="428667D2"/>
    <w:rsid w:val="42C47EAE"/>
    <w:rsid w:val="42CD1CE0"/>
    <w:rsid w:val="42CE66BF"/>
    <w:rsid w:val="42DF267A"/>
    <w:rsid w:val="42E1381E"/>
    <w:rsid w:val="42ED6459"/>
    <w:rsid w:val="42FE58DD"/>
    <w:rsid w:val="43174B3D"/>
    <w:rsid w:val="434B790E"/>
    <w:rsid w:val="43516469"/>
    <w:rsid w:val="4360274F"/>
    <w:rsid w:val="437B7E38"/>
    <w:rsid w:val="43977AB6"/>
    <w:rsid w:val="43A3342B"/>
    <w:rsid w:val="43BA2B9E"/>
    <w:rsid w:val="43C77C27"/>
    <w:rsid w:val="43DE09EE"/>
    <w:rsid w:val="43FD4220"/>
    <w:rsid w:val="44002FAD"/>
    <w:rsid w:val="440E4ADD"/>
    <w:rsid w:val="443B7D84"/>
    <w:rsid w:val="44501A81"/>
    <w:rsid w:val="445175A7"/>
    <w:rsid w:val="44615A3C"/>
    <w:rsid w:val="449101DD"/>
    <w:rsid w:val="44B87626"/>
    <w:rsid w:val="44CF5597"/>
    <w:rsid w:val="44DE1391"/>
    <w:rsid w:val="44E87F0C"/>
    <w:rsid w:val="450D1720"/>
    <w:rsid w:val="451B225C"/>
    <w:rsid w:val="452410C9"/>
    <w:rsid w:val="45317DFB"/>
    <w:rsid w:val="455530C7"/>
    <w:rsid w:val="45613CC5"/>
    <w:rsid w:val="456D3CE4"/>
    <w:rsid w:val="45701158"/>
    <w:rsid w:val="4579042C"/>
    <w:rsid w:val="457F0571"/>
    <w:rsid w:val="45851176"/>
    <w:rsid w:val="458D0AB3"/>
    <w:rsid w:val="459070E8"/>
    <w:rsid w:val="45AC718B"/>
    <w:rsid w:val="45C63B94"/>
    <w:rsid w:val="45F428E0"/>
    <w:rsid w:val="460074D7"/>
    <w:rsid w:val="460217CB"/>
    <w:rsid w:val="460E7DA5"/>
    <w:rsid w:val="462705C0"/>
    <w:rsid w:val="46422483"/>
    <w:rsid w:val="4659254A"/>
    <w:rsid w:val="465B0637"/>
    <w:rsid w:val="465E3F0D"/>
    <w:rsid w:val="466A16E6"/>
    <w:rsid w:val="466C2476"/>
    <w:rsid w:val="46893F2B"/>
    <w:rsid w:val="46C4686E"/>
    <w:rsid w:val="46CA1CB5"/>
    <w:rsid w:val="46E93AC7"/>
    <w:rsid w:val="470B6133"/>
    <w:rsid w:val="471B77B2"/>
    <w:rsid w:val="472B7749"/>
    <w:rsid w:val="474927B8"/>
    <w:rsid w:val="476B0980"/>
    <w:rsid w:val="477B778F"/>
    <w:rsid w:val="478203EC"/>
    <w:rsid w:val="478D4D9A"/>
    <w:rsid w:val="47946129"/>
    <w:rsid w:val="479E0D55"/>
    <w:rsid w:val="47B025FA"/>
    <w:rsid w:val="47CA1EC8"/>
    <w:rsid w:val="47E30E5E"/>
    <w:rsid w:val="4809698F"/>
    <w:rsid w:val="4811697D"/>
    <w:rsid w:val="481E59F2"/>
    <w:rsid w:val="483B65A4"/>
    <w:rsid w:val="485347ED"/>
    <w:rsid w:val="48645AFB"/>
    <w:rsid w:val="486A50DB"/>
    <w:rsid w:val="487A3E25"/>
    <w:rsid w:val="488B5503"/>
    <w:rsid w:val="48937E21"/>
    <w:rsid w:val="489A0361"/>
    <w:rsid w:val="489B34E7"/>
    <w:rsid w:val="48B94FF3"/>
    <w:rsid w:val="48BC6561"/>
    <w:rsid w:val="48E37AAB"/>
    <w:rsid w:val="48EB1D78"/>
    <w:rsid w:val="48FD4B4C"/>
    <w:rsid w:val="490A68E0"/>
    <w:rsid w:val="491055FE"/>
    <w:rsid w:val="49177011"/>
    <w:rsid w:val="49311755"/>
    <w:rsid w:val="495430AE"/>
    <w:rsid w:val="495F5B3E"/>
    <w:rsid w:val="496F77D7"/>
    <w:rsid w:val="497654FD"/>
    <w:rsid w:val="498C5476"/>
    <w:rsid w:val="499917D4"/>
    <w:rsid w:val="49B64211"/>
    <w:rsid w:val="49BD1299"/>
    <w:rsid w:val="49C600F0"/>
    <w:rsid w:val="49D03350"/>
    <w:rsid w:val="49D2118A"/>
    <w:rsid w:val="49E07403"/>
    <w:rsid w:val="49E41FCC"/>
    <w:rsid w:val="49E56CB7"/>
    <w:rsid w:val="49F6167F"/>
    <w:rsid w:val="4A01737A"/>
    <w:rsid w:val="4A064FA0"/>
    <w:rsid w:val="4A16615C"/>
    <w:rsid w:val="4A174DEF"/>
    <w:rsid w:val="4A4424D7"/>
    <w:rsid w:val="4A45370A"/>
    <w:rsid w:val="4A5F19A9"/>
    <w:rsid w:val="4A733617"/>
    <w:rsid w:val="4A9578C3"/>
    <w:rsid w:val="4AA15419"/>
    <w:rsid w:val="4AA46948"/>
    <w:rsid w:val="4AB82D0F"/>
    <w:rsid w:val="4AC26B09"/>
    <w:rsid w:val="4AEB7664"/>
    <w:rsid w:val="4AFD7C19"/>
    <w:rsid w:val="4B0567D1"/>
    <w:rsid w:val="4B105AC6"/>
    <w:rsid w:val="4B236AAE"/>
    <w:rsid w:val="4B313C8F"/>
    <w:rsid w:val="4B3B68BB"/>
    <w:rsid w:val="4B5E0F27"/>
    <w:rsid w:val="4B66585B"/>
    <w:rsid w:val="4B6B1EF9"/>
    <w:rsid w:val="4B707271"/>
    <w:rsid w:val="4B751DCD"/>
    <w:rsid w:val="4B897627"/>
    <w:rsid w:val="4B94223B"/>
    <w:rsid w:val="4B9739F7"/>
    <w:rsid w:val="4BC36FDC"/>
    <w:rsid w:val="4BEB6533"/>
    <w:rsid w:val="4BEE2503"/>
    <w:rsid w:val="4C123AC0"/>
    <w:rsid w:val="4C245A30"/>
    <w:rsid w:val="4C3369FB"/>
    <w:rsid w:val="4C6836E0"/>
    <w:rsid w:val="4C8543E0"/>
    <w:rsid w:val="4CAF732D"/>
    <w:rsid w:val="4CB6685F"/>
    <w:rsid w:val="4CC367FE"/>
    <w:rsid w:val="4CC57C44"/>
    <w:rsid w:val="4CEE6EA6"/>
    <w:rsid w:val="4D012B78"/>
    <w:rsid w:val="4D077F3C"/>
    <w:rsid w:val="4D123355"/>
    <w:rsid w:val="4D137AF0"/>
    <w:rsid w:val="4D1926F0"/>
    <w:rsid w:val="4D2A3B31"/>
    <w:rsid w:val="4D2C2AA8"/>
    <w:rsid w:val="4D312C52"/>
    <w:rsid w:val="4D355572"/>
    <w:rsid w:val="4D4203D5"/>
    <w:rsid w:val="4D905305"/>
    <w:rsid w:val="4D964A72"/>
    <w:rsid w:val="4D97427D"/>
    <w:rsid w:val="4D9C1254"/>
    <w:rsid w:val="4DAB7D28"/>
    <w:rsid w:val="4DCB22D3"/>
    <w:rsid w:val="4DFA480C"/>
    <w:rsid w:val="4DFF0631"/>
    <w:rsid w:val="4DFF0D96"/>
    <w:rsid w:val="4E4168DE"/>
    <w:rsid w:val="4E587A02"/>
    <w:rsid w:val="4E656129"/>
    <w:rsid w:val="4E713266"/>
    <w:rsid w:val="4E793892"/>
    <w:rsid w:val="4E800872"/>
    <w:rsid w:val="4EC569ED"/>
    <w:rsid w:val="4ED50EA1"/>
    <w:rsid w:val="4EDF1ABC"/>
    <w:rsid w:val="4EDF237F"/>
    <w:rsid w:val="4EEC050C"/>
    <w:rsid w:val="4F0E4A13"/>
    <w:rsid w:val="4F104EC3"/>
    <w:rsid w:val="4F1224C6"/>
    <w:rsid w:val="4F1D07B2"/>
    <w:rsid w:val="4F406339"/>
    <w:rsid w:val="4F47354A"/>
    <w:rsid w:val="4F764366"/>
    <w:rsid w:val="4F8E16AF"/>
    <w:rsid w:val="4F911C54"/>
    <w:rsid w:val="4F952A3E"/>
    <w:rsid w:val="4FA54E3F"/>
    <w:rsid w:val="4FBA0525"/>
    <w:rsid w:val="4FBC06D4"/>
    <w:rsid w:val="4FC17F30"/>
    <w:rsid w:val="4FE625E0"/>
    <w:rsid w:val="4FE87012"/>
    <w:rsid w:val="4FEA5B24"/>
    <w:rsid w:val="4FF95729"/>
    <w:rsid w:val="50025BF9"/>
    <w:rsid w:val="5021480F"/>
    <w:rsid w:val="50256815"/>
    <w:rsid w:val="5032028D"/>
    <w:rsid w:val="506623A7"/>
    <w:rsid w:val="507632DA"/>
    <w:rsid w:val="50770C26"/>
    <w:rsid w:val="50962ECB"/>
    <w:rsid w:val="50A42E38"/>
    <w:rsid w:val="50A4577F"/>
    <w:rsid w:val="50B73D1F"/>
    <w:rsid w:val="50BD5BC9"/>
    <w:rsid w:val="50C11EEE"/>
    <w:rsid w:val="50CD3058"/>
    <w:rsid w:val="50DB6B76"/>
    <w:rsid w:val="50E97CFC"/>
    <w:rsid w:val="50FA4028"/>
    <w:rsid w:val="510D65B7"/>
    <w:rsid w:val="511157AB"/>
    <w:rsid w:val="512027DB"/>
    <w:rsid w:val="5142540C"/>
    <w:rsid w:val="517B2107"/>
    <w:rsid w:val="517F7502"/>
    <w:rsid w:val="518832C8"/>
    <w:rsid w:val="519F7FAC"/>
    <w:rsid w:val="51A0432A"/>
    <w:rsid w:val="51A11B6E"/>
    <w:rsid w:val="51A74E09"/>
    <w:rsid w:val="51A81AC5"/>
    <w:rsid w:val="51A86090"/>
    <w:rsid w:val="51B7396D"/>
    <w:rsid w:val="51BD44CE"/>
    <w:rsid w:val="51DC5DEE"/>
    <w:rsid w:val="522E4CC3"/>
    <w:rsid w:val="52302996"/>
    <w:rsid w:val="523C1897"/>
    <w:rsid w:val="5244713B"/>
    <w:rsid w:val="524C605D"/>
    <w:rsid w:val="525B6B2A"/>
    <w:rsid w:val="52615633"/>
    <w:rsid w:val="52935E4B"/>
    <w:rsid w:val="52977FD4"/>
    <w:rsid w:val="52A25790"/>
    <w:rsid w:val="52A511EA"/>
    <w:rsid w:val="52A96B6F"/>
    <w:rsid w:val="52AB2578"/>
    <w:rsid w:val="52B4142D"/>
    <w:rsid w:val="52B45975"/>
    <w:rsid w:val="52BB6C5F"/>
    <w:rsid w:val="52C61160"/>
    <w:rsid w:val="52D94AA4"/>
    <w:rsid w:val="52E361B6"/>
    <w:rsid w:val="52EA3A62"/>
    <w:rsid w:val="52F50BB8"/>
    <w:rsid w:val="52FF2882"/>
    <w:rsid w:val="53097272"/>
    <w:rsid w:val="53504172"/>
    <w:rsid w:val="53544462"/>
    <w:rsid w:val="53682217"/>
    <w:rsid w:val="538C23AA"/>
    <w:rsid w:val="5397158E"/>
    <w:rsid w:val="53B70B31"/>
    <w:rsid w:val="53BD2C37"/>
    <w:rsid w:val="53CA0D92"/>
    <w:rsid w:val="54013861"/>
    <w:rsid w:val="5435719D"/>
    <w:rsid w:val="54487265"/>
    <w:rsid w:val="54491F75"/>
    <w:rsid w:val="544D6070"/>
    <w:rsid w:val="54605E1E"/>
    <w:rsid w:val="549459EB"/>
    <w:rsid w:val="54A15EF3"/>
    <w:rsid w:val="54AD25D8"/>
    <w:rsid w:val="54B3506A"/>
    <w:rsid w:val="54B51D52"/>
    <w:rsid w:val="54CA0D16"/>
    <w:rsid w:val="54DD4057"/>
    <w:rsid w:val="54E7490F"/>
    <w:rsid w:val="55006BAB"/>
    <w:rsid w:val="550764A4"/>
    <w:rsid w:val="550B2BF6"/>
    <w:rsid w:val="551B318C"/>
    <w:rsid w:val="551E5284"/>
    <w:rsid w:val="55214EB5"/>
    <w:rsid w:val="552D196B"/>
    <w:rsid w:val="55364EFD"/>
    <w:rsid w:val="5540169E"/>
    <w:rsid w:val="555D4828"/>
    <w:rsid w:val="557A4C8B"/>
    <w:rsid w:val="55851EE3"/>
    <w:rsid w:val="558931E1"/>
    <w:rsid w:val="55916191"/>
    <w:rsid w:val="55923347"/>
    <w:rsid w:val="55925180"/>
    <w:rsid w:val="55982511"/>
    <w:rsid w:val="55983B1B"/>
    <w:rsid w:val="559F6FA1"/>
    <w:rsid w:val="55A8376B"/>
    <w:rsid w:val="55A86101"/>
    <w:rsid w:val="55DC29B6"/>
    <w:rsid w:val="55DD4241"/>
    <w:rsid w:val="55E71B19"/>
    <w:rsid w:val="56114DE8"/>
    <w:rsid w:val="562023F9"/>
    <w:rsid w:val="56440D1A"/>
    <w:rsid w:val="566B6D1E"/>
    <w:rsid w:val="567D4C06"/>
    <w:rsid w:val="56835CE6"/>
    <w:rsid w:val="568A72E9"/>
    <w:rsid w:val="56B16294"/>
    <w:rsid w:val="56B9225B"/>
    <w:rsid w:val="56C360E3"/>
    <w:rsid w:val="56C854A7"/>
    <w:rsid w:val="56E359DD"/>
    <w:rsid w:val="57032A2C"/>
    <w:rsid w:val="570453D1"/>
    <w:rsid w:val="570F5219"/>
    <w:rsid w:val="57122BC6"/>
    <w:rsid w:val="571F7091"/>
    <w:rsid w:val="574134AB"/>
    <w:rsid w:val="575D12B5"/>
    <w:rsid w:val="57610A87"/>
    <w:rsid w:val="577473DD"/>
    <w:rsid w:val="577B1140"/>
    <w:rsid w:val="577B7F21"/>
    <w:rsid w:val="577F181B"/>
    <w:rsid w:val="57921984"/>
    <w:rsid w:val="57947A4C"/>
    <w:rsid w:val="579737F0"/>
    <w:rsid w:val="579E4B36"/>
    <w:rsid w:val="57AA1051"/>
    <w:rsid w:val="57AB7B30"/>
    <w:rsid w:val="57AF5251"/>
    <w:rsid w:val="57B26373"/>
    <w:rsid w:val="57B63F04"/>
    <w:rsid w:val="57C06AC6"/>
    <w:rsid w:val="57CD20C2"/>
    <w:rsid w:val="57CD248A"/>
    <w:rsid w:val="57D675AB"/>
    <w:rsid w:val="57D936E4"/>
    <w:rsid w:val="57D95FDD"/>
    <w:rsid w:val="57EC78BB"/>
    <w:rsid w:val="57F4051E"/>
    <w:rsid w:val="58356D78"/>
    <w:rsid w:val="583A2674"/>
    <w:rsid w:val="588412A1"/>
    <w:rsid w:val="58917D2F"/>
    <w:rsid w:val="5894085C"/>
    <w:rsid w:val="58AE4F0C"/>
    <w:rsid w:val="58B85899"/>
    <w:rsid w:val="58BD6D69"/>
    <w:rsid w:val="58D86C9F"/>
    <w:rsid w:val="58E363A9"/>
    <w:rsid w:val="58F00CE5"/>
    <w:rsid w:val="59154BEF"/>
    <w:rsid w:val="5919023C"/>
    <w:rsid w:val="595E1678"/>
    <w:rsid w:val="596D5BD4"/>
    <w:rsid w:val="596D67DA"/>
    <w:rsid w:val="597E3DD8"/>
    <w:rsid w:val="59831350"/>
    <w:rsid w:val="59974FE2"/>
    <w:rsid w:val="59A421B4"/>
    <w:rsid w:val="59C81C62"/>
    <w:rsid w:val="59D14FBA"/>
    <w:rsid w:val="59F80043"/>
    <w:rsid w:val="59FD7B5D"/>
    <w:rsid w:val="59FF7626"/>
    <w:rsid w:val="5A0071B3"/>
    <w:rsid w:val="5A09252F"/>
    <w:rsid w:val="5A0B2778"/>
    <w:rsid w:val="5A0E725A"/>
    <w:rsid w:val="5A117165"/>
    <w:rsid w:val="5A2A7C7B"/>
    <w:rsid w:val="5A3E2560"/>
    <w:rsid w:val="5A461504"/>
    <w:rsid w:val="5A4968FF"/>
    <w:rsid w:val="5A5D3B6E"/>
    <w:rsid w:val="5A637A76"/>
    <w:rsid w:val="5A6D33BA"/>
    <w:rsid w:val="5A792B1F"/>
    <w:rsid w:val="5A874767"/>
    <w:rsid w:val="5AAD6F28"/>
    <w:rsid w:val="5ABB1358"/>
    <w:rsid w:val="5AD63A24"/>
    <w:rsid w:val="5AF52A20"/>
    <w:rsid w:val="5AF947C9"/>
    <w:rsid w:val="5B080DF0"/>
    <w:rsid w:val="5B0A0D22"/>
    <w:rsid w:val="5B2E1A1D"/>
    <w:rsid w:val="5B464AF4"/>
    <w:rsid w:val="5B4D241F"/>
    <w:rsid w:val="5B6B6D49"/>
    <w:rsid w:val="5B6D486F"/>
    <w:rsid w:val="5B7C2D04"/>
    <w:rsid w:val="5B8322E4"/>
    <w:rsid w:val="5B843A1C"/>
    <w:rsid w:val="5B873E3F"/>
    <w:rsid w:val="5BD36C81"/>
    <w:rsid w:val="5BE2043F"/>
    <w:rsid w:val="5BF40AEC"/>
    <w:rsid w:val="5C02690E"/>
    <w:rsid w:val="5C0351D3"/>
    <w:rsid w:val="5C196DA7"/>
    <w:rsid w:val="5C1F4650"/>
    <w:rsid w:val="5C2A048C"/>
    <w:rsid w:val="5C7165E1"/>
    <w:rsid w:val="5C80234E"/>
    <w:rsid w:val="5C8A680C"/>
    <w:rsid w:val="5C9718FC"/>
    <w:rsid w:val="5CA32728"/>
    <w:rsid w:val="5CCD4019"/>
    <w:rsid w:val="5CD31049"/>
    <w:rsid w:val="5D0908B6"/>
    <w:rsid w:val="5D0C4701"/>
    <w:rsid w:val="5D0F0395"/>
    <w:rsid w:val="5D221076"/>
    <w:rsid w:val="5D2D0F82"/>
    <w:rsid w:val="5D397964"/>
    <w:rsid w:val="5D4D2245"/>
    <w:rsid w:val="5D530B4C"/>
    <w:rsid w:val="5D537A94"/>
    <w:rsid w:val="5D5A391C"/>
    <w:rsid w:val="5D5E6285"/>
    <w:rsid w:val="5D5F10C0"/>
    <w:rsid w:val="5D5F468B"/>
    <w:rsid w:val="5D6F2B20"/>
    <w:rsid w:val="5D8503D2"/>
    <w:rsid w:val="5D891B7B"/>
    <w:rsid w:val="5DAD38EE"/>
    <w:rsid w:val="5E006862"/>
    <w:rsid w:val="5E0207B9"/>
    <w:rsid w:val="5E1834A1"/>
    <w:rsid w:val="5E261785"/>
    <w:rsid w:val="5E4A7017"/>
    <w:rsid w:val="5E552BBA"/>
    <w:rsid w:val="5E611C10"/>
    <w:rsid w:val="5E6C7060"/>
    <w:rsid w:val="5E9465B6"/>
    <w:rsid w:val="5EAE4B05"/>
    <w:rsid w:val="5EC0115A"/>
    <w:rsid w:val="5ED510A9"/>
    <w:rsid w:val="5EE035AA"/>
    <w:rsid w:val="5EFC7377"/>
    <w:rsid w:val="5F04373C"/>
    <w:rsid w:val="5F06174D"/>
    <w:rsid w:val="5F0738A9"/>
    <w:rsid w:val="5F1C2834"/>
    <w:rsid w:val="5F261904"/>
    <w:rsid w:val="5F2636B2"/>
    <w:rsid w:val="5F2D5A7F"/>
    <w:rsid w:val="5F370C6B"/>
    <w:rsid w:val="5F3A3602"/>
    <w:rsid w:val="5F3C1128"/>
    <w:rsid w:val="5F526256"/>
    <w:rsid w:val="5F6277C6"/>
    <w:rsid w:val="5F6D0B1D"/>
    <w:rsid w:val="5F7206A6"/>
    <w:rsid w:val="5F7268F8"/>
    <w:rsid w:val="5F8135FC"/>
    <w:rsid w:val="5F8D0B82"/>
    <w:rsid w:val="5F93686E"/>
    <w:rsid w:val="5FAD5B82"/>
    <w:rsid w:val="5FC609F2"/>
    <w:rsid w:val="5FCC5339"/>
    <w:rsid w:val="5FDA449D"/>
    <w:rsid w:val="5FDA624B"/>
    <w:rsid w:val="5FE34A5B"/>
    <w:rsid w:val="5FE377F5"/>
    <w:rsid w:val="5FFE1E36"/>
    <w:rsid w:val="60232584"/>
    <w:rsid w:val="60432042"/>
    <w:rsid w:val="6045400C"/>
    <w:rsid w:val="60561D75"/>
    <w:rsid w:val="606F1958"/>
    <w:rsid w:val="607330CE"/>
    <w:rsid w:val="60825176"/>
    <w:rsid w:val="609D79A4"/>
    <w:rsid w:val="609F2AC4"/>
    <w:rsid w:val="60C3313F"/>
    <w:rsid w:val="60E5329F"/>
    <w:rsid w:val="60F35816"/>
    <w:rsid w:val="60F72BCB"/>
    <w:rsid w:val="60FA2EE8"/>
    <w:rsid w:val="61054A27"/>
    <w:rsid w:val="610A52BC"/>
    <w:rsid w:val="611D2366"/>
    <w:rsid w:val="613C540F"/>
    <w:rsid w:val="61421856"/>
    <w:rsid w:val="61493688"/>
    <w:rsid w:val="615227C4"/>
    <w:rsid w:val="615D5386"/>
    <w:rsid w:val="61654E3F"/>
    <w:rsid w:val="6182292A"/>
    <w:rsid w:val="619F7F92"/>
    <w:rsid w:val="61B72CE8"/>
    <w:rsid w:val="61F94C26"/>
    <w:rsid w:val="62000E56"/>
    <w:rsid w:val="621A6DD3"/>
    <w:rsid w:val="624F1172"/>
    <w:rsid w:val="624F3E49"/>
    <w:rsid w:val="62576091"/>
    <w:rsid w:val="62632286"/>
    <w:rsid w:val="626D33A6"/>
    <w:rsid w:val="62885958"/>
    <w:rsid w:val="628C6355"/>
    <w:rsid w:val="62946B85"/>
    <w:rsid w:val="62A35C71"/>
    <w:rsid w:val="62AB2E85"/>
    <w:rsid w:val="62F40B65"/>
    <w:rsid w:val="62FC2CFE"/>
    <w:rsid w:val="63016CD4"/>
    <w:rsid w:val="63024505"/>
    <w:rsid w:val="632F6EBB"/>
    <w:rsid w:val="63312626"/>
    <w:rsid w:val="635B1DB5"/>
    <w:rsid w:val="63711FED"/>
    <w:rsid w:val="637136BF"/>
    <w:rsid w:val="63880DDC"/>
    <w:rsid w:val="638D750D"/>
    <w:rsid w:val="63AC6CC0"/>
    <w:rsid w:val="63AE44A8"/>
    <w:rsid w:val="63D77B95"/>
    <w:rsid w:val="64055776"/>
    <w:rsid w:val="64065861"/>
    <w:rsid w:val="64124205"/>
    <w:rsid w:val="64240056"/>
    <w:rsid w:val="6429154F"/>
    <w:rsid w:val="64393E88"/>
    <w:rsid w:val="643E143A"/>
    <w:rsid w:val="647C6435"/>
    <w:rsid w:val="64894152"/>
    <w:rsid w:val="648B6EEF"/>
    <w:rsid w:val="649B244D"/>
    <w:rsid w:val="64BD6867"/>
    <w:rsid w:val="64BF7CA8"/>
    <w:rsid w:val="64C01EB3"/>
    <w:rsid w:val="64C158BF"/>
    <w:rsid w:val="64C319A4"/>
    <w:rsid w:val="64CE2EAA"/>
    <w:rsid w:val="64E617ED"/>
    <w:rsid w:val="650A18B1"/>
    <w:rsid w:val="652F4D47"/>
    <w:rsid w:val="6530528B"/>
    <w:rsid w:val="653C3090"/>
    <w:rsid w:val="655D1BE0"/>
    <w:rsid w:val="65854376"/>
    <w:rsid w:val="658767BE"/>
    <w:rsid w:val="65892531"/>
    <w:rsid w:val="658B5060"/>
    <w:rsid w:val="65AD68DC"/>
    <w:rsid w:val="65AF0A99"/>
    <w:rsid w:val="65C449B8"/>
    <w:rsid w:val="65D5198E"/>
    <w:rsid w:val="65E46075"/>
    <w:rsid w:val="65E77987"/>
    <w:rsid w:val="66195831"/>
    <w:rsid w:val="662E75B1"/>
    <w:rsid w:val="662F6ADA"/>
    <w:rsid w:val="66342C2E"/>
    <w:rsid w:val="663A7A43"/>
    <w:rsid w:val="663E784C"/>
    <w:rsid w:val="665E1984"/>
    <w:rsid w:val="66664917"/>
    <w:rsid w:val="666E1009"/>
    <w:rsid w:val="668B6A45"/>
    <w:rsid w:val="66AE6B74"/>
    <w:rsid w:val="66E6653E"/>
    <w:rsid w:val="66F10A4A"/>
    <w:rsid w:val="66FA6453"/>
    <w:rsid w:val="670B6AD7"/>
    <w:rsid w:val="670F0ED0"/>
    <w:rsid w:val="671B5F04"/>
    <w:rsid w:val="671D35ED"/>
    <w:rsid w:val="672C1A82"/>
    <w:rsid w:val="672D5FC6"/>
    <w:rsid w:val="672F3F24"/>
    <w:rsid w:val="673E055F"/>
    <w:rsid w:val="674A63AC"/>
    <w:rsid w:val="67551CE3"/>
    <w:rsid w:val="675E4773"/>
    <w:rsid w:val="676631BE"/>
    <w:rsid w:val="67A22552"/>
    <w:rsid w:val="67B22DCC"/>
    <w:rsid w:val="67B94ACA"/>
    <w:rsid w:val="67BE71AA"/>
    <w:rsid w:val="67D90273"/>
    <w:rsid w:val="67DE5875"/>
    <w:rsid w:val="67E55852"/>
    <w:rsid w:val="67EB1AB4"/>
    <w:rsid w:val="67FA1285"/>
    <w:rsid w:val="680058F8"/>
    <w:rsid w:val="68475733"/>
    <w:rsid w:val="68551F4F"/>
    <w:rsid w:val="68684D3C"/>
    <w:rsid w:val="687C10C9"/>
    <w:rsid w:val="68840C16"/>
    <w:rsid w:val="68876EFB"/>
    <w:rsid w:val="68884654"/>
    <w:rsid w:val="689F444F"/>
    <w:rsid w:val="68B96DBB"/>
    <w:rsid w:val="68CA2805"/>
    <w:rsid w:val="68DB72BC"/>
    <w:rsid w:val="68E937A3"/>
    <w:rsid w:val="690A7BA1"/>
    <w:rsid w:val="69106252"/>
    <w:rsid w:val="69224EEB"/>
    <w:rsid w:val="692B7DF1"/>
    <w:rsid w:val="693E15D3"/>
    <w:rsid w:val="69627681"/>
    <w:rsid w:val="69635503"/>
    <w:rsid w:val="696A4AE4"/>
    <w:rsid w:val="6977531D"/>
    <w:rsid w:val="69833A63"/>
    <w:rsid w:val="699E5035"/>
    <w:rsid w:val="69C76B2A"/>
    <w:rsid w:val="69CC2BFF"/>
    <w:rsid w:val="69FD24A2"/>
    <w:rsid w:val="69FD55B8"/>
    <w:rsid w:val="6A0B1C62"/>
    <w:rsid w:val="6A0E7DD9"/>
    <w:rsid w:val="6A2406C8"/>
    <w:rsid w:val="6A310DC4"/>
    <w:rsid w:val="6A51414C"/>
    <w:rsid w:val="6ABF6769"/>
    <w:rsid w:val="6AC67AF8"/>
    <w:rsid w:val="6ADE0BD1"/>
    <w:rsid w:val="6AE96859"/>
    <w:rsid w:val="6B147746"/>
    <w:rsid w:val="6B24787C"/>
    <w:rsid w:val="6B2A452A"/>
    <w:rsid w:val="6B573233"/>
    <w:rsid w:val="6B5B6274"/>
    <w:rsid w:val="6B612554"/>
    <w:rsid w:val="6B641196"/>
    <w:rsid w:val="6B784689"/>
    <w:rsid w:val="6B817F14"/>
    <w:rsid w:val="6B821406"/>
    <w:rsid w:val="6B935D53"/>
    <w:rsid w:val="6BC77FCB"/>
    <w:rsid w:val="6BD91AAD"/>
    <w:rsid w:val="6C0E1756"/>
    <w:rsid w:val="6C196F71"/>
    <w:rsid w:val="6C226FCB"/>
    <w:rsid w:val="6C2918DA"/>
    <w:rsid w:val="6C31226F"/>
    <w:rsid w:val="6C384A25"/>
    <w:rsid w:val="6C552F0B"/>
    <w:rsid w:val="6C584C7A"/>
    <w:rsid w:val="6C5D26DE"/>
    <w:rsid w:val="6C6E6699"/>
    <w:rsid w:val="6C7F2654"/>
    <w:rsid w:val="6C84482D"/>
    <w:rsid w:val="6C8C67B7"/>
    <w:rsid w:val="6C8D4D71"/>
    <w:rsid w:val="6C9D744C"/>
    <w:rsid w:val="6CA200F0"/>
    <w:rsid w:val="6CC62031"/>
    <w:rsid w:val="6CD83A31"/>
    <w:rsid w:val="6D167928"/>
    <w:rsid w:val="6D2356D5"/>
    <w:rsid w:val="6D26299B"/>
    <w:rsid w:val="6D30394E"/>
    <w:rsid w:val="6D394EF9"/>
    <w:rsid w:val="6D4772EC"/>
    <w:rsid w:val="6D521B17"/>
    <w:rsid w:val="6D543460"/>
    <w:rsid w:val="6D61130D"/>
    <w:rsid w:val="6D7E290C"/>
    <w:rsid w:val="6D9078AF"/>
    <w:rsid w:val="6D91263F"/>
    <w:rsid w:val="6D9F3659"/>
    <w:rsid w:val="6DAA3FEF"/>
    <w:rsid w:val="6DC0172B"/>
    <w:rsid w:val="6DCB690C"/>
    <w:rsid w:val="6DCE5641"/>
    <w:rsid w:val="6DD0129C"/>
    <w:rsid w:val="6DD222E3"/>
    <w:rsid w:val="6DD41A5B"/>
    <w:rsid w:val="6DE3508D"/>
    <w:rsid w:val="6DF43C2E"/>
    <w:rsid w:val="6DF51CA3"/>
    <w:rsid w:val="6DF53E5B"/>
    <w:rsid w:val="6E3D4575"/>
    <w:rsid w:val="6E510020"/>
    <w:rsid w:val="6E647D53"/>
    <w:rsid w:val="6E6B7334"/>
    <w:rsid w:val="6E8335BD"/>
    <w:rsid w:val="6E8E12EF"/>
    <w:rsid w:val="6E967FF1"/>
    <w:rsid w:val="6E972936"/>
    <w:rsid w:val="6EAB7730"/>
    <w:rsid w:val="6ECC1868"/>
    <w:rsid w:val="6ED053E9"/>
    <w:rsid w:val="6ED446C5"/>
    <w:rsid w:val="6EFC1D3A"/>
    <w:rsid w:val="6F103A37"/>
    <w:rsid w:val="6F1424A7"/>
    <w:rsid w:val="6F2A7D94"/>
    <w:rsid w:val="6F310678"/>
    <w:rsid w:val="6F8331F1"/>
    <w:rsid w:val="6FA62BC4"/>
    <w:rsid w:val="6FA67EF8"/>
    <w:rsid w:val="6FAE1A09"/>
    <w:rsid w:val="6FC62348"/>
    <w:rsid w:val="6FD75BF8"/>
    <w:rsid w:val="7007308C"/>
    <w:rsid w:val="702552C0"/>
    <w:rsid w:val="70340294"/>
    <w:rsid w:val="70383246"/>
    <w:rsid w:val="705C33D8"/>
    <w:rsid w:val="707723D0"/>
    <w:rsid w:val="70871AD7"/>
    <w:rsid w:val="70C920F0"/>
    <w:rsid w:val="70CD6084"/>
    <w:rsid w:val="70F5661B"/>
    <w:rsid w:val="70FF1FB5"/>
    <w:rsid w:val="710870BC"/>
    <w:rsid w:val="710C353F"/>
    <w:rsid w:val="71327C95"/>
    <w:rsid w:val="71360107"/>
    <w:rsid w:val="713B688E"/>
    <w:rsid w:val="713C6F27"/>
    <w:rsid w:val="713F6856"/>
    <w:rsid w:val="714858B4"/>
    <w:rsid w:val="71491080"/>
    <w:rsid w:val="71566079"/>
    <w:rsid w:val="716D1325"/>
    <w:rsid w:val="71D40D4C"/>
    <w:rsid w:val="71D43752"/>
    <w:rsid w:val="71F1796A"/>
    <w:rsid w:val="71FA6D52"/>
    <w:rsid w:val="72154626"/>
    <w:rsid w:val="721C77D7"/>
    <w:rsid w:val="721F290F"/>
    <w:rsid w:val="722577FA"/>
    <w:rsid w:val="72262B5D"/>
    <w:rsid w:val="72283FF7"/>
    <w:rsid w:val="722E7212"/>
    <w:rsid w:val="72331F17"/>
    <w:rsid w:val="723A0474"/>
    <w:rsid w:val="725923E4"/>
    <w:rsid w:val="72864BF7"/>
    <w:rsid w:val="729023FC"/>
    <w:rsid w:val="72CE1C3F"/>
    <w:rsid w:val="72D60AF4"/>
    <w:rsid w:val="72DF5BFA"/>
    <w:rsid w:val="72E820EE"/>
    <w:rsid w:val="73012015"/>
    <w:rsid w:val="730833A3"/>
    <w:rsid w:val="73092C77"/>
    <w:rsid w:val="73683F81"/>
    <w:rsid w:val="73972979"/>
    <w:rsid w:val="739D493C"/>
    <w:rsid w:val="73BE3A62"/>
    <w:rsid w:val="73C0646E"/>
    <w:rsid w:val="73EB05CF"/>
    <w:rsid w:val="73F561BF"/>
    <w:rsid w:val="73FF4FB7"/>
    <w:rsid w:val="7414117C"/>
    <w:rsid w:val="742222F5"/>
    <w:rsid w:val="74455F31"/>
    <w:rsid w:val="74476126"/>
    <w:rsid w:val="744A79EB"/>
    <w:rsid w:val="746740F9"/>
    <w:rsid w:val="74706664"/>
    <w:rsid w:val="747F3682"/>
    <w:rsid w:val="749C4185"/>
    <w:rsid w:val="74B15375"/>
    <w:rsid w:val="74E249F9"/>
    <w:rsid w:val="7500081F"/>
    <w:rsid w:val="75015137"/>
    <w:rsid w:val="75067759"/>
    <w:rsid w:val="751122B7"/>
    <w:rsid w:val="752124FA"/>
    <w:rsid w:val="752850C3"/>
    <w:rsid w:val="752E6DCD"/>
    <w:rsid w:val="753A41D8"/>
    <w:rsid w:val="753C5586"/>
    <w:rsid w:val="7547676F"/>
    <w:rsid w:val="7551380D"/>
    <w:rsid w:val="75600BE5"/>
    <w:rsid w:val="7564475C"/>
    <w:rsid w:val="75693EA1"/>
    <w:rsid w:val="757E5B9F"/>
    <w:rsid w:val="7583797F"/>
    <w:rsid w:val="75874327"/>
    <w:rsid w:val="75AE1234"/>
    <w:rsid w:val="75C35DE6"/>
    <w:rsid w:val="75CD4430"/>
    <w:rsid w:val="75D20F1D"/>
    <w:rsid w:val="75DA2C18"/>
    <w:rsid w:val="75F54412"/>
    <w:rsid w:val="761B0AF3"/>
    <w:rsid w:val="761D08E0"/>
    <w:rsid w:val="765D347C"/>
    <w:rsid w:val="76732FEE"/>
    <w:rsid w:val="76826699"/>
    <w:rsid w:val="76C87133"/>
    <w:rsid w:val="76CD08D5"/>
    <w:rsid w:val="76DB4B92"/>
    <w:rsid w:val="76EC75C5"/>
    <w:rsid w:val="76F41491"/>
    <w:rsid w:val="76F65C09"/>
    <w:rsid w:val="76F81981"/>
    <w:rsid w:val="76FD32A9"/>
    <w:rsid w:val="77041073"/>
    <w:rsid w:val="77052AA4"/>
    <w:rsid w:val="77136511"/>
    <w:rsid w:val="7718792D"/>
    <w:rsid w:val="77240332"/>
    <w:rsid w:val="77340A39"/>
    <w:rsid w:val="77351FD0"/>
    <w:rsid w:val="77472422"/>
    <w:rsid w:val="775D17E4"/>
    <w:rsid w:val="7762504C"/>
    <w:rsid w:val="77707B0E"/>
    <w:rsid w:val="777F31F2"/>
    <w:rsid w:val="778E4093"/>
    <w:rsid w:val="77AB3185"/>
    <w:rsid w:val="77B84C6C"/>
    <w:rsid w:val="77BA276B"/>
    <w:rsid w:val="77BD0700"/>
    <w:rsid w:val="77C70B32"/>
    <w:rsid w:val="77D1700D"/>
    <w:rsid w:val="77EC04CC"/>
    <w:rsid w:val="77F71C38"/>
    <w:rsid w:val="7838116A"/>
    <w:rsid w:val="786077DD"/>
    <w:rsid w:val="7866291A"/>
    <w:rsid w:val="78775729"/>
    <w:rsid w:val="78A42DB0"/>
    <w:rsid w:val="78A656AB"/>
    <w:rsid w:val="78AA0A59"/>
    <w:rsid w:val="78AA4AF0"/>
    <w:rsid w:val="78B2245C"/>
    <w:rsid w:val="78B35B5F"/>
    <w:rsid w:val="78E172CC"/>
    <w:rsid w:val="78EA1D1F"/>
    <w:rsid w:val="7904172F"/>
    <w:rsid w:val="79074C3A"/>
    <w:rsid w:val="790F7E27"/>
    <w:rsid w:val="79224A93"/>
    <w:rsid w:val="792A231A"/>
    <w:rsid w:val="79316829"/>
    <w:rsid w:val="796450AB"/>
    <w:rsid w:val="797E66A9"/>
    <w:rsid w:val="797F1EE5"/>
    <w:rsid w:val="799F7E92"/>
    <w:rsid w:val="79A97383"/>
    <w:rsid w:val="79C1605A"/>
    <w:rsid w:val="79C618C2"/>
    <w:rsid w:val="79E27E8B"/>
    <w:rsid w:val="79E87A8A"/>
    <w:rsid w:val="79F71A7C"/>
    <w:rsid w:val="79F850CE"/>
    <w:rsid w:val="79FD443C"/>
    <w:rsid w:val="7A1D1975"/>
    <w:rsid w:val="7A3E5150"/>
    <w:rsid w:val="7A447969"/>
    <w:rsid w:val="7A4670D6"/>
    <w:rsid w:val="7A5258BB"/>
    <w:rsid w:val="7A534B63"/>
    <w:rsid w:val="7A615382"/>
    <w:rsid w:val="7A666C01"/>
    <w:rsid w:val="7A67303B"/>
    <w:rsid w:val="7A992B33"/>
    <w:rsid w:val="7AAB1D04"/>
    <w:rsid w:val="7ABA4368"/>
    <w:rsid w:val="7ABD31FF"/>
    <w:rsid w:val="7ACB59A3"/>
    <w:rsid w:val="7AD05746"/>
    <w:rsid w:val="7AD46911"/>
    <w:rsid w:val="7AE55D78"/>
    <w:rsid w:val="7AF21BC8"/>
    <w:rsid w:val="7B0F1047"/>
    <w:rsid w:val="7B257FFD"/>
    <w:rsid w:val="7B343476"/>
    <w:rsid w:val="7B3E2E2F"/>
    <w:rsid w:val="7B5A2978"/>
    <w:rsid w:val="7B5A7E4C"/>
    <w:rsid w:val="7B667AF9"/>
    <w:rsid w:val="7B7468F8"/>
    <w:rsid w:val="7BA43E85"/>
    <w:rsid w:val="7BA81073"/>
    <w:rsid w:val="7BB74327"/>
    <w:rsid w:val="7BBB5D58"/>
    <w:rsid w:val="7BDE5361"/>
    <w:rsid w:val="7BEE0103"/>
    <w:rsid w:val="7C0A0FE4"/>
    <w:rsid w:val="7C246ADF"/>
    <w:rsid w:val="7C254906"/>
    <w:rsid w:val="7C421432"/>
    <w:rsid w:val="7C457B7C"/>
    <w:rsid w:val="7C590818"/>
    <w:rsid w:val="7C6A0C2B"/>
    <w:rsid w:val="7C7C10F6"/>
    <w:rsid w:val="7C853BEA"/>
    <w:rsid w:val="7C881368"/>
    <w:rsid w:val="7C9E2682"/>
    <w:rsid w:val="7C9E6B26"/>
    <w:rsid w:val="7CC778A3"/>
    <w:rsid w:val="7CE27788"/>
    <w:rsid w:val="7D0C32F1"/>
    <w:rsid w:val="7D0F408D"/>
    <w:rsid w:val="7D1920E4"/>
    <w:rsid w:val="7D3134F6"/>
    <w:rsid w:val="7D491C6C"/>
    <w:rsid w:val="7D5429C0"/>
    <w:rsid w:val="7D6E6D43"/>
    <w:rsid w:val="7D7F24B4"/>
    <w:rsid w:val="7D7F469A"/>
    <w:rsid w:val="7DB57A34"/>
    <w:rsid w:val="7DE60973"/>
    <w:rsid w:val="7DE70059"/>
    <w:rsid w:val="7DE809E1"/>
    <w:rsid w:val="7DEF0916"/>
    <w:rsid w:val="7DF509C8"/>
    <w:rsid w:val="7DF770A8"/>
    <w:rsid w:val="7E0D5685"/>
    <w:rsid w:val="7E1E5218"/>
    <w:rsid w:val="7E88183C"/>
    <w:rsid w:val="7E9A4E1F"/>
    <w:rsid w:val="7EA7723A"/>
    <w:rsid w:val="7EC42148"/>
    <w:rsid w:val="7EF56FBB"/>
    <w:rsid w:val="7F0768EB"/>
    <w:rsid w:val="7F0A2251"/>
    <w:rsid w:val="7F143BEC"/>
    <w:rsid w:val="7F410946"/>
    <w:rsid w:val="7F5E7DB7"/>
    <w:rsid w:val="7F6531DB"/>
    <w:rsid w:val="7F6D458E"/>
    <w:rsid w:val="7F715AF2"/>
    <w:rsid w:val="7F886E69"/>
    <w:rsid w:val="7F8C0EB8"/>
    <w:rsid w:val="7F8F36EF"/>
    <w:rsid w:val="7FF60A2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60"/>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7"/>
    <w:autoRedefine/>
    <w:qFormat/>
    <w:uiPriority w:val="99"/>
    <w:pPr>
      <w:ind w:left="100" w:leftChars="2500"/>
    </w:pPr>
    <w:rPr>
      <w:rFonts w:ascii="宋体"/>
      <w:sz w:val="24"/>
      <w:szCs w:val="21"/>
      <w:lang w:val="zh-CN"/>
    </w:rPr>
  </w:style>
  <w:style w:type="paragraph" w:styleId="36">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9"/>
    <w:autoRedefine/>
    <w:qFormat/>
    <w:uiPriority w:val="99"/>
    <w:rPr>
      <w:lang w:val="zh-CN"/>
    </w:rPr>
  </w:style>
  <w:style w:type="paragraph" w:styleId="38">
    <w:name w:val="Balloon Text"/>
    <w:basedOn w:val="1"/>
    <w:link w:val="216"/>
    <w:autoRedefine/>
    <w:qFormat/>
    <w:uiPriority w:val="99"/>
    <w:rPr>
      <w:sz w:val="18"/>
      <w:szCs w:val="20"/>
    </w:rPr>
  </w:style>
  <w:style w:type="paragraph" w:styleId="39">
    <w:name w:val="footer"/>
    <w:basedOn w:val="1"/>
    <w:link w:val="396"/>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6"/>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next w:val="1"/>
    <w:link w:val="99"/>
    <w:autoRedefine/>
    <w:qFormat/>
    <w:uiPriority w:val="99"/>
    <w:pPr>
      <w:ind w:firstLine="420"/>
    </w:pPr>
    <w:rPr>
      <w:rFonts w:hAnsi="Times New Roman" w:cs="Times New Roman"/>
      <w:szCs w:val="20"/>
    </w:rPr>
  </w:style>
  <w:style w:type="paragraph" w:styleId="63">
    <w:name w:val="Body Text First Indent 2"/>
    <w:basedOn w:val="24"/>
    <w:next w:val="64"/>
    <w:link w:val="121"/>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Body Text First Indent 21"/>
    <w:basedOn w:val="8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autoRedefine/>
    <w:qFormat/>
    <w:uiPriority w:val="0"/>
    <w:pPr>
      <w:ind w:left="420" w:leftChars="200"/>
    </w:p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2"/>
    <w:autoRedefine/>
    <w:qFormat/>
    <w:locked/>
    <w:uiPriority w:val="99"/>
    <w:rPr>
      <w:rFonts w:ascii="Times New Roman" w:hAnsi="Times New Roman" w:eastAsia="黑体" w:cs="Times New Roman"/>
      <w:b/>
      <w:kern w:val="0"/>
      <w:sz w:val="24"/>
    </w:rPr>
  </w:style>
  <w:style w:type="character" w:customStyle="1" w:styleId="90">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4"/>
    <w:autoRedefine/>
    <w:semiHidden/>
    <w:qFormat/>
    <w:locked/>
    <w:uiPriority w:val="99"/>
    <w:rPr>
      <w:rFonts w:cs="Times New Roman"/>
      <w:b/>
      <w:bCs/>
      <w:sz w:val="32"/>
      <w:szCs w:val="32"/>
    </w:rPr>
  </w:style>
  <w:style w:type="character" w:customStyle="1" w:styleId="92">
    <w:name w:val="Heading 4 Char"/>
    <w:basedOn w:val="72"/>
    <w:link w:val="5"/>
    <w:autoRedefine/>
    <w:qFormat/>
    <w:locked/>
    <w:uiPriority w:val="99"/>
    <w:rPr>
      <w:rFonts w:ascii="Arial" w:hAnsi="Arial" w:eastAsia="黑体" w:cs="Times New Roman"/>
      <w:b/>
      <w:kern w:val="2"/>
      <w:sz w:val="28"/>
      <w:lang w:val="zh-CN"/>
    </w:rPr>
  </w:style>
  <w:style w:type="character" w:customStyle="1" w:styleId="93">
    <w:name w:val="Heading 5 Char"/>
    <w:basedOn w:val="72"/>
    <w:link w:val="6"/>
    <w:autoRedefine/>
    <w:qFormat/>
    <w:locked/>
    <w:uiPriority w:val="99"/>
    <w:rPr>
      <w:rFonts w:cs="Times New Roman"/>
      <w:b/>
      <w:kern w:val="2"/>
      <w:sz w:val="28"/>
    </w:rPr>
  </w:style>
  <w:style w:type="character" w:customStyle="1" w:styleId="94">
    <w:name w:val="Heading 6 Char"/>
    <w:basedOn w:val="72"/>
    <w:link w:val="7"/>
    <w:autoRedefine/>
    <w:qFormat/>
    <w:locked/>
    <w:uiPriority w:val="99"/>
    <w:rPr>
      <w:rFonts w:ascii="Arial" w:hAnsi="Arial" w:eastAsia="黑体" w:cs="Times New Roman"/>
      <w:b/>
      <w:kern w:val="2"/>
      <w:sz w:val="24"/>
    </w:rPr>
  </w:style>
  <w:style w:type="character" w:customStyle="1" w:styleId="95">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9"/>
    <w:autoRedefine/>
    <w:qFormat/>
    <w:locked/>
    <w:uiPriority w:val="99"/>
    <w:rPr>
      <w:rFonts w:ascii="Arial" w:hAnsi="Arial" w:eastAsia="黑体" w:cs="Times New Roman"/>
      <w:kern w:val="2"/>
      <w:sz w:val="24"/>
    </w:rPr>
  </w:style>
  <w:style w:type="character" w:customStyle="1" w:styleId="97">
    <w:name w:val="Heading 9 Char"/>
    <w:basedOn w:val="72"/>
    <w:link w:val="10"/>
    <w:autoRedefine/>
    <w:qFormat/>
    <w:locked/>
    <w:uiPriority w:val="99"/>
    <w:rPr>
      <w:rFonts w:ascii="Arial" w:hAnsi="Arial" w:eastAsia="黑体" w:cs="Times New Roman"/>
      <w:kern w:val="2"/>
      <w:sz w:val="21"/>
    </w:rPr>
  </w:style>
  <w:style w:type="character" w:customStyle="1" w:styleId="98">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2"/>
    <w:link w:val="18"/>
    <w:autoRedefine/>
    <w:qFormat/>
    <w:locked/>
    <w:uiPriority w:val="99"/>
    <w:rPr>
      <w:rFonts w:eastAsia="宋体" w:cs="Times New Roman"/>
      <w:kern w:val="2"/>
      <w:sz w:val="24"/>
      <w:lang w:val="en-US" w:eastAsia="zh-CN"/>
    </w:rPr>
  </w:style>
  <w:style w:type="character" w:customStyle="1" w:styleId="101">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0"/>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4"/>
    <w:autoRedefine/>
    <w:qFormat/>
    <w:locked/>
    <w:uiPriority w:val="99"/>
    <w:rPr>
      <w:rFonts w:ascii="宋体" w:eastAsia="宋体" w:cs="Times New Roman"/>
      <w:kern w:val="2"/>
      <w:sz w:val="24"/>
    </w:rPr>
  </w:style>
  <w:style w:type="character" w:customStyle="1" w:styleId="105">
    <w:name w:val="HTML Address Char"/>
    <w:basedOn w:val="72"/>
    <w:link w:val="29"/>
    <w:autoRedefine/>
    <w:qFormat/>
    <w:locked/>
    <w:uiPriority w:val="99"/>
    <w:rPr>
      <w:rFonts w:ascii="宋体" w:eastAsia="宋体" w:cs="Times New Roman"/>
      <w:i/>
      <w:sz w:val="24"/>
    </w:rPr>
  </w:style>
  <w:style w:type="character" w:customStyle="1" w:styleId="106">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autoRedefine/>
    <w:qFormat/>
    <w:locked/>
    <w:uiPriority w:val="99"/>
    <w:rPr>
      <w:rFonts w:ascii="宋体" w:cs="Times New Roman"/>
      <w:kern w:val="2"/>
      <w:sz w:val="21"/>
      <w:lang w:val="zh-CN"/>
    </w:rPr>
  </w:style>
  <w:style w:type="character" w:customStyle="1" w:styleId="108">
    <w:name w:val="Body Text Indent 2 Char"/>
    <w:basedOn w:val="72"/>
    <w:link w:val="36"/>
    <w:autoRedefine/>
    <w:qFormat/>
    <w:locked/>
    <w:uiPriority w:val="99"/>
    <w:rPr>
      <w:rFonts w:ascii="宋体" w:cs="Times New Roman"/>
      <w:sz w:val="28"/>
    </w:rPr>
  </w:style>
  <w:style w:type="character" w:customStyle="1" w:styleId="109">
    <w:name w:val="Endnote Text Char"/>
    <w:basedOn w:val="72"/>
    <w:link w:val="37"/>
    <w:autoRedefine/>
    <w:qFormat/>
    <w:locked/>
    <w:uiPriority w:val="99"/>
    <w:rPr>
      <w:rFonts w:cs="Times New Roman"/>
      <w:kern w:val="2"/>
      <w:sz w:val="24"/>
      <w:lang w:val="zh-CN"/>
    </w:rPr>
  </w:style>
  <w:style w:type="character" w:customStyle="1" w:styleId="110">
    <w:name w:val="Balloon Text Char"/>
    <w:basedOn w:val="72"/>
    <w:link w:val="38"/>
    <w:autoRedefine/>
    <w:qFormat/>
    <w:locked/>
    <w:uiPriority w:val="99"/>
    <w:rPr>
      <w:rFonts w:eastAsia="宋体" w:cs="Times New Roman"/>
      <w:kern w:val="2"/>
      <w:sz w:val="18"/>
      <w:lang w:val="en-US" w:eastAsia="zh-CN"/>
    </w:rPr>
  </w:style>
  <w:style w:type="character" w:customStyle="1" w:styleId="111">
    <w:name w:val="Footer Char"/>
    <w:basedOn w:val="72"/>
    <w:link w:val="39"/>
    <w:autoRedefine/>
    <w:qFormat/>
    <w:locked/>
    <w:uiPriority w:val="99"/>
    <w:rPr>
      <w:rFonts w:eastAsia="宋体" w:cs="Times New Roman"/>
      <w:kern w:val="2"/>
      <w:sz w:val="18"/>
      <w:lang w:val="en-US" w:eastAsia="zh-CN"/>
    </w:rPr>
  </w:style>
  <w:style w:type="character" w:customStyle="1" w:styleId="112">
    <w:name w:val="Header Char"/>
    <w:basedOn w:val="72"/>
    <w:link w:val="41"/>
    <w:autoRedefine/>
    <w:qFormat/>
    <w:locked/>
    <w:uiPriority w:val="99"/>
    <w:rPr>
      <w:rFonts w:eastAsia="宋体" w:cs="Times New Roman"/>
      <w:kern w:val="2"/>
      <w:sz w:val="18"/>
      <w:lang w:val="en-US" w:eastAsia="zh-CN"/>
    </w:rPr>
  </w:style>
  <w:style w:type="character" w:customStyle="1" w:styleId="113">
    <w:name w:val="Signature Char"/>
    <w:basedOn w:val="72"/>
    <w:link w:val="42"/>
    <w:autoRedefine/>
    <w:qFormat/>
    <w:locked/>
    <w:uiPriority w:val="99"/>
    <w:rPr>
      <w:rFonts w:eastAsia="仿宋_GB2312" w:cs="Times New Roman"/>
      <w:sz w:val="24"/>
    </w:rPr>
  </w:style>
  <w:style w:type="character" w:customStyle="1" w:styleId="114">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0"/>
    <w:autoRedefine/>
    <w:qFormat/>
    <w:locked/>
    <w:uiPriority w:val="99"/>
    <w:rPr>
      <w:rFonts w:cs="Times New Roman"/>
      <w:color w:val="0000FF"/>
      <w:sz w:val="21"/>
    </w:rPr>
  </w:style>
  <w:style w:type="character" w:customStyle="1" w:styleId="116">
    <w:name w:val="Body Text Indent 3 Char"/>
    <w:basedOn w:val="72"/>
    <w:link w:val="53"/>
    <w:autoRedefine/>
    <w:qFormat/>
    <w:locked/>
    <w:uiPriority w:val="99"/>
    <w:rPr>
      <w:rFonts w:cs="Times New Roman"/>
      <w:kern w:val="2"/>
      <w:sz w:val="24"/>
    </w:rPr>
  </w:style>
  <w:style w:type="character" w:customStyle="1" w:styleId="117">
    <w:name w:val="Body Text 2 Char"/>
    <w:basedOn w:val="72"/>
    <w:link w:val="57"/>
    <w:autoRedefine/>
    <w:qFormat/>
    <w:locked/>
    <w:uiPriority w:val="99"/>
    <w:rPr>
      <w:rFonts w:cs="Times New Roman"/>
      <w:kern w:val="2"/>
      <w:sz w:val="24"/>
    </w:rPr>
  </w:style>
  <w:style w:type="character" w:customStyle="1" w:styleId="118">
    <w:name w:val="HTML Preformatted Char"/>
    <w:basedOn w:val="72"/>
    <w:link w:val="58"/>
    <w:autoRedefine/>
    <w:qFormat/>
    <w:locked/>
    <w:uiPriority w:val="99"/>
    <w:rPr>
      <w:rFonts w:ascii="黑体" w:hAnsi="Courier New" w:eastAsia="黑体" w:cs="Times New Roman"/>
    </w:rPr>
  </w:style>
  <w:style w:type="character" w:customStyle="1" w:styleId="119">
    <w:name w:val="Title Char"/>
    <w:basedOn w:val="72"/>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3"/>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8"/>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2"/>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2"/>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5"/>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8"/>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2"/>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19"/>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39"/>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1"/>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7"/>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2"/>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5"/>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autoRedefine/>
    <w:qFormat/>
    <w:uiPriority w:val="99"/>
    <w:rPr>
      <w:rFonts w:ascii="Arial" w:hAnsi="Arial" w:eastAsia="黑体" w:cs="Arial"/>
      <w:snapToGrid w:val="0"/>
      <w:kern w:val="0"/>
      <w:sz w:val="21"/>
      <w:szCs w:val="21"/>
    </w:rPr>
  </w:style>
  <w:style w:type="character" w:customStyle="1" w:styleId="444">
    <w:name w:val="hui"/>
    <w:basedOn w:val="72"/>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3"/>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4"/>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6"/>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2"/>
    <w:autoRedefine/>
    <w:qFormat/>
    <w:uiPriority w:val="99"/>
    <w:pPr>
      <w:tabs>
        <w:tab w:val="left" w:pos="840"/>
      </w:tabs>
      <w:adjustRightInd/>
      <w:ind w:left="840" w:hanging="420"/>
    </w:pPr>
  </w:style>
  <w:style w:type="paragraph" w:customStyle="1" w:styleId="637">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6"/>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18"/>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autoRedefine/>
    <w:qFormat/>
    <w:uiPriority w:val="99"/>
    <w:pPr>
      <w:tabs>
        <w:tab w:val="left" w:pos="1080"/>
      </w:tabs>
      <w:ind w:left="1080" w:hanging="1080"/>
    </w:pPr>
  </w:style>
  <w:style w:type="paragraph" w:customStyle="1" w:styleId="907">
    <w:name w:val="数字标题1"/>
    <w:basedOn w:val="2"/>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basedOn w:val="72"/>
    <w:autoRedefine/>
    <w:qFormat/>
    <w:uiPriority w:val="99"/>
    <w:rPr>
      <w:rFonts w:ascii="仿宋" w:hAnsi="仿宋" w:eastAsia="仿宋"/>
      <w:color w:val="000000"/>
      <w:sz w:val="22"/>
      <w:u w:val="none"/>
    </w:rPr>
  </w:style>
  <w:style w:type="character" w:customStyle="1" w:styleId="973">
    <w:name w:val="Unresolved Mention"/>
    <w:basedOn w:val="72"/>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正文首行缩进 21"/>
    <w:basedOn w:val="978"/>
    <w:autoRedefine/>
    <w:qFormat/>
    <w:uiPriority w:val="0"/>
    <w:pPr>
      <w:ind w:firstLine="420"/>
    </w:pPr>
    <w:rPr>
      <w:rFonts w:ascii="Times New Roman" w:hAnsi="Times New Roman" w:eastAsia="宋体" w:cs="宋体"/>
    </w:rPr>
  </w:style>
  <w:style w:type="paragraph" w:customStyle="1" w:styleId="978">
    <w:name w:val="正文文本缩进1"/>
    <w:basedOn w:val="1"/>
    <w:next w:val="1"/>
    <w:autoRedefine/>
    <w:qFormat/>
    <w:uiPriority w:val="0"/>
    <w:pPr>
      <w:spacing w:after="120"/>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1">
    <w:name w:val="正文文字2"/>
    <w:basedOn w:val="2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_Style 1181"/>
    <w:basedOn w:val="23"/>
    <w:qFormat/>
    <w:uiPriority w:val="0"/>
    <w:pPr>
      <w:keepNext w:val="0"/>
      <w:keepLines w:val="0"/>
      <w:widowControl w:val="0"/>
      <w:suppressLineNumbers w:val="0"/>
      <w:autoSpaceDE w:val="0"/>
      <w:autoSpaceDN w:val="0"/>
      <w:adjustRightInd w:val="0"/>
      <w:spacing w:after="120" w:afterAutospacing="0" w:line="440" w:lineRule="exact"/>
      <w:ind w:firstLine="420" w:firstLineChars="100"/>
      <w:jc w:val="both"/>
    </w:pPr>
    <w:rPr>
      <w:rFonts w:hint="default" w:ascii="Times New Roman" w:hAnsi="Times New Roman" w:eastAsia="宋体" w:cs="Times New Roman"/>
      <w:color w:val="000000"/>
      <w:kern w:val="0"/>
      <w:sz w:val="21"/>
      <w:szCs w:val="21"/>
      <w:lang w:val="en-US" w:eastAsia="zh-CN" w:bidi="ar"/>
    </w:rPr>
  </w:style>
  <w:style w:type="table" w:customStyle="1" w:styleId="9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79</Pages>
  <Words>20927</Words>
  <Characters>23765</Characters>
  <Lines>0</Lines>
  <Paragraphs>0</Paragraphs>
  <TotalTime>4</TotalTime>
  <ScaleCrop>false</ScaleCrop>
  <LinksUpToDate>false</LinksUpToDate>
  <CharactersWithSpaces>26210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2025-06-20T08:24:24Z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63EB8223A75A4413B3B2421FD7C5550A_13</vt:lpwstr>
  </property>
  <property fmtid="{D5CDD505-2E9C-101B-9397-08002B2CF9AE}" pid="5" name="KSOTemplateDocerSaveRecord">
    <vt:lpwstr>eyJoZGlkIjoiY2JmY2M2NWJhNWY3ODRmMmQzOGYzNmQwNGZiMGEzZGIiLCJ1c2VySWQiOiI2MDQ4MzI1MTgifQ==</vt:lpwstr>
  </property>
</Properties>
</file>