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B9DF66">
      <w:pPr>
        <w:spacing w:line="360" w:lineRule="auto"/>
        <w:rPr>
          <w:rFonts w:hint="eastAsia" w:ascii="仿宋" w:hAnsi="仿宋" w:eastAsia="仿宋" w:cs="仿宋"/>
          <w:b/>
          <w:sz w:val="28"/>
          <w:szCs w:val="28"/>
        </w:rPr>
      </w:pPr>
      <w:r>
        <w:rPr>
          <w:rFonts w:hint="eastAsia" w:ascii="仿宋" w:hAnsi="仿宋" w:eastAsia="仿宋" w:cs="仿宋"/>
          <w:b/>
          <w:sz w:val="28"/>
          <w:szCs w:val="28"/>
        </w:rPr>
        <w:t>基本格式：</w:t>
      </w:r>
    </w:p>
    <w:p w14:paraId="38627892">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关于对******************项目的意见建议</w:t>
      </w:r>
    </w:p>
    <w:p w14:paraId="0554E732">
      <w:pPr>
        <w:spacing w:line="360" w:lineRule="auto"/>
        <w:rPr>
          <w:rFonts w:hint="eastAsia" w:ascii="仿宋" w:hAnsi="仿宋" w:eastAsia="仿宋" w:cs="仿宋"/>
          <w:sz w:val="28"/>
          <w:szCs w:val="28"/>
        </w:rPr>
      </w:pPr>
      <w:r>
        <w:rPr>
          <w:rFonts w:hint="eastAsia" w:ascii="仿宋" w:hAnsi="仿宋" w:eastAsia="仿宋" w:cs="仿宋"/>
          <w:sz w:val="28"/>
          <w:szCs w:val="28"/>
        </w:rPr>
        <w:t>致：诸暨市宸佳工程管理有限公司</w:t>
      </w:r>
    </w:p>
    <w:p w14:paraId="4CC93654">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对于贵公司于202</w:t>
      </w:r>
      <w:r>
        <w:rPr>
          <w:rFonts w:hint="eastAsia" w:ascii="仿宋" w:hAnsi="仿宋" w:eastAsia="仿宋" w:cs="仿宋"/>
          <w:sz w:val="28"/>
          <w:szCs w:val="28"/>
          <w:lang w:val="en-US" w:eastAsia="zh-CN"/>
        </w:rPr>
        <w:t>5</w:t>
      </w:r>
      <w:r>
        <w:rPr>
          <w:rFonts w:hint="eastAsia" w:ascii="仿宋" w:hAnsi="仿宋" w:eastAsia="仿宋" w:cs="仿宋"/>
          <w:sz w:val="28"/>
          <w:szCs w:val="28"/>
        </w:rPr>
        <w:t>年*月*日公示的*********************项目采购要素，我公司有如下意见建议：</w:t>
      </w:r>
    </w:p>
    <w:tbl>
      <w:tblPr>
        <w:tblStyle w:val="14"/>
        <w:tblW w:w="0" w:type="auto"/>
        <w:jc w:val="center"/>
        <w:tblLayout w:type="fixed"/>
        <w:tblCellMar>
          <w:top w:w="0" w:type="dxa"/>
          <w:left w:w="108" w:type="dxa"/>
          <w:bottom w:w="0" w:type="dxa"/>
          <w:right w:w="108" w:type="dxa"/>
        </w:tblCellMar>
      </w:tblPr>
      <w:tblGrid>
        <w:gridCol w:w="4261"/>
        <w:gridCol w:w="4261"/>
      </w:tblGrid>
      <w:tr w14:paraId="706188FC">
        <w:trPr>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14:paraId="712FD56D">
            <w:pPr>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rPr>
                <w:rFonts w:hint="eastAsia" w:ascii="仿宋" w:hAnsi="仿宋" w:eastAsia="仿宋" w:cs="仿宋"/>
                <w:sz w:val="28"/>
                <w:szCs w:val="28"/>
              </w:rPr>
            </w:pPr>
            <w:r>
              <w:rPr>
                <w:rFonts w:hint="eastAsia" w:ascii="仿宋" w:hAnsi="仿宋" w:eastAsia="仿宋" w:cs="仿宋"/>
                <w:sz w:val="28"/>
                <w:szCs w:val="28"/>
              </w:rPr>
              <w:t>原条款</w:t>
            </w:r>
          </w:p>
        </w:tc>
        <w:tc>
          <w:tcPr>
            <w:tcW w:w="4261" w:type="dxa"/>
            <w:tcBorders>
              <w:top w:val="single" w:color="auto" w:sz="4" w:space="0"/>
              <w:left w:val="single" w:color="auto" w:sz="4" w:space="0"/>
              <w:bottom w:val="single" w:color="auto" w:sz="4" w:space="0"/>
              <w:right w:val="single" w:color="auto" w:sz="4" w:space="0"/>
            </w:tcBorders>
            <w:noWrap w:val="0"/>
            <w:vAlign w:val="top"/>
          </w:tcPr>
          <w:p w14:paraId="3C00E5AB">
            <w:pPr>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rPr>
                <w:rFonts w:hint="eastAsia" w:ascii="仿宋" w:hAnsi="仿宋" w:eastAsia="仿宋" w:cs="仿宋"/>
                <w:sz w:val="28"/>
                <w:szCs w:val="28"/>
              </w:rPr>
            </w:pPr>
            <w:r>
              <w:rPr>
                <w:rFonts w:hint="eastAsia" w:ascii="仿宋" w:hAnsi="仿宋" w:eastAsia="仿宋" w:cs="仿宋"/>
                <w:sz w:val="28"/>
                <w:szCs w:val="28"/>
              </w:rPr>
              <w:t>本公司意见建议</w:t>
            </w:r>
          </w:p>
        </w:tc>
      </w:tr>
      <w:tr w14:paraId="52E08490">
        <w:tblPrEx>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14:paraId="74655E1A">
            <w:pPr>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rPr>
                <w:rFonts w:hint="eastAsia" w:ascii="仿宋" w:hAnsi="仿宋" w:eastAsia="仿宋" w:cs="仿宋"/>
                <w:sz w:val="28"/>
                <w:szCs w:val="28"/>
              </w:rPr>
            </w:pPr>
          </w:p>
        </w:tc>
        <w:tc>
          <w:tcPr>
            <w:tcW w:w="4261" w:type="dxa"/>
            <w:tcBorders>
              <w:top w:val="single" w:color="auto" w:sz="4" w:space="0"/>
              <w:left w:val="single" w:color="auto" w:sz="4" w:space="0"/>
              <w:bottom w:val="single" w:color="auto" w:sz="4" w:space="0"/>
              <w:right w:val="single" w:color="auto" w:sz="4" w:space="0"/>
            </w:tcBorders>
            <w:noWrap w:val="0"/>
            <w:vAlign w:val="top"/>
          </w:tcPr>
          <w:p w14:paraId="7320B2CF">
            <w:pPr>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rPr>
                <w:rFonts w:hint="eastAsia" w:ascii="仿宋" w:hAnsi="仿宋" w:eastAsia="仿宋" w:cs="仿宋"/>
                <w:sz w:val="28"/>
                <w:szCs w:val="28"/>
              </w:rPr>
            </w:pPr>
          </w:p>
        </w:tc>
      </w:tr>
      <w:tr w14:paraId="6A827DEF">
        <w:tblPrEx>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14:paraId="47DF9C6E">
            <w:pPr>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rPr>
                <w:rFonts w:hint="eastAsia" w:ascii="仿宋" w:hAnsi="仿宋" w:eastAsia="仿宋" w:cs="仿宋"/>
                <w:sz w:val="28"/>
                <w:szCs w:val="28"/>
              </w:rPr>
            </w:pPr>
          </w:p>
        </w:tc>
        <w:tc>
          <w:tcPr>
            <w:tcW w:w="4261" w:type="dxa"/>
            <w:tcBorders>
              <w:top w:val="single" w:color="auto" w:sz="4" w:space="0"/>
              <w:left w:val="single" w:color="auto" w:sz="4" w:space="0"/>
              <w:bottom w:val="single" w:color="auto" w:sz="4" w:space="0"/>
              <w:right w:val="single" w:color="auto" w:sz="4" w:space="0"/>
            </w:tcBorders>
            <w:noWrap w:val="0"/>
            <w:vAlign w:val="top"/>
          </w:tcPr>
          <w:p w14:paraId="62D6D9AC">
            <w:pPr>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rPr>
                <w:rFonts w:hint="eastAsia" w:ascii="仿宋" w:hAnsi="仿宋" w:eastAsia="仿宋" w:cs="仿宋"/>
                <w:sz w:val="28"/>
                <w:szCs w:val="28"/>
              </w:rPr>
            </w:pPr>
          </w:p>
        </w:tc>
      </w:tr>
      <w:tr w14:paraId="68EC5D30">
        <w:tblPrEx>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noWrap w:val="0"/>
            <w:vAlign w:val="top"/>
          </w:tcPr>
          <w:p w14:paraId="6423B702">
            <w:pPr>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rPr>
                <w:rFonts w:hint="eastAsia" w:ascii="仿宋" w:hAnsi="仿宋" w:eastAsia="仿宋" w:cs="仿宋"/>
                <w:sz w:val="28"/>
                <w:szCs w:val="28"/>
              </w:rPr>
            </w:pPr>
          </w:p>
        </w:tc>
        <w:tc>
          <w:tcPr>
            <w:tcW w:w="4261" w:type="dxa"/>
            <w:tcBorders>
              <w:top w:val="single" w:color="auto" w:sz="4" w:space="0"/>
              <w:left w:val="single" w:color="auto" w:sz="4" w:space="0"/>
              <w:bottom w:val="single" w:color="auto" w:sz="4" w:space="0"/>
              <w:right w:val="single" w:color="auto" w:sz="4" w:space="0"/>
            </w:tcBorders>
            <w:noWrap w:val="0"/>
            <w:vAlign w:val="top"/>
          </w:tcPr>
          <w:p w14:paraId="544ED1F0">
            <w:pPr>
              <w:pBdr>
                <w:top w:val="single" w:color="auto" w:sz="4" w:space="0"/>
                <w:left w:val="single" w:color="auto" w:sz="4" w:space="0"/>
                <w:bottom w:val="single" w:color="auto" w:sz="4" w:space="0"/>
                <w:right w:val="single" w:color="auto" w:sz="4" w:space="0"/>
              </w:pBdr>
              <w:spacing w:before="100" w:beforeAutospacing="1" w:after="100" w:afterAutospacing="1" w:line="360" w:lineRule="auto"/>
              <w:jc w:val="center"/>
              <w:rPr>
                <w:rFonts w:hint="eastAsia" w:ascii="仿宋" w:hAnsi="仿宋" w:eastAsia="仿宋" w:cs="仿宋"/>
                <w:sz w:val="28"/>
                <w:szCs w:val="28"/>
              </w:rPr>
            </w:pPr>
          </w:p>
        </w:tc>
      </w:tr>
    </w:tbl>
    <w:p w14:paraId="2CAC02FE">
      <w:pPr>
        <w:spacing w:line="360" w:lineRule="auto"/>
        <w:rPr>
          <w:rFonts w:hint="eastAsia" w:ascii="仿宋" w:hAnsi="仿宋" w:eastAsia="仿宋" w:cs="仿宋"/>
          <w:sz w:val="28"/>
          <w:szCs w:val="28"/>
        </w:rPr>
      </w:pPr>
    </w:p>
    <w:p w14:paraId="7CB93654">
      <w:pPr>
        <w:spacing w:line="360" w:lineRule="auto"/>
        <w:rPr>
          <w:rFonts w:hint="eastAsia" w:ascii="仿宋" w:hAnsi="仿宋" w:eastAsia="仿宋" w:cs="仿宋"/>
          <w:sz w:val="28"/>
          <w:szCs w:val="28"/>
        </w:rPr>
      </w:pPr>
      <w:r>
        <w:rPr>
          <w:rFonts w:hint="eastAsia" w:ascii="仿宋" w:hAnsi="仿宋" w:eastAsia="仿宋" w:cs="仿宋"/>
          <w:sz w:val="28"/>
          <w:szCs w:val="28"/>
        </w:rPr>
        <w:t>传真：********</w:t>
      </w:r>
    </w:p>
    <w:p w14:paraId="2CD7CBCB">
      <w:pPr>
        <w:spacing w:line="360" w:lineRule="auto"/>
        <w:rPr>
          <w:rFonts w:hint="eastAsia" w:ascii="仿宋" w:hAnsi="仿宋" w:eastAsia="仿宋" w:cs="仿宋"/>
          <w:sz w:val="28"/>
          <w:szCs w:val="28"/>
        </w:rPr>
      </w:pPr>
      <w:r>
        <w:rPr>
          <w:rFonts w:hint="eastAsia" w:ascii="仿宋" w:hAnsi="仿宋" w:eastAsia="仿宋" w:cs="仿宋"/>
          <w:sz w:val="28"/>
          <w:szCs w:val="28"/>
        </w:rPr>
        <w:t>联系人：********</w:t>
      </w:r>
    </w:p>
    <w:p w14:paraId="3662E93B">
      <w:pPr>
        <w:spacing w:line="360" w:lineRule="auto"/>
        <w:rPr>
          <w:rFonts w:hint="eastAsia" w:ascii="仿宋" w:hAnsi="仿宋" w:eastAsia="仿宋" w:cs="仿宋"/>
          <w:sz w:val="28"/>
          <w:szCs w:val="28"/>
        </w:rPr>
      </w:pPr>
      <w:r>
        <w:rPr>
          <w:rFonts w:hint="eastAsia" w:ascii="仿宋" w:hAnsi="仿宋" w:eastAsia="仿宋" w:cs="仿宋"/>
          <w:sz w:val="28"/>
          <w:szCs w:val="28"/>
        </w:rPr>
        <w:t>联系电话：**********</w:t>
      </w:r>
    </w:p>
    <w:p w14:paraId="78948274">
      <w:pPr>
        <w:spacing w:line="360" w:lineRule="auto"/>
        <w:rPr>
          <w:rFonts w:hint="eastAsia" w:ascii="仿宋" w:hAnsi="仿宋" w:eastAsia="仿宋" w:cs="仿宋"/>
          <w:sz w:val="28"/>
          <w:szCs w:val="28"/>
        </w:rPr>
      </w:pPr>
      <w:r>
        <w:rPr>
          <w:rFonts w:hint="eastAsia" w:ascii="仿宋" w:hAnsi="仿宋" w:eastAsia="仿宋" w:cs="仿宋"/>
          <w:sz w:val="28"/>
          <w:szCs w:val="28"/>
        </w:rPr>
        <w:t>联系手机：**********</w:t>
      </w:r>
    </w:p>
    <w:p w14:paraId="334718EF">
      <w:pPr>
        <w:spacing w:line="360" w:lineRule="auto"/>
        <w:rPr>
          <w:rFonts w:hint="eastAsia" w:ascii="仿宋" w:hAnsi="仿宋" w:eastAsia="仿宋" w:cs="仿宋"/>
          <w:sz w:val="28"/>
          <w:szCs w:val="28"/>
        </w:rPr>
      </w:pPr>
    </w:p>
    <w:p w14:paraId="08B2131F">
      <w:pPr>
        <w:spacing w:line="360" w:lineRule="auto"/>
        <w:rPr>
          <w:rFonts w:hint="eastAsia" w:ascii="仿宋" w:hAnsi="仿宋" w:eastAsia="仿宋" w:cs="仿宋"/>
          <w:sz w:val="28"/>
          <w:szCs w:val="28"/>
        </w:rPr>
      </w:pPr>
    </w:p>
    <w:p w14:paraId="400CF2B9">
      <w:pPr>
        <w:spacing w:line="360" w:lineRule="auto"/>
        <w:ind w:left="4480" w:hanging="4480" w:hangingChars="1600"/>
        <w:jc w:val="right"/>
        <w:rPr>
          <w:rFonts w:hint="eastAsia" w:ascii="仿宋" w:hAnsi="仿宋" w:eastAsia="仿宋" w:cs="仿宋"/>
          <w:sz w:val="28"/>
          <w:szCs w:val="28"/>
        </w:rPr>
      </w:pPr>
      <w:r>
        <w:rPr>
          <w:rFonts w:hint="eastAsia" w:ascii="仿宋" w:hAnsi="仿宋" w:eastAsia="仿宋" w:cs="仿宋"/>
          <w:sz w:val="28"/>
          <w:szCs w:val="28"/>
        </w:rPr>
        <w:t>单位名称：（加盖公章）</w:t>
      </w:r>
    </w:p>
    <w:p w14:paraId="574A0942">
      <w:pPr>
        <w:spacing w:line="360" w:lineRule="auto"/>
        <w:ind w:left="4760" w:hanging="4760" w:hangingChars="1700"/>
        <w:jc w:val="right"/>
        <w:rPr>
          <w:rFonts w:hint="eastAsia" w:ascii="仿宋" w:hAnsi="仿宋" w:eastAsia="仿宋" w:cs="仿宋"/>
          <w:sz w:val="28"/>
          <w:szCs w:val="28"/>
        </w:rPr>
      </w:pPr>
      <w:r>
        <w:rPr>
          <w:rFonts w:hint="eastAsia" w:ascii="仿宋" w:hAnsi="仿宋" w:eastAsia="仿宋" w:cs="仿宋"/>
          <w:sz w:val="28"/>
          <w:szCs w:val="28"/>
        </w:rPr>
        <w:t>二</w:t>
      </w:r>
      <w:r>
        <w:rPr>
          <w:rFonts w:hint="eastAsia" w:ascii="仿宋" w:hAnsi="仿宋" w:eastAsia="仿宋" w:cs="仿宋"/>
          <w:sz w:val="28"/>
          <w:szCs w:val="28"/>
          <w:lang w:val="en-US" w:eastAsia="zh-CN"/>
        </w:rPr>
        <w:t>〇</w:t>
      </w:r>
      <w:r>
        <w:rPr>
          <w:rFonts w:hint="eastAsia" w:ascii="仿宋" w:hAnsi="仿宋" w:eastAsia="仿宋" w:cs="仿宋"/>
          <w:sz w:val="28"/>
          <w:szCs w:val="28"/>
        </w:rPr>
        <w:t>二</w:t>
      </w:r>
      <w:r>
        <w:rPr>
          <w:rFonts w:hint="eastAsia" w:ascii="仿宋" w:hAnsi="仿宋" w:eastAsia="仿宋" w:cs="仿宋"/>
          <w:sz w:val="28"/>
          <w:szCs w:val="28"/>
          <w:lang w:val="en-US" w:eastAsia="zh-CN"/>
        </w:rPr>
        <w:t>五</w:t>
      </w:r>
      <w:r>
        <w:rPr>
          <w:rFonts w:hint="eastAsia" w:ascii="仿宋" w:hAnsi="仿宋" w:eastAsia="仿宋" w:cs="仿宋"/>
          <w:sz w:val="28"/>
          <w:szCs w:val="28"/>
        </w:rPr>
        <w:t>年*月*日</w:t>
      </w:r>
    </w:p>
    <w:p w14:paraId="4B61ECD8">
      <w:pPr>
        <w:jc w:val="right"/>
        <w:rPr>
          <w:rFonts w:hint="eastAsia" w:ascii="仿宋" w:hAnsi="仿宋" w:eastAsia="仿宋" w:cs="仿宋"/>
          <w:b/>
          <w:sz w:val="36"/>
          <w:szCs w:val="36"/>
        </w:rPr>
        <w:sectPr>
          <w:footerReference r:id="rId5" w:type="first"/>
          <w:headerReference r:id="rId3" w:type="default"/>
          <w:footerReference r:id="rId4" w:type="default"/>
          <w:pgSz w:w="11906" w:h="16838"/>
          <w:pgMar w:top="1134" w:right="1134" w:bottom="1021" w:left="1134" w:header="850" w:footer="567" w:gutter="0"/>
          <w:pgBorders>
            <w:top w:val="none" w:sz="0" w:space="0"/>
            <w:left w:val="none" w:sz="0" w:space="0"/>
            <w:bottom w:val="none" w:sz="0" w:space="0"/>
            <w:right w:val="none" w:sz="0" w:space="0"/>
          </w:pgBorders>
          <w:cols w:space="720" w:num="1"/>
          <w:docGrid w:type="linesAndChars" w:linePitch="312" w:charSpace="0"/>
        </w:sectPr>
      </w:pPr>
    </w:p>
    <w:p w14:paraId="380B7336">
      <w:pPr>
        <w:keepNext w:val="0"/>
        <w:keepLines w:val="0"/>
        <w:pageBreakBefore w:val="0"/>
        <w:widowControl w:val="0"/>
        <w:kinsoku/>
        <w:wordWrap/>
        <w:overflowPunct/>
        <w:topLinePunct w:val="0"/>
        <w:autoSpaceDE/>
        <w:autoSpaceDN/>
        <w:bidi w:val="0"/>
        <w:adjustRightInd w:val="0"/>
        <w:snapToGrid w:val="0"/>
        <w:spacing w:before="120" w:after="120" w:line="420" w:lineRule="atLeast"/>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2025年度诸暨市小流域山洪灾害“四预”能力建设项目</w:t>
      </w:r>
      <w:r>
        <w:rPr>
          <w:rFonts w:hint="eastAsia" w:ascii="仿宋" w:hAnsi="仿宋" w:eastAsia="仿宋" w:cs="仿宋"/>
          <w:b/>
          <w:color w:val="auto"/>
          <w:sz w:val="32"/>
          <w:szCs w:val="32"/>
          <w:highlight w:val="none"/>
        </w:rPr>
        <w:t>采购要素</w:t>
      </w:r>
    </w:p>
    <w:p w14:paraId="2FA35F07">
      <w:pPr>
        <w:keepNext w:val="0"/>
        <w:keepLines w:val="0"/>
        <w:pageBreakBefore w:val="0"/>
        <w:numPr>
          <w:ilvl w:val="0"/>
          <w:numId w:val="0"/>
        </w:numPr>
        <w:kinsoku/>
        <w:wordWrap/>
        <w:overflowPunct/>
        <w:topLinePunct w:val="0"/>
        <w:bidi w:val="0"/>
        <w:adjustRightInd w:val="0"/>
        <w:snapToGrid w:val="0"/>
        <w:spacing w:line="420" w:lineRule="exact"/>
        <w:textAlignment w:val="auto"/>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lang w:val="en-US" w:eastAsia="zh-CN"/>
        </w:rPr>
        <w:t>一、</w:t>
      </w: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w:t>
      </w:r>
      <w:r>
        <w:rPr>
          <w:rFonts w:hint="eastAsia" w:ascii="仿宋" w:hAnsi="仿宋" w:eastAsia="仿宋" w:cs="仿宋"/>
          <w:color w:val="auto"/>
          <w:sz w:val="24"/>
          <w:highlight w:val="none"/>
          <w:lang w:val="en-US" w:eastAsia="zh-CN"/>
        </w:rPr>
        <w:t>2025年度诸暨市小流域山洪灾害“四预”能力建设项目</w:t>
      </w:r>
    </w:p>
    <w:p w14:paraId="79F49B46">
      <w:pPr>
        <w:pStyle w:val="1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20" w:lineRule="exact"/>
        <w:textAlignment w:val="auto"/>
        <w:rPr>
          <w:rFonts w:hint="eastAsia" w:ascii="仿宋" w:hAnsi="仿宋" w:eastAsia="仿宋" w:cs="宋体"/>
          <w:color w:val="auto"/>
          <w:sz w:val="24"/>
          <w:szCs w:val="24"/>
          <w:highlight w:val="none"/>
          <w:lang w:eastAsia="zh-CN"/>
        </w:rPr>
      </w:pPr>
      <w:r>
        <w:rPr>
          <w:rFonts w:hint="eastAsia" w:ascii="仿宋" w:hAnsi="仿宋" w:eastAsia="仿宋" w:cs="仿宋"/>
          <w:b/>
          <w:color w:val="auto"/>
          <w:sz w:val="24"/>
          <w:highlight w:val="none"/>
        </w:rPr>
        <w:t>二、项目内容及规模：</w:t>
      </w:r>
      <w:r>
        <w:rPr>
          <w:rFonts w:hint="eastAsia" w:ascii="仿宋" w:hAnsi="仿宋" w:eastAsia="仿宋" w:cs="仿宋"/>
          <w:color w:val="auto"/>
          <w:sz w:val="24"/>
          <w:highlight w:val="none"/>
          <w:lang w:val="en-US" w:eastAsia="zh-CN"/>
        </w:rPr>
        <w:t>2025年度诸暨市小流域山洪灾害“四预”能力建设项目</w:t>
      </w:r>
      <w:r>
        <w:rPr>
          <w:rFonts w:hint="eastAsia" w:ascii="仿宋" w:hAnsi="仿宋" w:eastAsia="仿宋" w:cs="仿宋"/>
          <w:color w:val="auto"/>
          <w:sz w:val="24"/>
          <w:szCs w:val="24"/>
          <w:highlight w:val="none"/>
        </w:rPr>
        <w:t>，采购预算金额为人民币</w:t>
      </w:r>
      <w:r>
        <w:rPr>
          <w:rFonts w:hint="eastAsia" w:ascii="仿宋" w:hAnsi="仿宋" w:eastAsia="仿宋" w:cs="仿宋"/>
          <w:color w:val="auto"/>
          <w:sz w:val="24"/>
          <w:szCs w:val="24"/>
          <w:highlight w:val="none"/>
          <w:lang w:val="en-US" w:eastAsia="zh-CN"/>
        </w:rPr>
        <w:t>贰佰叁拾叁万</w:t>
      </w:r>
      <w:r>
        <w:rPr>
          <w:rFonts w:hint="eastAsia" w:ascii="仿宋" w:hAnsi="仿宋" w:eastAsia="仿宋" w:cs="宋体"/>
          <w:color w:val="auto"/>
          <w:sz w:val="24"/>
          <w:szCs w:val="24"/>
          <w:highlight w:val="none"/>
        </w:rPr>
        <w:t>元</w:t>
      </w:r>
      <w:r>
        <w:rPr>
          <w:rFonts w:hint="eastAsia" w:ascii="仿宋" w:hAnsi="仿宋" w:eastAsia="仿宋" w:cs="宋体"/>
          <w:bCs/>
          <w:color w:val="auto"/>
          <w:sz w:val="24"/>
          <w:szCs w:val="24"/>
          <w:highlight w:val="none"/>
        </w:rPr>
        <w:t>整</w:t>
      </w:r>
      <w:r>
        <w:rPr>
          <w:rFonts w:hint="eastAsia" w:ascii="仿宋_GB2312" w:hAnsi="仿宋_GB2312" w:eastAsia="仿宋_GB2312" w:cs="仿宋_GB2312"/>
          <w:bCs/>
          <w:color w:val="auto"/>
          <w:sz w:val="24"/>
          <w:szCs w:val="24"/>
          <w:highlight w:val="none"/>
        </w:rPr>
        <w:t>（</w:t>
      </w:r>
      <w:r>
        <w:rPr>
          <w:rFonts w:hint="eastAsia" w:ascii="仿宋" w:hAnsi="仿宋" w:eastAsia="仿宋" w:cs="宋体"/>
          <w:bCs/>
          <w:color w:val="auto"/>
          <w:sz w:val="24"/>
          <w:szCs w:val="24"/>
          <w:highlight w:val="none"/>
        </w:rPr>
        <w:t>¥</w:t>
      </w:r>
      <w:r>
        <w:rPr>
          <w:rFonts w:hint="eastAsia" w:ascii="仿宋" w:hAnsi="仿宋" w:eastAsia="仿宋" w:cs="宋体"/>
          <w:bCs/>
          <w:color w:val="auto"/>
          <w:sz w:val="24"/>
          <w:szCs w:val="24"/>
          <w:highlight w:val="none"/>
          <w:lang w:val="en-US" w:eastAsia="zh-CN"/>
        </w:rPr>
        <w:t>233</w:t>
      </w:r>
      <w:r>
        <w:rPr>
          <w:rFonts w:hint="eastAsia" w:ascii="仿宋" w:hAnsi="仿宋" w:eastAsia="仿宋" w:cs="宋体"/>
          <w:bCs/>
          <w:color w:val="auto"/>
          <w:sz w:val="24"/>
          <w:szCs w:val="24"/>
          <w:highlight w:val="none"/>
        </w:rPr>
        <w:t>0000.00）</w:t>
      </w:r>
      <w:r>
        <w:rPr>
          <w:rFonts w:hint="eastAsia" w:ascii="仿宋" w:hAnsi="仿宋" w:eastAsia="仿宋" w:cs="宋体"/>
          <w:color w:val="auto"/>
          <w:sz w:val="24"/>
          <w:szCs w:val="24"/>
          <w:highlight w:val="none"/>
        </w:rPr>
        <w:t>，具体内容详见采购需求</w:t>
      </w:r>
      <w:r>
        <w:rPr>
          <w:rFonts w:hint="eastAsia" w:ascii="仿宋" w:hAnsi="仿宋" w:eastAsia="仿宋" w:cs="宋体"/>
          <w:color w:val="auto"/>
          <w:sz w:val="24"/>
          <w:szCs w:val="24"/>
          <w:highlight w:val="none"/>
          <w:lang w:eastAsia="zh-CN"/>
        </w:rPr>
        <w:t>。</w:t>
      </w:r>
    </w:p>
    <w:p w14:paraId="56AA58F8">
      <w:pPr>
        <w:pStyle w:val="1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20" w:lineRule="exact"/>
        <w:ind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bCs/>
          <w:color w:val="auto"/>
          <w:highlight w:val="none"/>
        </w:rPr>
        <w:t>合同履行期限：</w:t>
      </w:r>
      <w:r>
        <w:rPr>
          <w:rFonts w:hint="eastAsia" w:ascii="仿宋" w:hAnsi="仿宋" w:eastAsia="仿宋" w:cs="仿宋"/>
          <w:bCs/>
          <w:color w:val="auto"/>
          <w:sz w:val="24"/>
          <w:szCs w:val="24"/>
          <w:highlight w:val="none"/>
          <w:u w:val="none"/>
          <w:lang w:val="en-US" w:eastAsia="zh-CN"/>
        </w:rPr>
        <w:t>按招标文件要求</w:t>
      </w:r>
      <w:r>
        <w:rPr>
          <w:rFonts w:hint="eastAsia" w:ascii="仿宋" w:hAnsi="仿宋" w:eastAsia="仿宋" w:cs="仿宋"/>
          <w:b w:val="0"/>
          <w:bCs/>
          <w:color w:val="auto"/>
          <w:sz w:val="24"/>
          <w:szCs w:val="24"/>
          <w:highlight w:val="none"/>
          <w:lang w:eastAsia="zh-CN"/>
        </w:rPr>
        <w:t>。</w:t>
      </w:r>
    </w:p>
    <w:p w14:paraId="347072DD">
      <w:pPr>
        <w:keepNext w:val="0"/>
        <w:keepLines w:val="0"/>
        <w:pageBreakBefore w:val="0"/>
        <w:kinsoku/>
        <w:wordWrap/>
        <w:overflowPunct/>
        <w:topLinePunct w:val="0"/>
        <w:bidi w:val="0"/>
        <w:adjustRightInd w:val="0"/>
        <w:snapToGrid w:val="0"/>
        <w:spacing w:line="420" w:lineRule="exac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三、投标人（供应商）资格要求：</w:t>
      </w:r>
      <w:r>
        <w:rPr>
          <w:rFonts w:hint="eastAsia" w:ascii="仿宋" w:hAnsi="仿宋" w:eastAsia="仿宋" w:cs="仿宋"/>
          <w:b/>
          <w:color w:val="auto"/>
          <w:sz w:val="24"/>
          <w:highlight w:val="none"/>
          <w:lang w:val="en-US" w:eastAsia="zh-CN"/>
        </w:rPr>
        <w:t xml:space="preserve"> </w:t>
      </w:r>
    </w:p>
    <w:p w14:paraId="3F2173D7">
      <w:pPr>
        <w:keepNext w:val="0"/>
        <w:keepLines w:val="0"/>
        <w:pageBreakBefore w:val="0"/>
        <w:kinsoku/>
        <w:wordWrap/>
        <w:overflowPunct/>
        <w:topLinePunct w:val="0"/>
        <w:autoSpaceDE/>
        <w:autoSpaceDN/>
        <w:bidi w:val="0"/>
        <w:adjustRightInd w:val="0"/>
        <w:snapToGrid w:val="0"/>
        <w:spacing w:line="420" w:lineRule="exact"/>
        <w:ind w:lef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满足《中华人民共和国政府采购法》第二十二条规定</w:t>
      </w:r>
      <w:r>
        <w:rPr>
          <w:rFonts w:hint="eastAsia" w:ascii="仿宋" w:hAnsi="仿宋" w:eastAsia="仿宋" w:cs="仿宋"/>
          <w:color w:val="auto"/>
          <w:sz w:val="24"/>
          <w:szCs w:val="24"/>
          <w:highlight w:val="none"/>
          <w:lang w:eastAsia="zh-CN"/>
        </w:rPr>
        <w:t>。</w:t>
      </w:r>
    </w:p>
    <w:p w14:paraId="163AD5CB">
      <w:pPr>
        <w:keepNext w:val="0"/>
        <w:keepLines w:val="0"/>
        <w:pageBreakBefore w:val="0"/>
        <w:kinsoku/>
        <w:wordWrap/>
        <w:overflowPunct/>
        <w:topLinePunct w:val="0"/>
        <w:autoSpaceDE/>
        <w:autoSpaceDN/>
        <w:bidi w:val="0"/>
        <w:adjustRightInd w:val="0"/>
        <w:snapToGrid w:val="0"/>
        <w:spacing w:line="420" w:lineRule="exact"/>
        <w:ind w:lef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未被“信用中国”（www.creditchina.gov.cn）、中国政府采购网（www.ccgp.gov.cn）列入失信被执行人、重大税收违法案件当事人名单、政府采购严重违法失信行为记录名单</w:t>
      </w:r>
      <w:r>
        <w:rPr>
          <w:rFonts w:hint="eastAsia" w:ascii="仿宋" w:hAnsi="仿宋" w:eastAsia="仿宋" w:cs="仿宋"/>
          <w:color w:val="auto"/>
          <w:sz w:val="24"/>
          <w:szCs w:val="24"/>
          <w:highlight w:val="none"/>
          <w:lang w:eastAsia="zh-CN"/>
        </w:rPr>
        <w:t>。</w:t>
      </w:r>
    </w:p>
    <w:p w14:paraId="647602E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落实政府采购政策需满足的资格要求：</w:t>
      </w:r>
      <w:r>
        <w:rPr>
          <w:rFonts w:hint="eastAsia" w:ascii="仿宋" w:hAnsi="仿宋" w:eastAsia="仿宋" w:cs="仿宋"/>
          <w:bCs/>
          <w:color w:val="auto"/>
          <w:sz w:val="24"/>
          <w:szCs w:val="24"/>
          <w:highlight w:val="none"/>
          <w:lang w:val="en-US" w:eastAsia="zh-CN"/>
        </w:rPr>
        <w:t>专门</w:t>
      </w:r>
      <w:r>
        <w:rPr>
          <w:rFonts w:hint="eastAsia" w:ascii="仿宋" w:hAnsi="仿宋" w:eastAsia="仿宋" w:cs="仿宋"/>
          <w:bCs/>
          <w:color w:val="auto"/>
          <w:sz w:val="24"/>
          <w:szCs w:val="24"/>
          <w:highlight w:val="none"/>
        </w:rPr>
        <w:t>面向中小企业</w:t>
      </w:r>
      <w:r>
        <w:rPr>
          <w:rFonts w:hint="eastAsia" w:ascii="仿宋" w:hAnsi="仿宋" w:eastAsia="仿宋" w:cs="仿宋"/>
          <w:bCs/>
          <w:color w:val="auto"/>
          <w:sz w:val="24"/>
          <w:szCs w:val="24"/>
          <w:highlight w:val="none"/>
          <w:lang w:eastAsia="zh-CN"/>
        </w:rPr>
        <w:t>。</w:t>
      </w:r>
    </w:p>
    <w:p w14:paraId="060DF402">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4、</w:t>
      </w:r>
      <w:r>
        <w:rPr>
          <w:rFonts w:hint="eastAsia" w:ascii="仿宋" w:hAnsi="仿宋" w:eastAsia="仿宋" w:cs="仿宋"/>
          <w:bCs/>
          <w:color w:val="auto"/>
          <w:sz w:val="24"/>
          <w:szCs w:val="24"/>
          <w:highlight w:val="none"/>
        </w:rPr>
        <w:t>本项目的特定资格要求：无</w:t>
      </w:r>
      <w:r>
        <w:rPr>
          <w:rFonts w:hint="eastAsia" w:ascii="仿宋" w:hAnsi="仿宋" w:eastAsia="仿宋" w:cs="仿宋"/>
          <w:bCs/>
          <w:color w:val="auto"/>
          <w:sz w:val="24"/>
          <w:szCs w:val="24"/>
          <w:highlight w:val="none"/>
          <w:lang w:eastAsia="zh-CN"/>
        </w:rPr>
        <w:t>。</w:t>
      </w:r>
    </w:p>
    <w:p w14:paraId="18F4A94E">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本项目</w:t>
      </w:r>
      <w:r>
        <w:rPr>
          <w:rFonts w:hint="eastAsia" w:ascii="仿宋" w:hAnsi="仿宋" w:eastAsia="仿宋" w:cs="仿宋"/>
          <w:b/>
          <w:bCs/>
          <w:color w:val="auto"/>
          <w:sz w:val="24"/>
          <w:szCs w:val="24"/>
          <w:highlight w:val="none"/>
          <w:u w:val="single"/>
        </w:rPr>
        <w:t>不</w:t>
      </w:r>
      <w:r>
        <w:rPr>
          <w:rFonts w:hint="eastAsia" w:ascii="仿宋" w:hAnsi="仿宋" w:eastAsia="仿宋" w:cs="仿宋"/>
          <w:color w:val="auto"/>
          <w:sz w:val="24"/>
          <w:szCs w:val="24"/>
          <w:highlight w:val="none"/>
        </w:rPr>
        <w:t>接受联合体投标。</w:t>
      </w:r>
    </w:p>
    <w:p w14:paraId="62E83B6F">
      <w:pPr>
        <w:keepNext w:val="0"/>
        <w:keepLines w:val="0"/>
        <w:pageBreakBefore w:val="0"/>
        <w:kinsoku/>
        <w:wordWrap/>
        <w:overflowPunct/>
        <w:topLinePunct w:val="0"/>
        <w:bidi w:val="0"/>
        <w:adjustRightInd w:val="0"/>
        <w:snapToGrid w:val="0"/>
        <w:spacing w:line="420" w:lineRule="exact"/>
        <w:jc w:val="left"/>
        <w:textAlignment w:val="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四、评标办法：综合评分法</w:t>
      </w:r>
    </w:p>
    <w:p w14:paraId="0132C96B">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（1）满分为100分。总得分=商务技术得分+报价得分；</w:t>
      </w:r>
    </w:p>
    <w:p w14:paraId="3F1B1C27">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（2）商务技术得分=商务技术评分，商务技术评分=</w:t>
      </w:r>
      <w:r>
        <w:rPr>
          <w:rFonts w:hint="eastAsia" w:ascii="仿宋" w:hAnsi="仿宋" w:eastAsia="仿宋" w:cs="仿宋"/>
          <w:color w:val="auto"/>
          <w:spacing w:val="-6"/>
          <w:sz w:val="24"/>
          <w:highlight w:val="none"/>
        </w:rPr>
        <w:t>所有评委的有效评分的算术平均数</w:t>
      </w:r>
      <w:r>
        <w:rPr>
          <w:rFonts w:hint="eastAsia" w:ascii="仿宋" w:hAnsi="仿宋" w:eastAsia="仿宋" w:cs="仿宋"/>
          <w:color w:val="auto"/>
          <w:sz w:val="24"/>
          <w:highlight w:val="none"/>
        </w:rPr>
        <w:t>；</w:t>
      </w:r>
    </w:p>
    <w:p w14:paraId="52A63818">
      <w:pPr>
        <w:keepNext w:val="0"/>
        <w:keepLines w:val="0"/>
        <w:pageBreakBefore w:val="0"/>
        <w:widowControl w:val="0"/>
        <w:kinsoku/>
        <w:wordWrap/>
        <w:overflowPunct/>
        <w:topLinePunct w:val="0"/>
        <w:autoSpaceDE w:val="0"/>
        <w:autoSpaceDN w:val="0"/>
        <w:bidi w:val="0"/>
        <w:adjustRightInd w:val="0"/>
        <w:snapToGrid/>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（3）报价得分=（评标基准价/</w:t>
      </w:r>
      <w:r>
        <w:rPr>
          <w:rFonts w:hint="eastAsia" w:ascii="仿宋" w:hAnsi="仿宋" w:eastAsia="仿宋" w:cs="仿宋"/>
          <w:bCs/>
          <w:color w:val="auto"/>
          <w:sz w:val="24"/>
          <w:highlight w:val="none"/>
        </w:rPr>
        <w:t>投标</w:t>
      </w:r>
      <w:r>
        <w:rPr>
          <w:rFonts w:hint="eastAsia" w:ascii="仿宋" w:hAnsi="仿宋" w:eastAsia="仿宋" w:cs="仿宋"/>
          <w:bCs/>
          <w:color w:val="auto"/>
          <w:sz w:val="24"/>
          <w:highlight w:val="none"/>
          <w:lang w:val="en-US" w:eastAsia="zh-CN"/>
        </w:rPr>
        <w:t>报价</w:t>
      </w:r>
      <w:r>
        <w:rPr>
          <w:rFonts w:hint="eastAsia" w:ascii="仿宋" w:hAnsi="仿宋" w:eastAsia="仿宋" w:cs="仿宋"/>
          <w:color w:val="auto"/>
          <w:sz w:val="24"/>
          <w:highlight w:val="none"/>
        </w:rPr>
        <w:t>）*价格权值*100，评标基准价=有效投标人的最低投标报价，价格权值=</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0%；</w:t>
      </w:r>
    </w:p>
    <w:p w14:paraId="08B4CB0B">
      <w:pPr>
        <w:keepNext w:val="0"/>
        <w:keepLines w:val="0"/>
        <w:pageBreakBefore w:val="0"/>
        <w:widowControl w:val="0"/>
        <w:kinsoku/>
        <w:wordWrap/>
        <w:overflowPunct/>
        <w:topLinePunct w:val="0"/>
        <w:autoSpaceDE w:val="0"/>
        <w:autoSpaceDN w:val="0"/>
        <w:bidi w:val="0"/>
        <w:adjustRightInd w:val="0"/>
        <w:snapToGrid/>
        <w:spacing w:after="10"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（4）商务技术分评分细则（</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0分）</w:t>
      </w:r>
    </w:p>
    <w:tbl>
      <w:tblPr>
        <w:tblStyle w:val="14"/>
        <w:tblW w:w="538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1429"/>
        <w:gridCol w:w="7247"/>
        <w:gridCol w:w="954"/>
      </w:tblGrid>
      <w:tr w14:paraId="5BB2B2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355" w:type="pct"/>
            <w:noWrap w:val="0"/>
            <w:vAlign w:val="center"/>
          </w:tcPr>
          <w:p w14:paraId="1162B7E6">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689" w:type="pct"/>
            <w:noWrap w:val="0"/>
            <w:vAlign w:val="center"/>
          </w:tcPr>
          <w:p w14:paraId="53A808AA">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项目</w:t>
            </w:r>
          </w:p>
        </w:tc>
        <w:tc>
          <w:tcPr>
            <w:tcW w:w="3495" w:type="pct"/>
            <w:noWrap w:val="0"/>
            <w:vAlign w:val="center"/>
          </w:tcPr>
          <w:p w14:paraId="08B2ECBE">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评分要点及说明</w:t>
            </w:r>
          </w:p>
        </w:tc>
        <w:tc>
          <w:tcPr>
            <w:tcW w:w="460" w:type="pct"/>
            <w:noWrap w:val="0"/>
            <w:vAlign w:val="center"/>
          </w:tcPr>
          <w:p w14:paraId="2079A22B">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分值</w:t>
            </w:r>
          </w:p>
          <w:p w14:paraId="0F88D367">
            <w:pPr>
              <w:keepNext w:val="0"/>
              <w:keepLines w:val="0"/>
              <w:pageBreakBefore w:val="0"/>
              <w:widowControl w:val="0"/>
              <w:kinsoku/>
              <w:wordWrap/>
              <w:overflowPunct/>
              <w:topLinePunct w:val="0"/>
              <w:bidi w:val="0"/>
              <w:snapToGrid/>
              <w:spacing w:line="360" w:lineRule="exact"/>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范围</w:t>
            </w:r>
          </w:p>
        </w:tc>
      </w:tr>
      <w:tr w14:paraId="548D4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355" w:type="pct"/>
            <w:noWrap w:val="0"/>
            <w:vAlign w:val="center"/>
          </w:tcPr>
          <w:p w14:paraId="1B97F924">
            <w:pPr>
              <w:keepNext w:val="0"/>
              <w:keepLines w:val="0"/>
              <w:pageBreakBefore w:val="0"/>
              <w:widowControl w:val="0"/>
              <w:kinsoku/>
              <w:wordWrap/>
              <w:overflowPunct/>
              <w:topLinePunct w:val="0"/>
              <w:bidi w:val="0"/>
              <w:snapToGrid/>
              <w:spacing w:line="360" w:lineRule="exact"/>
              <w:jc w:val="center"/>
              <w:textAlignment w:val="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w:t>
            </w:r>
          </w:p>
        </w:tc>
        <w:tc>
          <w:tcPr>
            <w:tcW w:w="689" w:type="pct"/>
            <w:noWrap w:val="0"/>
            <w:vAlign w:val="center"/>
          </w:tcPr>
          <w:p w14:paraId="47F23D48">
            <w:pPr>
              <w:keepNext w:val="0"/>
              <w:keepLines w:val="0"/>
              <w:pageBreakBefore w:val="0"/>
              <w:widowControl w:val="0"/>
              <w:shd w:val="clear" w:color="auto" w:fill="auto"/>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项目业绩</w:t>
            </w:r>
          </w:p>
        </w:tc>
        <w:tc>
          <w:tcPr>
            <w:tcW w:w="3495" w:type="pct"/>
            <w:noWrap w:val="0"/>
            <w:vAlign w:val="center"/>
          </w:tcPr>
          <w:p w14:paraId="0ECB817D">
            <w:pPr>
              <w:keepNext w:val="0"/>
              <w:keepLines w:val="0"/>
              <w:pageBreakBefore w:val="0"/>
              <w:widowControl w:val="0"/>
              <w:shd w:val="clear" w:color="auto" w:fill="auto"/>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auto"/>
                <w:spacing w:val="-7"/>
                <w:sz w:val="24"/>
                <w:szCs w:val="24"/>
                <w:highlight w:val="none"/>
                <w:lang w:eastAsia="zh-CN"/>
              </w:rPr>
            </w:pPr>
            <w:r>
              <w:rPr>
                <w:rFonts w:hint="eastAsia" w:ascii="仿宋" w:hAnsi="仿宋" w:eastAsia="仿宋" w:cs="仿宋"/>
                <w:color w:val="auto"/>
                <w:sz w:val="24"/>
                <w:szCs w:val="24"/>
                <w:highlight w:val="none"/>
                <w:lang w:val="en-US" w:eastAsia="zh-CN"/>
              </w:rPr>
              <w:t>投标人自2022年1月1日以来（以合同签订时间为准），</w:t>
            </w:r>
            <w:r>
              <w:rPr>
                <w:rFonts w:hint="eastAsia" w:ascii="仿宋" w:hAnsi="仿宋" w:eastAsia="仿宋" w:cs="仿宋"/>
                <w:color w:val="auto"/>
                <w:sz w:val="24"/>
                <w:szCs w:val="24"/>
                <w:highlight w:val="none"/>
              </w:rPr>
              <w:t>承担</w:t>
            </w:r>
            <w:r>
              <w:rPr>
                <w:rFonts w:hint="eastAsia" w:ascii="仿宋" w:hAnsi="仿宋" w:eastAsia="仿宋" w:cs="仿宋"/>
                <w:color w:val="auto"/>
                <w:sz w:val="24"/>
                <w:szCs w:val="24"/>
                <w:highlight w:val="none"/>
                <w:lang w:val="en-US" w:eastAsia="zh-CN"/>
              </w:rPr>
              <w:t>过同类或类似项目业绩的，每提供1个得0.5分，本项最高得1分。</w:t>
            </w:r>
          </w:p>
          <w:p w14:paraId="5F9B75C9">
            <w:pPr>
              <w:keepNext w:val="0"/>
              <w:keepLines w:val="0"/>
              <w:pageBreakBefore w:val="0"/>
              <w:widowControl w:val="0"/>
              <w:shd w:val="clear" w:color="auto" w:fill="auto"/>
              <w:kinsoku/>
              <w:wordWrap/>
              <w:overflowPunct/>
              <w:topLinePunct w:val="0"/>
              <w:autoSpaceDE/>
              <w:autoSpaceDN/>
              <w:bidi w:val="0"/>
              <w:adjustRightInd/>
              <w:snapToGrid/>
              <w:spacing w:line="360" w:lineRule="exact"/>
              <w:jc w:val="both"/>
              <w:textAlignment w:val="auto"/>
              <w:rPr>
                <w:rFonts w:hint="eastAsia" w:ascii="仿宋" w:hAnsi="仿宋" w:eastAsia="仿宋" w:cs="仿宋_GB2312"/>
                <w:b/>
                <w:bCs w:val="0"/>
                <w:color w:val="auto"/>
                <w:sz w:val="24"/>
                <w:szCs w:val="24"/>
                <w:highlight w:val="none"/>
              </w:rPr>
            </w:pPr>
            <w:r>
              <w:rPr>
                <w:rFonts w:hint="eastAsia" w:ascii="仿宋" w:hAnsi="仿宋" w:eastAsia="仿宋" w:cs="仿宋_GB2312"/>
                <w:b/>
                <w:bCs w:val="0"/>
                <w:color w:val="auto"/>
                <w:sz w:val="24"/>
                <w:szCs w:val="24"/>
                <w:highlight w:val="none"/>
              </w:rPr>
              <w:t>注：</w:t>
            </w:r>
            <w:r>
              <w:rPr>
                <w:rFonts w:hint="eastAsia" w:ascii="仿宋" w:hAnsi="仿宋" w:eastAsia="仿宋" w:cs="仿宋_GB2312"/>
                <w:b/>
                <w:bCs w:val="0"/>
                <w:color w:val="auto"/>
                <w:sz w:val="24"/>
                <w:szCs w:val="24"/>
                <w:highlight w:val="none"/>
                <w:lang w:val="en-US" w:eastAsia="zh-CN"/>
              </w:rPr>
              <w:t>需</w:t>
            </w:r>
            <w:r>
              <w:rPr>
                <w:rFonts w:hint="eastAsia" w:ascii="仿宋" w:hAnsi="仿宋" w:eastAsia="仿宋" w:cs="仿宋"/>
                <w:b/>
                <w:bCs/>
                <w:color w:val="auto"/>
                <w:spacing w:val="-3"/>
                <w:sz w:val="24"/>
                <w:szCs w:val="24"/>
                <w:highlight w:val="none"/>
              </w:rPr>
              <w:t>提供中标通知书</w:t>
            </w:r>
            <w:r>
              <w:rPr>
                <w:rFonts w:hint="eastAsia" w:ascii="仿宋" w:hAnsi="仿宋" w:eastAsia="仿宋" w:cs="仿宋"/>
                <w:b/>
                <w:bCs/>
                <w:color w:val="auto"/>
                <w:spacing w:val="-3"/>
                <w:sz w:val="24"/>
                <w:szCs w:val="24"/>
                <w:highlight w:val="none"/>
                <w:lang w:eastAsia="zh-CN"/>
              </w:rPr>
              <w:t>、</w:t>
            </w:r>
            <w:r>
              <w:rPr>
                <w:rFonts w:hint="eastAsia" w:ascii="仿宋" w:hAnsi="仿宋" w:eastAsia="仿宋" w:cs="仿宋"/>
                <w:b/>
                <w:bCs/>
                <w:color w:val="auto"/>
                <w:spacing w:val="-3"/>
                <w:sz w:val="24"/>
                <w:szCs w:val="24"/>
                <w:highlight w:val="none"/>
              </w:rPr>
              <w:t>合同</w:t>
            </w:r>
            <w:r>
              <w:rPr>
                <w:rFonts w:hint="eastAsia" w:ascii="仿宋" w:hAnsi="仿宋" w:eastAsia="仿宋" w:cs="仿宋"/>
                <w:b/>
                <w:bCs/>
                <w:color w:val="auto"/>
                <w:spacing w:val="-3"/>
                <w:sz w:val="24"/>
                <w:szCs w:val="24"/>
                <w:highlight w:val="none"/>
                <w:lang w:val="en-US" w:eastAsia="zh-CN"/>
              </w:rPr>
              <w:t>复印</w:t>
            </w:r>
            <w:r>
              <w:rPr>
                <w:rFonts w:hint="eastAsia" w:ascii="仿宋" w:hAnsi="仿宋" w:eastAsia="仿宋" w:cs="仿宋"/>
                <w:b/>
                <w:bCs/>
                <w:color w:val="auto"/>
                <w:spacing w:val="-3"/>
                <w:sz w:val="24"/>
                <w:szCs w:val="24"/>
                <w:highlight w:val="none"/>
              </w:rPr>
              <w:t>件</w:t>
            </w:r>
            <w:r>
              <w:rPr>
                <w:rFonts w:hint="eastAsia" w:ascii="仿宋" w:hAnsi="仿宋" w:eastAsia="仿宋" w:cs="仿宋_GB2312"/>
                <w:b/>
                <w:bCs w:val="0"/>
                <w:color w:val="auto"/>
                <w:sz w:val="24"/>
                <w:szCs w:val="24"/>
                <w:highlight w:val="none"/>
              </w:rPr>
              <w:t>并加盖投标人</w:t>
            </w:r>
            <w:r>
              <w:rPr>
                <w:rFonts w:hint="eastAsia" w:ascii="仿宋" w:hAnsi="仿宋" w:eastAsia="仿宋" w:cs="仿宋_GB2312"/>
                <w:b/>
                <w:bCs w:val="0"/>
                <w:color w:val="auto"/>
                <w:sz w:val="24"/>
                <w:szCs w:val="24"/>
                <w:highlight w:val="none"/>
                <w:lang w:val="en-US" w:eastAsia="zh-CN"/>
              </w:rPr>
              <w:t>CA签</w:t>
            </w:r>
            <w:r>
              <w:rPr>
                <w:rFonts w:hint="eastAsia" w:ascii="仿宋" w:hAnsi="仿宋" w:eastAsia="仿宋" w:cs="仿宋_GB2312"/>
                <w:b/>
                <w:bCs w:val="0"/>
                <w:color w:val="auto"/>
                <w:sz w:val="24"/>
                <w:szCs w:val="24"/>
                <w:highlight w:val="none"/>
              </w:rPr>
              <w:t>章</w:t>
            </w:r>
            <w:r>
              <w:rPr>
                <w:rFonts w:hint="eastAsia" w:ascii="仿宋" w:hAnsi="仿宋" w:eastAsia="仿宋" w:cs="仿宋_GB2312"/>
                <w:b/>
                <w:bCs w:val="0"/>
                <w:color w:val="auto"/>
                <w:sz w:val="24"/>
                <w:szCs w:val="24"/>
                <w:highlight w:val="none"/>
                <w:lang w:val="en-US" w:eastAsia="zh-CN"/>
              </w:rPr>
              <w:t>，不提供或提供不全不得分</w:t>
            </w:r>
            <w:r>
              <w:rPr>
                <w:rFonts w:hint="eastAsia" w:ascii="仿宋" w:hAnsi="仿宋" w:eastAsia="仿宋" w:cs="仿宋_GB2312"/>
                <w:b/>
                <w:bCs w:val="0"/>
                <w:color w:val="auto"/>
                <w:sz w:val="24"/>
                <w:szCs w:val="24"/>
                <w:highlight w:val="none"/>
              </w:rPr>
              <w:t>。</w:t>
            </w:r>
          </w:p>
        </w:tc>
        <w:tc>
          <w:tcPr>
            <w:tcW w:w="460" w:type="pct"/>
            <w:noWrap w:val="0"/>
            <w:vAlign w:val="center"/>
          </w:tcPr>
          <w:p w14:paraId="73D6F6DC">
            <w:pPr>
              <w:keepNext w:val="0"/>
              <w:keepLines w:val="0"/>
              <w:pageBreakBefore w:val="0"/>
              <w:widowControl w:val="0"/>
              <w:shd w:val="clear" w:color="auto" w:fill="auto"/>
              <w:kinsoku/>
              <w:wordWrap/>
              <w:overflowPunct/>
              <w:topLinePunct w:val="0"/>
              <w:autoSpaceDE/>
              <w:autoSpaceDN/>
              <w:bidi w:val="0"/>
              <w:adjustRightInd/>
              <w:snapToGrid/>
              <w:spacing w:line="360" w:lineRule="exact"/>
              <w:jc w:val="center"/>
              <w:textAlignment w:val="auto"/>
              <w:rPr>
                <w:rFonts w:hint="eastAsia" w:ascii="仿宋" w:hAnsi="仿宋" w:eastAsia="仿宋" w:cs="宋体"/>
                <w:b/>
                <w:bCs/>
                <w:color w:val="auto"/>
                <w:sz w:val="24"/>
                <w:szCs w:val="24"/>
                <w:highlight w:val="none"/>
                <w:lang w:val="en-US" w:eastAsia="zh-CN"/>
              </w:rPr>
            </w:pPr>
            <w:r>
              <w:rPr>
                <w:rFonts w:hint="eastAsia" w:ascii="仿宋" w:hAnsi="仿宋" w:eastAsia="仿宋" w:cs="宋体"/>
                <w:b/>
                <w:bCs/>
                <w:color w:val="auto"/>
                <w:sz w:val="24"/>
                <w:szCs w:val="24"/>
                <w:highlight w:val="none"/>
                <w:lang w:val="en-US" w:eastAsia="zh-CN"/>
              </w:rPr>
              <w:t>0-1分</w:t>
            </w:r>
          </w:p>
        </w:tc>
      </w:tr>
      <w:tr w14:paraId="438C6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54" w:hRule="atLeast"/>
          <w:jc w:val="center"/>
        </w:trPr>
        <w:tc>
          <w:tcPr>
            <w:tcW w:w="355" w:type="pct"/>
            <w:noWrap w:val="0"/>
            <w:vAlign w:val="center"/>
          </w:tcPr>
          <w:p w14:paraId="48F1845E">
            <w:pPr>
              <w:keepNext w:val="0"/>
              <w:keepLines w:val="0"/>
              <w:pageBreakBefore w:val="0"/>
              <w:widowControl w:val="0"/>
              <w:kinsoku/>
              <w:wordWrap/>
              <w:overflowPunct/>
              <w:topLinePunct w:val="0"/>
              <w:bidi w:val="0"/>
              <w:snapToGrid/>
              <w:spacing w:line="360" w:lineRule="exact"/>
              <w:jc w:val="center"/>
              <w:textAlignment w:val="auto"/>
              <w:rPr>
                <w:rFonts w:hint="default"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2</w:t>
            </w:r>
          </w:p>
        </w:tc>
        <w:tc>
          <w:tcPr>
            <w:tcW w:w="689" w:type="pct"/>
            <w:noWrap w:val="0"/>
            <w:vAlign w:val="center"/>
          </w:tcPr>
          <w:p w14:paraId="43940872">
            <w:pPr>
              <w:keepNext w:val="0"/>
              <w:keepLines w:val="0"/>
              <w:pageBreakBefore w:val="0"/>
              <w:widowControl w:val="0"/>
              <w:shd w:val="clear" w:color="auto" w:fill="auto"/>
              <w:kinsoku/>
              <w:wordWrap/>
              <w:overflowPunct/>
              <w:topLinePunct w:val="0"/>
              <w:autoSpaceDE/>
              <w:autoSpaceDN/>
              <w:bidi w:val="0"/>
              <w:adjustRightInd/>
              <w:snapToGrid/>
              <w:spacing w:line="360" w:lineRule="exact"/>
              <w:jc w:val="center"/>
              <w:textAlignment w:val="auto"/>
              <w:rPr>
                <w:rFonts w:hint="default"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企业资信</w:t>
            </w:r>
          </w:p>
        </w:tc>
        <w:tc>
          <w:tcPr>
            <w:tcW w:w="3495" w:type="pct"/>
            <w:noWrap w:val="0"/>
            <w:vAlign w:val="center"/>
          </w:tcPr>
          <w:p w14:paraId="02E78F33">
            <w:pPr>
              <w:keepNext w:val="0"/>
              <w:keepLines w:val="0"/>
              <w:pageBreakBefore w:val="0"/>
              <w:widowControl w:val="0"/>
              <w:shd w:val="clear" w:color="auto" w:fill="auto"/>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投标人具有有效期内的质量管理体系认证证书、环境管理体系认证证书、职业健康安全管理体系认证证书，每提供一个得1分，本项最高得3分。</w:t>
            </w:r>
          </w:p>
          <w:p w14:paraId="2EDF40F1">
            <w:pPr>
              <w:keepNext w:val="0"/>
              <w:keepLines w:val="0"/>
              <w:pageBreakBefore w:val="0"/>
              <w:widowControl w:val="0"/>
              <w:shd w:val="clear" w:color="auto" w:fill="auto"/>
              <w:kinsoku/>
              <w:wordWrap/>
              <w:overflowPunct/>
              <w:topLinePunct w:val="0"/>
              <w:autoSpaceDE/>
              <w:autoSpaceDN/>
              <w:bidi w:val="0"/>
              <w:adjustRightInd/>
              <w:snapToGrid/>
              <w:spacing w:line="360" w:lineRule="exact"/>
              <w:jc w:val="both"/>
              <w:textAlignment w:val="auto"/>
              <w:rPr>
                <w:rFonts w:hint="eastAsia" w:ascii="仿宋" w:hAnsi="仿宋" w:eastAsia="仿宋" w:cs="仿宋_GB2312"/>
                <w:bCs/>
                <w:color w:val="000000" w:themeColor="text1"/>
                <w:sz w:val="24"/>
                <w:szCs w:val="24"/>
                <w:highlight w:val="none"/>
                <w:lang w:val="en-US" w:eastAsia="zh-CN"/>
                <w14:textFill>
                  <w14:solidFill>
                    <w14:schemeClr w14:val="tx1"/>
                  </w14:solidFill>
                </w14:textFill>
              </w:rPr>
            </w:pPr>
            <w:r>
              <w:rPr>
                <w:rFonts w:hint="eastAsia" w:ascii="仿宋" w:hAnsi="仿宋" w:eastAsia="仿宋" w:cs="仿宋_GB2312"/>
                <w:b/>
                <w:bCs w:val="0"/>
                <w:color w:val="000000" w:themeColor="text1"/>
                <w:sz w:val="24"/>
                <w:szCs w:val="24"/>
                <w:highlight w:val="none"/>
                <w14:textFill>
                  <w14:solidFill>
                    <w14:schemeClr w14:val="tx1"/>
                  </w14:solidFill>
                </w14:textFill>
              </w:rPr>
              <w:t>注：</w:t>
            </w:r>
            <w:r>
              <w:rPr>
                <w:rFonts w:hint="eastAsia" w:ascii="仿宋" w:hAnsi="仿宋" w:eastAsia="仿宋" w:cs="仿宋_GB2312"/>
                <w:b/>
                <w:bCs w:val="0"/>
                <w:color w:val="000000" w:themeColor="text1"/>
                <w:sz w:val="24"/>
                <w:szCs w:val="24"/>
                <w:highlight w:val="none"/>
                <w:lang w:val="en-US" w:eastAsia="zh-CN"/>
                <w14:textFill>
                  <w14:solidFill>
                    <w14:schemeClr w14:val="tx1"/>
                  </w14:solidFill>
                </w14:textFill>
              </w:rPr>
              <w:t>需提供证书复印件及国家认证认可监督管理委员会官方网站查询截图并加盖投标人CA公章，不提供或提供不全不得分。</w:t>
            </w:r>
          </w:p>
        </w:tc>
        <w:tc>
          <w:tcPr>
            <w:tcW w:w="460" w:type="pct"/>
            <w:noWrap w:val="0"/>
            <w:vAlign w:val="center"/>
          </w:tcPr>
          <w:p w14:paraId="5C2BD22E">
            <w:pPr>
              <w:keepNext w:val="0"/>
              <w:keepLines w:val="0"/>
              <w:pageBreakBefore w:val="0"/>
              <w:widowControl w:val="0"/>
              <w:shd w:val="clear" w:color="auto" w:fill="auto"/>
              <w:kinsoku/>
              <w:wordWrap/>
              <w:overflowPunct/>
              <w:topLinePunct w:val="0"/>
              <w:autoSpaceDE/>
              <w:autoSpaceDN/>
              <w:bidi w:val="0"/>
              <w:adjustRightInd/>
              <w:snapToGrid/>
              <w:spacing w:line="360" w:lineRule="exact"/>
              <w:jc w:val="center"/>
              <w:textAlignment w:val="auto"/>
              <w:rPr>
                <w:rFonts w:hint="default" w:ascii="仿宋" w:hAnsi="仿宋" w:eastAsia="仿宋" w:cs="宋体"/>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宋体"/>
                <w:b/>
                <w:bCs/>
                <w:color w:val="000000" w:themeColor="text1"/>
                <w:sz w:val="24"/>
                <w:szCs w:val="24"/>
                <w:highlight w:val="none"/>
                <w:lang w:val="en-US" w:eastAsia="zh-CN"/>
                <w14:textFill>
                  <w14:solidFill>
                    <w14:schemeClr w14:val="tx1"/>
                  </w14:solidFill>
                </w14:textFill>
              </w:rPr>
              <w:t>0-3分</w:t>
            </w:r>
          </w:p>
        </w:tc>
      </w:tr>
      <w:tr w14:paraId="1F612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355" w:type="pct"/>
            <w:noWrap w:val="0"/>
            <w:vAlign w:val="center"/>
          </w:tcPr>
          <w:p w14:paraId="0F35ED8A">
            <w:pPr>
              <w:keepNext w:val="0"/>
              <w:keepLines w:val="0"/>
              <w:pageBreakBefore w:val="0"/>
              <w:widowControl w:val="0"/>
              <w:kinsoku/>
              <w:wordWrap/>
              <w:overflowPunct/>
              <w:topLinePunct w:val="0"/>
              <w:bidi w:val="0"/>
              <w:snapToGrid/>
              <w:spacing w:line="360" w:lineRule="exact"/>
              <w:jc w:val="center"/>
              <w:textAlignment w:val="auto"/>
              <w:rPr>
                <w:rFonts w:hint="default"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3</w:t>
            </w:r>
          </w:p>
        </w:tc>
        <w:tc>
          <w:tcPr>
            <w:tcW w:w="689" w:type="pct"/>
            <w:noWrap w:val="0"/>
            <w:vAlign w:val="center"/>
          </w:tcPr>
          <w:p w14:paraId="7CE24965">
            <w:pPr>
              <w:keepNext w:val="0"/>
              <w:keepLines w:val="0"/>
              <w:pageBreakBefore w:val="0"/>
              <w:widowControl w:val="0"/>
              <w:shd w:val="clear" w:color="auto" w:fill="auto"/>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项目负责人</w:t>
            </w:r>
          </w:p>
        </w:tc>
        <w:tc>
          <w:tcPr>
            <w:tcW w:w="3495" w:type="pct"/>
            <w:noWrap w:val="0"/>
            <w:vAlign w:val="center"/>
          </w:tcPr>
          <w:p w14:paraId="603CDB0B">
            <w:pPr>
              <w:keepNext w:val="0"/>
              <w:keepLines w:val="0"/>
              <w:pageBreakBefore w:val="0"/>
              <w:widowControl w:val="0"/>
              <w:shd w:val="clear" w:color="auto" w:fill="auto"/>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1.具有水利正高级工程师职称的得3分，副高级工程师职称的得1分；同时具有水利水电及电子信息工程专业咨询工程师登记证书的得2分，本项最高得5分。</w:t>
            </w:r>
          </w:p>
          <w:p w14:paraId="579FB8F9">
            <w:pPr>
              <w:keepNext w:val="0"/>
              <w:keepLines w:val="0"/>
              <w:pageBreakBefore w:val="0"/>
              <w:widowControl w:val="0"/>
              <w:shd w:val="clear" w:color="auto" w:fill="auto"/>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2.具有信息系统项目管理师的得2分。</w:t>
            </w:r>
          </w:p>
          <w:p w14:paraId="292947DC">
            <w:pPr>
              <w:keepNext w:val="0"/>
              <w:keepLines w:val="0"/>
              <w:pageBreakBefore w:val="0"/>
              <w:widowControl w:val="0"/>
              <w:shd w:val="clear" w:color="auto" w:fill="auto"/>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3.在监测、预报、预警等方面获得省级及以上颁发的相关奖项的每个得1分，本项最高得2分。</w:t>
            </w:r>
          </w:p>
          <w:p w14:paraId="71788B66">
            <w:pPr>
              <w:keepNext w:val="0"/>
              <w:keepLines w:val="0"/>
              <w:pageBreakBefore w:val="0"/>
              <w:widowControl w:val="0"/>
              <w:shd w:val="clear" w:color="auto" w:fill="auto"/>
              <w:kinsoku/>
              <w:wordWrap/>
              <w:overflowPunct/>
              <w:topLinePunct w:val="0"/>
              <w:autoSpaceDE/>
              <w:autoSpaceDN/>
              <w:bidi w:val="0"/>
              <w:adjustRightInd/>
              <w:snapToGrid/>
              <w:spacing w:line="360" w:lineRule="exact"/>
              <w:jc w:val="both"/>
              <w:textAlignment w:val="auto"/>
              <w:rPr>
                <w:rFonts w:hint="eastAsia" w:ascii="仿宋" w:hAnsi="仿宋" w:eastAsia="仿宋" w:cs="仿宋_GB2312"/>
                <w:b/>
                <w:bCs w:val="0"/>
                <w:color w:val="000000" w:themeColor="text1"/>
                <w:sz w:val="24"/>
                <w:szCs w:val="24"/>
                <w:highlight w:val="none"/>
                <w14:textFill>
                  <w14:solidFill>
                    <w14:schemeClr w14:val="tx1"/>
                  </w14:solidFill>
                </w14:textFill>
              </w:rPr>
            </w:pPr>
            <w:r>
              <w:rPr>
                <w:rFonts w:hint="eastAsia" w:ascii="仿宋" w:hAnsi="仿宋" w:eastAsia="仿宋" w:cs="仿宋_GB2312"/>
                <w:b/>
                <w:bCs w:val="0"/>
                <w:color w:val="000000" w:themeColor="text1"/>
                <w:sz w:val="24"/>
                <w:szCs w:val="24"/>
                <w:highlight w:val="none"/>
                <w14:textFill>
                  <w14:solidFill>
                    <w14:schemeClr w14:val="tx1"/>
                  </w14:solidFill>
                </w14:textFill>
              </w:rPr>
              <w:t>注：</w:t>
            </w:r>
            <w:r>
              <w:rPr>
                <w:rFonts w:hint="eastAsia" w:ascii="仿宋" w:hAnsi="仿宋" w:eastAsia="仿宋" w:cs="仿宋_GB2312"/>
                <w:b/>
                <w:bCs w:val="0"/>
                <w:color w:val="000000" w:themeColor="text1"/>
                <w:sz w:val="24"/>
                <w:szCs w:val="24"/>
                <w:highlight w:val="none"/>
                <w:lang w:val="en-US" w:eastAsia="zh-CN"/>
                <w14:textFill>
                  <w14:solidFill>
                    <w14:schemeClr w14:val="tx1"/>
                  </w14:solidFill>
                </w14:textFill>
              </w:rPr>
              <w:t>需提供证书复印件或相关证明及投标人为其缴纳的近三个月中的任意一个月社保证明并加盖投标人CA公章，不提供或提供不全不得分。</w:t>
            </w:r>
          </w:p>
        </w:tc>
        <w:tc>
          <w:tcPr>
            <w:tcW w:w="460" w:type="pct"/>
            <w:noWrap w:val="0"/>
            <w:vAlign w:val="center"/>
          </w:tcPr>
          <w:p w14:paraId="47992A89">
            <w:pPr>
              <w:keepNext w:val="0"/>
              <w:keepLines w:val="0"/>
              <w:pageBreakBefore w:val="0"/>
              <w:widowControl w:val="0"/>
              <w:shd w:val="clear" w:color="auto" w:fill="auto"/>
              <w:kinsoku/>
              <w:wordWrap/>
              <w:overflowPunct/>
              <w:topLinePunct w:val="0"/>
              <w:autoSpaceDE/>
              <w:autoSpaceDN/>
              <w:bidi w:val="0"/>
              <w:adjustRightInd/>
              <w:snapToGrid/>
              <w:spacing w:line="360" w:lineRule="exact"/>
              <w:jc w:val="center"/>
              <w:textAlignment w:val="auto"/>
              <w:rPr>
                <w:rFonts w:hint="default" w:ascii="仿宋" w:hAnsi="仿宋" w:eastAsia="仿宋" w:cs="宋体"/>
                <w:b/>
                <w:bCs/>
                <w:color w:val="000000" w:themeColor="text1"/>
                <w:sz w:val="24"/>
                <w:szCs w:val="24"/>
                <w:highlight w:val="none"/>
                <w:lang w:val="en-US" w:eastAsia="zh-CN"/>
                <w14:textFill>
                  <w14:solidFill>
                    <w14:schemeClr w14:val="tx1"/>
                  </w14:solidFill>
                </w14:textFill>
              </w:rPr>
            </w:pPr>
            <w:r>
              <w:rPr>
                <w:rFonts w:hint="eastAsia" w:ascii="仿宋" w:hAnsi="仿宋" w:eastAsia="仿宋" w:cs="宋体"/>
                <w:b/>
                <w:bCs/>
                <w:color w:val="000000" w:themeColor="text1"/>
                <w:sz w:val="24"/>
                <w:szCs w:val="24"/>
                <w:highlight w:val="none"/>
                <w:lang w:val="en-US" w:eastAsia="zh-CN"/>
                <w14:textFill>
                  <w14:solidFill>
                    <w14:schemeClr w14:val="tx1"/>
                  </w14:solidFill>
                </w14:textFill>
              </w:rPr>
              <w:t>0-9分</w:t>
            </w:r>
          </w:p>
        </w:tc>
      </w:tr>
      <w:tr w14:paraId="238DC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355" w:type="pct"/>
            <w:noWrap w:val="0"/>
            <w:vAlign w:val="center"/>
          </w:tcPr>
          <w:p w14:paraId="1698DEE3">
            <w:pPr>
              <w:keepNext w:val="0"/>
              <w:keepLines w:val="0"/>
              <w:pageBreakBefore w:val="0"/>
              <w:widowControl w:val="0"/>
              <w:kinsoku/>
              <w:wordWrap/>
              <w:overflowPunct/>
              <w:topLinePunct w:val="0"/>
              <w:bidi w:val="0"/>
              <w:snapToGrid/>
              <w:spacing w:line="360" w:lineRule="exact"/>
              <w:jc w:val="center"/>
              <w:textAlignment w:val="auto"/>
              <w:rPr>
                <w:rFonts w:hint="default"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4</w:t>
            </w:r>
          </w:p>
        </w:tc>
        <w:tc>
          <w:tcPr>
            <w:tcW w:w="689" w:type="pct"/>
            <w:noWrap w:val="0"/>
            <w:vAlign w:val="center"/>
          </w:tcPr>
          <w:p w14:paraId="5198C5BD">
            <w:pPr>
              <w:keepNext w:val="0"/>
              <w:keepLines w:val="0"/>
              <w:pageBreakBefore w:val="0"/>
              <w:widowControl w:val="0"/>
              <w:shd w:val="clear" w:color="auto" w:fill="auto"/>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技术负责人</w:t>
            </w:r>
          </w:p>
        </w:tc>
        <w:tc>
          <w:tcPr>
            <w:tcW w:w="3495" w:type="pct"/>
            <w:noWrap w:val="0"/>
            <w:vAlign w:val="center"/>
          </w:tcPr>
          <w:p w14:paraId="4EB62E06">
            <w:pPr>
              <w:keepNext w:val="0"/>
              <w:keepLines w:val="0"/>
              <w:pageBreakBefore w:val="0"/>
              <w:widowControl w:val="0"/>
              <w:shd w:val="clear" w:color="auto" w:fill="auto"/>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1.具有测量副高级及以上工程师职称的得3分，中级职称的得1分，本项最高得3分。</w:t>
            </w:r>
          </w:p>
          <w:p w14:paraId="197B04C2">
            <w:pPr>
              <w:keepNext w:val="0"/>
              <w:keepLines w:val="0"/>
              <w:pageBreakBefore w:val="0"/>
              <w:widowControl w:val="0"/>
              <w:shd w:val="clear" w:color="auto" w:fill="auto"/>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2.具有注册测绘师职业资格证书的得3分。</w:t>
            </w:r>
          </w:p>
          <w:p w14:paraId="08E9B96D">
            <w:pPr>
              <w:keepNext w:val="0"/>
              <w:keepLines w:val="0"/>
              <w:pageBreakBefore w:val="0"/>
              <w:widowControl w:val="0"/>
              <w:shd w:val="clear" w:color="auto" w:fill="auto"/>
              <w:kinsoku/>
              <w:wordWrap/>
              <w:overflowPunct/>
              <w:topLinePunct w:val="0"/>
              <w:autoSpaceDE/>
              <w:autoSpaceDN/>
              <w:bidi w:val="0"/>
              <w:adjustRightInd/>
              <w:snapToGrid/>
              <w:spacing w:line="360" w:lineRule="exact"/>
              <w:jc w:val="both"/>
              <w:textAlignment w:val="auto"/>
              <w:rPr>
                <w:rFonts w:hint="eastAsia" w:ascii="仿宋" w:hAnsi="仿宋" w:eastAsia="仿宋" w:cs="仿宋_GB2312"/>
                <w:b/>
                <w:bCs w:val="0"/>
                <w:color w:val="000000" w:themeColor="text1"/>
                <w:sz w:val="24"/>
                <w:szCs w:val="24"/>
                <w:highlight w:val="none"/>
                <w14:textFill>
                  <w14:solidFill>
                    <w14:schemeClr w14:val="tx1"/>
                  </w14:solidFill>
                </w14:textFill>
              </w:rPr>
            </w:pPr>
            <w:r>
              <w:rPr>
                <w:rFonts w:hint="eastAsia" w:ascii="仿宋" w:hAnsi="仿宋" w:eastAsia="仿宋" w:cs="仿宋_GB2312"/>
                <w:b/>
                <w:bCs w:val="0"/>
                <w:color w:val="000000" w:themeColor="text1"/>
                <w:sz w:val="24"/>
                <w:szCs w:val="24"/>
                <w:highlight w:val="none"/>
                <w14:textFill>
                  <w14:solidFill>
                    <w14:schemeClr w14:val="tx1"/>
                  </w14:solidFill>
                </w14:textFill>
              </w:rPr>
              <w:t>注：</w:t>
            </w:r>
            <w:r>
              <w:rPr>
                <w:rFonts w:hint="eastAsia" w:ascii="仿宋" w:hAnsi="仿宋" w:eastAsia="仿宋" w:cs="仿宋_GB2312"/>
                <w:b/>
                <w:bCs w:val="0"/>
                <w:color w:val="000000" w:themeColor="text1"/>
                <w:sz w:val="24"/>
                <w:szCs w:val="24"/>
                <w:highlight w:val="none"/>
                <w:lang w:val="en-US" w:eastAsia="zh-CN"/>
                <w14:textFill>
                  <w14:solidFill>
                    <w14:schemeClr w14:val="tx1"/>
                  </w14:solidFill>
                </w14:textFill>
              </w:rPr>
              <w:t>需提供证书复印件及投标人为其缴纳的近三个月中的任意一个月社保证明并加盖投标人CA公章，不提供或提供不全不得分。</w:t>
            </w:r>
          </w:p>
        </w:tc>
        <w:tc>
          <w:tcPr>
            <w:tcW w:w="460" w:type="pct"/>
            <w:noWrap w:val="0"/>
            <w:vAlign w:val="center"/>
          </w:tcPr>
          <w:p w14:paraId="4690E485">
            <w:pPr>
              <w:keepNext w:val="0"/>
              <w:keepLines w:val="0"/>
              <w:pageBreakBefore w:val="0"/>
              <w:widowControl w:val="0"/>
              <w:shd w:val="clear" w:color="auto" w:fill="auto"/>
              <w:kinsoku/>
              <w:wordWrap/>
              <w:overflowPunct/>
              <w:topLinePunct w:val="0"/>
              <w:autoSpaceDE/>
              <w:autoSpaceDN/>
              <w:bidi w:val="0"/>
              <w:adjustRightInd/>
              <w:snapToGrid/>
              <w:spacing w:line="360" w:lineRule="exact"/>
              <w:jc w:val="center"/>
              <w:textAlignment w:val="auto"/>
              <w:rPr>
                <w:rFonts w:hint="default" w:ascii="仿宋" w:hAnsi="仿宋" w:eastAsia="仿宋" w:cs="宋体"/>
                <w:b/>
                <w:bCs/>
                <w:color w:val="000000" w:themeColor="text1"/>
                <w:sz w:val="24"/>
                <w:szCs w:val="24"/>
                <w:highlight w:val="none"/>
                <w:lang w:val="en-US" w:eastAsia="zh-CN"/>
                <w14:textFill>
                  <w14:solidFill>
                    <w14:schemeClr w14:val="tx1"/>
                  </w14:solidFill>
                </w14:textFill>
              </w:rPr>
            </w:pPr>
            <w:r>
              <w:rPr>
                <w:rFonts w:hint="eastAsia" w:ascii="仿宋" w:hAnsi="仿宋" w:eastAsia="仿宋" w:cs="宋体"/>
                <w:b/>
                <w:bCs/>
                <w:color w:val="000000" w:themeColor="text1"/>
                <w:sz w:val="24"/>
                <w:szCs w:val="24"/>
                <w:highlight w:val="none"/>
                <w:lang w:val="en-US" w:eastAsia="zh-CN"/>
                <w14:textFill>
                  <w14:solidFill>
                    <w14:schemeClr w14:val="tx1"/>
                  </w14:solidFill>
                </w14:textFill>
              </w:rPr>
              <w:t>0-6分</w:t>
            </w:r>
          </w:p>
        </w:tc>
      </w:tr>
      <w:tr w14:paraId="0CC655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355" w:type="pct"/>
            <w:noWrap w:val="0"/>
            <w:vAlign w:val="center"/>
          </w:tcPr>
          <w:p w14:paraId="497C344B">
            <w:pPr>
              <w:keepNext w:val="0"/>
              <w:keepLines w:val="0"/>
              <w:pageBreakBefore w:val="0"/>
              <w:widowControl w:val="0"/>
              <w:kinsoku/>
              <w:wordWrap/>
              <w:overflowPunct/>
              <w:topLinePunct w:val="0"/>
              <w:bidi w:val="0"/>
              <w:snapToGrid/>
              <w:spacing w:line="360" w:lineRule="exact"/>
              <w:jc w:val="center"/>
              <w:textAlignment w:val="auto"/>
              <w:rPr>
                <w:rFonts w:hint="default"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5</w:t>
            </w:r>
          </w:p>
        </w:tc>
        <w:tc>
          <w:tcPr>
            <w:tcW w:w="689" w:type="pct"/>
            <w:noWrap w:val="0"/>
            <w:vAlign w:val="center"/>
          </w:tcPr>
          <w:p w14:paraId="76660B03">
            <w:pPr>
              <w:keepNext w:val="0"/>
              <w:keepLines w:val="0"/>
              <w:pageBreakBefore w:val="0"/>
              <w:widowControl w:val="0"/>
              <w:shd w:val="clear" w:color="auto" w:fill="auto"/>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项目组人员</w:t>
            </w:r>
          </w:p>
        </w:tc>
        <w:tc>
          <w:tcPr>
            <w:tcW w:w="3495" w:type="pct"/>
            <w:noWrap w:val="0"/>
            <w:vAlign w:val="center"/>
          </w:tcPr>
          <w:p w14:paraId="6551DFE3">
            <w:pPr>
              <w:keepNext w:val="0"/>
              <w:keepLines w:val="0"/>
              <w:pageBreakBefore w:val="0"/>
              <w:widowControl w:val="0"/>
              <w:shd w:val="clear" w:color="auto" w:fill="auto"/>
              <w:kinsoku/>
              <w:wordWrap/>
              <w:overflowPunct/>
              <w:topLinePunct w:val="0"/>
              <w:autoSpaceDE/>
              <w:autoSpaceDN/>
              <w:bidi w:val="0"/>
              <w:adjustRightInd/>
              <w:snapToGrid/>
              <w:spacing w:line="360" w:lineRule="exact"/>
              <w:jc w:val="both"/>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具有水利防灾减灾、测量领域或相关专业中级工程师及以上职称的，每提供一人得1分，本项最高得3分。</w:t>
            </w:r>
          </w:p>
          <w:p w14:paraId="36736A9E">
            <w:pPr>
              <w:keepNext w:val="0"/>
              <w:keepLines w:val="0"/>
              <w:pageBreakBefore w:val="0"/>
              <w:widowControl w:val="0"/>
              <w:shd w:val="clear" w:color="auto" w:fill="auto"/>
              <w:kinsoku/>
              <w:wordWrap/>
              <w:overflowPunct/>
              <w:topLinePunct w:val="0"/>
              <w:autoSpaceDE/>
              <w:autoSpaceDN/>
              <w:bidi w:val="0"/>
              <w:adjustRightInd/>
              <w:snapToGrid/>
              <w:spacing w:line="360" w:lineRule="exact"/>
              <w:jc w:val="both"/>
              <w:textAlignment w:val="auto"/>
              <w:rPr>
                <w:rFonts w:hint="eastAsia" w:ascii="仿宋" w:hAnsi="仿宋" w:eastAsia="仿宋" w:cs="仿宋_GB2312"/>
                <w:b/>
                <w:bCs w:val="0"/>
                <w:color w:val="000000" w:themeColor="text1"/>
                <w:sz w:val="24"/>
                <w:szCs w:val="24"/>
                <w:highlight w:val="none"/>
                <w14:textFill>
                  <w14:solidFill>
                    <w14:schemeClr w14:val="tx1"/>
                  </w14:solidFill>
                </w14:textFill>
              </w:rPr>
            </w:pPr>
            <w:r>
              <w:rPr>
                <w:rFonts w:hint="eastAsia" w:ascii="仿宋" w:hAnsi="仿宋" w:eastAsia="仿宋" w:cs="仿宋_GB2312"/>
                <w:b/>
                <w:bCs w:val="0"/>
                <w:color w:val="000000" w:themeColor="text1"/>
                <w:sz w:val="24"/>
                <w:szCs w:val="24"/>
                <w:highlight w:val="none"/>
                <w14:textFill>
                  <w14:solidFill>
                    <w14:schemeClr w14:val="tx1"/>
                  </w14:solidFill>
                </w14:textFill>
              </w:rPr>
              <w:t>注：</w:t>
            </w:r>
            <w:r>
              <w:rPr>
                <w:rFonts w:hint="eastAsia" w:ascii="仿宋" w:hAnsi="仿宋" w:eastAsia="仿宋" w:cs="仿宋_GB2312"/>
                <w:b/>
                <w:bCs w:val="0"/>
                <w:color w:val="000000" w:themeColor="text1"/>
                <w:sz w:val="24"/>
                <w:szCs w:val="24"/>
                <w:highlight w:val="none"/>
                <w:lang w:val="en-US" w:eastAsia="zh-CN"/>
                <w14:textFill>
                  <w14:solidFill>
                    <w14:schemeClr w14:val="tx1"/>
                  </w14:solidFill>
                </w14:textFill>
              </w:rPr>
              <w:t>同一人员不重复得分。需提供证书复印件及投标人为其缴纳的近三个月中的任意一个月社保证明并加盖投标人CA公章，不提供或提供不全不得分。</w:t>
            </w:r>
          </w:p>
        </w:tc>
        <w:tc>
          <w:tcPr>
            <w:tcW w:w="460" w:type="pct"/>
            <w:noWrap w:val="0"/>
            <w:vAlign w:val="center"/>
          </w:tcPr>
          <w:p w14:paraId="5D46529F">
            <w:pPr>
              <w:keepNext w:val="0"/>
              <w:keepLines w:val="0"/>
              <w:pageBreakBefore w:val="0"/>
              <w:widowControl w:val="0"/>
              <w:shd w:val="clear" w:color="auto" w:fill="auto"/>
              <w:kinsoku/>
              <w:wordWrap/>
              <w:overflowPunct/>
              <w:topLinePunct w:val="0"/>
              <w:autoSpaceDE/>
              <w:autoSpaceDN/>
              <w:bidi w:val="0"/>
              <w:adjustRightInd/>
              <w:snapToGrid/>
              <w:spacing w:line="360" w:lineRule="exact"/>
              <w:jc w:val="center"/>
              <w:textAlignment w:val="auto"/>
              <w:rPr>
                <w:rFonts w:hint="default" w:ascii="仿宋" w:hAnsi="仿宋" w:eastAsia="仿宋" w:cs="宋体"/>
                <w:b/>
                <w:bCs/>
                <w:color w:val="000000" w:themeColor="text1"/>
                <w:sz w:val="24"/>
                <w:szCs w:val="24"/>
                <w:highlight w:val="none"/>
                <w:lang w:val="en-US" w:eastAsia="zh-CN"/>
                <w14:textFill>
                  <w14:solidFill>
                    <w14:schemeClr w14:val="tx1"/>
                  </w14:solidFill>
                </w14:textFill>
              </w:rPr>
            </w:pPr>
            <w:r>
              <w:rPr>
                <w:rFonts w:hint="eastAsia" w:ascii="仿宋" w:hAnsi="仿宋" w:eastAsia="仿宋" w:cs="宋体"/>
                <w:b/>
                <w:bCs/>
                <w:color w:val="000000" w:themeColor="text1"/>
                <w:sz w:val="24"/>
                <w:szCs w:val="24"/>
                <w:highlight w:val="none"/>
                <w:lang w:val="en-US" w:eastAsia="zh-CN"/>
                <w14:textFill>
                  <w14:solidFill>
                    <w14:schemeClr w14:val="tx1"/>
                  </w14:solidFill>
                </w14:textFill>
              </w:rPr>
              <w:t>0-3分</w:t>
            </w:r>
          </w:p>
        </w:tc>
      </w:tr>
      <w:tr w14:paraId="78E88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55" w:type="pct"/>
            <w:vMerge w:val="restart"/>
            <w:noWrap w:val="0"/>
            <w:vAlign w:val="center"/>
          </w:tcPr>
          <w:p w14:paraId="181A2B0C">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val="0"/>
                <w:color w:val="000000" w:themeColor="text1"/>
                <w:sz w:val="24"/>
                <w:szCs w:val="24"/>
                <w:highlight w:val="none"/>
                <w:lang w:val="en-US" w:eastAsia="zh-CN" w:bidi="zh-CN"/>
                <w14:textFill>
                  <w14:solidFill>
                    <w14:schemeClr w14:val="tx1"/>
                  </w14:solidFill>
                </w14:textFill>
              </w:rPr>
              <w:t>6</w:t>
            </w:r>
          </w:p>
        </w:tc>
        <w:tc>
          <w:tcPr>
            <w:tcW w:w="689" w:type="pct"/>
            <w:vMerge w:val="restart"/>
            <w:noWrap w:val="0"/>
            <w:vAlign w:val="center"/>
          </w:tcPr>
          <w:p w14:paraId="7C648FF6">
            <w:pPr>
              <w:pStyle w:val="29"/>
              <w:keepNext w:val="0"/>
              <w:keepLines w:val="0"/>
              <w:pageBreakBefore w:val="0"/>
              <w:widowControl w:val="0"/>
              <w:kinsoku/>
              <w:wordWrap/>
              <w:overflowPunct/>
              <w:topLinePunct w:val="0"/>
              <w:autoSpaceDE w:val="0"/>
              <w:autoSpaceDN w:val="0"/>
              <w:bidi w:val="0"/>
              <w:adjustRightInd w:val="0"/>
              <w:snapToGrid/>
              <w:spacing w:line="360" w:lineRule="exact"/>
              <w:ind w:left="108" w:leftChars="0"/>
              <w:jc w:val="center"/>
              <w:textAlignment w:val="auto"/>
              <w:rPr>
                <w:rFonts w:hint="default"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t>项目了解</w:t>
            </w:r>
          </w:p>
        </w:tc>
        <w:tc>
          <w:tcPr>
            <w:tcW w:w="3495" w:type="pct"/>
            <w:noWrap w:val="0"/>
            <w:vAlign w:val="center"/>
          </w:tcPr>
          <w:p w14:paraId="6C215C3F">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根据投标人对诸暨市山洪灾害防御工作现状、存在问题和对本项目任务的理解和熟悉程度，由评审专家进行综合打分。</w:t>
            </w:r>
          </w:p>
          <w:p w14:paraId="60EDEB4D">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①内容全面、阐述合理的，得9分；</w:t>
            </w:r>
          </w:p>
          <w:p w14:paraId="2BC7B60B">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②内容较全面、阐述较为合理的，得6分；</w:t>
            </w:r>
          </w:p>
          <w:p w14:paraId="2C9B779C">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③内容存在欠缺或与项目有一定偏离、阐述合理性有欠缺的，得4分；</w:t>
            </w:r>
          </w:p>
          <w:p w14:paraId="19E72B7A">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④内容粗略或与项目偏离较大、阐述合理性较欠缺的，得2分；</w:t>
            </w:r>
          </w:p>
          <w:p w14:paraId="730C1D2F">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0" w:type="pct"/>
            <w:noWrap w:val="0"/>
            <w:vAlign w:val="center"/>
          </w:tcPr>
          <w:p w14:paraId="637CA85C">
            <w:pPr>
              <w:pStyle w:val="29"/>
              <w:keepNext w:val="0"/>
              <w:keepLines w:val="0"/>
              <w:pageBreakBefore w:val="0"/>
              <w:widowControl w:val="0"/>
              <w:kinsoku/>
              <w:wordWrap/>
              <w:overflowPunct/>
              <w:topLinePunct w:val="0"/>
              <w:autoSpaceDE w:val="0"/>
              <w:autoSpaceDN w:val="0"/>
              <w:bidi w:val="0"/>
              <w:adjustRightInd w:val="0"/>
              <w:snapToGrid/>
              <w:spacing w:line="360" w:lineRule="exact"/>
              <w:ind w:left="66" w:leftChars="0" w:right="54" w:rightChars="0"/>
              <w:jc w:val="center"/>
              <w:textAlignment w:val="auto"/>
              <w:rPr>
                <w:rFonts w:hint="eastAsia" w:ascii="仿宋" w:hAnsi="仿宋" w:eastAsia="仿宋" w:cs="宋体"/>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0-9分</w:t>
            </w:r>
          </w:p>
        </w:tc>
      </w:tr>
      <w:tr w14:paraId="140F0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55" w:type="pct"/>
            <w:vMerge w:val="continue"/>
            <w:noWrap w:val="0"/>
            <w:vAlign w:val="center"/>
          </w:tcPr>
          <w:p w14:paraId="72A9BBCE">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 w:hAnsi="仿宋" w:eastAsia="仿宋" w:cs="仿宋"/>
                <w:b/>
                <w:bCs w:val="0"/>
                <w:color w:val="000000" w:themeColor="text1"/>
                <w:sz w:val="24"/>
                <w:szCs w:val="24"/>
                <w:highlight w:val="none"/>
                <w:lang w:val="en-US" w:eastAsia="zh-CN" w:bidi="zh-CN"/>
                <w14:textFill>
                  <w14:solidFill>
                    <w14:schemeClr w14:val="tx1"/>
                  </w14:solidFill>
                </w14:textFill>
              </w:rPr>
            </w:pPr>
          </w:p>
        </w:tc>
        <w:tc>
          <w:tcPr>
            <w:tcW w:w="689" w:type="pct"/>
            <w:vMerge w:val="continue"/>
            <w:noWrap w:val="0"/>
            <w:vAlign w:val="center"/>
          </w:tcPr>
          <w:p w14:paraId="6CD95105">
            <w:pPr>
              <w:pStyle w:val="29"/>
              <w:keepNext w:val="0"/>
              <w:keepLines w:val="0"/>
              <w:pageBreakBefore w:val="0"/>
              <w:widowControl w:val="0"/>
              <w:kinsoku/>
              <w:wordWrap/>
              <w:overflowPunct/>
              <w:topLinePunct w:val="0"/>
              <w:autoSpaceDE w:val="0"/>
              <w:autoSpaceDN w:val="0"/>
              <w:bidi w:val="0"/>
              <w:adjustRightInd w:val="0"/>
              <w:snapToGrid/>
              <w:spacing w:line="360" w:lineRule="exact"/>
              <w:ind w:left="108" w:leftChars="0"/>
              <w:jc w:val="center"/>
              <w:textAlignment w:val="auto"/>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pPr>
          </w:p>
        </w:tc>
        <w:tc>
          <w:tcPr>
            <w:tcW w:w="3495" w:type="pct"/>
            <w:noWrap w:val="0"/>
            <w:vAlign w:val="center"/>
          </w:tcPr>
          <w:p w14:paraId="68A5497A">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根据投标人对本项目11条调查流域内水文地形情况及山洪风险区情况的熟悉程度，由评审专家进行综合打分。</w:t>
            </w:r>
          </w:p>
          <w:p w14:paraId="3DDA0801">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①内容全面、阐述合理的，得9分；</w:t>
            </w:r>
          </w:p>
          <w:p w14:paraId="2D916701">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②内容较全面、阐述较为合理的，得6分；</w:t>
            </w:r>
          </w:p>
          <w:p w14:paraId="713FBC91">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③内容存在欠缺或与项目有一定偏离、阐述合理性有欠缺的，得4分；</w:t>
            </w:r>
          </w:p>
          <w:p w14:paraId="5E26E6B5">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④内容粗略或与项目偏离较大、阐述合理性较欠缺的，得2分；</w:t>
            </w:r>
          </w:p>
          <w:p w14:paraId="54B1D58B">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0" w:type="pct"/>
            <w:noWrap w:val="0"/>
            <w:vAlign w:val="center"/>
          </w:tcPr>
          <w:p w14:paraId="4F5CC64A">
            <w:pPr>
              <w:keepNext w:val="0"/>
              <w:keepLines w:val="0"/>
              <w:pageBreakBefore w:val="0"/>
              <w:widowControl w:val="0"/>
              <w:kinsoku/>
              <w:wordWrap/>
              <w:overflowPunct/>
              <w:topLinePunct w:val="0"/>
              <w:autoSpaceDE w:val="0"/>
              <w:autoSpaceDN w:val="0"/>
              <w:bidi w:val="0"/>
              <w:adjustRightInd w:val="0"/>
              <w:snapToGrid/>
              <w:spacing w:line="360" w:lineRule="exact"/>
              <w:ind w:left="66" w:leftChars="0" w:right="54" w:right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0-9分</w:t>
            </w:r>
          </w:p>
        </w:tc>
      </w:tr>
      <w:tr w14:paraId="1188F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55" w:type="pct"/>
            <w:vMerge w:val="continue"/>
            <w:noWrap w:val="0"/>
            <w:vAlign w:val="center"/>
          </w:tcPr>
          <w:p w14:paraId="419F0AED">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 w:hAnsi="仿宋" w:eastAsia="仿宋" w:cs="仿宋"/>
                <w:b/>
                <w:bCs w:val="0"/>
                <w:color w:val="000000" w:themeColor="text1"/>
                <w:sz w:val="24"/>
                <w:szCs w:val="24"/>
                <w:highlight w:val="none"/>
                <w:lang w:val="en-US" w:eastAsia="zh-CN" w:bidi="zh-CN"/>
                <w14:textFill>
                  <w14:solidFill>
                    <w14:schemeClr w14:val="tx1"/>
                  </w14:solidFill>
                </w14:textFill>
              </w:rPr>
            </w:pPr>
          </w:p>
        </w:tc>
        <w:tc>
          <w:tcPr>
            <w:tcW w:w="689" w:type="pct"/>
            <w:vMerge w:val="continue"/>
            <w:noWrap w:val="0"/>
            <w:vAlign w:val="center"/>
          </w:tcPr>
          <w:p w14:paraId="1AC181A6">
            <w:pPr>
              <w:pStyle w:val="29"/>
              <w:keepNext w:val="0"/>
              <w:keepLines w:val="0"/>
              <w:pageBreakBefore w:val="0"/>
              <w:widowControl w:val="0"/>
              <w:kinsoku/>
              <w:wordWrap/>
              <w:overflowPunct/>
              <w:topLinePunct w:val="0"/>
              <w:autoSpaceDE w:val="0"/>
              <w:autoSpaceDN w:val="0"/>
              <w:bidi w:val="0"/>
              <w:adjustRightInd w:val="0"/>
              <w:snapToGrid/>
              <w:spacing w:line="360" w:lineRule="exact"/>
              <w:ind w:left="108" w:leftChars="0"/>
              <w:jc w:val="center"/>
              <w:textAlignment w:val="auto"/>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pPr>
          </w:p>
        </w:tc>
        <w:tc>
          <w:tcPr>
            <w:tcW w:w="3495" w:type="pct"/>
            <w:noWrap w:val="0"/>
            <w:vAlign w:val="center"/>
          </w:tcPr>
          <w:p w14:paraId="748D7775">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根据投标人对本项目11条调查流域内防御对象情况及预警指标分析情况的熟悉程度，由评审专家进行综合打分。</w:t>
            </w:r>
          </w:p>
          <w:p w14:paraId="46371654">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①内容全面、阐述合理的，得9分；</w:t>
            </w:r>
          </w:p>
          <w:p w14:paraId="12A57F2D">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②内容较全面、阐述较为合理的，得6分；</w:t>
            </w:r>
          </w:p>
          <w:p w14:paraId="15B2A883">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③内容存在欠缺或与项目有一定偏离、阐述合理性有欠缺的，得4分；</w:t>
            </w:r>
          </w:p>
          <w:p w14:paraId="58A2B536">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④内容粗略或与项目偏离较大、阐述合理性较欠缺的，得2分；</w:t>
            </w:r>
          </w:p>
          <w:p w14:paraId="1CC02072">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0" w:type="pct"/>
            <w:noWrap w:val="0"/>
            <w:vAlign w:val="center"/>
          </w:tcPr>
          <w:p w14:paraId="3E0615A4">
            <w:pPr>
              <w:keepNext w:val="0"/>
              <w:keepLines w:val="0"/>
              <w:pageBreakBefore w:val="0"/>
              <w:widowControl w:val="0"/>
              <w:kinsoku/>
              <w:wordWrap/>
              <w:overflowPunct/>
              <w:topLinePunct w:val="0"/>
              <w:autoSpaceDE w:val="0"/>
              <w:autoSpaceDN w:val="0"/>
              <w:bidi w:val="0"/>
              <w:adjustRightInd w:val="0"/>
              <w:snapToGrid/>
              <w:spacing w:line="360" w:lineRule="exact"/>
              <w:ind w:left="66" w:leftChars="0" w:right="54" w:right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0-9分</w:t>
            </w:r>
          </w:p>
        </w:tc>
      </w:tr>
      <w:tr w14:paraId="15D05F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55" w:type="pct"/>
            <w:vMerge w:val="continue"/>
            <w:noWrap w:val="0"/>
            <w:vAlign w:val="center"/>
          </w:tcPr>
          <w:p w14:paraId="377E37DF">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 w:hAnsi="仿宋" w:eastAsia="仿宋" w:cs="仿宋"/>
                <w:b/>
                <w:bCs w:val="0"/>
                <w:color w:val="000000" w:themeColor="text1"/>
                <w:sz w:val="24"/>
                <w:szCs w:val="24"/>
                <w:highlight w:val="none"/>
                <w:lang w:val="en-US" w:eastAsia="zh-CN" w:bidi="zh-CN"/>
                <w14:textFill>
                  <w14:solidFill>
                    <w14:schemeClr w14:val="tx1"/>
                  </w14:solidFill>
                </w14:textFill>
              </w:rPr>
            </w:pPr>
          </w:p>
        </w:tc>
        <w:tc>
          <w:tcPr>
            <w:tcW w:w="689" w:type="pct"/>
            <w:vMerge w:val="continue"/>
            <w:noWrap w:val="0"/>
            <w:vAlign w:val="center"/>
          </w:tcPr>
          <w:p w14:paraId="64FA0AA8">
            <w:pPr>
              <w:pStyle w:val="29"/>
              <w:keepNext w:val="0"/>
              <w:keepLines w:val="0"/>
              <w:pageBreakBefore w:val="0"/>
              <w:widowControl w:val="0"/>
              <w:kinsoku/>
              <w:wordWrap/>
              <w:overflowPunct/>
              <w:topLinePunct w:val="0"/>
              <w:autoSpaceDE w:val="0"/>
              <w:autoSpaceDN w:val="0"/>
              <w:bidi w:val="0"/>
              <w:adjustRightInd w:val="0"/>
              <w:snapToGrid/>
              <w:spacing w:line="360" w:lineRule="exact"/>
              <w:ind w:left="108" w:leftChars="0"/>
              <w:jc w:val="center"/>
              <w:textAlignment w:val="auto"/>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pPr>
          </w:p>
        </w:tc>
        <w:tc>
          <w:tcPr>
            <w:tcW w:w="3495" w:type="pct"/>
            <w:noWrap w:val="0"/>
            <w:vAlign w:val="center"/>
          </w:tcPr>
          <w:p w14:paraId="167F9109">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根据投标人对山洪风险隐患调查评价分析工作的理解和熟悉程度及提供的工作方案，由评审专家进行综合打分。</w:t>
            </w:r>
          </w:p>
          <w:p w14:paraId="1525CED1">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①内容全面、阐述合理的，得9分；</w:t>
            </w:r>
          </w:p>
          <w:p w14:paraId="01385F7B">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②内容较全面、阐述较为合理的，得6分；</w:t>
            </w:r>
          </w:p>
          <w:p w14:paraId="15C148B1">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③内容存在欠缺或与项目有一定偏离、阐述合理性有欠缺的，得4分；</w:t>
            </w:r>
          </w:p>
          <w:p w14:paraId="7598F9CA">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④内容粗略或与项目偏离较大、阐述合理性较欠缺的，得2分；</w:t>
            </w:r>
          </w:p>
          <w:p w14:paraId="27E569E0">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0" w:type="pct"/>
            <w:noWrap w:val="0"/>
            <w:vAlign w:val="center"/>
          </w:tcPr>
          <w:p w14:paraId="1539C7D2">
            <w:pPr>
              <w:keepNext w:val="0"/>
              <w:keepLines w:val="0"/>
              <w:pageBreakBefore w:val="0"/>
              <w:widowControl w:val="0"/>
              <w:kinsoku/>
              <w:wordWrap/>
              <w:overflowPunct/>
              <w:topLinePunct w:val="0"/>
              <w:autoSpaceDE w:val="0"/>
              <w:autoSpaceDN w:val="0"/>
              <w:bidi w:val="0"/>
              <w:adjustRightInd w:val="0"/>
              <w:snapToGrid/>
              <w:spacing w:line="360" w:lineRule="exact"/>
              <w:ind w:left="66" w:leftChars="0" w:right="54" w:right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0-9分</w:t>
            </w:r>
          </w:p>
        </w:tc>
      </w:tr>
      <w:tr w14:paraId="562CCB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2" w:hRule="atLeast"/>
          <w:jc w:val="center"/>
        </w:trPr>
        <w:tc>
          <w:tcPr>
            <w:tcW w:w="355" w:type="pct"/>
            <w:vMerge w:val="continue"/>
            <w:noWrap w:val="0"/>
            <w:vAlign w:val="center"/>
          </w:tcPr>
          <w:p w14:paraId="369CD577">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eastAsia" w:ascii="仿宋" w:hAnsi="仿宋" w:eastAsia="仿宋" w:cs="仿宋"/>
                <w:b/>
                <w:bCs w:val="0"/>
                <w:color w:val="000000" w:themeColor="text1"/>
                <w:sz w:val="24"/>
                <w:szCs w:val="24"/>
                <w:highlight w:val="none"/>
                <w:lang w:val="en-US" w:eastAsia="zh-CN" w:bidi="zh-CN"/>
                <w14:textFill>
                  <w14:solidFill>
                    <w14:schemeClr w14:val="tx1"/>
                  </w14:solidFill>
                </w14:textFill>
              </w:rPr>
            </w:pPr>
          </w:p>
        </w:tc>
        <w:tc>
          <w:tcPr>
            <w:tcW w:w="689" w:type="pct"/>
            <w:vMerge w:val="continue"/>
            <w:noWrap w:val="0"/>
            <w:vAlign w:val="center"/>
          </w:tcPr>
          <w:p w14:paraId="79884791">
            <w:pPr>
              <w:pStyle w:val="29"/>
              <w:keepNext w:val="0"/>
              <w:keepLines w:val="0"/>
              <w:pageBreakBefore w:val="0"/>
              <w:widowControl w:val="0"/>
              <w:kinsoku/>
              <w:wordWrap/>
              <w:overflowPunct/>
              <w:topLinePunct w:val="0"/>
              <w:autoSpaceDE w:val="0"/>
              <w:autoSpaceDN w:val="0"/>
              <w:bidi w:val="0"/>
              <w:adjustRightInd w:val="0"/>
              <w:snapToGrid/>
              <w:spacing w:line="360" w:lineRule="exact"/>
              <w:ind w:left="108" w:leftChars="0"/>
              <w:jc w:val="center"/>
              <w:textAlignment w:val="auto"/>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pPr>
          </w:p>
        </w:tc>
        <w:tc>
          <w:tcPr>
            <w:tcW w:w="3495" w:type="pct"/>
            <w:noWrap w:val="0"/>
            <w:vAlign w:val="center"/>
          </w:tcPr>
          <w:p w14:paraId="166D115C">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根据投标人对简化洪水淹没分析模型工作的理解和熟悉程度及提供的工作方案，由评审专家进行综合打分。</w:t>
            </w:r>
          </w:p>
          <w:p w14:paraId="06F8A920">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①内容全面、阐述合理的，得9分；</w:t>
            </w:r>
          </w:p>
          <w:p w14:paraId="0D049C5D">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②内容较全面、阐述较为合理的，得6分；</w:t>
            </w:r>
          </w:p>
          <w:p w14:paraId="3BECF489">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③内容存在欠缺或与项目有一定偏离、阐述合理性有欠缺的，得4分；</w:t>
            </w:r>
          </w:p>
          <w:p w14:paraId="0B1DBD71">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④内容粗略或与项目偏离较大、阐述合理性较欠缺的，得2分；</w:t>
            </w:r>
          </w:p>
          <w:p w14:paraId="3DB1C73F">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0" w:type="pct"/>
            <w:noWrap w:val="0"/>
            <w:vAlign w:val="center"/>
          </w:tcPr>
          <w:p w14:paraId="1833C933">
            <w:pPr>
              <w:keepNext w:val="0"/>
              <w:keepLines w:val="0"/>
              <w:pageBreakBefore w:val="0"/>
              <w:widowControl w:val="0"/>
              <w:kinsoku/>
              <w:wordWrap/>
              <w:overflowPunct/>
              <w:topLinePunct w:val="0"/>
              <w:autoSpaceDE w:val="0"/>
              <w:autoSpaceDN w:val="0"/>
              <w:bidi w:val="0"/>
              <w:adjustRightInd w:val="0"/>
              <w:snapToGrid/>
              <w:spacing w:line="360" w:lineRule="exact"/>
              <w:ind w:left="66" w:leftChars="0" w:right="54" w:right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0-9分</w:t>
            </w:r>
          </w:p>
        </w:tc>
      </w:tr>
      <w:tr w14:paraId="57F29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55" w:type="pct"/>
            <w:noWrap w:val="0"/>
            <w:vAlign w:val="center"/>
          </w:tcPr>
          <w:p w14:paraId="1261FD80">
            <w:pPr>
              <w:keepNext w:val="0"/>
              <w:keepLines w:val="0"/>
              <w:pageBreakBefore w:val="0"/>
              <w:widowControl w:val="0"/>
              <w:kinsoku/>
              <w:wordWrap/>
              <w:overflowPunct/>
              <w:topLinePunct w:val="0"/>
              <w:autoSpaceDE w:val="0"/>
              <w:autoSpaceDN w:val="0"/>
              <w:bidi w:val="0"/>
              <w:adjustRightInd w:val="0"/>
              <w:snapToGrid/>
              <w:spacing w:line="360" w:lineRule="exact"/>
              <w:jc w:val="center"/>
              <w:textAlignment w:val="auto"/>
              <w:rPr>
                <w:rFonts w:hint="default"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bCs w:val="0"/>
                <w:color w:val="000000" w:themeColor="text1"/>
                <w:sz w:val="24"/>
                <w:szCs w:val="24"/>
                <w:highlight w:val="none"/>
                <w:lang w:val="en-US" w:eastAsia="zh-CN" w:bidi="zh-CN"/>
                <w14:textFill>
                  <w14:solidFill>
                    <w14:schemeClr w14:val="tx1"/>
                  </w14:solidFill>
                </w14:textFill>
              </w:rPr>
              <w:t>7</w:t>
            </w:r>
          </w:p>
        </w:tc>
        <w:tc>
          <w:tcPr>
            <w:tcW w:w="689" w:type="pct"/>
            <w:noWrap w:val="0"/>
            <w:vAlign w:val="center"/>
          </w:tcPr>
          <w:p w14:paraId="111ED629">
            <w:pPr>
              <w:pStyle w:val="29"/>
              <w:keepNext w:val="0"/>
              <w:keepLines w:val="0"/>
              <w:pageBreakBefore w:val="0"/>
              <w:widowControl w:val="0"/>
              <w:kinsoku/>
              <w:wordWrap/>
              <w:overflowPunct/>
              <w:topLinePunct w:val="0"/>
              <w:autoSpaceDE w:val="0"/>
              <w:autoSpaceDN w:val="0"/>
              <w:bidi w:val="0"/>
              <w:adjustRightInd w:val="0"/>
              <w:snapToGrid/>
              <w:spacing w:line="360" w:lineRule="exact"/>
              <w:ind w:left="108" w:leftChars="0"/>
              <w:jc w:val="center"/>
              <w:textAlignment w:val="auto"/>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t>组织实施方案</w:t>
            </w:r>
          </w:p>
        </w:tc>
        <w:tc>
          <w:tcPr>
            <w:tcW w:w="3495" w:type="pct"/>
            <w:noWrap w:val="0"/>
            <w:vAlign w:val="top"/>
          </w:tcPr>
          <w:p w14:paraId="0B767B6D">
            <w:pPr>
              <w:pStyle w:val="2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根据投标人提供的进度计划、分工安排、进度保障是否具有针对性、合理可行</w:t>
            </w:r>
            <w:r>
              <w:rPr>
                <w:rFonts w:hint="eastAsia" w:ascii="仿宋" w:hAnsi="仿宋" w:eastAsia="仿宋" w:cs="仿宋"/>
                <w:color w:val="000000" w:themeColor="text1"/>
                <w:sz w:val="24"/>
                <w:szCs w:val="24"/>
                <w:highlight w:val="none"/>
                <w:lang w:val="en-US" w:eastAsia="zh-CN"/>
                <w14:textFill>
                  <w14:solidFill>
                    <w14:schemeClr w14:val="tx1"/>
                  </w14:solidFill>
                </w14:textFill>
              </w:rPr>
              <w:t>，由评审专家进行综合打分。</w:t>
            </w:r>
          </w:p>
          <w:p w14:paraId="5676634E">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①内容全面、阐述合理的，得8分；</w:t>
            </w:r>
          </w:p>
          <w:p w14:paraId="59AA6AB5">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②内容较全面、阐述较为合理的，得6分；</w:t>
            </w:r>
          </w:p>
          <w:p w14:paraId="4AA0B710">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③内容存在欠缺或与项目有一定偏离、阐述合理性有欠缺的，得4分；</w:t>
            </w:r>
          </w:p>
          <w:p w14:paraId="6E3D5E2D">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④内容粗略或与项目偏离较大、阐述合理性较欠缺的，得2分；</w:t>
            </w:r>
          </w:p>
          <w:p w14:paraId="73111A4F">
            <w:pPr>
              <w:pStyle w:val="29"/>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0" w:type="pct"/>
            <w:noWrap w:val="0"/>
            <w:vAlign w:val="center"/>
          </w:tcPr>
          <w:p w14:paraId="32E18B35">
            <w:pPr>
              <w:pStyle w:val="29"/>
              <w:keepNext w:val="0"/>
              <w:keepLines w:val="0"/>
              <w:pageBreakBefore w:val="0"/>
              <w:widowControl w:val="0"/>
              <w:kinsoku/>
              <w:wordWrap/>
              <w:overflowPunct/>
              <w:topLinePunct w:val="0"/>
              <w:autoSpaceDE w:val="0"/>
              <w:autoSpaceDN w:val="0"/>
              <w:bidi w:val="0"/>
              <w:adjustRightInd w:val="0"/>
              <w:snapToGrid/>
              <w:spacing w:line="360" w:lineRule="exact"/>
              <w:ind w:left="66" w:leftChars="0" w:right="54" w:rightChars="0"/>
              <w:jc w:val="center"/>
              <w:textAlignment w:val="auto"/>
              <w:rPr>
                <w:rFonts w:hint="eastAsia" w:ascii="仿宋" w:hAnsi="仿宋" w:eastAsia="仿宋" w:cs="宋体"/>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0-8分</w:t>
            </w:r>
          </w:p>
        </w:tc>
      </w:tr>
      <w:tr w14:paraId="34B24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55" w:type="pct"/>
            <w:noWrap w:val="0"/>
            <w:vAlign w:val="center"/>
          </w:tcPr>
          <w:p w14:paraId="7B1169E5">
            <w:pPr>
              <w:pStyle w:val="29"/>
              <w:keepNext w:val="0"/>
              <w:keepLines w:val="0"/>
              <w:pageBreakBefore w:val="0"/>
              <w:widowControl w:val="0"/>
              <w:kinsoku/>
              <w:wordWrap/>
              <w:overflowPunct/>
              <w:topLinePunct w:val="0"/>
              <w:autoSpaceDE w:val="0"/>
              <w:autoSpaceDN w:val="0"/>
              <w:bidi w:val="0"/>
              <w:adjustRightInd w:val="0"/>
              <w:snapToGrid/>
              <w:spacing w:line="360" w:lineRule="exact"/>
              <w:ind w:left="108" w:leftChars="0"/>
              <w:jc w:val="center"/>
              <w:textAlignment w:val="auto"/>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t>8</w:t>
            </w:r>
          </w:p>
        </w:tc>
        <w:tc>
          <w:tcPr>
            <w:tcW w:w="689" w:type="pct"/>
            <w:noWrap w:val="0"/>
            <w:vAlign w:val="center"/>
          </w:tcPr>
          <w:p w14:paraId="169FB49A">
            <w:pPr>
              <w:pStyle w:val="29"/>
              <w:keepNext w:val="0"/>
              <w:keepLines w:val="0"/>
              <w:pageBreakBefore w:val="0"/>
              <w:widowControl w:val="0"/>
              <w:kinsoku/>
              <w:wordWrap/>
              <w:overflowPunct/>
              <w:topLinePunct w:val="0"/>
              <w:autoSpaceDE w:val="0"/>
              <w:autoSpaceDN w:val="0"/>
              <w:bidi w:val="0"/>
              <w:adjustRightInd w:val="0"/>
              <w:snapToGrid/>
              <w:spacing w:line="360" w:lineRule="exact"/>
              <w:ind w:left="108" w:leftChars="0"/>
              <w:jc w:val="center"/>
              <w:textAlignment w:val="auto"/>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t>质量保证措施</w:t>
            </w:r>
          </w:p>
        </w:tc>
        <w:tc>
          <w:tcPr>
            <w:tcW w:w="3495" w:type="pct"/>
            <w:noWrap w:val="0"/>
            <w:vAlign w:val="top"/>
          </w:tcPr>
          <w:p w14:paraId="51746B1A">
            <w:pPr>
              <w:keepNext w:val="0"/>
              <w:keepLines w:val="0"/>
              <w:pageBreakBefore w:val="0"/>
              <w:widowControl w:val="0"/>
              <w:kinsoku/>
              <w:wordWrap/>
              <w:overflowPunct/>
              <w:topLinePunct w:val="0"/>
              <w:autoSpaceDE w:val="0"/>
              <w:autoSpaceDN w:val="0"/>
              <w:bidi w:val="0"/>
              <w:adjustRightInd/>
              <w:snapToGrid/>
              <w:spacing w:line="360" w:lineRule="exact"/>
              <w:ind w:right="0" w:rightChars="0"/>
              <w:jc w:val="left"/>
              <w:textAlignment w:val="auto"/>
              <w:outlineLvl w:val="9"/>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根据投标人提供的项目质量保证目标及质量保证措施，由评审专家进行综合打分。</w:t>
            </w:r>
          </w:p>
          <w:p w14:paraId="0FDEB93E">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①内容全面、阐述合理的，得8分；</w:t>
            </w:r>
          </w:p>
          <w:p w14:paraId="7007F890">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②内容较全面、阐述较为合理的，得6分；</w:t>
            </w:r>
          </w:p>
          <w:p w14:paraId="178FABF4">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③内容存在欠缺或与项目有一定偏离、阐述合理性有欠缺的，得4分；</w:t>
            </w:r>
          </w:p>
          <w:p w14:paraId="40E7A4CE">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④内容粗略或与项目偏离较大、阐述合理性较欠缺的，得2分；</w:t>
            </w:r>
          </w:p>
          <w:p w14:paraId="159ABA0F">
            <w:pPr>
              <w:keepNext w:val="0"/>
              <w:keepLines w:val="0"/>
              <w:pageBreakBefore w:val="0"/>
              <w:widowControl w:val="0"/>
              <w:kinsoku/>
              <w:wordWrap/>
              <w:overflowPunct/>
              <w:topLinePunct w:val="0"/>
              <w:autoSpaceDE w:val="0"/>
              <w:autoSpaceDN w:val="0"/>
              <w:bidi w:val="0"/>
              <w:adjustRightInd/>
              <w:snapToGrid/>
              <w:spacing w:line="360" w:lineRule="exact"/>
              <w:ind w:right="0" w:rightChars="0"/>
              <w:jc w:val="left"/>
              <w:textAlignment w:val="auto"/>
              <w:outlineLvl w:val="9"/>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0" w:type="pct"/>
            <w:noWrap w:val="0"/>
            <w:vAlign w:val="center"/>
          </w:tcPr>
          <w:p w14:paraId="0443BA06">
            <w:pPr>
              <w:pStyle w:val="29"/>
              <w:keepNext w:val="0"/>
              <w:keepLines w:val="0"/>
              <w:pageBreakBefore w:val="0"/>
              <w:widowControl w:val="0"/>
              <w:kinsoku/>
              <w:wordWrap/>
              <w:overflowPunct/>
              <w:topLinePunct w:val="0"/>
              <w:autoSpaceDE w:val="0"/>
              <w:autoSpaceDN w:val="0"/>
              <w:bidi w:val="0"/>
              <w:adjustRightInd w:val="0"/>
              <w:snapToGrid/>
              <w:spacing w:line="360" w:lineRule="exact"/>
              <w:ind w:left="66" w:leftChars="0" w:right="54" w:rightChars="0"/>
              <w:jc w:val="center"/>
              <w:textAlignment w:val="auto"/>
              <w:rPr>
                <w:rFonts w:hint="default"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0-8分</w:t>
            </w:r>
          </w:p>
        </w:tc>
      </w:tr>
      <w:tr w14:paraId="7CCE11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55" w:type="pct"/>
            <w:noWrap w:val="0"/>
            <w:vAlign w:val="center"/>
          </w:tcPr>
          <w:p w14:paraId="32C8C075">
            <w:pPr>
              <w:pStyle w:val="29"/>
              <w:keepNext w:val="0"/>
              <w:keepLines w:val="0"/>
              <w:pageBreakBefore w:val="0"/>
              <w:widowControl w:val="0"/>
              <w:kinsoku/>
              <w:wordWrap/>
              <w:overflowPunct/>
              <w:topLinePunct w:val="0"/>
              <w:autoSpaceDE w:val="0"/>
              <w:autoSpaceDN w:val="0"/>
              <w:bidi w:val="0"/>
              <w:adjustRightInd w:val="0"/>
              <w:snapToGrid/>
              <w:spacing w:line="360" w:lineRule="exact"/>
              <w:ind w:left="108" w:leftChars="0"/>
              <w:jc w:val="center"/>
              <w:textAlignment w:val="auto"/>
              <w:rPr>
                <w:rFonts w:hint="default"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t>9</w:t>
            </w:r>
          </w:p>
        </w:tc>
        <w:tc>
          <w:tcPr>
            <w:tcW w:w="689" w:type="pct"/>
            <w:noWrap w:val="0"/>
            <w:vAlign w:val="center"/>
          </w:tcPr>
          <w:p w14:paraId="3067523C">
            <w:pPr>
              <w:pStyle w:val="29"/>
              <w:keepNext w:val="0"/>
              <w:keepLines w:val="0"/>
              <w:pageBreakBefore w:val="0"/>
              <w:widowControl w:val="0"/>
              <w:kinsoku/>
              <w:wordWrap/>
              <w:overflowPunct/>
              <w:topLinePunct w:val="0"/>
              <w:autoSpaceDE w:val="0"/>
              <w:autoSpaceDN w:val="0"/>
              <w:bidi w:val="0"/>
              <w:adjustRightInd w:val="0"/>
              <w:snapToGrid/>
              <w:spacing w:line="360" w:lineRule="exact"/>
              <w:ind w:left="108" w:leftChars="0"/>
              <w:jc w:val="center"/>
              <w:textAlignment w:val="auto"/>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宋体"/>
                <w:b/>
                <w:bCs/>
                <w:color w:val="000000" w:themeColor="text1"/>
                <w:kern w:val="2"/>
                <w:sz w:val="24"/>
                <w:szCs w:val="24"/>
                <w:highlight w:val="none"/>
                <w:lang w:val="en-US" w:eastAsia="zh-CN" w:bidi="ar-SA"/>
                <w14:textFill>
                  <w14:solidFill>
                    <w14:schemeClr w14:val="tx1"/>
                  </w14:solidFill>
                </w14:textFill>
              </w:rPr>
              <w:t>售后服务</w:t>
            </w:r>
          </w:p>
        </w:tc>
        <w:tc>
          <w:tcPr>
            <w:tcW w:w="3495" w:type="pct"/>
            <w:noWrap w:val="0"/>
            <w:vAlign w:val="top"/>
          </w:tcPr>
          <w:p w14:paraId="0D8E6B71">
            <w:pPr>
              <w:keepNext w:val="0"/>
              <w:keepLines w:val="0"/>
              <w:pageBreakBefore w:val="0"/>
              <w:widowControl w:val="0"/>
              <w:kinsoku/>
              <w:wordWrap/>
              <w:overflowPunct/>
              <w:topLinePunct w:val="0"/>
              <w:autoSpaceDE w:val="0"/>
              <w:autoSpaceDN w:val="0"/>
              <w:bidi w:val="0"/>
              <w:adjustRightInd/>
              <w:snapToGrid/>
              <w:spacing w:line="360" w:lineRule="exact"/>
              <w:ind w:right="0" w:rightChars="0"/>
              <w:jc w:val="left"/>
              <w:textAlignment w:val="auto"/>
              <w:outlineLvl w:val="9"/>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根据投标人对项目后续服务计划、服务响应时间、维护服务、服务承诺等情况，由评审专家进行综合打分。</w:t>
            </w:r>
          </w:p>
          <w:p w14:paraId="6CF9F58A">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①内容全面、阐述合理的，得7分；</w:t>
            </w:r>
          </w:p>
          <w:p w14:paraId="11CFEF48">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②内容较全面、阐述较为合理的，得5分；</w:t>
            </w:r>
          </w:p>
          <w:p w14:paraId="3FA1475A">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③内容存在欠缺或与项目有一定偏离、阐述合理性有欠缺的，得3分；</w:t>
            </w:r>
          </w:p>
          <w:p w14:paraId="17B755DA">
            <w:pPr>
              <w:keepNext w:val="0"/>
              <w:keepLines w:val="0"/>
              <w:pageBreakBefore w:val="0"/>
              <w:widowControl w:val="0"/>
              <w:kinsoku/>
              <w:wordWrap/>
              <w:overflowPunct/>
              <w:topLinePunct w:val="0"/>
              <w:bidi w:val="0"/>
              <w:snapToGrid/>
              <w:spacing w:line="360" w:lineRule="exact"/>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④内容粗略或与项目偏离较大、阐述合理性较欠缺的，得1分；</w:t>
            </w:r>
          </w:p>
          <w:p w14:paraId="78496B9B">
            <w:pPr>
              <w:keepNext w:val="0"/>
              <w:keepLines w:val="0"/>
              <w:pageBreakBefore w:val="0"/>
              <w:widowControl w:val="0"/>
              <w:kinsoku/>
              <w:wordWrap/>
              <w:overflowPunct/>
              <w:topLinePunct w:val="0"/>
              <w:autoSpaceDE w:val="0"/>
              <w:autoSpaceDN w:val="0"/>
              <w:bidi w:val="0"/>
              <w:adjustRightInd/>
              <w:snapToGrid/>
              <w:spacing w:line="360" w:lineRule="exact"/>
              <w:ind w:right="0" w:rightChars="0"/>
              <w:jc w:val="left"/>
              <w:textAlignment w:val="auto"/>
              <w:outlineLvl w:val="9"/>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⑤未提供相关内容阐述或不符合项目的不得分。</w:t>
            </w:r>
          </w:p>
        </w:tc>
        <w:tc>
          <w:tcPr>
            <w:tcW w:w="460" w:type="pct"/>
            <w:noWrap w:val="0"/>
            <w:vAlign w:val="center"/>
          </w:tcPr>
          <w:p w14:paraId="035FBDC9">
            <w:pPr>
              <w:pStyle w:val="29"/>
              <w:keepNext w:val="0"/>
              <w:keepLines w:val="0"/>
              <w:pageBreakBefore w:val="0"/>
              <w:widowControl w:val="0"/>
              <w:kinsoku/>
              <w:wordWrap/>
              <w:overflowPunct/>
              <w:topLinePunct w:val="0"/>
              <w:autoSpaceDE w:val="0"/>
              <w:autoSpaceDN w:val="0"/>
              <w:bidi w:val="0"/>
              <w:adjustRightInd w:val="0"/>
              <w:snapToGrid/>
              <w:spacing w:line="360" w:lineRule="exact"/>
              <w:ind w:left="66" w:leftChars="0" w:right="54" w:rightChars="0"/>
              <w:jc w:val="center"/>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0-7分</w:t>
            </w:r>
          </w:p>
        </w:tc>
      </w:tr>
    </w:tbl>
    <w:p w14:paraId="2B53F28D">
      <w:pPr>
        <w:keepNext w:val="0"/>
        <w:keepLines w:val="0"/>
        <w:pageBreakBefore w:val="0"/>
        <w:widowControl w:val="0"/>
        <w:kinsoku/>
        <w:wordWrap/>
        <w:overflowPunct/>
        <w:topLinePunct w:val="0"/>
        <w:bidi w:val="0"/>
        <w:snapToGrid w:val="0"/>
        <w:spacing w:line="420" w:lineRule="exact"/>
        <w:ind w:firstLine="482" w:firstLineChars="200"/>
        <w:textAlignment w:val="auto"/>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宋体"/>
          <w:b/>
          <w:bCs w:val="0"/>
          <w:color w:val="000000" w:themeColor="text1"/>
          <w:sz w:val="24"/>
          <w:szCs w:val="24"/>
          <w:highlight w:val="none"/>
          <w:lang w:eastAsia="zh-CN"/>
          <w14:textFill>
            <w14:solidFill>
              <w14:schemeClr w14:val="tx1"/>
            </w14:solidFill>
          </w14:textFill>
        </w:rPr>
        <w:t>（</w:t>
      </w:r>
      <w:r>
        <w:rPr>
          <w:rFonts w:hint="eastAsia" w:ascii="仿宋" w:hAnsi="仿宋" w:eastAsia="仿宋" w:cs="宋体"/>
          <w:b/>
          <w:bCs w:val="0"/>
          <w:color w:val="000000" w:themeColor="text1"/>
          <w:sz w:val="24"/>
          <w:szCs w:val="24"/>
          <w:highlight w:val="none"/>
          <w:lang w:val="en-US" w:eastAsia="zh-CN"/>
          <w14:textFill>
            <w14:solidFill>
              <w14:schemeClr w14:val="tx1"/>
            </w14:solidFill>
          </w14:textFill>
        </w:rPr>
        <w:t>5</w:t>
      </w:r>
      <w:r>
        <w:rPr>
          <w:rFonts w:hint="eastAsia" w:ascii="仿宋" w:hAnsi="仿宋" w:eastAsia="仿宋" w:cs="宋体"/>
          <w:b/>
          <w:bCs w:val="0"/>
          <w:color w:val="000000" w:themeColor="text1"/>
          <w:sz w:val="24"/>
          <w:szCs w:val="24"/>
          <w:highlight w:val="none"/>
          <w:lang w:eastAsia="zh-CN"/>
          <w14:textFill>
            <w14:solidFill>
              <w14:schemeClr w14:val="tx1"/>
            </w14:solidFill>
          </w14:textFill>
        </w:rPr>
        <w:t>）通过资格评审和符合性评审的投标人全部入围进行报价评审</w:t>
      </w:r>
      <w:r>
        <w:rPr>
          <w:rFonts w:hint="eastAsia" w:ascii="仿宋" w:hAnsi="仿宋" w:eastAsia="仿宋" w:cs="仿宋"/>
          <w:b/>
          <w:color w:val="000000" w:themeColor="text1"/>
          <w:sz w:val="24"/>
          <w:szCs w:val="24"/>
          <w:highlight w:val="none"/>
          <w14:textFill>
            <w14:solidFill>
              <w14:schemeClr w14:val="tx1"/>
            </w14:solidFill>
          </w14:textFill>
        </w:rPr>
        <w:t>。</w:t>
      </w:r>
    </w:p>
    <w:p w14:paraId="2361BC90">
      <w:pPr>
        <w:keepNext w:val="0"/>
        <w:keepLines w:val="0"/>
        <w:pageBreakBefore w:val="0"/>
        <w:widowControl w:val="0"/>
        <w:kinsoku/>
        <w:wordWrap/>
        <w:overflowPunct/>
        <w:topLinePunct w:val="0"/>
        <w:autoSpaceDE/>
        <w:autoSpaceDN/>
        <w:bidi w:val="0"/>
        <w:adjustRightInd/>
        <w:snapToGrid w:val="0"/>
        <w:spacing w:line="420" w:lineRule="exact"/>
        <w:ind w:firstLine="482" w:firstLineChars="200"/>
        <w:textAlignment w:val="auto"/>
        <w:rPr>
          <w:rFonts w:hint="eastAsia"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备</w:t>
      </w:r>
      <w:r>
        <w:rPr>
          <w:rFonts w:hint="eastAsia" w:ascii="仿宋" w:hAnsi="仿宋" w:eastAsia="仿宋" w:cs="仿宋"/>
          <w:b/>
          <w:color w:val="000000" w:themeColor="text1"/>
          <w:sz w:val="24"/>
          <w:highlight w:val="none"/>
          <w14:textFill>
            <w14:solidFill>
              <w14:schemeClr w14:val="tx1"/>
            </w14:solidFill>
          </w14:textFill>
        </w:rPr>
        <w:t>注：</w:t>
      </w:r>
      <w:r>
        <w:rPr>
          <w:rFonts w:hint="eastAsia" w:ascii="仿宋" w:hAnsi="仿宋" w:eastAsia="仿宋" w:cs="仿宋"/>
          <w:color w:val="000000" w:themeColor="text1"/>
          <w:sz w:val="24"/>
          <w:highlight w:val="none"/>
          <w14:textFill>
            <w14:solidFill>
              <w14:schemeClr w14:val="tx1"/>
            </w14:solidFill>
          </w14:textFill>
        </w:rPr>
        <w:t>投标人编制投标文件（商务技术文件部分）时，建议按此目录（序号和内容）提供评标标准相应的商务技术资料。</w:t>
      </w:r>
    </w:p>
    <w:p w14:paraId="40D7877D">
      <w:pPr>
        <w:keepNext w:val="0"/>
        <w:keepLines w:val="0"/>
        <w:pageBreakBefore w:val="0"/>
        <w:widowControl w:val="0"/>
        <w:numPr>
          <w:ilvl w:val="0"/>
          <w:numId w:val="0"/>
        </w:numPr>
        <w:kinsoku/>
        <w:wordWrap/>
        <w:overflowPunct/>
        <w:topLinePunct w:val="0"/>
        <w:autoSpaceDE/>
        <w:autoSpaceDN/>
        <w:bidi w:val="0"/>
        <w:spacing w:line="420" w:lineRule="exact"/>
        <w:ind w:left="0"/>
        <w:jc w:val="both"/>
        <w:textAlignment w:val="auto"/>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t>五、采购需求</w:t>
      </w:r>
    </w:p>
    <w:p w14:paraId="3BE3B16F">
      <w:pPr>
        <w:keepNext w:val="0"/>
        <w:keepLines w:val="0"/>
        <w:pageBreakBefore w:val="0"/>
        <w:widowControl w:val="0"/>
        <w:kinsoku/>
        <w:wordWrap/>
        <w:overflowPunct/>
        <w:topLinePunct w:val="0"/>
        <w:autoSpaceDE/>
        <w:autoSpaceDN/>
        <w:bidi w:val="0"/>
        <w:adjustRightInd/>
        <w:spacing w:line="420" w:lineRule="exact"/>
        <w:textAlignment w:val="auto"/>
        <w:rPr>
          <w:rFonts w:hint="eastAsia" w:ascii="仿宋" w:hAnsi="仿宋" w:eastAsia="仿宋" w:cs="仿宋"/>
          <w:bCs/>
          <w:color w:val="000000" w:themeColor="text1"/>
          <w:sz w:val="24"/>
          <w:szCs w:val="24"/>
          <w:highlight w:val="none"/>
          <w:lang w:eastAsia="zh-CN"/>
          <w14:textFill>
            <w14:solidFill>
              <w14:schemeClr w14:val="tx1"/>
            </w14:solidFill>
          </w14:textFill>
        </w:rPr>
      </w:pPr>
      <w:r>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t>（一）</w:t>
      </w: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建设任务</w:t>
      </w:r>
    </w:p>
    <w:p w14:paraId="3E011063">
      <w:pPr>
        <w:keepNext w:val="0"/>
        <w:keepLines w:val="0"/>
        <w:pageBreakBefore w:val="0"/>
        <w:widowControl/>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lang w:eastAsia="zh-CN"/>
          <w14:textFill>
            <w14:solidFill>
              <w14:schemeClr w14:val="tx1"/>
            </w14:solidFill>
          </w14:textFill>
        </w:rPr>
      </w:pP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1.山洪灾害“四预”能力建设</w:t>
      </w:r>
    </w:p>
    <w:p w14:paraId="4B620CD8">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浙江省水利厅办公室关于做好2025年度山洪灾害防治项目建设的通知》（浙水办灾防〔2025〕1号）、《浙江省水利厅关于印发2025年水旱灾害防御工作方案的通知》（浙水灾防〔2025〕7号）等文件要求，结合诸暨市前期山洪灾害防治非工程措施建设成果，对洪浦江、凰桐江、马剑溪、石渎溪、孝泉江、同山溪、璜山江、次坞溪、白渠、嵩山溪、西岩溪等11条小流域开展山洪风险隐患调查分析评价、沟道断面补充测量和简化洪水淹没分析。具体任务如下：</w:t>
      </w:r>
    </w:p>
    <w:p w14:paraId="6A492525">
      <w:pPr>
        <w:pStyle w:val="3"/>
        <w:jc w:val="center"/>
        <w:rPr>
          <w:rFonts w:hint="eastAsia" w:ascii="仿宋" w:hAnsi="仿宋" w:eastAsia="仿宋" w:cs="仿宋"/>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674995" cy="3957320"/>
            <wp:effectExtent l="0" t="0" r="1905" b="50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1"/>
                    <a:stretch>
                      <a:fillRect/>
                    </a:stretch>
                  </pic:blipFill>
                  <pic:spPr>
                    <a:xfrm>
                      <a:off x="0" y="0"/>
                      <a:ext cx="5674995" cy="3957320"/>
                    </a:xfrm>
                    <a:prstGeom prst="rect">
                      <a:avLst/>
                    </a:prstGeom>
                    <a:noFill/>
                    <a:ln>
                      <a:noFill/>
                    </a:ln>
                  </pic:spPr>
                </pic:pic>
              </a:graphicData>
            </a:graphic>
          </wp:inline>
        </w:drawing>
      </w:r>
    </w:p>
    <w:p w14:paraId="0614B921">
      <w:pPr>
        <w:keepNext w:val="0"/>
        <w:keepLines w:val="0"/>
        <w:pageBreakBefore w:val="0"/>
        <w:widowControl/>
        <w:kinsoku/>
        <w:wordWrap/>
        <w:overflowPunct/>
        <w:topLinePunct w:val="0"/>
        <w:autoSpaceDE/>
        <w:autoSpaceDN/>
        <w:bidi w:val="0"/>
        <w:adjustRightInd/>
        <w:snapToGrid w:val="0"/>
        <w:spacing w:line="420" w:lineRule="exact"/>
        <w:jc w:val="center"/>
        <w:textAlignment w:val="auto"/>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本项目涉及的</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11</w:t>
      </w:r>
      <w:r>
        <w:rPr>
          <w:rFonts w:hint="eastAsia" w:ascii="仿宋" w:hAnsi="仿宋" w:eastAsia="仿宋" w:cs="仿宋"/>
          <w:b/>
          <w:color w:val="000000" w:themeColor="text1"/>
          <w:kern w:val="0"/>
          <w:sz w:val="24"/>
          <w:szCs w:val="24"/>
          <w:highlight w:val="none"/>
          <w14:textFill>
            <w14:solidFill>
              <w14:schemeClr w14:val="tx1"/>
            </w14:solidFill>
          </w14:textFill>
        </w:rPr>
        <w:t>条流域分布图</w:t>
      </w:r>
    </w:p>
    <w:p w14:paraId="144DF2E1">
      <w:pPr>
        <w:keepNext w:val="0"/>
        <w:keepLines w:val="0"/>
        <w:pageBreakBefore w:val="0"/>
        <w:widowControl/>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0" w:name="_Toc164263194"/>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（1）风险隐患调查影响分析评价</w:t>
      </w:r>
      <w:bookmarkEnd w:id="0"/>
    </w:p>
    <w:p w14:paraId="0FC043A3">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①洪浦江、凰桐江、马剑溪、石渎溪、孝泉江、同山溪、璜山江、次坞溪、白渠、嵩山溪、西岩溪等11条小流域山洪在海沧风险隐患调查；</w:t>
      </w:r>
    </w:p>
    <w:p w14:paraId="3334654E">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②洪浦江、凰桐江、马剑溪、石渎溪、孝泉江、同山溪、璜山江、次坞溪、白渠、嵩山溪、西岩溪等11条小流域山洪灾害风险隐患影响分析</w:t>
      </w:r>
      <w:r>
        <w:rPr>
          <w:rFonts w:hint="eastAsia" w:ascii="仿宋" w:hAnsi="仿宋" w:eastAsia="仿宋" w:cs="仿宋"/>
          <w:color w:val="000000" w:themeColor="text1"/>
          <w:sz w:val="24"/>
          <w:szCs w:val="24"/>
          <w:highlight w:val="none"/>
          <w:lang w:eastAsia="zh-CN"/>
          <w14:textFill>
            <w14:solidFill>
              <w14:schemeClr w14:val="tx1"/>
            </w14:solidFill>
          </w14:textFill>
        </w:rPr>
        <w:t>。</w:t>
      </w:r>
    </w:p>
    <w:p w14:paraId="671B38D6">
      <w:pPr>
        <w:keepNext w:val="0"/>
        <w:keepLines w:val="0"/>
        <w:pageBreakBefore w:val="0"/>
        <w:widowControl/>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1" w:name="_Toc164263195"/>
      <w:bookmarkStart w:id="2" w:name="_Toc162619026"/>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（2）沟</w:t>
      </w:r>
      <w:r>
        <w:rPr>
          <w:rFonts w:hint="eastAsia" w:ascii="仿宋" w:hAnsi="仿宋" w:eastAsia="仿宋" w:cs="仿宋"/>
          <w:b/>
          <w:bCs/>
          <w:color w:val="000000" w:themeColor="text1"/>
          <w:kern w:val="0"/>
          <w:sz w:val="24"/>
          <w:szCs w:val="24"/>
          <w:highlight w:val="none"/>
          <w14:textFill>
            <w14:solidFill>
              <w14:schemeClr w14:val="tx1"/>
            </w14:solidFill>
          </w14:textFill>
        </w:rPr>
        <w:t>道断面补充测量</w:t>
      </w:r>
      <w:bookmarkEnd w:id="1"/>
      <w:bookmarkEnd w:id="2"/>
    </w:p>
    <w:p w14:paraId="65023F57">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①洪浦江、凰桐江、马剑溪、石渎溪、孝泉江、同山溪、璜山江、次坞溪、白渠、嵩山溪、西岩溪等11条小流域风险隐患断面补充测量；</w:t>
      </w:r>
    </w:p>
    <w:p w14:paraId="72180B7A">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②洪浦江、凰桐江、马剑溪、石渎溪、孝泉江、同山溪、璜山江、次坞溪、白渠、嵩山溪、西岩溪等11条小流域简化洪水淹没分析断面补充测量。</w:t>
      </w:r>
    </w:p>
    <w:p w14:paraId="46601953">
      <w:pPr>
        <w:keepNext w:val="0"/>
        <w:keepLines w:val="0"/>
        <w:pageBreakBefore w:val="0"/>
        <w:widowControl/>
        <w:numPr>
          <w:ilvl w:val="2"/>
          <w:numId w:val="0"/>
        </w:numPr>
        <w:kinsoku/>
        <w:wordWrap/>
        <w:overflowPunct/>
        <w:topLinePunct w:val="0"/>
        <w:autoSpaceDE/>
        <w:autoSpaceDN/>
        <w:bidi w:val="0"/>
        <w:adjustRightInd/>
        <w:snapToGrid/>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3" w:name="_Toc162619027"/>
      <w:bookmarkStart w:id="4" w:name="_Toc164263196"/>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3</w:t>
      </w: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）简化洪水淹没分析</w:t>
      </w:r>
      <w:bookmarkEnd w:id="3"/>
      <w:bookmarkEnd w:id="4"/>
    </w:p>
    <w:p w14:paraId="4B5EA8F5">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 w:hAnsi="仿宋" w:eastAsia="仿宋" w:cs="仿宋"/>
          <w:bCs/>
          <w:color w:val="000000" w:themeColor="text1"/>
          <w:kern w:val="2"/>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洪浦江、凰桐江、马剑溪、石渎溪、孝泉江、同山溪、璜山江、次坞溪、白渠、嵩山溪、西岩溪等11条小流域简化洪水淹没分析。</w:t>
      </w:r>
    </w:p>
    <w:p w14:paraId="799602AF">
      <w:pPr>
        <w:keepNext w:val="0"/>
        <w:keepLines w:val="0"/>
        <w:pageBreakBefore w:val="0"/>
        <w:widowControl/>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lang w:eastAsia="zh-CN"/>
          <w14:textFill>
            <w14:solidFill>
              <w14:schemeClr w14:val="tx1"/>
            </w14:solidFill>
          </w14:textFill>
        </w:rPr>
      </w:pP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2.中小河流洪水预报预警体系建设</w:t>
      </w:r>
    </w:p>
    <w:p w14:paraId="1AAFE51B">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骆家桥、陈蔡江、白塔湖水利会、街亭、大唐站、壶源江、凰桐江云溪7个预警站点中小河流洪水预报预警体系建设。</w:t>
      </w:r>
    </w:p>
    <w:p w14:paraId="699B1A05">
      <w:pPr>
        <w:keepNext w:val="0"/>
        <w:keepLines w:val="0"/>
        <w:pageBreakBefore w:val="0"/>
        <w:widowControl/>
        <w:numPr>
          <w:ilvl w:val="2"/>
          <w:numId w:val="0"/>
        </w:numPr>
        <w:kinsoku/>
        <w:wordWrap/>
        <w:overflowPunct/>
        <w:topLinePunct w:val="0"/>
        <w:autoSpaceDE/>
        <w:autoSpaceDN/>
        <w:bidi w:val="0"/>
        <w:adjustRightInd/>
        <w:snapToGrid/>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lang w:eastAsia="zh-CN"/>
          <w14:textFill>
            <w14:solidFill>
              <w14:schemeClr w14:val="tx1"/>
            </w14:solidFill>
          </w14:textFill>
        </w:rPr>
      </w:pP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3.新型入户报警叫应终端设备配备</w:t>
      </w:r>
    </w:p>
    <w:p w14:paraId="623996D2">
      <w:pPr>
        <w:keepNext w:val="0"/>
        <w:keepLines w:val="0"/>
        <w:pageBreakBefore w:val="0"/>
        <w:widowControl w:val="0"/>
        <w:kinsoku/>
        <w:wordWrap/>
        <w:overflowPunct/>
        <w:topLinePunct w:val="0"/>
        <w:autoSpaceDE/>
        <w:autoSpaceDN/>
        <w:bidi w:val="0"/>
        <w:adjustRightInd/>
        <w:spacing w:line="420" w:lineRule="exact"/>
        <w:ind w:firstLine="480" w:firstLineChars="200"/>
        <w:textAlignment w:val="auto"/>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100套</w:t>
      </w:r>
      <w:bookmarkStart w:id="5" w:name="_Hlk198623651"/>
      <w:r>
        <w:rPr>
          <w:rFonts w:hint="eastAsia" w:ascii="仿宋" w:hAnsi="仿宋" w:eastAsia="仿宋" w:cs="仿宋"/>
          <w:bCs/>
          <w:color w:val="000000" w:themeColor="text1"/>
          <w:sz w:val="24"/>
          <w:szCs w:val="24"/>
          <w:highlight w:val="none"/>
          <w14:textFill>
            <w14:solidFill>
              <w14:schemeClr w14:val="tx1"/>
            </w14:solidFill>
          </w14:textFill>
        </w:rPr>
        <w:t>新型入户报警叫应终端设备配备</w:t>
      </w:r>
      <w:bookmarkEnd w:id="5"/>
      <w:r>
        <w:rPr>
          <w:rFonts w:hint="eastAsia" w:ascii="仿宋" w:hAnsi="仿宋" w:eastAsia="仿宋" w:cs="仿宋"/>
          <w:bCs/>
          <w:color w:val="000000" w:themeColor="text1"/>
          <w:sz w:val="24"/>
          <w:szCs w:val="24"/>
          <w:highlight w:val="none"/>
          <w14:textFill>
            <w14:solidFill>
              <w14:schemeClr w14:val="tx1"/>
            </w14:solidFill>
          </w14:textFill>
        </w:rPr>
        <w:t>。</w:t>
      </w:r>
    </w:p>
    <w:p w14:paraId="06D76A8F">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t>（二）</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任务清单</w:t>
      </w:r>
    </w:p>
    <w:p w14:paraId="6D9023B8">
      <w:pPr>
        <w:pageBreakBefore w:val="0"/>
        <w:widowControl/>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202</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5</w:t>
      </w:r>
      <w:r>
        <w:rPr>
          <w:rFonts w:hint="eastAsia" w:ascii="仿宋" w:hAnsi="仿宋" w:eastAsia="仿宋" w:cs="仿宋"/>
          <w:b/>
          <w:color w:val="000000" w:themeColor="text1"/>
          <w:kern w:val="0"/>
          <w:sz w:val="24"/>
          <w:szCs w:val="24"/>
          <w:highlight w:val="none"/>
          <w14:textFill>
            <w14:solidFill>
              <w14:schemeClr w14:val="tx1"/>
            </w14:solidFill>
          </w14:textFill>
        </w:rPr>
        <w:t>年诸暨市小流域山洪灾害“四预”能力建设内容清单</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6"/>
        <w:gridCol w:w="3929"/>
        <w:gridCol w:w="1578"/>
        <w:gridCol w:w="924"/>
        <w:gridCol w:w="2261"/>
      </w:tblGrid>
      <w:tr w14:paraId="4F0B3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86" w:type="pct"/>
            <w:tcBorders>
              <w:tl2br w:val="nil"/>
              <w:tr2bl w:val="nil"/>
            </w:tcBorders>
            <w:shd w:val="clear" w:color="auto" w:fill="auto"/>
            <w:vAlign w:val="center"/>
          </w:tcPr>
          <w:p w14:paraId="3374909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b/>
                <w:color w:val="000000" w:themeColor="text1"/>
                <w:sz w:val="24"/>
                <w:szCs w:val="24"/>
                <w:highlight w:val="none"/>
                <w:lang w:bidi="he-IL"/>
                <w14:textFill>
                  <w14:solidFill>
                    <w14:schemeClr w14:val="tx1"/>
                  </w14:solidFill>
                </w14:textFill>
              </w:rPr>
            </w:pPr>
            <w:r>
              <w:rPr>
                <w:rFonts w:hint="eastAsia" w:ascii="仿宋" w:hAnsi="仿宋" w:eastAsia="仿宋" w:cs="仿宋"/>
                <w:b/>
                <w:color w:val="000000" w:themeColor="text1"/>
                <w:sz w:val="24"/>
                <w:szCs w:val="24"/>
                <w:highlight w:val="none"/>
                <w:lang w:bidi="he-IL"/>
                <w14:textFill>
                  <w14:solidFill>
                    <w14:schemeClr w14:val="tx1"/>
                  </w14:solidFill>
                </w14:textFill>
              </w:rPr>
              <w:t>序号</w:t>
            </w:r>
          </w:p>
        </w:tc>
        <w:tc>
          <w:tcPr>
            <w:tcW w:w="2040" w:type="pct"/>
            <w:tcBorders>
              <w:tl2br w:val="nil"/>
              <w:tr2bl w:val="nil"/>
            </w:tcBorders>
            <w:shd w:val="clear" w:color="auto" w:fill="auto"/>
            <w:vAlign w:val="center"/>
          </w:tcPr>
          <w:p w14:paraId="4505CCC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b/>
                <w:color w:val="000000" w:themeColor="text1"/>
                <w:sz w:val="24"/>
                <w:szCs w:val="24"/>
                <w:highlight w:val="none"/>
                <w:lang w:bidi="he-IL"/>
                <w14:textFill>
                  <w14:solidFill>
                    <w14:schemeClr w14:val="tx1"/>
                  </w14:solidFill>
                </w14:textFill>
              </w:rPr>
            </w:pPr>
            <w:r>
              <w:rPr>
                <w:rFonts w:hint="eastAsia" w:ascii="仿宋" w:hAnsi="仿宋" w:eastAsia="仿宋" w:cs="仿宋"/>
                <w:b/>
                <w:color w:val="000000" w:themeColor="text1"/>
                <w:sz w:val="24"/>
                <w:szCs w:val="24"/>
                <w:highlight w:val="none"/>
                <w:lang w:bidi="he-IL"/>
                <w14:textFill>
                  <w14:solidFill>
                    <w14:schemeClr w14:val="tx1"/>
                  </w14:solidFill>
                </w14:textFill>
              </w:rPr>
              <w:t>工作内容</w:t>
            </w:r>
          </w:p>
        </w:tc>
        <w:tc>
          <w:tcPr>
            <w:tcW w:w="819" w:type="pct"/>
            <w:tcBorders>
              <w:tl2br w:val="nil"/>
              <w:tr2bl w:val="nil"/>
            </w:tcBorders>
            <w:shd w:val="clear" w:color="auto" w:fill="auto"/>
            <w:vAlign w:val="center"/>
          </w:tcPr>
          <w:p w14:paraId="0351ED6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b/>
                <w:color w:val="000000" w:themeColor="text1"/>
                <w:sz w:val="24"/>
                <w:szCs w:val="24"/>
                <w:highlight w:val="none"/>
                <w:lang w:bidi="he-IL"/>
                <w14:textFill>
                  <w14:solidFill>
                    <w14:schemeClr w14:val="tx1"/>
                  </w14:solidFill>
                </w14:textFill>
              </w:rPr>
            </w:pPr>
            <w:r>
              <w:rPr>
                <w:rFonts w:hint="eastAsia" w:ascii="仿宋" w:hAnsi="仿宋" w:eastAsia="仿宋" w:cs="仿宋"/>
                <w:b/>
                <w:color w:val="000000" w:themeColor="text1"/>
                <w:sz w:val="24"/>
                <w:szCs w:val="24"/>
                <w:highlight w:val="none"/>
                <w:lang w:bidi="he-IL"/>
                <w14:textFill>
                  <w14:solidFill>
                    <w14:schemeClr w14:val="tx1"/>
                  </w14:solidFill>
                </w14:textFill>
              </w:rPr>
              <w:t>单位</w:t>
            </w:r>
          </w:p>
        </w:tc>
        <w:tc>
          <w:tcPr>
            <w:tcW w:w="479" w:type="pct"/>
            <w:tcBorders>
              <w:tl2br w:val="nil"/>
              <w:tr2bl w:val="nil"/>
            </w:tcBorders>
            <w:shd w:val="clear" w:color="auto" w:fill="auto"/>
            <w:vAlign w:val="center"/>
          </w:tcPr>
          <w:p w14:paraId="201893E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b/>
                <w:color w:val="000000" w:themeColor="text1"/>
                <w:sz w:val="24"/>
                <w:szCs w:val="24"/>
                <w:highlight w:val="none"/>
                <w:lang w:bidi="he-IL"/>
                <w14:textFill>
                  <w14:solidFill>
                    <w14:schemeClr w14:val="tx1"/>
                  </w14:solidFill>
                </w14:textFill>
              </w:rPr>
            </w:pPr>
            <w:r>
              <w:rPr>
                <w:rFonts w:hint="eastAsia" w:ascii="仿宋" w:hAnsi="仿宋" w:eastAsia="仿宋" w:cs="仿宋"/>
                <w:b/>
                <w:color w:val="000000" w:themeColor="text1"/>
                <w:sz w:val="24"/>
                <w:szCs w:val="24"/>
                <w:highlight w:val="none"/>
                <w:lang w:bidi="he-IL"/>
                <w14:textFill>
                  <w14:solidFill>
                    <w14:schemeClr w14:val="tx1"/>
                  </w14:solidFill>
                </w14:textFill>
              </w:rPr>
              <w:t>数量</w:t>
            </w:r>
          </w:p>
        </w:tc>
        <w:tc>
          <w:tcPr>
            <w:tcW w:w="1174" w:type="pct"/>
            <w:tcBorders>
              <w:tl2br w:val="nil"/>
              <w:tr2bl w:val="nil"/>
            </w:tcBorders>
            <w:shd w:val="clear" w:color="auto" w:fill="auto"/>
            <w:vAlign w:val="center"/>
          </w:tcPr>
          <w:p w14:paraId="5976F1D0">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b/>
                <w:color w:val="000000" w:themeColor="text1"/>
                <w:kern w:val="0"/>
                <w:sz w:val="24"/>
                <w:szCs w:val="24"/>
                <w:highlight w:val="none"/>
                <w14:textFill>
                  <w14:solidFill>
                    <w14:schemeClr w14:val="tx1"/>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备注</w:t>
            </w:r>
          </w:p>
        </w:tc>
      </w:tr>
      <w:tr w14:paraId="111F5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tcBorders>
              <w:tl2br w:val="nil"/>
              <w:tr2bl w:val="nil"/>
            </w:tcBorders>
            <w:shd w:val="clear" w:color="auto" w:fill="auto"/>
            <w:noWrap/>
            <w:vAlign w:val="center"/>
          </w:tcPr>
          <w:p w14:paraId="5EB0141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b/>
                <w:bCs/>
                <w:color w:val="000000" w:themeColor="text1"/>
                <w:sz w:val="24"/>
                <w:szCs w:val="24"/>
                <w:highlight w:val="none"/>
                <w:lang w:bidi="he-IL"/>
                <w14:textFill>
                  <w14:solidFill>
                    <w14:schemeClr w14:val="tx1"/>
                  </w14:solidFill>
                </w14:textFill>
              </w:rPr>
              <w:t>一</w:t>
            </w:r>
          </w:p>
        </w:tc>
        <w:tc>
          <w:tcPr>
            <w:tcW w:w="3339" w:type="pct"/>
            <w:gridSpan w:val="3"/>
            <w:tcBorders>
              <w:tl2br w:val="nil"/>
              <w:tr2bl w:val="nil"/>
            </w:tcBorders>
            <w:shd w:val="clear" w:color="auto" w:fill="auto"/>
            <w:vAlign w:val="center"/>
          </w:tcPr>
          <w:p w14:paraId="591483F1">
            <w:pPr>
              <w:adjustRightInd w:val="0"/>
              <w:snapToGrid w:val="0"/>
              <w:spacing w:line="240" w:lineRule="auto"/>
              <w:ind w:firstLine="0" w:firstLineChars="0"/>
              <w:jc w:val="center"/>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山洪灾害“四预”能力建设</w:t>
            </w:r>
          </w:p>
        </w:tc>
        <w:tc>
          <w:tcPr>
            <w:tcW w:w="1174" w:type="pct"/>
            <w:vMerge w:val="restart"/>
            <w:tcBorders>
              <w:tl2br w:val="nil"/>
              <w:tr2bl w:val="nil"/>
            </w:tcBorders>
            <w:shd w:val="clear" w:color="auto" w:fill="auto"/>
            <w:vAlign w:val="center"/>
          </w:tcPr>
          <w:p w14:paraId="59DFA2EA">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利用原有数据梳理，以小流域为单元，重点考虑经济社会活动影响等因素，聚焦跨沟路基、阻水桥涵、干支流交汇点、外洪顶托段、堰坝和在建工程等，深入开展山洪灾害风险隐患调查排查，调查成果动态汇集至省级山洪数据库。流域：洪浦江、凰桐江、马剑溪、石渎溪、孝泉江、同山溪、璜山江、次坞溪、白渠、嵩山溪、西岩溪。</w:t>
            </w:r>
          </w:p>
        </w:tc>
      </w:tr>
      <w:tr w14:paraId="48A0E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79E192B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eastAsia="zh-CN" w:bidi="he-IL"/>
                <w14:textFill>
                  <w14:solidFill>
                    <w14:schemeClr w14:val="tx1"/>
                  </w14:solidFill>
                </w14:textFill>
              </w:rPr>
              <w:t>（</w:t>
            </w: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一</w:t>
            </w:r>
            <w:r>
              <w:rPr>
                <w:rFonts w:hint="eastAsia" w:ascii="仿宋" w:hAnsi="仿宋" w:eastAsia="仿宋" w:cs="仿宋"/>
                <w:color w:val="000000" w:themeColor="text1"/>
                <w:sz w:val="24"/>
                <w:szCs w:val="24"/>
                <w:highlight w:val="none"/>
                <w:lang w:eastAsia="zh-CN" w:bidi="he-IL"/>
                <w14:textFill>
                  <w14:solidFill>
                    <w14:schemeClr w14:val="tx1"/>
                  </w14:solidFill>
                </w14:textFill>
              </w:rPr>
              <w:t>）</w:t>
            </w:r>
          </w:p>
        </w:tc>
        <w:tc>
          <w:tcPr>
            <w:tcW w:w="3339" w:type="pct"/>
            <w:gridSpan w:val="3"/>
            <w:tcBorders>
              <w:tl2br w:val="nil"/>
              <w:tr2bl w:val="nil"/>
            </w:tcBorders>
            <w:shd w:val="clear" w:color="auto" w:fill="auto"/>
            <w:noWrap/>
            <w:vAlign w:val="center"/>
          </w:tcPr>
          <w:p w14:paraId="5693AF9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风险隐患调查影响分析</w:t>
            </w:r>
          </w:p>
        </w:tc>
        <w:tc>
          <w:tcPr>
            <w:tcW w:w="1174" w:type="pct"/>
            <w:vMerge w:val="continue"/>
            <w:tcBorders>
              <w:tl2br w:val="nil"/>
              <w:tr2bl w:val="nil"/>
            </w:tcBorders>
            <w:vAlign w:val="center"/>
          </w:tcPr>
          <w:p w14:paraId="05ACBF6A">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520C4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26B7D5C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1</w:t>
            </w:r>
          </w:p>
        </w:tc>
        <w:tc>
          <w:tcPr>
            <w:tcW w:w="3339" w:type="pct"/>
            <w:gridSpan w:val="3"/>
            <w:tcBorders>
              <w:tl2br w:val="nil"/>
              <w:tr2bl w:val="nil"/>
            </w:tcBorders>
            <w:shd w:val="clear" w:color="auto" w:fill="auto"/>
            <w:noWrap/>
            <w:vAlign w:val="center"/>
          </w:tcPr>
          <w:p w14:paraId="652853C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洪浦江</w:t>
            </w:r>
          </w:p>
        </w:tc>
        <w:tc>
          <w:tcPr>
            <w:tcW w:w="1174" w:type="pct"/>
            <w:vMerge w:val="continue"/>
            <w:tcBorders>
              <w:tl2br w:val="nil"/>
              <w:tr2bl w:val="nil"/>
            </w:tcBorders>
            <w:vAlign w:val="center"/>
          </w:tcPr>
          <w:p w14:paraId="5E129BF0">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002F7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D8FC8F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44C1172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20FE52A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w:t>
            </w:r>
            <w:r>
              <w:rPr>
                <w:rFonts w:hint="eastAsia" w:ascii="仿宋" w:hAnsi="仿宋" w:eastAsia="仿宋" w:cs="仿宋"/>
                <w:color w:val="000000" w:themeColor="text1"/>
                <w:sz w:val="24"/>
                <w:szCs w:val="24"/>
                <w:highlight w:val="none"/>
                <w:lang w:eastAsia="zh-CN" w:bidi="he-IL"/>
                <w14:textFill>
                  <w14:solidFill>
                    <w14:schemeClr w14:val="tx1"/>
                  </w14:solidFill>
                </w14:textFill>
              </w:rPr>
              <w:t>km²</w:t>
            </w:r>
          </w:p>
        </w:tc>
        <w:tc>
          <w:tcPr>
            <w:tcW w:w="479" w:type="pct"/>
            <w:tcBorders>
              <w:tl2br w:val="nil"/>
              <w:tr2bl w:val="nil"/>
            </w:tcBorders>
            <w:shd w:val="clear" w:color="auto" w:fill="auto"/>
            <w:vAlign w:val="center"/>
          </w:tcPr>
          <w:p w14:paraId="59546D1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80</w:t>
            </w:r>
          </w:p>
        </w:tc>
        <w:tc>
          <w:tcPr>
            <w:tcW w:w="1174" w:type="pct"/>
            <w:vMerge w:val="continue"/>
            <w:tcBorders>
              <w:tl2br w:val="nil"/>
              <w:tr2bl w:val="nil"/>
            </w:tcBorders>
            <w:vAlign w:val="center"/>
          </w:tcPr>
          <w:p w14:paraId="119182F7">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1A6CD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4BE1A30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0FDC67B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281AB6C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702996C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20</w:t>
            </w:r>
          </w:p>
        </w:tc>
        <w:tc>
          <w:tcPr>
            <w:tcW w:w="1174" w:type="pct"/>
            <w:vMerge w:val="continue"/>
            <w:tcBorders>
              <w:tl2br w:val="nil"/>
              <w:tr2bl w:val="nil"/>
            </w:tcBorders>
            <w:vAlign w:val="center"/>
          </w:tcPr>
          <w:p w14:paraId="233EF27F">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3E0D9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713190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3339" w:type="pct"/>
            <w:gridSpan w:val="3"/>
            <w:tcBorders>
              <w:tl2br w:val="nil"/>
              <w:tr2bl w:val="nil"/>
            </w:tcBorders>
            <w:shd w:val="clear" w:color="auto" w:fill="auto"/>
            <w:noWrap/>
            <w:vAlign w:val="center"/>
          </w:tcPr>
          <w:p w14:paraId="128475E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凰桐江</w:t>
            </w:r>
          </w:p>
        </w:tc>
        <w:tc>
          <w:tcPr>
            <w:tcW w:w="1174" w:type="pct"/>
            <w:vMerge w:val="continue"/>
            <w:tcBorders>
              <w:tl2br w:val="nil"/>
              <w:tr2bl w:val="nil"/>
            </w:tcBorders>
            <w:vAlign w:val="center"/>
          </w:tcPr>
          <w:p w14:paraId="3CFA42CB">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5E73FD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769598D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4BD25EF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05B0244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w:t>
            </w:r>
            <w:r>
              <w:rPr>
                <w:rFonts w:hint="eastAsia" w:ascii="仿宋" w:hAnsi="仿宋" w:eastAsia="仿宋" w:cs="仿宋"/>
                <w:color w:val="000000" w:themeColor="text1"/>
                <w:sz w:val="24"/>
                <w:szCs w:val="24"/>
                <w:highlight w:val="none"/>
                <w:lang w:eastAsia="zh-CN" w:bidi="he-IL"/>
                <w14:textFill>
                  <w14:solidFill>
                    <w14:schemeClr w14:val="tx1"/>
                  </w14:solidFill>
                </w14:textFill>
              </w:rPr>
              <w:t>km²</w:t>
            </w:r>
          </w:p>
        </w:tc>
        <w:tc>
          <w:tcPr>
            <w:tcW w:w="479" w:type="pct"/>
            <w:tcBorders>
              <w:tl2br w:val="nil"/>
              <w:tr2bl w:val="nil"/>
            </w:tcBorders>
            <w:shd w:val="clear" w:color="auto" w:fill="auto"/>
            <w:vAlign w:val="center"/>
          </w:tcPr>
          <w:p w14:paraId="1C2F780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150</w:t>
            </w:r>
          </w:p>
        </w:tc>
        <w:tc>
          <w:tcPr>
            <w:tcW w:w="1174" w:type="pct"/>
            <w:vMerge w:val="continue"/>
            <w:tcBorders>
              <w:tl2br w:val="nil"/>
              <w:tr2bl w:val="nil"/>
            </w:tcBorders>
            <w:vAlign w:val="center"/>
          </w:tcPr>
          <w:p w14:paraId="540881DC">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38DC6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F6EB61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216F3AE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2036448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281F561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50</w:t>
            </w:r>
          </w:p>
        </w:tc>
        <w:tc>
          <w:tcPr>
            <w:tcW w:w="1174" w:type="pct"/>
            <w:vMerge w:val="continue"/>
            <w:tcBorders>
              <w:tl2br w:val="nil"/>
              <w:tr2bl w:val="nil"/>
            </w:tcBorders>
            <w:vAlign w:val="center"/>
          </w:tcPr>
          <w:p w14:paraId="03D09E23">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3E6939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7B4DCB9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w:t>
            </w:r>
          </w:p>
        </w:tc>
        <w:tc>
          <w:tcPr>
            <w:tcW w:w="3339" w:type="pct"/>
            <w:gridSpan w:val="3"/>
            <w:tcBorders>
              <w:tl2br w:val="nil"/>
              <w:tr2bl w:val="nil"/>
            </w:tcBorders>
            <w:shd w:val="clear" w:color="auto" w:fill="auto"/>
            <w:noWrap/>
            <w:vAlign w:val="center"/>
          </w:tcPr>
          <w:p w14:paraId="23693E0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马剑溪</w:t>
            </w:r>
          </w:p>
        </w:tc>
        <w:tc>
          <w:tcPr>
            <w:tcW w:w="1174" w:type="pct"/>
            <w:vMerge w:val="continue"/>
            <w:tcBorders>
              <w:tl2br w:val="nil"/>
              <w:tr2bl w:val="nil"/>
            </w:tcBorders>
            <w:vAlign w:val="center"/>
          </w:tcPr>
          <w:p w14:paraId="08D44310">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5FBE27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02702D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3090C99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2680697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w:t>
            </w:r>
            <w:r>
              <w:rPr>
                <w:rFonts w:hint="eastAsia" w:ascii="仿宋" w:hAnsi="仿宋" w:eastAsia="仿宋" w:cs="仿宋"/>
                <w:color w:val="000000" w:themeColor="text1"/>
                <w:sz w:val="24"/>
                <w:szCs w:val="24"/>
                <w:highlight w:val="none"/>
                <w:lang w:eastAsia="zh-CN" w:bidi="he-IL"/>
                <w14:textFill>
                  <w14:solidFill>
                    <w14:schemeClr w14:val="tx1"/>
                  </w14:solidFill>
                </w14:textFill>
              </w:rPr>
              <w:t>km²</w:t>
            </w:r>
          </w:p>
        </w:tc>
        <w:tc>
          <w:tcPr>
            <w:tcW w:w="479" w:type="pct"/>
            <w:tcBorders>
              <w:tl2br w:val="nil"/>
              <w:tr2bl w:val="nil"/>
            </w:tcBorders>
            <w:shd w:val="clear" w:color="auto" w:fill="auto"/>
            <w:vAlign w:val="center"/>
          </w:tcPr>
          <w:p w14:paraId="2C56135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70</w:t>
            </w:r>
          </w:p>
        </w:tc>
        <w:tc>
          <w:tcPr>
            <w:tcW w:w="1174" w:type="pct"/>
            <w:vMerge w:val="continue"/>
            <w:tcBorders>
              <w:tl2br w:val="nil"/>
              <w:tr2bl w:val="nil"/>
            </w:tcBorders>
            <w:vAlign w:val="center"/>
          </w:tcPr>
          <w:p w14:paraId="6EC74AD3">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7336C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0F75DB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3D294B5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4292B8B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11B7E88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35</w:t>
            </w:r>
          </w:p>
        </w:tc>
        <w:tc>
          <w:tcPr>
            <w:tcW w:w="1174" w:type="pct"/>
            <w:vMerge w:val="continue"/>
            <w:tcBorders>
              <w:tl2br w:val="nil"/>
              <w:tr2bl w:val="nil"/>
            </w:tcBorders>
            <w:vAlign w:val="center"/>
          </w:tcPr>
          <w:p w14:paraId="5C763F99">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0CECC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0A37EA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4</w:t>
            </w:r>
          </w:p>
        </w:tc>
        <w:tc>
          <w:tcPr>
            <w:tcW w:w="3339" w:type="pct"/>
            <w:gridSpan w:val="3"/>
            <w:tcBorders>
              <w:tl2br w:val="nil"/>
              <w:tr2bl w:val="nil"/>
            </w:tcBorders>
            <w:shd w:val="clear" w:color="auto" w:fill="auto"/>
            <w:noWrap/>
            <w:vAlign w:val="center"/>
          </w:tcPr>
          <w:p w14:paraId="2B3D35F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石渎溪</w:t>
            </w:r>
          </w:p>
        </w:tc>
        <w:tc>
          <w:tcPr>
            <w:tcW w:w="1174" w:type="pct"/>
            <w:vMerge w:val="continue"/>
            <w:tcBorders>
              <w:tl2br w:val="nil"/>
              <w:tr2bl w:val="nil"/>
            </w:tcBorders>
            <w:vAlign w:val="center"/>
          </w:tcPr>
          <w:p w14:paraId="1E7A8DF3">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0F1F2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0C68AA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40D4D82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6F2C7C3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w:t>
            </w:r>
            <w:r>
              <w:rPr>
                <w:rFonts w:hint="eastAsia" w:ascii="仿宋" w:hAnsi="仿宋" w:eastAsia="仿宋" w:cs="仿宋"/>
                <w:color w:val="000000" w:themeColor="text1"/>
                <w:sz w:val="24"/>
                <w:szCs w:val="24"/>
                <w:highlight w:val="none"/>
                <w:lang w:eastAsia="zh-CN" w:bidi="he-IL"/>
                <w14:textFill>
                  <w14:solidFill>
                    <w14:schemeClr w14:val="tx1"/>
                  </w14:solidFill>
                </w14:textFill>
              </w:rPr>
              <w:t>km²</w:t>
            </w:r>
          </w:p>
        </w:tc>
        <w:tc>
          <w:tcPr>
            <w:tcW w:w="479" w:type="pct"/>
            <w:tcBorders>
              <w:tl2br w:val="nil"/>
              <w:tr2bl w:val="nil"/>
            </w:tcBorders>
            <w:shd w:val="clear" w:color="auto" w:fill="auto"/>
            <w:vAlign w:val="center"/>
          </w:tcPr>
          <w:p w14:paraId="3912B87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90</w:t>
            </w:r>
          </w:p>
        </w:tc>
        <w:tc>
          <w:tcPr>
            <w:tcW w:w="1174" w:type="pct"/>
            <w:vMerge w:val="continue"/>
            <w:tcBorders>
              <w:tl2br w:val="nil"/>
              <w:tr2bl w:val="nil"/>
            </w:tcBorders>
            <w:vAlign w:val="center"/>
          </w:tcPr>
          <w:p w14:paraId="36E76BCB">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78F908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72C0E9B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4783BD1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1D01DE7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33705C2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20</w:t>
            </w:r>
          </w:p>
        </w:tc>
        <w:tc>
          <w:tcPr>
            <w:tcW w:w="1174" w:type="pct"/>
            <w:vMerge w:val="continue"/>
            <w:tcBorders>
              <w:tl2br w:val="nil"/>
              <w:tr2bl w:val="nil"/>
            </w:tcBorders>
            <w:vAlign w:val="center"/>
          </w:tcPr>
          <w:p w14:paraId="0F37C90F">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611D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23EA8EC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5</w:t>
            </w:r>
          </w:p>
        </w:tc>
        <w:tc>
          <w:tcPr>
            <w:tcW w:w="3339" w:type="pct"/>
            <w:gridSpan w:val="3"/>
            <w:tcBorders>
              <w:tl2br w:val="nil"/>
              <w:tr2bl w:val="nil"/>
            </w:tcBorders>
            <w:shd w:val="clear" w:color="auto" w:fill="auto"/>
            <w:noWrap/>
            <w:vAlign w:val="center"/>
          </w:tcPr>
          <w:p w14:paraId="177F222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孝泉江</w:t>
            </w:r>
          </w:p>
        </w:tc>
        <w:tc>
          <w:tcPr>
            <w:tcW w:w="1174" w:type="pct"/>
            <w:vMerge w:val="continue"/>
            <w:tcBorders>
              <w:tl2br w:val="nil"/>
              <w:tr2bl w:val="nil"/>
            </w:tcBorders>
            <w:vAlign w:val="center"/>
          </w:tcPr>
          <w:p w14:paraId="0C96BEF2">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25FA7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3DB14E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07AE728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2B98739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w:t>
            </w:r>
            <w:r>
              <w:rPr>
                <w:rFonts w:hint="eastAsia" w:ascii="仿宋" w:hAnsi="仿宋" w:eastAsia="仿宋" w:cs="仿宋"/>
                <w:color w:val="000000" w:themeColor="text1"/>
                <w:sz w:val="24"/>
                <w:szCs w:val="24"/>
                <w:highlight w:val="none"/>
                <w:lang w:eastAsia="zh-CN" w:bidi="he-IL"/>
                <w14:textFill>
                  <w14:solidFill>
                    <w14:schemeClr w14:val="tx1"/>
                  </w14:solidFill>
                </w14:textFill>
              </w:rPr>
              <w:t>km²</w:t>
            </w:r>
          </w:p>
        </w:tc>
        <w:tc>
          <w:tcPr>
            <w:tcW w:w="479" w:type="pct"/>
            <w:tcBorders>
              <w:tl2br w:val="nil"/>
              <w:tr2bl w:val="nil"/>
            </w:tcBorders>
            <w:shd w:val="clear" w:color="auto" w:fill="auto"/>
            <w:vAlign w:val="center"/>
          </w:tcPr>
          <w:p w14:paraId="7935C51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70</w:t>
            </w:r>
          </w:p>
        </w:tc>
        <w:tc>
          <w:tcPr>
            <w:tcW w:w="1174" w:type="pct"/>
            <w:vMerge w:val="continue"/>
            <w:tcBorders>
              <w:tl2br w:val="nil"/>
              <w:tr2bl w:val="nil"/>
            </w:tcBorders>
            <w:vAlign w:val="center"/>
          </w:tcPr>
          <w:p w14:paraId="489D0442">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73763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287B96C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2A2FAB7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0985C18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3699BC7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20</w:t>
            </w:r>
          </w:p>
        </w:tc>
        <w:tc>
          <w:tcPr>
            <w:tcW w:w="1174" w:type="pct"/>
            <w:vMerge w:val="continue"/>
            <w:tcBorders>
              <w:tl2br w:val="nil"/>
              <w:tr2bl w:val="nil"/>
            </w:tcBorders>
            <w:vAlign w:val="center"/>
          </w:tcPr>
          <w:p w14:paraId="5A61247E">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5F78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791841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6</w:t>
            </w:r>
          </w:p>
        </w:tc>
        <w:tc>
          <w:tcPr>
            <w:tcW w:w="3339" w:type="pct"/>
            <w:gridSpan w:val="3"/>
            <w:tcBorders>
              <w:tl2br w:val="nil"/>
              <w:tr2bl w:val="nil"/>
            </w:tcBorders>
            <w:shd w:val="clear" w:color="auto" w:fill="auto"/>
            <w:noWrap/>
            <w:vAlign w:val="center"/>
          </w:tcPr>
          <w:p w14:paraId="12C23EC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同山溪</w:t>
            </w:r>
          </w:p>
        </w:tc>
        <w:tc>
          <w:tcPr>
            <w:tcW w:w="1174" w:type="pct"/>
            <w:vMerge w:val="continue"/>
            <w:tcBorders>
              <w:tl2br w:val="nil"/>
              <w:tr2bl w:val="nil"/>
            </w:tcBorders>
            <w:vAlign w:val="center"/>
          </w:tcPr>
          <w:p w14:paraId="7DE14E4D">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1CB96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138D2A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2673D63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349981F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流域面积km²</w:t>
            </w:r>
          </w:p>
        </w:tc>
        <w:tc>
          <w:tcPr>
            <w:tcW w:w="479" w:type="pct"/>
            <w:tcBorders>
              <w:tl2br w:val="nil"/>
              <w:tr2bl w:val="nil"/>
            </w:tcBorders>
            <w:shd w:val="clear" w:color="auto" w:fill="auto"/>
            <w:vAlign w:val="center"/>
          </w:tcPr>
          <w:p w14:paraId="033A90B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90</w:t>
            </w:r>
          </w:p>
        </w:tc>
        <w:tc>
          <w:tcPr>
            <w:tcW w:w="1174" w:type="pct"/>
            <w:vMerge w:val="continue"/>
            <w:tcBorders>
              <w:tl2br w:val="nil"/>
              <w:tr2bl w:val="nil"/>
            </w:tcBorders>
            <w:vAlign w:val="center"/>
          </w:tcPr>
          <w:p w14:paraId="43DE28BD">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6E614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4150361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15A1BE7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4FBB409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3E0E34D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30</w:t>
            </w:r>
          </w:p>
        </w:tc>
        <w:tc>
          <w:tcPr>
            <w:tcW w:w="1174" w:type="pct"/>
            <w:vMerge w:val="continue"/>
            <w:tcBorders>
              <w:tl2br w:val="nil"/>
              <w:tr2bl w:val="nil"/>
            </w:tcBorders>
            <w:vAlign w:val="center"/>
          </w:tcPr>
          <w:p w14:paraId="27E397B0">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77BFA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A70BBD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7</w:t>
            </w:r>
          </w:p>
        </w:tc>
        <w:tc>
          <w:tcPr>
            <w:tcW w:w="3339" w:type="pct"/>
            <w:gridSpan w:val="3"/>
            <w:tcBorders>
              <w:tl2br w:val="nil"/>
              <w:tr2bl w:val="nil"/>
            </w:tcBorders>
            <w:shd w:val="clear" w:color="auto" w:fill="auto"/>
            <w:noWrap/>
            <w:vAlign w:val="center"/>
          </w:tcPr>
          <w:p w14:paraId="007456B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璜山江</w:t>
            </w:r>
          </w:p>
        </w:tc>
        <w:tc>
          <w:tcPr>
            <w:tcW w:w="1174" w:type="pct"/>
            <w:vMerge w:val="continue"/>
            <w:tcBorders>
              <w:tl2br w:val="nil"/>
              <w:tr2bl w:val="nil"/>
            </w:tcBorders>
            <w:vAlign w:val="center"/>
          </w:tcPr>
          <w:p w14:paraId="6FE7F2DF">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183A7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B8B5F1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4EF2AB4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314B68F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流域面积km²</w:t>
            </w:r>
          </w:p>
        </w:tc>
        <w:tc>
          <w:tcPr>
            <w:tcW w:w="479" w:type="pct"/>
            <w:tcBorders>
              <w:tl2br w:val="nil"/>
              <w:tr2bl w:val="nil"/>
            </w:tcBorders>
            <w:shd w:val="clear" w:color="auto" w:fill="auto"/>
            <w:vAlign w:val="center"/>
          </w:tcPr>
          <w:p w14:paraId="61377ED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230</w:t>
            </w:r>
          </w:p>
        </w:tc>
        <w:tc>
          <w:tcPr>
            <w:tcW w:w="1174" w:type="pct"/>
            <w:vMerge w:val="continue"/>
            <w:tcBorders>
              <w:tl2br w:val="nil"/>
              <w:tr2bl w:val="nil"/>
            </w:tcBorders>
            <w:vAlign w:val="center"/>
          </w:tcPr>
          <w:p w14:paraId="4E040D8D">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37212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86360D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7B941A3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552E2E8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0F23C02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60</w:t>
            </w:r>
          </w:p>
        </w:tc>
        <w:tc>
          <w:tcPr>
            <w:tcW w:w="1174" w:type="pct"/>
            <w:vMerge w:val="continue"/>
            <w:tcBorders>
              <w:tl2br w:val="nil"/>
              <w:tr2bl w:val="nil"/>
            </w:tcBorders>
            <w:vAlign w:val="center"/>
          </w:tcPr>
          <w:p w14:paraId="23C9258B">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5809E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54B0E0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8</w:t>
            </w:r>
          </w:p>
        </w:tc>
        <w:tc>
          <w:tcPr>
            <w:tcW w:w="3339" w:type="pct"/>
            <w:gridSpan w:val="3"/>
            <w:tcBorders>
              <w:tl2br w:val="nil"/>
              <w:tr2bl w:val="nil"/>
            </w:tcBorders>
            <w:shd w:val="clear" w:color="auto" w:fill="auto"/>
            <w:noWrap/>
            <w:vAlign w:val="center"/>
          </w:tcPr>
          <w:p w14:paraId="786C084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次坞溪</w:t>
            </w:r>
          </w:p>
        </w:tc>
        <w:tc>
          <w:tcPr>
            <w:tcW w:w="1174" w:type="pct"/>
            <w:vMerge w:val="continue"/>
            <w:tcBorders>
              <w:tl2br w:val="nil"/>
              <w:tr2bl w:val="nil"/>
            </w:tcBorders>
            <w:vAlign w:val="center"/>
          </w:tcPr>
          <w:p w14:paraId="67678B51">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7FDDD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712258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78EBD52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43B6A3C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流域面积km²</w:t>
            </w:r>
          </w:p>
        </w:tc>
        <w:tc>
          <w:tcPr>
            <w:tcW w:w="479" w:type="pct"/>
            <w:tcBorders>
              <w:tl2br w:val="nil"/>
              <w:tr2bl w:val="nil"/>
            </w:tcBorders>
            <w:shd w:val="clear" w:color="auto" w:fill="auto"/>
            <w:vAlign w:val="center"/>
          </w:tcPr>
          <w:p w14:paraId="342F890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30</w:t>
            </w:r>
          </w:p>
        </w:tc>
        <w:tc>
          <w:tcPr>
            <w:tcW w:w="1174" w:type="pct"/>
            <w:vMerge w:val="continue"/>
            <w:tcBorders>
              <w:tl2br w:val="nil"/>
              <w:tr2bl w:val="nil"/>
            </w:tcBorders>
            <w:vAlign w:val="center"/>
          </w:tcPr>
          <w:p w14:paraId="738F066B">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59B87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0F36638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3321BE1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032D2B3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718FDA2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5</w:t>
            </w:r>
          </w:p>
        </w:tc>
        <w:tc>
          <w:tcPr>
            <w:tcW w:w="1174" w:type="pct"/>
            <w:vMerge w:val="continue"/>
            <w:tcBorders>
              <w:tl2br w:val="nil"/>
              <w:tr2bl w:val="nil"/>
            </w:tcBorders>
            <w:vAlign w:val="center"/>
          </w:tcPr>
          <w:p w14:paraId="0D841FDE">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36935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ACB5CC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9</w:t>
            </w:r>
          </w:p>
        </w:tc>
        <w:tc>
          <w:tcPr>
            <w:tcW w:w="3339" w:type="pct"/>
            <w:gridSpan w:val="3"/>
            <w:tcBorders>
              <w:tl2br w:val="nil"/>
              <w:tr2bl w:val="nil"/>
            </w:tcBorders>
            <w:shd w:val="clear" w:color="auto" w:fill="auto"/>
            <w:noWrap/>
            <w:vAlign w:val="center"/>
          </w:tcPr>
          <w:p w14:paraId="2475D0C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白渠</w:t>
            </w:r>
          </w:p>
        </w:tc>
        <w:tc>
          <w:tcPr>
            <w:tcW w:w="1174" w:type="pct"/>
            <w:vMerge w:val="continue"/>
            <w:tcBorders>
              <w:tl2br w:val="nil"/>
              <w:tr2bl w:val="nil"/>
            </w:tcBorders>
            <w:vAlign w:val="center"/>
          </w:tcPr>
          <w:p w14:paraId="632DED8D">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0ED1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4CB3FE5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63E53B9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03DA8C6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流域面积km²</w:t>
            </w:r>
          </w:p>
        </w:tc>
        <w:tc>
          <w:tcPr>
            <w:tcW w:w="479" w:type="pct"/>
            <w:tcBorders>
              <w:tl2br w:val="nil"/>
              <w:tr2bl w:val="nil"/>
            </w:tcBorders>
            <w:shd w:val="clear" w:color="auto" w:fill="auto"/>
            <w:vAlign w:val="center"/>
          </w:tcPr>
          <w:p w14:paraId="7A10B47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42</w:t>
            </w:r>
          </w:p>
        </w:tc>
        <w:tc>
          <w:tcPr>
            <w:tcW w:w="1174" w:type="pct"/>
            <w:vMerge w:val="continue"/>
            <w:tcBorders>
              <w:tl2br w:val="nil"/>
              <w:tr2bl w:val="nil"/>
            </w:tcBorders>
            <w:vAlign w:val="center"/>
          </w:tcPr>
          <w:p w14:paraId="17B268FD">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579F0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0DB461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13DE420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6B2D180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6821777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10</w:t>
            </w:r>
          </w:p>
        </w:tc>
        <w:tc>
          <w:tcPr>
            <w:tcW w:w="1174" w:type="pct"/>
            <w:vMerge w:val="continue"/>
            <w:tcBorders>
              <w:tl2br w:val="nil"/>
              <w:tr2bl w:val="nil"/>
            </w:tcBorders>
            <w:vAlign w:val="center"/>
          </w:tcPr>
          <w:p w14:paraId="175BB726">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DCD6E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7695FAA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default"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10</w:t>
            </w:r>
          </w:p>
        </w:tc>
        <w:tc>
          <w:tcPr>
            <w:tcW w:w="3339" w:type="pct"/>
            <w:gridSpan w:val="3"/>
            <w:tcBorders>
              <w:tl2br w:val="nil"/>
              <w:tr2bl w:val="nil"/>
            </w:tcBorders>
            <w:shd w:val="clear" w:color="auto" w:fill="auto"/>
            <w:noWrap/>
            <w:vAlign w:val="center"/>
          </w:tcPr>
          <w:p w14:paraId="2B5BDE7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嵩山溪</w:t>
            </w:r>
          </w:p>
        </w:tc>
        <w:tc>
          <w:tcPr>
            <w:tcW w:w="1174" w:type="pct"/>
            <w:vMerge w:val="continue"/>
            <w:tcBorders>
              <w:tl2br w:val="nil"/>
              <w:tr2bl w:val="nil"/>
            </w:tcBorders>
            <w:vAlign w:val="center"/>
          </w:tcPr>
          <w:p w14:paraId="62E85D4D">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0371C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2BC96A8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4AF24F1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2DEDF7C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w:t>
            </w:r>
            <w:r>
              <w:rPr>
                <w:rFonts w:hint="eastAsia" w:ascii="仿宋" w:hAnsi="仿宋" w:eastAsia="仿宋" w:cs="仿宋"/>
                <w:color w:val="000000" w:themeColor="text1"/>
                <w:sz w:val="24"/>
                <w:szCs w:val="24"/>
                <w:highlight w:val="none"/>
                <w:lang w:eastAsia="zh-CN" w:bidi="he-IL"/>
                <w14:textFill>
                  <w14:solidFill>
                    <w14:schemeClr w14:val="tx1"/>
                  </w14:solidFill>
                </w14:textFill>
              </w:rPr>
              <w:t>km²</w:t>
            </w:r>
          </w:p>
        </w:tc>
        <w:tc>
          <w:tcPr>
            <w:tcW w:w="479" w:type="pct"/>
            <w:tcBorders>
              <w:tl2br w:val="nil"/>
              <w:tr2bl w:val="nil"/>
            </w:tcBorders>
            <w:shd w:val="clear" w:color="auto" w:fill="auto"/>
            <w:vAlign w:val="center"/>
          </w:tcPr>
          <w:p w14:paraId="5ED67F4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20</w:t>
            </w:r>
          </w:p>
        </w:tc>
        <w:tc>
          <w:tcPr>
            <w:tcW w:w="1174" w:type="pct"/>
            <w:vMerge w:val="continue"/>
            <w:tcBorders>
              <w:tl2br w:val="nil"/>
              <w:tr2bl w:val="nil"/>
            </w:tcBorders>
            <w:vAlign w:val="center"/>
          </w:tcPr>
          <w:p w14:paraId="0C01E32A">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74D16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9C0EBF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521002F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457377C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4E6F207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10</w:t>
            </w:r>
          </w:p>
        </w:tc>
        <w:tc>
          <w:tcPr>
            <w:tcW w:w="1174" w:type="pct"/>
            <w:vMerge w:val="continue"/>
            <w:tcBorders>
              <w:tl2br w:val="nil"/>
              <w:tr2bl w:val="nil"/>
            </w:tcBorders>
            <w:vAlign w:val="center"/>
          </w:tcPr>
          <w:p w14:paraId="78832C7C">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16344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FDFEE0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default"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11</w:t>
            </w:r>
          </w:p>
        </w:tc>
        <w:tc>
          <w:tcPr>
            <w:tcW w:w="3339" w:type="pct"/>
            <w:gridSpan w:val="3"/>
            <w:tcBorders>
              <w:tl2br w:val="nil"/>
              <w:tr2bl w:val="nil"/>
            </w:tcBorders>
            <w:shd w:val="clear" w:color="auto" w:fill="auto"/>
            <w:noWrap/>
            <w:vAlign w:val="center"/>
          </w:tcPr>
          <w:p w14:paraId="39BB5EE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西岩溪</w:t>
            </w:r>
          </w:p>
        </w:tc>
        <w:tc>
          <w:tcPr>
            <w:tcW w:w="1174" w:type="pct"/>
            <w:vMerge w:val="continue"/>
            <w:tcBorders>
              <w:tl2br w:val="nil"/>
              <w:tr2bl w:val="nil"/>
            </w:tcBorders>
            <w:vAlign w:val="center"/>
          </w:tcPr>
          <w:p w14:paraId="655A27EA">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24169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40E8DA8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0841729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w:t>
            </w:r>
          </w:p>
        </w:tc>
        <w:tc>
          <w:tcPr>
            <w:tcW w:w="819" w:type="pct"/>
            <w:tcBorders>
              <w:tl2br w:val="nil"/>
              <w:tr2bl w:val="nil"/>
            </w:tcBorders>
            <w:shd w:val="clear" w:color="auto" w:fill="auto"/>
            <w:vAlign w:val="center"/>
          </w:tcPr>
          <w:p w14:paraId="6D7EE04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流域面积km²</w:t>
            </w:r>
          </w:p>
        </w:tc>
        <w:tc>
          <w:tcPr>
            <w:tcW w:w="479" w:type="pct"/>
            <w:tcBorders>
              <w:tl2br w:val="nil"/>
              <w:tr2bl w:val="nil"/>
            </w:tcBorders>
            <w:shd w:val="clear" w:color="auto" w:fill="auto"/>
            <w:vAlign w:val="center"/>
          </w:tcPr>
          <w:p w14:paraId="79B3BD6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50</w:t>
            </w:r>
          </w:p>
        </w:tc>
        <w:tc>
          <w:tcPr>
            <w:tcW w:w="1174" w:type="pct"/>
            <w:vMerge w:val="continue"/>
            <w:tcBorders>
              <w:tl2br w:val="nil"/>
              <w:tr2bl w:val="nil"/>
            </w:tcBorders>
            <w:vAlign w:val="center"/>
          </w:tcPr>
          <w:p w14:paraId="1A57EA2A">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68560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561D3B0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5E8AA76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风险隐患影响分析</w:t>
            </w:r>
          </w:p>
        </w:tc>
        <w:tc>
          <w:tcPr>
            <w:tcW w:w="819" w:type="pct"/>
            <w:tcBorders>
              <w:tl2br w:val="nil"/>
              <w:tr2bl w:val="nil"/>
            </w:tcBorders>
            <w:shd w:val="clear" w:color="auto" w:fill="auto"/>
            <w:vAlign w:val="center"/>
          </w:tcPr>
          <w:p w14:paraId="02EC28D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个</w:t>
            </w:r>
          </w:p>
        </w:tc>
        <w:tc>
          <w:tcPr>
            <w:tcW w:w="479" w:type="pct"/>
            <w:tcBorders>
              <w:tl2br w:val="nil"/>
              <w:tr2bl w:val="nil"/>
            </w:tcBorders>
            <w:shd w:val="clear" w:color="auto" w:fill="auto"/>
            <w:vAlign w:val="center"/>
          </w:tcPr>
          <w:p w14:paraId="091CADA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15</w:t>
            </w:r>
          </w:p>
        </w:tc>
        <w:tc>
          <w:tcPr>
            <w:tcW w:w="1174" w:type="pct"/>
            <w:vMerge w:val="continue"/>
            <w:tcBorders>
              <w:tl2br w:val="nil"/>
              <w:tr2bl w:val="nil"/>
            </w:tcBorders>
            <w:vAlign w:val="center"/>
          </w:tcPr>
          <w:p w14:paraId="6A48E6BD">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68492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24F3F9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default"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12</w:t>
            </w:r>
          </w:p>
        </w:tc>
        <w:tc>
          <w:tcPr>
            <w:tcW w:w="2040" w:type="pct"/>
            <w:tcBorders>
              <w:tl2br w:val="nil"/>
              <w:tr2bl w:val="nil"/>
            </w:tcBorders>
            <w:shd w:val="clear" w:color="auto" w:fill="auto"/>
            <w:noWrap/>
            <w:vAlign w:val="center"/>
          </w:tcPr>
          <w:p w14:paraId="62ED420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风险隐患调查与影响分析报告编制</w:t>
            </w:r>
          </w:p>
        </w:tc>
        <w:tc>
          <w:tcPr>
            <w:tcW w:w="819" w:type="pct"/>
            <w:tcBorders>
              <w:tl2br w:val="nil"/>
              <w:tr2bl w:val="nil"/>
            </w:tcBorders>
            <w:shd w:val="clear" w:color="auto" w:fill="auto"/>
            <w:vAlign w:val="center"/>
          </w:tcPr>
          <w:p w14:paraId="2AB1FEE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3C15994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1174" w:type="pct"/>
            <w:vMerge w:val="continue"/>
            <w:tcBorders>
              <w:tl2br w:val="nil"/>
              <w:tr2bl w:val="nil"/>
            </w:tcBorders>
            <w:vAlign w:val="center"/>
          </w:tcPr>
          <w:p w14:paraId="0509B4D0">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0A00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1CB9B46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default"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13</w:t>
            </w:r>
          </w:p>
        </w:tc>
        <w:tc>
          <w:tcPr>
            <w:tcW w:w="2040" w:type="pct"/>
            <w:tcBorders>
              <w:tl2br w:val="nil"/>
              <w:tr2bl w:val="nil"/>
            </w:tcBorders>
            <w:shd w:val="clear" w:color="auto" w:fill="auto"/>
            <w:noWrap/>
            <w:vAlign w:val="center"/>
          </w:tcPr>
          <w:p w14:paraId="5E8BA3D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数据整理与复核</w:t>
            </w:r>
          </w:p>
        </w:tc>
        <w:tc>
          <w:tcPr>
            <w:tcW w:w="819" w:type="pct"/>
            <w:tcBorders>
              <w:tl2br w:val="nil"/>
              <w:tr2bl w:val="nil"/>
            </w:tcBorders>
            <w:shd w:val="clear" w:color="auto" w:fill="auto"/>
            <w:noWrap/>
            <w:vAlign w:val="center"/>
          </w:tcPr>
          <w:p w14:paraId="5498340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noWrap/>
            <w:vAlign w:val="center"/>
          </w:tcPr>
          <w:p w14:paraId="478817A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1174" w:type="pct"/>
            <w:vMerge w:val="continue"/>
            <w:tcBorders>
              <w:tl2br w:val="nil"/>
              <w:tr2bl w:val="nil"/>
            </w:tcBorders>
            <w:vAlign w:val="center"/>
          </w:tcPr>
          <w:p w14:paraId="6ECA06E3">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53971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92CD0F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eastAsia="zh-CN" w:bidi="he-IL"/>
                <w14:textFill>
                  <w14:solidFill>
                    <w14:schemeClr w14:val="tx1"/>
                  </w14:solidFill>
                </w14:textFill>
              </w:rPr>
              <w:t>（</w:t>
            </w: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二</w:t>
            </w:r>
            <w:r>
              <w:rPr>
                <w:rFonts w:hint="eastAsia" w:ascii="仿宋" w:hAnsi="仿宋" w:eastAsia="仿宋" w:cs="仿宋"/>
                <w:color w:val="000000" w:themeColor="text1"/>
                <w:sz w:val="24"/>
                <w:szCs w:val="24"/>
                <w:highlight w:val="none"/>
                <w:lang w:eastAsia="zh-CN" w:bidi="he-IL"/>
                <w14:textFill>
                  <w14:solidFill>
                    <w14:schemeClr w14:val="tx1"/>
                  </w14:solidFill>
                </w14:textFill>
              </w:rPr>
              <w:t>）</w:t>
            </w:r>
          </w:p>
        </w:tc>
        <w:tc>
          <w:tcPr>
            <w:tcW w:w="3339" w:type="pct"/>
            <w:gridSpan w:val="3"/>
            <w:tcBorders>
              <w:tl2br w:val="nil"/>
              <w:tr2bl w:val="nil"/>
            </w:tcBorders>
            <w:shd w:val="clear" w:color="auto" w:fill="auto"/>
            <w:noWrap/>
            <w:vAlign w:val="center"/>
          </w:tcPr>
          <w:p w14:paraId="180DF51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沟道断面补充测量</w:t>
            </w:r>
          </w:p>
        </w:tc>
        <w:tc>
          <w:tcPr>
            <w:tcW w:w="1174" w:type="pct"/>
            <w:vMerge w:val="restart"/>
            <w:tcBorders>
              <w:tl2br w:val="nil"/>
              <w:tr2bl w:val="nil"/>
            </w:tcBorders>
            <w:shd w:val="clear" w:color="auto" w:fill="auto"/>
            <w:vAlign w:val="center"/>
          </w:tcPr>
          <w:p w14:paraId="3E91AEC2">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0426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7F76ECC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6528E6B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洪浦江</w:t>
            </w:r>
          </w:p>
        </w:tc>
        <w:tc>
          <w:tcPr>
            <w:tcW w:w="819" w:type="pct"/>
            <w:tcBorders>
              <w:tl2br w:val="nil"/>
              <w:tr2bl w:val="nil"/>
            </w:tcBorders>
            <w:shd w:val="clear" w:color="auto" w:fill="auto"/>
            <w:noWrap/>
            <w:vAlign w:val="center"/>
          </w:tcPr>
          <w:p w14:paraId="416DCE9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09DABF1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60</w:t>
            </w:r>
          </w:p>
        </w:tc>
        <w:tc>
          <w:tcPr>
            <w:tcW w:w="1174" w:type="pct"/>
            <w:vMerge w:val="continue"/>
            <w:tcBorders>
              <w:tl2br w:val="nil"/>
              <w:tr2bl w:val="nil"/>
            </w:tcBorders>
            <w:shd w:val="clear" w:color="auto" w:fill="auto"/>
            <w:vAlign w:val="center"/>
          </w:tcPr>
          <w:p w14:paraId="7C58EB1B">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62881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20060A8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07F393A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凰桐江</w:t>
            </w:r>
          </w:p>
        </w:tc>
        <w:tc>
          <w:tcPr>
            <w:tcW w:w="819" w:type="pct"/>
            <w:tcBorders>
              <w:tl2br w:val="nil"/>
              <w:tr2bl w:val="nil"/>
            </w:tcBorders>
            <w:shd w:val="clear" w:color="auto" w:fill="auto"/>
            <w:noWrap/>
            <w:vAlign w:val="center"/>
          </w:tcPr>
          <w:p w14:paraId="4F9E18A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140B275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150</w:t>
            </w:r>
          </w:p>
        </w:tc>
        <w:tc>
          <w:tcPr>
            <w:tcW w:w="1174" w:type="pct"/>
            <w:vMerge w:val="continue"/>
            <w:tcBorders>
              <w:tl2br w:val="nil"/>
              <w:tr2bl w:val="nil"/>
            </w:tcBorders>
            <w:shd w:val="clear" w:color="auto" w:fill="auto"/>
            <w:vAlign w:val="center"/>
          </w:tcPr>
          <w:p w14:paraId="7B1D4BB4">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7ACF3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4CDD7EB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w:t>
            </w:r>
          </w:p>
        </w:tc>
        <w:tc>
          <w:tcPr>
            <w:tcW w:w="2040" w:type="pct"/>
            <w:tcBorders>
              <w:tl2br w:val="nil"/>
              <w:tr2bl w:val="nil"/>
            </w:tcBorders>
            <w:shd w:val="clear" w:color="auto" w:fill="auto"/>
            <w:noWrap/>
            <w:vAlign w:val="center"/>
          </w:tcPr>
          <w:p w14:paraId="7CE4B97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马剑溪</w:t>
            </w:r>
          </w:p>
        </w:tc>
        <w:tc>
          <w:tcPr>
            <w:tcW w:w="819" w:type="pct"/>
            <w:tcBorders>
              <w:tl2br w:val="nil"/>
              <w:tr2bl w:val="nil"/>
            </w:tcBorders>
            <w:shd w:val="clear" w:color="auto" w:fill="auto"/>
            <w:noWrap/>
            <w:vAlign w:val="center"/>
          </w:tcPr>
          <w:p w14:paraId="4B92CE8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3192998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105</w:t>
            </w:r>
          </w:p>
        </w:tc>
        <w:tc>
          <w:tcPr>
            <w:tcW w:w="1174" w:type="pct"/>
            <w:vMerge w:val="continue"/>
            <w:tcBorders>
              <w:tl2br w:val="nil"/>
              <w:tr2bl w:val="nil"/>
            </w:tcBorders>
            <w:shd w:val="clear" w:color="auto" w:fill="auto"/>
            <w:vAlign w:val="center"/>
          </w:tcPr>
          <w:p w14:paraId="318306D0">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C1B99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23C76C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4</w:t>
            </w:r>
          </w:p>
        </w:tc>
        <w:tc>
          <w:tcPr>
            <w:tcW w:w="2040" w:type="pct"/>
            <w:tcBorders>
              <w:tl2br w:val="nil"/>
              <w:tr2bl w:val="nil"/>
            </w:tcBorders>
            <w:shd w:val="clear" w:color="auto" w:fill="auto"/>
            <w:noWrap/>
            <w:vAlign w:val="center"/>
          </w:tcPr>
          <w:p w14:paraId="6460041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石渎溪</w:t>
            </w:r>
          </w:p>
        </w:tc>
        <w:tc>
          <w:tcPr>
            <w:tcW w:w="819" w:type="pct"/>
            <w:tcBorders>
              <w:tl2br w:val="nil"/>
              <w:tr2bl w:val="nil"/>
            </w:tcBorders>
            <w:shd w:val="clear" w:color="auto" w:fill="auto"/>
            <w:noWrap/>
            <w:vAlign w:val="center"/>
          </w:tcPr>
          <w:p w14:paraId="1962F3A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0889EA7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60</w:t>
            </w:r>
          </w:p>
        </w:tc>
        <w:tc>
          <w:tcPr>
            <w:tcW w:w="1174" w:type="pct"/>
            <w:vMerge w:val="continue"/>
            <w:tcBorders>
              <w:tl2br w:val="nil"/>
              <w:tr2bl w:val="nil"/>
            </w:tcBorders>
            <w:shd w:val="clear" w:color="auto" w:fill="auto"/>
            <w:vAlign w:val="center"/>
          </w:tcPr>
          <w:p w14:paraId="16AFE0AF">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45A83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09EE8D6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5</w:t>
            </w:r>
          </w:p>
        </w:tc>
        <w:tc>
          <w:tcPr>
            <w:tcW w:w="2040" w:type="pct"/>
            <w:tcBorders>
              <w:tl2br w:val="nil"/>
              <w:tr2bl w:val="nil"/>
            </w:tcBorders>
            <w:shd w:val="clear" w:color="auto" w:fill="auto"/>
            <w:noWrap/>
            <w:vAlign w:val="center"/>
          </w:tcPr>
          <w:p w14:paraId="5CA8593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孝泉江</w:t>
            </w:r>
          </w:p>
        </w:tc>
        <w:tc>
          <w:tcPr>
            <w:tcW w:w="819" w:type="pct"/>
            <w:tcBorders>
              <w:tl2br w:val="nil"/>
              <w:tr2bl w:val="nil"/>
            </w:tcBorders>
            <w:shd w:val="clear" w:color="auto" w:fill="auto"/>
            <w:noWrap/>
            <w:vAlign w:val="center"/>
          </w:tcPr>
          <w:p w14:paraId="43B2F73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655787E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60</w:t>
            </w:r>
          </w:p>
        </w:tc>
        <w:tc>
          <w:tcPr>
            <w:tcW w:w="1174" w:type="pct"/>
            <w:vMerge w:val="continue"/>
            <w:tcBorders>
              <w:tl2br w:val="nil"/>
              <w:tr2bl w:val="nil"/>
            </w:tcBorders>
            <w:shd w:val="clear" w:color="auto" w:fill="auto"/>
            <w:vAlign w:val="center"/>
          </w:tcPr>
          <w:p w14:paraId="23CBA9F7">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686FA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EEBDDF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6</w:t>
            </w:r>
          </w:p>
        </w:tc>
        <w:tc>
          <w:tcPr>
            <w:tcW w:w="2040" w:type="pct"/>
            <w:tcBorders>
              <w:tl2br w:val="nil"/>
              <w:tr2bl w:val="nil"/>
            </w:tcBorders>
            <w:shd w:val="clear" w:color="auto" w:fill="auto"/>
            <w:noWrap/>
            <w:vAlign w:val="center"/>
          </w:tcPr>
          <w:p w14:paraId="3027637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同山溪</w:t>
            </w:r>
          </w:p>
        </w:tc>
        <w:tc>
          <w:tcPr>
            <w:tcW w:w="819" w:type="pct"/>
            <w:tcBorders>
              <w:tl2br w:val="nil"/>
              <w:tr2bl w:val="nil"/>
            </w:tcBorders>
            <w:shd w:val="clear" w:color="auto" w:fill="auto"/>
            <w:noWrap/>
            <w:vAlign w:val="center"/>
          </w:tcPr>
          <w:p w14:paraId="49CCDF5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2F374B9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90</w:t>
            </w:r>
          </w:p>
        </w:tc>
        <w:tc>
          <w:tcPr>
            <w:tcW w:w="1174" w:type="pct"/>
            <w:vMerge w:val="continue"/>
            <w:tcBorders>
              <w:tl2br w:val="nil"/>
              <w:tr2bl w:val="nil"/>
            </w:tcBorders>
            <w:shd w:val="clear" w:color="auto" w:fill="auto"/>
            <w:vAlign w:val="center"/>
          </w:tcPr>
          <w:p w14:paraId="22857266">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25D01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D33529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7</w:t>
            </w:r>
          </w:p>
        </w:tc>
        <w:tc>
          <w:tcPr>
            <w:tcW w:w="2040" w:type="pct"/>
            <w:tcBorders>
              <w:tl2br w:val="nil"/>
              <w:tr2bl w:val="nil"/>
            </w:tcBorders>
            <w:shd w:val="clear" w:color="auto" w:fill="auto"/>
            <w:noWrap/>
            <w:vAlign w:val="center"/>
          </w:tcPr>
          <w:p w14:paraId="0CDA3F7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璜山江</w:t>
            </w:r>
          </w:p>
        </w:tc>
        <w:tc>
          <w:tcPr>
            <w:tcW w:w="819" w:type="pct"/>
            <w:tcBorders>
              <w:tl2br w:val="nil"/>
              <w:tr2bl w:val="nil"/>
            </w:tcBorders>
            <w:shd w:val="clear" w:color="auto" w:fill="auto"/>
            <w:noWrap/>
            <w:vAlign w:val="center"/>
          </w:tcPr>
          <w:p w14:paraId="7F1B94D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686845C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180</w:t>
            </w:r>
          </w:p>
        </w:tc>
        <w:tc>
          <w:tcPr>
            <w:tcW w:w="1174" w:type="pct"/>
            <w:vMerge w:val="continue"/>
            <w:tcBorders>
              <w:tl2br w:val="nil"/>
              <w:tr2bl w:val="nil"/>
            </w:tcBorders>
            <w:shd w:val="clear" w:color="auto" w:fill="auto"/>
            <w:vAlign w:val="center"/>
          </w:tcPr>
          <w:p w14:paraId="76F41F2F">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73689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0C3E07A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8</w:t>
            </w:r>
          </w:p>
        </w:tc>
        <w:tc>
          <w:tcPr>
            <w:tcW w:w="2040" w:type="pct"/>
            <w:tcBorders>
              <w:tl2br w:val="nil"/>
              <w:tr2bl w:val="nil"/>
            </w:tcBorders>
            <w:shd w:val="clear" w:color="auto" w:fill="auto"/>
            <w:noWrap/>
            <w:vAlign w:val="center"/>
          </w:tcPr>
          <w:p w14:paraId="42BAB49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次坞溪</w:t>
            </w:r>
          </w:p>
        </w:tc>
        <w:tc>
          <w:tcPr>
            <w:tcW w:w="819" w:type="pct"/>
            <w:tcBorders>
              <w:tl2br w:val="nil"/>
              <w:tr2bl w:val="nil"/>
            </w:tcBorders>
            <w:shd w:val="clear" w:color="auto" w:fill="auto"/>
            <w:noWrap/>
            <w:vAlign w:val="center"/>
          </w:tcPr>
          <w:p w14:paraId="6A9A620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5DD4081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15</w:t>
            </w:r>
          </w:p>
        </w:tc>
        <w:tc>
          <w:tcPr>
            <w:tcW w:w="1174" w:type="pct"/>
            <w:vMerge w:val="continue"/>
            <w:tcBorders>
              <w:tl2br w:val="nil"/>
              <w:tr2bl w:val="nil"/>
            </w:tcBorders>
            <w:shd w:val="clear" w:color="auto" w:fill="auto"/>
            <w:vAlign w:val="center"/>
          </w:tcPr>
          <w:p w14:paraId="076EEA1B">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3D1439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198E5353">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9</w:t>
            </w:r>
          </w:p>
        </w:tc>
        <w:tc>
          <w:tcPr>
            <w:tcW w:w="2040" w:type="pct"/>
            <w:tcBorders>
              <w:tl2br w:val="nil"/>
              <w:tr2bl w:val="nil"/>
            </w:tcBorders>
            <w:shd w:val="clear" w:color="auto" w:fill="auto"/>
            <w:noWrap/>
            <w:vAlign w:val="center"/>
          </w:tcPr>
          <w:p w14:paraId="3424FA7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白渠</w:t>
            </w:r>
          </w:p>
        </w:tc>
        <w:tc>
          <w:tcPr>
            <w:tcW w:w="819" w:type="pct"/>
            <w:tcBorders>
              <w:tl2br w:val="nil"/>
              <w:tr2bl w:val="nil"/>
            </w:tcBorders>
            <w:shd w:val="clear" w:color="auto" w:fill="auto"/>
            <w:noWrap/>
            <w:vAlign w:val="center"/>
          </w:tcPr>
          <w:p w14:paraId="3476B4C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2D51E83C">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30</w:t>
            </w:r>
          </w:p>
        </w:tc>
        <w:tc>
          <w:tcPr>
            <w:tcW w:w="1174" w:type="pct"/>
            <w:vMerge w:val="continue"/>
            <w:tcBorders>
              <w:tl2br w:val="nil"/>
              <w:tr2bl w:val="nil"/>
            </w:tcBorders>
            <w:shd w:val="clear" w:color="auto" w:fill="auto"/>
            <w:vAlign w:val="center"/>
          </w:tcPr>
          <w:p w14:paraId="414173F8">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00104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37A9166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default"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10</w:t>
            </w:r>
          </w:p>
        </w:tc>
        <w:tc>
          <w:tcPr>
            <w:tcW w:w="2040" w:type="pct"/>
            <w:tcBorders>
              <w:tl2br w:val="nil"/>
              <w:tr2bl w:val="nil"/>
            </w:tcBorders>
            <w:shd w:val="clear" w:color="auto" w:fill="auto"/>
            <w:noWrap/>
            <w:vAlign w:val="center"/>
          </w:tcPr>
          <w:p w14:paraId="36E915E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嵩山溪</w:t>
            </w:r>
          </w:p>
        </w:tc>
        <w:tc>
          <w:tcPr>
            <w:tcW w:w="819" w:type="pct"/>
            <w:tcBorders>
              <w:tl2br w:val="nil"/>
              <w:tr2bl w:val="nil"/>
            </w:tcBorders>
            <w:shd w:val="clear" w:color="auto" w:fill="auto"/>
            <w:noWrap/>
            <w:vAlign w:val="center"/>
          </w:tcPr>
          <w:p w14:paraId="40DCA1D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589EB8B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30</w:t>
            </w:r>
          </w:p>
        </w:tc>
        <w:tc>
          <w:tcPr>
            <w:tcW w:w="1174" w:type="pct"/>
            <w:vMerge w:val="continue"/>
            <w:tcBorders>
              <w:tl2br w:val="nil"/>
              <w:tr2bl w:val="nil"/>
            </w:tcBorders>
            <w:shd w:val="clear" w:color="auto" w:fill="auto"/>
            <w:vAlign w:val="center"/>
          </w:tcPr>
          <w:p w14:paraId="5587952C">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143CF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693229C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default"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11</w:t>
            </w:r>
          </w:p>
        </w:tc>
        <w:tc>
          <w:tcPr>
            <w:tcW w:w="2040" w:type="pct"/>
            <w:tcBorders>
              <w:tl2br w:val="nil"/>
              <w:tr2bl w:val="nil"/>
            </w:tcBorders>
            <w:shd w:val="clear" w:color="auto" w:fill="auto"/>
            <w:noWrap/>
            <w:vAlign w:val="center"/>
          </w:tcPr>
          <w:p w14:paraId="61147BE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西岩溪</w:t>
            </w:r>
          </w:p>
        </w:tc>
        <w:tc>
          <w:tcPr>
            <w:tcW w:w="819" w:type="pct"/>
            <w:tcBorders>
              <w:tl2br w:val="nil"/>
              <w:tr2bl w:val="nil"/>
            </w:tcBorders>
            <w:shd w:val="clear" w:color="auto" w:fill="auto"/>
            <w:noWrap/>
            <w:vAlign w:val="center"/>
          </w:tcPr>
          <w:p w14:paraId="492EDFF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条</w:t>
            </w:r>
          </w:p>
        </w:tc>
        <w:tc>
          <w:tcPr>
            <w:tcW w:w="479" w:type="pct"/>
            <w:tcBorders>
              <w:tl2br w:val="nil"/>
              <w:tr2bl w:val="nil"/>
            </w:tcBorders>
            <w:shd w:val="clear" w:color="auto" w:fill="auto"/>
            <w:noWrap/>
            <w:vAlign w:val="center"/>
          </w:tcPr>
          <w:p w14:paraId="0D40806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45</w:t>
            </w:r>
          </w:p>
        </w:tc>
        <w:tc>
          <w:tcPr>
            <w:tcW w:w="1174" w:type="pct"/>
            <w:vMerge w:val="continue"/>
            <w:tcBorders>
              <w:tl2br w:val="nil"/>
              <w:tr2bl w:val="nil"/>
            </w:tcBorders>
            <w:shd w:val="clear" w:color="auto" w:fill="auto"/>
            <w:vAlign w:val="center"/>
          </w:tcPr>
          <w:p w14:paraId="736CDFDA">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14B05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noWrap/>
            <w:vAlign w:val="center"/>
          </w:tcPr>
          <w:p w14:paraId="04064AB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eastAsia="zh-CN" w:bidi="he-IL"/>
                <w14:textFill>
                  <w14:solidFill>
                    <w14:schemeClr w14:val="tx1"/>
                  </w14:solidFill>
                </w14:textFill>
              </w:rPr>
            </w:pPr>
            <w:r>
              <w:rPr>
                <w:rFonts w:hint="eastAsia" w:ascii="仿宋" w:hAnsi="仿宋" w:eastAsia="仿宋" w:cs="仿宋"/>
                <w:color w:val="000000" w:themeColor="text1"/>
                <w:sz w:val="24"/>
                <w:szCs w:val="24"/>
                <w:highlight w:val="none"/>
                <w:lang w:val="en-US" w:eastAsia="zh-CN" w:bidi="he-IL"/>
                <w14:textFill>
                  <w14:solidFill>
                    <w14:schemeClr w14:val="tx1"/>
                  </w14:solidFill>
                </w14:textFill>
              </w:rPr>
              <w:t>（三）</w:t>
            </w:r>
          </w:p>
        </w:tc>
        <w:tc>
          <w:tcPr>
            <w:tcW w:w="3339" w:type="pct"/>
            <w:gridSpan w:val="3"/>
            <w:tcBorders>
              <w:tl2br w:val="nil"/>
              <w:tr2bl w:val="nil"/>
            </w:tcBorders>
            <w:shd w:val="clear" w:color="auto" w:fill="auto"/>
            <w:noWrap/>
            <w:vAlign w:val="center"/>
          </w:tcPr>
          <w:p w14:paraId="52C9DFB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简化洪水淹没分析模型</w:t>
            </w:r>
          </w:p>
        </w:tc>
        <w:tc>
          <w:tcPr>
            <w:tcW w:w="1174" w:type="pct"/>
            <w:vMerge w:val="restart"/>
            <w:tcBorders>
              <w:tl2br w:val="nil"/>
              <w:tr2bl w:val="nil"/>
            </w:tcBorders>
            <w:shd w:val="clear" w:color="auto" w:fill="auto"/>
            <w:vAlign w:val="center"/>
          </w:tcPr>
          <w:p w14:paraId="54B2CDA2">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1DB49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36B6F202">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765AAAA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分析范围确定</w:t>
            </w:r>
          </w:p>
        </w:tc>
        <w:tc>
          <w:tcPr>
            <w:tcW w:w="819" w:type="pct"/>
            <w:tcBorders>
              <w:tl2br w:val="nil"/>
              <w:tr2bl w:val="nil"/>
            </w:tcBorders>
            <w:shd w:val="clear" w:color="auto" w:fill="auto"/>
            <w:noWrap/>
            <w:vAlign w:val="center"/>
          </w:tcPr>
          <w:p w14:paraId="30CCB8B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6D03ECB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11</w:t>
            </w:r>
          </w:p>
        </w:tc>
        <w:tc>
          <w:tcPr>
            <w:tcW w:w="1174" w:type="pct"/>
            <w:vMerge w:val="continue"/>
            <w:tcBorders>
              <w:tl2br w:val="nil"/>
              <w:tr2bl w:val="nil"/>
            </w:tcBorders>
            <w:shd w:val="clear" w:color="auto" w:fill="auto"/>
            <w:vAlign w:val="center"/>
          </w:tcPr>
          <w:p w14:paraId="14B59344">
            <w:pPr>
              <w:keepNext w:val="0"/>
              <w:keepLines w:val="0"/>
              <w:pageBreakBefore w:val="0"/>
              <w:widowControl/>
              <w:kinsoku/>
              <w:wordWrap/>
              <w:overflowPunct/>
              <w:topLinePunct w:val="0"/>
              <w:autoSpaceDE/>
              <w:autoSpaceDN/>
              <w:bidi w:val="0"/>
              <w:adjustRightInd/>
              <w:snapToGrid w:val="0"/>
              <w:spacing w:line="380" w:lineRule="exact"/>
              <w:jc w:val="center"/>
              <w:textAlignment w:val="auto"/>
              <w:rPr>
                <w:rFonts w:hint="eastAsia" w:ascii="仿宋" w:hAnsi="仿宋" w:eastAsia="仿宋" w:cs="仿宋"/>
                <w:color w:val="000000" w:themeColor="text1"/>
                <w:kern w:val="0"/>
                <w:sz w:val="24"/>
                <w:szCs w:val="24"/>
                <w:highlight w:val="none"/>
                <w14:textFill>
                  <w14:solidFill>
                    <w14:schemeClr w14:val="tx1"/>
                  </w14:solidFill>
                </w14:textFill>
              </w:rPr>
            </w:pPr>
          </w:p>
        </w:tc>
      </w:tr>
      <w:tr w14:paraId="3E001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4B4FFFB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5D70244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内业资料整理</w:t>
            </w:r>
          </w:p>
        </w:tc>
        <w:tc>
          <w:tcPr>
            <w:tcW w:w="819" w:type="pct"/>
            <w:tcBorders>
              <w:tl2br w:val="nil"/>
              <w:tr2bl w:val="nil"/>
            </w:tcBorders>
            <w:shd w:val="clear" w:color="auto" w:fill="auto"/>
            <w:noWrap/>
            <w:vAlign w:val="center"/>
          </w:tcPr>
          <w:p w14:paraId="06108A1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6B40549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11</w:t>
            </w:r>
          </w:p>
        </w:tc>
        <w:tc>
          <w:tcPr>
            <w:tcW w:w="1174" w:type="pct"/>
            <w:vMerge w:val="continue"/>
            <w:tcBorders>
              <w:tl2br w:val="nil"/>
              <w:tr2bl w:val="nil"/>
            </w:tcBorders>
            <w:shd w:val="clear" w:color="auto" w:fill="auto"/>
            <w:vAlign w:val="center"/>
          </w:tcPr>
          <w:p w14:paraId="2989A5E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69EA7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7DDF0D81">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w:t>
            </w:r>
          </w:p>
        </w:tc>
        <w:tc>
          <w:tcPr>
            <w:tcW w:w="2040" w:type="pct"/>
            <w:tcBorders>
              <w:tl2br w:val="nil"/>
              <w:tr2bl w:val="nil"/>
            </w:tcBorders>
            <w:shd w:val="clear" w:color="auto" w:fill="auto"/>
            <w:noWrap/>
            <w:vAlign w:val="center"/>
          </w:tcPr>
          <w:p w14:paraId="5A3F003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外业调查测量</w:t>
            </w:r>
          </w:p>
        </w:tc>
        <w:tc>
          <w:tcPr>
            <w:tcW w:w="819" w:type="pct"/>
            <w:tcBorders>
              <w:tl2br w:val="nil"/>
              <w:tr2bl w:val="nil"/>
            </w:tcBorders>
            <w:shd w:val="clear" w:color="auto" w:fill="auto"/>
            <w:noWrap/>
            <w:vAlign w:val="center"/>
          </w:tcPr>
          <w:p w14:paraId="7B8B545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40548C0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11</w:t>
            </w:r>
          </w:p>
        </w:tc>
        <w:tc>
          <w:tcPr>
            <w:tcW w:w="1174" w:type="pct"/>
            <w:vMerge w:val="continue"/>
            <w:tcBorders>
              <w:tl2br w:val="nil"/>
              <w:tr2bl w:val="nil"/>
            </w:tcBorders>
            <w:shd w:val="clear" w:color="auto" w:fill="auto"/>
            <w:vAlign w:val="center"/>
          </w:tcPr>
          <w:p w14:paraId="45D1C1C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32183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675B270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4</w:t>
            </w:r>
          </w:p>
        </w:tc>
        <w:tc>
          <w:tcPr>
            <w:tcW w:w="2040" w:type="pct"/>
            <w:tcBorders>
              <w:tl2br w:val="nil"/>
              <w:tr2bl w:val="nil"/>
            </w:tcBorders>
            <w:shd w:val="clear" w:color="auto" w:fill="auto"/>
            <w:noWrap/>
            <w:vAlign w:val="center"/>
          </w:tcPr>
          <w:p w14:paraId="08671D3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水文分析计算</w:t>
            </w:r>
          </w:p>
        </w:tc>
        <w:tc>
          <w:tcPr>
            <w:tcW w:w="819" w:type="pct"/>
            <w:tcBorders>
              <w:tl2br w:val="nil"/>
              <w:tr2bl w:val="nil"/>
            </w:tcBorders>
            <w:shd w:val="clear" w:color="auto" w:fill="auto"/>
            <w:noWrap/>
            <w:vAlign w:val="center"/>
          </w:tcPr>
          <w:p w14:paraId="3DED243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0510671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11</w:t>
            </w:r>
          </w:p>
        </w:tc>
        <w:tc>
          <w:tcPr>
            <w:tcW w:w="1174" w:type="pct"/>
            <w:vMerge w:val="continue"/>
            <w:tcBorders>
              <w:tl2br w:val="nil"/>
              <w:tr2bl w:val="nil"/>
            </w:tcBorders>
            <w:shd w:val="clear" w:color="auto" w:fill="auto"/>
            <w:vAlign w:val="center"/>
          </w:tcPr>
          <w:p w14:paraId="1299695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23F0A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4A901AA7">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5</w:t>
            </w:r>
          </w:p>
        </w:tc>
        <w:tc>
          <w:tcPr>
            <w:tcW w:w="2040" w:type="pct"/>
            <w:tcBorders>
              <w:tl2br w:val="nil"/>
              <w:tr2bl w:val="nil"/>
            </w:tcBorders>
            <w:shd w:val="clear" w:color="auto" w:fill="auto"/>
            <w:noWrap/>
            <w:vAlign w:val="center"/>
          </w:tcPr>
          <w:p w14:paraId="0F89C5B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淹没范围绘制</w:t>
            </w:r>
          </w:p>
        </w:tc>
        <w:tc>
          <w:tcPr>
            <w:tcW w:w="819" w:type="pct"/>
            <w:tcBorders>
              <w:tl2br w:val="nil"/>
              <w:tr2bl w:val="nil"/>
            </w:tcBorders>
            <w:shd w:val="clear" w:color="auto" w:fill="auto"/>
            <w:noWrap/>
            <w:vAlign w:val="center"/>
          </w:tcPr>
          <w:p w14:paraId="75C1468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52442D69">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11</w:t>
            </w:r>
          </w:p>
        </w:tc>
        <w:tc>
          <w:tcPr>
            <w:tcW w:w="1174" w:type="pct"/>
            <w:vMerge w:val="continue"/>
            <w:tcBorders>
              <w:tl2br w:val="nil"/>
              <w:tr2bl w:val="nil"/>
            </w:tcBorders>
            <w:shd w:val="clear" w:color="auto" w:fill="auto"/>
            <w:vAlign w:val="center"/>
          </w:tcPr>
          <w:p w14:paraId="1E3423A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55082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1F3AB41F">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6</w:t>
            </w:r>
          </w:p>
        </w:tc>
        <w:tc>
          <w:tcPr>
            <w:tcW w:w="2040" w:type="pct"/>
            <w:tcBorders>
              <w:tl2br w:val="nil"/>
              <w:tr2bl w:val="nil"/>
            </w:tcBorders>
            <w:shd w:val="clear" w:color="auto" w:fill="auto"/>
            <w:noWrap/>
            <w:vAlign w:val="center"/>
          </w:tcPr>
          <w:p w14:paraId="3FD38E8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影响对象生成</w:t>
            </w:r>
          </w:p>
        </w:tc>
        <w:tc>
          <w:tcPr>
            <w:tcW w:w="819" w:type="pct"/>
            <w:tcBorders>
              <w:tl2br w:val="nil"/>
              <w:tr2bl w:val="nil"/>
            </w:tcBorders>
            <w:shd w:val="clear" w:color="auto" w:fill="auto"/>
            <w:noWrap/>
            <w:vAlign w:val="center"/>
          </w:tcPr>
          <w:p w14:paraId="6E1501D6">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2D31038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11</w:t>
            </w:r>
          </w:p>
        </w:tc>
        <w:tc>
          <w:tcPr>
            <w:tcW w:w="1174" w:type="pct"/>
            <w:vMerge w:val="continue"/>
            <w:tcBorders>
              <w:tl2br w:val="nil"/>
              <w:tr2bl w:val="nil"/>
            </w:tcBorders>
            <w:shd w:val="clear" w:color="auto" w:fill="auto"/>
            <w:vAlign w:val="center"/>
          </w:tcPr>
          <w:p w14:paraId="1E743AB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62095D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tcBorders>
              <w:tl2br w:val="nil"/>
              <w:tr2bl w:val="nil"/>
            </w:tcBorders>
            <w:shd w:val="clear" w:color="auto" w:fill="auto"/>
            <w:vAlign w:val="center"/>
          </w:tcPr>
          <w:p w14:paraId="1EB3EDB6">
            <w:pPr>
              <w:adjustRightInd w:val="0"/>
              <w:snapToGrid w:val="0"/>
              <w:spacing w:line="240" w:lineRule="auto"/>
              <w:ind w:firstLine="0" w:firstLineChars="0"/>
              <w:jc w:val="center"/>
              <w:rPr>
                <w:rFonts w:hint="eastAsia" w:ascii="仿宋" w:hAnsi="仿宋" w:eastAsia="仿宋" w:cs="仿宋"/>
                <w:color w:val="000000" w:themeColor="text1"/>
                <w:sz w:val="24"/>
                <w:szCs w:val="24"/>
                <w:highlight w:val="none"/>
                <w:lang w:bidi="he-IL"/>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二</w:t>
            </w:r>
          </w:p>
        </w:tc>
        <w:tc>
          <w:tcPr>
            <w:tcW w:w="3339" w:type="pct"/>
            <w:gridSpan w:val="3"/>
            <w:tcBorders>
              <w:tl2br w:val="nil"/>
              <w:tr2bl w:val="nil"/>
            </w:tcBorders>
            <w:shd w:val="clear" w:color="auto" w:fill="auto"/>
            <w:noWrap/>
            <w:vAlign w:val="center"/>
          </w:tcPr>
          <w:p w14:paraId="0533F610">
            <w:pPr>
              <w:adjustRightInd w:val="0"/>
              <w:snapToGrid w:val="0"/>
              <w:spacing w:line="240" w:lineRule="auto"/>
              <w:ind w:firstLine="0" w:firstLineChars="0"/>
              <w:jc w:val="center"/>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中小河流洪水预报预警体系建设</w:t>
            </w:r>
          </w:p>
        </w:tc>
        <w:tc>
          <w:tcPr>
            <w:tcW w:w="1174" w:type="pct"/>
            <w:vMerge w:val="restart"/>
            <w:tcBorders>
              <w:tl2br w:val="nil"/>
              <w:tr2bl w:val="nil"/>
            </w:tcBorders>
            <w:shd w:val="clear" w:color="auto" w:fill="auto"/>
            <w:vAlign w:val="center"/>
          </w:tcPr>
          <w:p w14:paraId="5B0FECA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3977B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040B6285">
            <w:pPr>
              <w:keepNext w:val="0"/>
              <w:keepLines w:val="0"/>
              <w:pageBreakBefore w:val="0"/>
              <w:kinsoku/>
              <w:wordWrap/>
              <w:overflowPunct/>
              <w:topLinePunct w:val="0"/>
              <w:autoSpaceDE/>
              <w:autoSpaceDN/>
              <w:bidi w:val="0"/>
              <w:adjustRightInd/>
              <w:snapToGrid w:val="0"/>
              <w:spacing w:line="380" w:lineRule="exact"/>
              <w:ind w:left="360" w:leftChars="0" w:hanging="360" w:firstLineChars="0"/>
              <w:jc w:val="center"/>
              <w:textAlignment w:val="auto"/>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1</w:t>
            </w:r>
          </w:p>
        </w:tc>
        <w:tc>
          <w:tcPr>
            <w:tcW w:w="2040" w:type="pct"/>
            <w:tcBorders>
              <w:tl2br w:val="nil"/>
              <w:tr2bl w:val="nil"/>
            </w:tcBorders>
            <w:shd w:val="clear" w:color="auto" w:fill="auto"/>
            <w:noWrap/>
            <w:vAlign w:val="center"/>
          </w:tcPr>
          <w:p w14:paraId="5C4A36F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预报预警方案编制</w:t>
            </w:r>
          </w:p>
        </w:tc>
        <w:tc>
          <w:tcPr>
            <w:tcW w:w="819" w:type="pct"/>
            <w:tcBorders>
              <w:tl2br w:val="nil"/>
              <w:tr2bl w:val="nil"/>
            </w:tcBorders>
            <w:shd w:val="clear" w:color="auto" w:fill="auto"/>
            <w:noWrap/>
            <w:vAlign w:val="center"/>
          </w:tcPr>
          <w:p w14:paraId="22C9C44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0BAD2F9D">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7</w:t>
            </w:r>
          </w:p>
        </w:tc>
        <w:tc>
          <w:tcPr>
            <w:tcW w:w="1174" w:type="pct"/>
            <w:vMerge w:val="continue"/>
            <w:tcBorders>
              <w:tl2br w:val="nil"/>
              <w:tr2bl w:val="nil"/>
            </w:tcBorders>
            <w:shd w:val="clear" w:color="auto" w:fill="auto"/>
            <w:vAlign w:val="center"/>
          </w:tcPr>
          <w:p w14:paraId="5CD995F4">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7705D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66D54577">
            <w:pPr>
              <w:keepNext w:val="0"/>
              <w:keepLines w:val="0"/>
              <w:pageBreakBefore w:val="0"/>
              <w:kinsoku/>
              <w:wordWrap/>
              <w:overflowPunct/>
              <w:topLinePunct w:val="0"/>
              <w:autoSpaceDE/>
              <w:autoSpaceDN/>
              <w:bidi w:val="0"/>
              <w:adjustRightInd/>
              <w:snapToGrid w:val="0"/>
              <w:spacing w:line="380" w:lineRule="exact"/>
              <w:ind w:left="360" w:leftChars="0" w:hanging="360" w:firstLineChars="0"/>
              <w:jc w:val="center"/>
              <w:textAlignment w:val="auto"/>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2</w:t>
            </w:r>
          </w:p>
        </w:tc>
        <w:tc>
          <w:tcPr>
            <w:tcW w:w="2040" w:type="pct"/>
            <w:tcBorders>
              <w:tl2br w:val="nil"/>
              <w:tr2bl w:val="nil"/>
            </w:tcBorders>
            <w:shd w:val="clear" w:color="auto" w:fill="auto"/>
            <w:noWrap/>
            <w:vAlign w:val="center"/>
          </w:tcPr>
          <w:p w14:paraId="20DA7DE0">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预报预警水位特征值核定</w:t>
            </w:r>
          </w:p>
        </w:tc>
        <w:tc>
          <w:tcPr>
            <w:tcW w:w="819" w:type="pct"/>
            <w:tcBorders>
              <w:tl2br w:val="nil"/>
              <w:tr2bl w:val="nil"/>
            </w:tcBorders>
            <w:shd w:val="clear" w:color="auto" w:fill="auto"/>
            <w:noWrap/>
            <w:vAlign w:val="center"/>
          </w:tcPr>
          <w:p w14:paraId="662077F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4EEB351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7</w:t>
            </w:r>
          </w:p>
        </w:tc>
        <w:tc>
          <w:tcPr>
            <w:tcW w:w="1174" w:type="pct"/>
            <w:vMerge w:val="continue"/>
            <w:tcBorders>
              <w:tl2br w:val="nil"/>
              <w:tr2bl w:val="nil"/>
            </w:tcBorders>
            <w:shd w:val="clear" w:color="auto" w:fill="auto"/>
            <w:vAlign w:val="center"/>
          </w:tcPr>
          <w:p w14:paraId="21908048">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45E9B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6" w:type="pct"/>
            <w:tcBorders>
              <w:tl2br w:val="nil"/>
              <w:tr2bl w:val="nil"/>
            </w:tcBorders>
            <w:shd w:val="clear" w:color="auto" w:fill="auto"/>
            <w:vAlign w:val="center"/>
          </w:tcPr>
          <w:p w14:paraId="44D5FC5B">
            <w:pPr>
              <w:keepNext w:val="0"/>
              <w:keepLines w:val="0"/>
              <w:pageBreakBefore w:val="0"/>
              <w:kinsoku/>
              <w:wordWrap/>
              <w:overflowPunct/>
              <w:topLinePunct w:val="0"/>
              <w:autoSpaceDE/>
              <w:autoSpaceDN/>
              <w:bidi w:val="0"/>
              <w:adjustRightInd/>
              <w:snapToGrid w:val="0"/>
              <w:spacing w:line="380" w:lineRule="exact"/>
              <w:ind w:left="360" w:leftChars="0" w:hanging="360" w:firstLineChars="0"/>
              <w:jc w:val="center"/>
              <w:textAlignment w:val="auto"/>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3</w:t>
            </w:r>
          </w:p>
        </w:tc>
        <w:tc>
          <w:tcPr>
            <w:tcW w:w="2040" w:type="pct"/>
            <w:tcBorders>
              <w:tl2br w:val="nil"/>
              <w:tr2bl w:val="nil"/>
            </w:tcBorders>
            <w:shd w:val="clear" w:color="auto" w:fill="auto"/>
            <w:noWrap/>
            <w:vAlign w:val="center"/>
          </w:tcPr>
          <w:p w14:paraId="07CFC4D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预报平台更新</w:t>
            </w:r>
          </w:p>
        </w:tc>
        <w:tc>
          <w:tcPr>
            <w:tcW w:w="819" w:type="pct"/>
            <w:tcBorders>
              <w:tl2br w:val="nil"/>
              <w:tr2bl w:val="nil"/>
            </w:tcBorders>
            <w:shd w:val="clear" w:color="auto" w:fill="auto"/>
            <w:noWrap/>
            <w:vAlign w:val="center"/>
          </w:tcPr>
          <w:p w14:paraId="5B0FACE5">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项</w:t>
            </w:r>
          </w:p>
        </w:tc>
        <w:tc>
          <w:tcPr>
            <w:tcW w:w="479" w:type="pct"/>
            <w:tcBorders>
              <w:tl2br w:val="nil"/>
              <w:tr2bl w:val="nil"/>
            </w:tcBorders>
            <w:shd w:val="clear" w:color="auto" w:fill="auto"/>
            <w:vAlign w:val="center"/>
          </w:tcPr>
          <w:p w14:paraId="3642DC1A">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val="en-US" w:eastAsia="zh-CN" w:bidi="he-IL"/>
                <w14:textFill>
                  <w14:solidFill>
                    <w14:schemeClr w14:val="tx1"/>
                  </w14:solidFill>
                </w14:textFill>
              </w:rPr>
            </w:pPr>
            <w:r>
              <w:rPr>
                <w:rFonts w:hint="eastAsia" w:ascii="仿宋" w:hAnsi="仿宋" w:eastAsia="仿宋" w:cs="仿宋"/>
                <w:color w:val="000000" w:themeColor="text1"/>
                <w:sz w:val="24"/>
                <w:szCs w:val="24"/>
                <w:highlight w:val="none"/>
                <w:lang w:bidi="he-IL"/>
                <w14:textFill>
                  <w14:solidFill>
                    <w14:schemeClr w14:val="tx1"/>
                  </w14:solidFill>
                </w14:textFill>
              </w:rPr>
              <w:t>7</w:t>
            </w:r>
          </w:p>
        </w:tc>
        <w:tc>
          <w:tcPr>
            <w:tcW w:w="1174" w:type="pct"/>
            <w:vMerge w:val="continue"/>
            <w:tcBorders>
              <w:tl2br w:val="nil"/>
              <w:tr2bl w:val="nil"/>
            </w:tcBorders>
            <w:shd w:val="clear" w:color="auto" w:fill="auto"/>
            <w:vAlign w:val="center"/>
          </w:tcPr>
          <w:p w14:paraId="0D8535EE">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r w14:paraId="25C8B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86" w:type="pct"/>
            <w:tcBorders>
              <w:tl2br w:val="nil"/>
              <w:tr2bl w:val="nil"/>
            </w:tcBorders>
            <w:shd w:val="clear" w:color="auto" w:fill="auto"/>
            <w:vAlign w:val="center"/>
          </w:tcPr>
          <w:p w14:paraId="2F39BD89">
            <w:pPr>
              <w:adjustRightInd w:val="0"/>
              <w:snapToGrid w:val="0"/>
              <w:spacing w:line="240" w:lineRule="auto"/>
              <w:ind w:firstLine="0" w:firstLineChars="0"/>
              <w:jc w:val="cente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三</w:t>
            </w:r>
          </w:p>
        </w:tc>
        <w:tc>
          <w:tcPr>
            <w:tcW w:w="2040" w:type="pct"/>
            <w:tcBorders>
              <w:tl2br w:val="nil"/>
              <w:tr2bl w:val="nil"/>
            </w:tcBorders>
            <w:shd w:val="clear" w:color="auto" w:fill="auto"/>
            <w:noWrap/>
            <w:vAlign w:val="center"/>
          </w:tcPr>
          <w:p w14:paraId="4A649CDD">
            <w:pPr>
              <w:adjustRightInd w:val="0"/>
              <w:snapToGrid w:val="0"/>
              <w:spacing w:line="240" w:lineRule="auto"/>
              <w:ind w:firstLine="0" w:firstLineChars="0"/>
              <w:jc w:val="cente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新型入户型报警叫应终端设备配备</w:t>
            </w:r>
          </w:p>
        </w:tc>
        <w:tc>
          <w:tcPr>
            <w:tcW w:w="819" w:type="pct"/>
            <w:tcBorders>
              <w:tl2br w:val="nil"/>
              <w:tr2bl w:val="nil"/>
            </w:tcBorders>
            <w:shd w:val="clear" w:color="auto" w:fill="auto"/>
            <w:noWrap/>
            <w:vAlign w:val="center"/>
          </w:tcPr>
          <w:p w14:paraId="05866EE6">
            <w:pPr>
              <w:adjustRightInd w:val="0"/>
              <w:snapToGrid w:val="0"/>
              <w:spacing w:line="240" w:lineRule="auto"/>
              <w:ind w:firstLine="0" w:firstLineChars="0"/>
              <w:jc w:val="cente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套</w:t>
            </w:r>
          </w:p>
        </w:tc>
        <w:tc>
          <w:tcPr>
            <w:tcW w:w="479" w:type="pct"/>
            <w:tcBorders>
              <w:tl2br w:val="nil"/>
              <w:tr2bl w:val="nil"/>
            </w:tcBorders>
            <w:shd w:val="clear" w:color="auto" w:fill="auto"/>
            <w:vAlign w:val="center"/>
          </w:tcPr>
          <w:p w14:paraId="1747BAB6">
            <w:pPr>
              <w:adjustRightInd w:val="0"/>
              <w:snapToGrid w:val="0"/>
              <w:spacing w:line="240" w:lineRule="auto"/>
              <w:ind w:firstLine="0" w:firstLineChars="0"/>
              <w:jc w:val="cente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100</w:t>
            </w:r>
          </w:p>
        </w:tc>
        <w:tc>
          <w:tcPr>
            <w:tcW w:w="1174" w:type="pct"/>
            <w:tcBorders>
              <w:tl2br w:val="nil"/>
              <w:tr2bl w:val="nil"/>
            </w:tcBorders>
            <w:shd w:val="clear" w:color="auto" w:fill="auto"/>
            <w:vAlign w:val="center"/>
          </w:tcPr>
          <w:p w14:paraId="557B326B">
            <w:pPr>
              <w:keepNext w:val="0"/>
              <w:keepLines w:val="0"/>
              <w:pageBreakBefore w:val="0"/>
              <w:kinsoku/>
              <w:wordWrap/>
              <w:overflowPunct/>
              <w:topLinePunct w:val="0"/>
              <w:autoSpaceDE/>
              <w:autoSpaceDN/>
              <w:bidi w:val="0"/>
              <w:adjustRightInd/>
              <w:snapToGrid w:val="0"/>
              <w:spacing w:line="380" w:lineRule="exact"/>
              <w:ind w:left="360" w:hanging="360"/>
              <w:jc w:val="center"/>
              <w:textAlignment w:val="auto"/>
              <w:rPr>
                <w:rFonts w:hint="eastAsia" w:ascii="仿宋" w:hAnsi="仿宋" w:eastAsia="仿宋" w:cs="仿宋"/>
                <w:color w:val="000000" w:themeColor="text1"/>
                <w:sz w:val="24"/>
                <w:szCs w:val="24"/>
                <w:highlight w:val="none"/>
                <w:lang w:bidi="he-IL"/>
                <w14:textFill>
                  <w14:solidFill>
                    <w14:schemeClr w14:val="tx1"/>
                  </w14:solidFill>
                </w14:textFill>
              </w:rPr>
            </w:pPr>
          </w:p>
        </w:tc>
      </w:tr>
    </w:tbl>
    <w:p w14:paraId="32B0CD6F">
      <w:pPr>
        <w:keepNext w:val="0"/>
        <w:keepLines w:val="0"/>
        <w:pageBreakBefore w:val="0"/>
        <w:widowControl/>
        <w:shd w:val="clear" w:color="auto" w:fill="auto"/>
        <w:kinsoku/>
        <w:wordWrap/>
        <w:overflowPunct/>
        <w:topLinePunct w:val="0"/>
        <w:autoSpaceDE/>
        <w:autoSpaceDN/>
        <w:bidi w:val="0"/>
        <w:adjustRightInd/>
        <w:snapToGrid/>
        <w:spacing w:line="420" w:lineRule="exact"/>
        <w:textAlignment w:val="auto"/>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t>（三）建设要求</w:t>
      </w:r>
    </w:p>
    <w:p w14:paraId="79FC6594">
      <w:pPr>
        <w:pStyle w:val="3"/>
        <w:pageBreakBefore w:val="0"/>
        <w:widowControl/>
        <w:tabs>
          <w:tab w:val="left" w:pos="432"/>
        </w:tabs>
        <w:kinsoku/>
        <w:wordWrap/>
        <w:overflowPunct/>
        <w:topLinePunct w:val="0"/>
        <w:autoSpaceDE/>
        <w:autoSpaceDN/>
        <w:bidi w:val="0"/>
        <w:adjustRightInd/>
        <w:snapToGrid w:val="0"/>
        <w:spacing w:before="0" w:beforeLines="0" w:after="0" w:afterLines="0" w:line="420" w:lineRule="exact"/>
        <w:ind w:firstLine="482" w:firstLineChars="200"/>
        <w:jc w:val="left"/>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w:t>
      </w:r>
      <w:r>
        <w:rPr>
          <w:rFonts w:hint="eastAsia" w:ascii="仿宋" w:hAnsi="仿宋" w:eastAsia="仿宋" w:cs="仿宋"/>
          <w:bCs/>
          <w:color w:val="000000" w:themeColor="text1"/>
          <w:sz w:val="24"/>
          <w:szCs w:val="24"/>
          <w:highlight w:val="none"/>
          <w:lang w:eastAsia="zh-CN"/>
          <w14:textFill>
            <w14:solidFill>
              <w14:schemeClr w14:val="tx1"/>
            </w14:solidFill>
          </w14:textFill>
        </w:rPr>
        <w:t>.风险隐患调查影响分析</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评价</w:t>
      </w:r>
    </w:p>
    <w:p w14:paraId="03E372EA">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近年典型山洪灾害事件调查情况，本次项目建设将在前期山洪灾害调查评价工作基础上，以流域为单元，以流域内山区集镇、沿河村落、经济活动区、旅游景区等为对象，按照实际情况，补充深入调查跨沟路段或桥涵阻水、塘堰坝挡水、沟道和滩地人类活动占地、多支齐汇、外洪顶托、低洼地积水、洪水改道或者漫流等山洪灾害风险隐患因素，并分析其潜在影响。通过风险隐患调查分析工作，及时将成果应用于修订临界雨量和预警指标，并将调查成果动态汇集至省级山洪数据库。</w:t>
      </w:r>
    </w:p>
    <w:p w14:paraId="09F24363">
      <w:pPr>
        <w:keepNext/>
        <w:keepLines/>
        <w:pageBreakBefore w:val="0"/>
        <w:widowControl/>
        <w:numPr>
          <w:ilvl w:val="3"/>
          <w:numId w:val="0"/>
        </w:numPr>
        <w:kinsoku/>
        <w:wordWrap/>
        <w:overflowPunct/>
        <w:topLinePunct w:val="0"/>
        <w:autoSpaceDE/>
        <w:autoSpaceDN/>
        <w:bidi w:val="0"/>
        <w:adjustRightInd/>
        <w:snapToGrid w:val="0"/>
        <w:spacing w:line="420" w:lineRule="exact"/>
        <w:ind w:firstLine="482" w:firstLineChars="200"/>
        <w:jc w:val="left"/>
        <w:textAlignment w:val="auto"/>
        <w:outlineLvl w:val="3"/>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bCs/>
          <w:color w:val="000000" w:themeColor="text1"/>
          <w:kern w:val="0"/>
          <w:sz w:val="24"/>
          <w:szCs w:val="24"/>
          <w:highlight w:val="none"/>
          <w14:textFill>
            <w14:solidFill>
              <w14:schemeClr w14:val="tx1"/>
            </w14:solidFill>
          </w14:textFill>
        </w:rPr>
        <w:t>对象确定</w:t>
      </w:r>
    </w:p>
    <w:p w14:paraId="4BEA00A8">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诸暨市各小流域重要村落和影响人口及社会经济等实际情况，本项目中选择洪浦江、凰桐江、马剑溪、石渎溪、孝泉江、同山溪、璜山江、次坞溪、白渠、嵩山溪、西岩溪等11条小流域为对象开展风险隐患调查与分析评价。</w:t>
      </w:r>
    </w:p>
    <w:p w14:paraId="5136F29E">
      <w:pPr>
        <w:keepNext/>
        <w:keepLines/>
        <w:pageBreakBefore w:val="0"/>
        <w:widowControl/>
        <w:numPr>
          <w:ilvl w:val="3"/>
          <w:numId w:val="0"/>
        </w:numPr>
        <w:kinsoku/>
        <w:wordWrap/>
        <w:overflowPunct/>
        <w:topLinePunct w:val="0"/>
        <w:autoSpaceDE/>
        <w:autoSpaceDN/>
        <w:bidi w:val="0"/>
        <w:adjustRightInd/>
        <w:snapToGrid w:val="0"/>
        <w:spacing w:line="420" w:lineRule="exact"/>
        <w:ind w:firstLine="482" w:firstLineChars="200"/>
        <w:jc w:val="left"/>
        <w:textAlignment w:val="auto"/>
        <w:outlineLvl w:val="3"/>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（2）</w:t>
      </w:r>
      <w:r>
        <w:rPr>
          <w:rFonts w:hint="eastAsia" w:ascii="仿宋" w:hAnsi="仿宋" w:eastAsia="仿宋" w:cs="仿宋"/>
          <w:b/>
          <w:bCs/>
          <w:color w:val="000000" w:themeColor="text1"/>
          <w:kern w:val="0"/>
          <w:sz w:val="24"/>
          <w:szCs w:val="24"/>
          <w:highlight w:val="none"/>
          <w14:textFill>
            <w14:solidFill>
              <w14:schemeClr w14:val="tx1"/>
            </w14:solidFill>
          </w14:textFill>
        </w:rPr>
        <w:t>技术要求</w:t>
      </w:r>
    </w:p>
    <w:p w14:paraId="5298658A">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①基础数据准备</w:t>
      </w:r>
    </w:p>
    <w:p w14:paraId="04897C6C">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以小流域为单元，充分运用山洪灾害调查评价成果已有数据，结合最新时相高分辨率遥感影像等资料，确定各种防治对象以及跨沟道路、桥涵、塘（堰）坝等的地理位置，套绘流域边界、沟道水系，形成工作底图。</w:t>
      </w:r>
    </w:p>
    <w:p w14:paraId="425EAAC1">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②防治对象及风险隐患要素内业初步排查</w:t>
      </w:r>
    </w:p>
    <w:p w14:paraId="72D173F5">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以内业为主，沿沟道排查风险隐患要素及防治对象。利用工作底图和最新时相高分辨率遥感影像，以流域为调查单元，以沟道水系为纲线，梳理防治对象，排查跨沟道路或桥涵、塘（堰）坝、沟道和滩地人类活动占地、多支齐汇、沟道束窄、沟道急弯、低洼地、临河滑坡体、泥石流等风险隐患要素，充分运用山洪灾害调查评价已有测量成果，与乡镇（街道）、村（社区）等对接，初步获得防治对象及风险隐患要素清单，并据此确定需要补充测量的地点。</w:t>
      </w:r>
    </w:p>
    <w:p w14:paraId="25A6ED7E">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③跨沟道路与桥涵外业调查分析</w:t>
      </w:r>
    </w:p>
    <w:p w14:paraId="64D9D8E9">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基于已有调查成果，对跨沟道路或桥涵、塘（堰）坝进行补充和更新调查；现场调查其位置、类型、结构和特征，并拍摄照片，分析、判断跨沟道路或桥涵可能最大阻水程度。根据跨沟道路、桥涵、塘（堰）坝所在沟道特点，确定断面概化类型，并根据其自身结构特征，概化计算结构阻水面积，获取阻水面积比、阻水库容等信息；采用锥体法或断面法等计算阻水库容。</w:t>
      </w:r>
    </w:p>
    <w:p w14:paraId="45A0C27D">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④沟滩占地情况外业调查分析</w:t>
      </w:r>
    </w:p>
    <w:p w14:paraId="46433766">
      <w:pPr>
        <w:keepNext w:val="0"/>
        <w:keepLines w:val="0"/>
        <w:pageBreakBefore w:val="0"/>
        <w:widowControl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现场调查沟道及两侧施工、厂房、建筑、道路等占地情况，获取占地阻水面积等信息。对于沟道及滩地内工程、厂房等建筑物，以及城集镇、村落等占地对象，可适当概化后计算阻水面积。</w:t>
      </w:r>
    </w:p>
    <w:p w14:paraId="2ED8B040">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⑤多支齐汇和干流顶托调查分析</w:t>
      </w:r>
    </w:p>
    <w:p w14:paraId="7DE75002">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充分运用山洪灾害调查评价成果中的小流域划分成果，结合最新时相高分辨率遥感影像，针对防治对象，调查小流域多支齐汇和干流顶托情况，基于成灾水位，分析其对山洪灾害预警指标的影响。</w:t>
      </w:r>
    </w:p>
    <w:p w14:paraId="5703C71F">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⑥其他风险隐患类型外业调查分析</w:t>
      </w:r>
    </w:p>
    <w:p w14:paraId="0B401FC1">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内业和外业相结合，充分运用山洪灾害调查评价成果中的流域划分、水系提取、历史山洪灾害调查等成果，根据流域特征和沟道特征，结合最新时相高分辨率遥感影像，获取处于沟道束窄或急弯处、低洼地、临河滑坡体、泥石流的防治对象信息</w:t>
      </w:r>
      <w:r>
        <w:rPr>
          <w:rFonts w:hint="eastAsia" w:ascii="仿宋" w:hAnsi="仿宋" w:eastAsia="仿宋" w:cs="仿宋"/>
          <w:color w:val="000000" w:themeColor="text1"/>
          <w:sz w:val="24"/>
          <w:szCs w:val="24"/>
          <w:highlight w:val="none"/>
          <w14:textFill>
            <w14:solidFill>
              <w14:schemeClr w14:val="tx1"/>
            </w14:solidFill>
          </w14:textFill>
        </w:rPr>
        <w:t>。</w:t>
      </w:r>
    </w:p>
    <w:p w14:paraId="5B545066">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⑦风险隐患影响分析</w:t>
      </w:r>
    </w:p>
    <w:p w14:paraId="3F8CF3C2">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采用水位-面积法分析跨沟道路或桥涵完全堵塞情况下上游的淹没范围；采用简易溃坝洪水计算法分析跨沟道路或桥涵溃决洪水在下游防治对象处的洪峰流量，并结合流域暴雨洪水分析，获取其他洪水信息（大洪水，50年一遇；特大洪水，100年一遇或历史典型大洪水），按照水位-流量关系推算对应的洪水位和淹没范围；针对壅水点以上两岸较低地点溢流、洪水改道等情形，分析确定可能受影响的范围及防治对象。</w:t>
      </w:r>
    </w:p>
    <w:p w14:paraId="353E3613">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⑧成果整理</w:t>
      </w:r>
    </w:p>
    <w:p w14:paraId="1F28AE30">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严格按照水利部、省水利厅有关技术标准、要求对电子数据、文字报告、成果表格的相关规定，制作各类空间数据，填写对应表格，编制成果报告</w:t>
      </w:r>
      <w:r>
        <w:rPr>
          <w:rFonts w:hint="eastAsia" w:ascii="仿宋" w:hAnsi="仿宋" w:eastAsia="仿宋" w:cs="仿宋"/>
          <w:color w:val="000000" w:themeColor="text1"/>
          <w:sz w:val="24"/>
          <w:szCs w:val="24"/>
          <w:highlight w:val="none"/>
          <w14:textFill>
            <w14:solidFill>
              <w14:schemeClr w14:val="tx1"/>
            </w14:solidFill>
          </w14:textFill>
        </w:rPr>
        <w:t>。</w:t>
      </w:r>
    </w:p>
    <w:p w14:paraId="23826421">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6" w:name="_Toc164263200"/>
      <w:bookmarkStart w:id="7" w:name="_Toc161156410"/>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（3）</w:t>
      </w:r>
      <w:r>
        <w:rPr>
          <w:rFonts w:hint="eastAsia" w:ascii="仿宋" w:hAnsi="仿宋" w:eastAsia="仿宋" w:cs="仿宋"/>
          <w:b/>
          <w:bCs/>
          <w:color w:val="000000" w:themeColor="text1"/>
          <w:kern w:val="0"/>
          <w:sz w:val="24"/>
          <w:szCs w:val="24"/>
          <w:highlight w:val="none"/>
          <w14:textFill>
            <w14:solidFill>
              <w14:schemeClr w14:val="tx1"/>
            </w14:solidFill>
          </w14:textFill>
        </w:rPr>
        <w:t>风险隐患调查</w:t>
      </w:r>
      <w:bookmarkEnd w:id="6"/>
      <w:bookmarkEnd w:id="7"/>
    </w:p>
    <w:p w14:paraId="5CDF5695">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山洪灾害补充调查评价技术要求（风险隐患调查与影响分析）（试行）》（全国山洪灾害防治项目组，2023年12月），山洪灾害精细化排查主要包括山洪灾害风险隐患因素排查、跨沟路段或桥涵调查、沟滩占地情况调查、多支齐汇和外洪顶托调查及其他隐患类型调查等工作，本次项目建设将根据实际需求开展调查工作。</w:t>
      </w:r>
    </w:p>
    <w:p w14:paraId="305C5730">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山洪灾害防治已有工作基础和防治实践基础上，排查集镇、沿河村落、经济活动区、旅游景区等保护对象的风险隐患，包括跨沟路段或桥涵阻水壅水、塘堰坝挡水、沟道和滩地人类活动占地、多支齐汇、低洼地积水、改道或者漫流等，确定需要进一步调查的对象名录，填写《山洪灾害防治对象名录》。</w:t>
      </w:r>
    </w:p>
    <w:p w14:paraId="165543E3">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①跨沟道路、桥涵和塘（堰）调查</w:t>
      </w:r>
    </w:p>
    <w:p w14:paraId="08668CD7">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对于设计洪水标准低于两岸沿河村落现状防洪能力、过流能力，或高度2m以上、沟宽10m以上的跨沟路堤、桥涵、塘堰坝等，应调查其阻水情况。</w:t>
      </w:r>
    </w:p>
    <w:p w14:paraId="3979FEE0">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内外业相结合，根据保护对象的地理位置，以沟道为纲线，对跨沟道路或桥涵、塘（堰）坝进行补充和更新调查，获取阻水面积比、阻水库容等信息，结合流域孕灾环境，分析、判断跨沟道路或桥涵自身结构和流木、枯枝、漂石、滚石等松散固体物的可能最大阻水程度。针对山丘区河道特点，可将断面概化为矩形、梯形、三角形、复合型等，将跨沟道路、桥涵、塘（堰）坝泄洪建筑物概化为矩形、拱形和圆形等形状（见下图），计算断面面积、阻水面积比；采用锥体法或断面法调查阻水库容，填写《跨沟路段、桥涵、堰坝调查成果表》。</w:t>
      </w:r>
    </w:p>
    <w:p w14:paraId="08331154">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②沟滩占地情况调查</w:t>
      </w:r>
    </w:p>
    <w:p w14:paraId="574D00C3">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内外业相结合，以沟道为纲线，调查沟道和滩地内工程、厂房等建设物占地情况，获得其所占沟道和滩地的断面面积占比（见下图）；结合最新时相高分辨率遥感影像在工作底图上标注其位置和范围，填写占地类型、占用时间、占地范围内居民人数等信息，填写《沟滩占地情况调查成果表》，补充填写《山洪灾害防治对象名录》相应条目的信息。</w:t>
      </w:r>
    </w:p>
    <w:p w14:paraId="5689889A">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③多支齐汇和干流顶托调查</w:t>
      </w:r>
    </w:p>
    <w:p w14:paraId="388BE1B1">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保护对象在流域中的地理位置，选择可能对保护对象造成洪水影响的干支流沟道，对多支齐汇和干流顶托情况进行调查，填写表《多支齐汇调查成果表》，补充填写《山洪灾害防治对象名录》相应条目的信息。</w:t>
      </w:r>
    </w:p>
    <w:p w14:paraId="39617021">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④其他隐患类型调查</w:t>
      </w:r>
    </w:p>
    <w:p w14:paraId="47E980D4">
      <w:pPr>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bidi="ar"/>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若防治对象附近存在沟道束窄、沟道急弯或者地处低洼地带等天然存在的情况，也可能因洪水陡涨遭受山洪灾害影响；此外，还有可能因临河滑坡体滑落堵塞河道、泥石流等情况，调查宜内外业相结合，根据防治对象与水系的位置关系，结合最新时相高分辨率遥感影像和现场查勘，对防治对象附近的沟道局地地貌、沟道河势以及流域物源等情况进行调查，并辅以定性分析，补充填写《山洪灾害防治对象名录》相应条目的信息</w:t>
      </w:r>
      <w:r>
        <w:rPr>
          <w:rFonts w:hint="eastAsia" w:ascii="仿宋" w:hAnsi="仿宋" w:eastAsia="仿宋" w:cs="仿宋"/>
          <w:color w:val="000000" w:themeColor="text1"/>
          <w:sz w:val="24"/>
          <w:szCs w:val="24"/>
          <w:highlight w:val="none"/>
          <w:lang w:bidi="ar"/>
          <w14:textFill>
            <w14:solidFill>
              <w14:schemeClr w14:val="tx1"/>
            </w14:solidFill>
          </w14:textFill>
        </w:rPr>
        <w:t>。</w:t>
      </w:r>
    </w:p>
    <w:p w14:paraId="12814350">
      <w:pPr>
        <w:pageBreakBefore w:val="0"/>
        <w:widowControl/>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8" w:name="_Toc164263201"/>
      <w:bookmarkStart w:id="9" w:name="_Toc161156411"/>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4</w:t>
      </w: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bCs/>
          <w:color w:val="000000" w:themeColor="text1"/>
          <w:kern w:val="0"/>
          <w:sz w:val="24"/>
          <w:szCs w:val="24"/>
          <w:highlight w:val="none"/>
          <w14:textFill>
            <w14:solidFill>
              <w14:schemeClr w14:val="tx1"/>
            </w14:solidFill>
          </w14:textFill>
        </w:rPr>
        <w:t>隐患影响分析</w:t>
      </w:r>
      <w:bookmarkEnd w:id="8"/>
      <w:bookmarkEnd w:id="9"/>
    </w:p>
    <w:p w14:paraId="23B8DF3B">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ar"/>
          <w14:textFill>
            <w14:solidFill>
              <w14:schemeClr w14:val="tx1"/>
            </w14:solidFill>
          </w14:textFill>
        </w:rPr>
        <w:t>以11条小流域为单元，在补充调查基础上进行风险隐患影响分析，分析跨沟道路或桥</w:t>
      </w:r>
      <w:r>
        <w:rPr>
          <w:rFonts w:hint="eastAsia" w:ascii="仿宋" w:hAnsi="仿宋" w:eastAsia="仿宋" w:cs="仿宋"/>
          <w:color w:val="000000" w:themeColor="text1"/>
          <w:sz w:val="24"/>
          <w:szCs w:val="24"/>
          <w:highlight w:val="none"/>
          <w14:textFill>
            <w14:solidFill>
              <w14:schemeClr w14:val="tx1"/>
            </w14:solidFill>
          </w14:textFill>
        </w:rPr>
        <w:t>涵完全阻水情况下上游洪水淹没范围，以及可能因洪水改道对周边区域的影响；分析跨沟道路、桥涵以及塘（堰）坝溃决洪水在下游的防治对象处的洪峰流量，并结合其他支沟洪水信息，分析确定洪水位和淹没范围；针对阻水壅水点以上两岸较低地点溢流洪水或者堤岸漫溢溃决洪水，分析可能受影响的防治对象。</w:t>
      </w:r>
    </w:p>
    <w:p w14:paraId="7902E2FE">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根据影响分析成果，填写《山洪灾害防治对象名录》，补充填写表《跨沟路段、桥涵、堰坝调查成果表》相应条目的信息。</w:t>
      </w:r>
    </w:p>
    <w:p w14:paraId="4E3765BE">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①壅水影响分析</w:t>
      </w:r>
    </w:p>
    <w:p w14:paraId="3E470A88">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原则上选择设计洪水标准低于两岸沿河村落现状防洪能力、过流能力或高度3m以上、沟宽10m以上，且上下游两岸附近有防治对象的跨沟路堤、桥涵、塘（堰）坝进行壅水影响分析。</w:t>
      </w:r>
    </w:p>
    <w:p w14:paraId="466BDB72">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暴雨情形下，对于跨沟道路、桥涵、塘（堰）坝阻水，或者因滑坡堵塞沟道，进而上游快速壅水，可采用水位-面积法，按最不利情况分析完全阻水时下上游洪水位和淹没范围。按照跨沟道路、桥涵、塘（堰）坝过流建筑物全部被堵塞情形确定阻水壅水点顶部高程，即跨沟道路的路面高程、桥梁桥面或其护栏顶高程。以沟道比降近似代替水面比降，从阻水壅水点顶部高程位置沿河道纵剖面等高线向上游倒推，确定洪水淹没范围和受影响的防治对象，并在《山洪灾害防治对象名录》中勾选相应选项。</w:t>
      </w:r>
    </w:p>
    <w:p w14:paraId="32CE8EAA">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②溃决洪水影响分析</w:t>
      </w:r>
    </w:p>
    <w:p w14:paraId="3943D8F7">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原则上选择高度在3m以上，且阻水库容在2万m³以上，且上下游两岸附近有防治对象的跨沟路堤、桥涵、塘（堰）坝进行溃决影响分析。</w:t>
      </w:r>
    </w:p>
    <w:p w14:paraId="7AE740F6">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按照最不利情况，采用近似瞬间全溃模式和简易溃坝洪水计算方法，参照《山洪灾害分析评价技术要求》和已有成果，分析不同频率洪水叠加溃决洪水的影响，根据水位-流量关系确定典型断面处洪水位、淹没范围和受影响保护对象。根据洪水计算结果，针对集镇或村落处沟道控制断面，采用曼宁公式反算洪水位，确定受影响的房屋数和人口数，并在《山洪灾害防治对象名录》中勾选相应选项。</w:t>
      </w:r>
    </w:p>
    <w:p w14:paraId="14B41747">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③洪水改道及漫溢影响分析</w:t>
      </w:r>
    </w:p>
    <w:p w14:paraId="3D8A5A95">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针对跨沟道路、桥涵阻水壅水、直接坐落于溪沟上的房屋建筑等情形，分析壅水地点当地、上游两岸较低地点或者豁口处是否溢流，或者薄弱地点堤岸是否可能溃决，造成洪水改道、漫溢，根据地势排查可能受改道、漫溢影响的防治对象，在《山洪灾害防治对象名录》中勾选相应选项。如果在跨沟道路、桥涵等旁侧存在防治对象，在暴雨洪水时由于道路、桥涵阻水壅水，明显抬高水位，致使洪水从沟道向旁侧直接快速漫溢，将加重灾害程度，如果可能发生这种情况，需要在名录备注中说明，并在《山洪灾害防治对象名录》中勾选相应选项。</w:t>
      </w:r>
    </w:p>
    <w:p w14:paraId="7F7A07A6">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10" w:name="_Toc143759884"/>
      <w:bookmarkStart w:id="11" w:name="_Toc109852331"/>
      <w:bookmarkStart w:id="12" w:name="_Toc164263202"/>
      <w:bookmarkStart w:id="13" w:name="_Toc161156412"/>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（5）</w:t>
      </w:r>
      <w:r>
        <w:rPr>
          <w:rFonts w:hint="eastAsia" w:ascii="仿宋" w:hAnsi="仿宋" w:eastAsia="仿宋" w:cs="仿宋"/>
          <w:b/>
          <w:bCs/>
          <w:color w:val="000000" w:themeColor="text1"/>
          <w:kern w:val="0"/>
          <w:sz w:val="24"/>
          <w:szCs w:val="24"/>
          <w:highlight w:val="none"/>
          <w14:textFill>
            <w14:solidFill>
              <w14:schemeClr w14:val="tx1"/>
            </w14:solidFill>
          </w14:textFill>
        </w:rPr>
        <w:t>成果整理及应用</w:t>
      </w:r>
      <w:bookmarkEnd w:id="10"/>
      <w:bookmarkEnd w:id="11"/>
      <w:bookmarkEnd w:id="12"/>
      <w:bookmarkEnd w:id="13"/>
    </w:p>
    <w:p w14:paraId="039766E4">
      <w:pPr>
        <w:keepNext/>
        <w:keepLines/>
        <w:pageBreakBefore w:val="0"/>
        <w:numPr>
          <w:ilvl w:val="3"/>
          <w:numId w:val="0"/>
        </w:numPr>
        <w:kinsoku/>
        <w:wordWrap/>
        <w:overflowPunct/>
        <w:topLinePunct w:val="0"/>
        <w:autoSpaceDE/>
        <w:autoSpaceDN/>
        <w:bidi w:val="0"/>
        <w:adjustRightInd/>
        <w:snapToGrid w:val="0"/>
        <w:spacing w:line="420" w:lineRule="exact"/>
        <w:ind w:firstLine="482" w:firstLineChars="200"/>
        <w:jc w:val="left"/>
        <w:textAlignment w:val="auto"/>
        <w:outlineLvl w:val="3"/>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①</w:t>
      </w:r>
      <w:r>
        <w:rPr>
          <w:rFonts w:hint="eastAsia" w:ascii="仿宋" w:hAnsi="仿宋" w:eastAsia="仿宋" w:cs="仿宋"/>
          <w:b/>
          <w:bCs/>
          <w:color w:val="000000" w:themeColor="text1"/>
          <w:kern w:val="0"/>
          <w:sz w:val="24"/>
          <w:szCs w:val="24"/>
          <w:highlight w:val="none"/>
          <w14:textFill>
            <w14:solidFill>
              <w14:schemeClr w14:val="tx1"/>
            </w14:solidFill>
          </w14:textFill>
        </w:rPr>
        <w:t>成果要求</w:t>
      </w:r>
    </w:p>
    <w:p w14:paraId="0E5BB715">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bidi="ar"/>
          <w14:textFill>
            <w14:solidFill>
              <w14:schemeClr w14:val="tx1"/>
            </w14:solidFill>
          </w14:textFill>
        </w:rPr>
      </w:pPr>
      <w:r>
        <w:rPr>
          <w:rFonts w:hint="eastAsia" w:ascii="仿宋" w:hAnsi="仿宋" w:eastAsia="仿宋" w:cs="仿宋"/>
          <w:color w:val="000000" w:themeColor="text1"/>
          <w:sz w:val="24"/>
          <w:szCs w:val="24"/>
          <w:highlight w:val="none"/>
          <w:lang w:bidi="ar"/>
          <w14:textFill>
            <w14:solidFill>
              <w14:schemeClr w14:val="tx1"/>
            </w14:solidFill>
          </w14:textFill>
        </w:rPr>
        <w:t>山洪灾害风险隐患调查与影响分析成果按照电子数据、成果报告、成果报表的相关要求整理成果，均纳入省级山洪数据库，供诸暨市山洪灾害防御工作应用。本次风险隐患调查和影响分析的结论性成果，结合实际情况可用于山洪灾害预警和避险转移决策，支撑小流域山洪灾害“四预”能力提升。</w:t>
      </w:r>
    </w:p>
    <w:p w14:paraId="7A8A6189">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电子数据</w:t>
      </w:r>
    </w:p>
    <w:p w14:paraId="54FF2A9E">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.1风险隐患要素及防治对象数据</w:t>
      </w:r>
    </w:p>
    <w:p w14:paraId="17432218">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针对调查出来的风险隐患要素（跨沟道路、桥涵、塘（堰）坝、沟滩占地对象等）和防治对象（城集镇、村落、重要经济活动区、旅游景区等），应当基于地理信息系统平台绘制成空间面状数据，空间面状数据边沿应当与遥感影像中该对象的轮廓重合。风险隐患要素中，跨沟道路、桥涵、塘（堰）坝、沟滩占地对象的属性数据应当包含名称、编号、河流名称与河流代码信息。防治对象属性数据应当包括名称、代码（行政代码、企事业单位代码等）、人口、河流名称与河流代码信息。</w:t>
      </w:r>
    </w:p>
    <w:p w14:paraId="09BF911F">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1.2</w:t>
      </w:r>
      <w:r>
        <w:rPr>
          <w:rFonts w:hint="eastAsia" w:ascii="仿宋" w:hAnsi="仿宋" w:eastAsia="仿宋" w:cs="仿宋"/>
          <w:color w:val="000000" w:themeColor="text1"/>
          <w:sz w:val="24"/>
          <w:szCs w:val="24"/>
          <w:highlight w:val="none"/>
          <w14:textFill>
            <w14:solidFill>
              <w14:schemeClr w14:val="tx1"/>
            </w14:solidFill>
          </w14:textFill>
        </w:rPr>
        <w:t>断面数据</w:t>
      </w:r>
    </w:p>
    <w:p w14:paraId="0272D36E">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针对每一个风险隐患要素（跨沟道路、桥涵、塘（堰）坝、沟滩占地对象等）以及每个防治对象所布设和测量的断面，需要提供断面平面位置数据，在地理信息系统中以空间线状数据绘制，其属性数据应当包含名称、编号、河流名称与河流代码信息，填写《河道断面测量表》。断面测量数据和存储要求参照《山洪灾害调查与评价技术规范》（SL767-2018）规定。</w:t>
      </w:r>
    </w:p>
    <w:p w14:paraId="07AA1CA1">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1.3</w:t>
      </w:r>
      <w:r>
        <w:rPr>
          <w:rFonts w:hint="eastAsia" w:ascii="仿宋" w:hAnsi="仿宋" w:eastAsia="仿宋" w:cs="仿宋"/>
          <w:color w:val="000000" w:themeColor="text1"/>
          <w:sz w:val="24"/>
          <w:szCs w:val="24"/>
          <w:highlight w:val="none"/>
          <w14:textFill>
            <w14:solidFill>
              <w14:schemeClr w14:val="tx1"/>
            </w14:solidFill>
          </w14:textFill>
        </w:rPr>
        <w:t>空间数据相关要求</w:t>
      </w:r>
    </w:p>
    <w:p w14:paraId="456B2F61">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空间数据的格式采用shp，坐标与投影采用高斯-克吕格投影系CGCS2000，6度带，涉及高程的，采用85高程系。</w:t>
      </w:r>
    </w:p>
    <w:p w14:paraId="4A1D0ECD">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1.4</w:t>
      </w:r>
      <w:r>
        <w:rPr>
          <w:rFonts w:hint="eastAsia" w:ascii="仿宋" w:hAnsi="仿宋" w:eastAsia="仿宋" w:cs="仿宋"/>
          <w:color w:val="000000" w:themeColor="text1"/>
          <w:sz w:val="24"/>
          <w:szCs w:val="24"/>
          <w:highlight w:val="none"/>
          <w14:textFill>
            <w14:solidFill>
              <w14:schemeClr w14:val="tx1"/>
            </w14:solidFill>
          </w14:textFill>
        </w:rPr>
        <w:t>照片</w:t>
      </w:r>
    </w:p>
    <w:p w14:paraId="5222BC0C">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提供每一个跨沟道路和桥涵、沟滩占地对象的清晰照片，反映全貌，从上游向下游、从下游向上游至少各2张（像素不低于1024*768，jpg或png格式），以编号“上/下”2位序号命名（上下代表上游或下游），对跨沟道路和桥涵，如“A0001上01.jpg”、“A0001上02.jpg”“A0001下01.jpg”、“A0001下02.jpg”；对沟滩占地对象，“B0001上01.jpg”、“B0001上02.jpg”、“B0001下01.jpg”、“B0001下02.jpg”。</w:t>
      </w:r>
    </w:p>
    <w:p w14:paraId="29C5CEE3">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文字报告</w:t>
      </w:r>
    </w:p>
    <w:p w14:paraId="51234854">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编写山洪灾害风险隐患调查与影响分析成果报告，报告以“政区代码+年份”进行编号，形成纸质版和电子版材料。</w:t>
      </w:r>
    </w:p>
    <w:p w14:paraId="6B9C8437">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报告主体内容可包括（不限于）目标任务、小流域概况、组织实施、技术方法、工作成果、防御对策建议等。</w:t>
      </w:r>
    </w:p>
    <w:p w14:paraId="0EF188B9">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lang w:eastAsia="zh-CN"/>
          <w14:textFill>
            <w14:solidFill>
              <w14:schemeClr w14:val="tx1"/>
            </w14:solidFill>
          </w14:textFill>
        </w:rPr>
        <w:t>成</w:t>
      </w:r>
      <w:r>
        <w:rPr>
          <w:rFonts w:hint="eastAsia" w:ascii="仿宋" w:hAnsi="仿宋" w:eastAsia="仿宋" w:cs="仿宋"/>
          <w:color w:val="000000" w:themeColor="text1"/>
          <w:sz w:val="24"/>
          <w:szCs w:val="24"/>
          <w:highlight w:val="none"/>
          <w14:textFill>
            <w14:solidFill>
              <w14:schemeClr w14:val="tx1"/>
            </w14:solidFill>
          </w14:textFill>
        </w:rPr>
        <w:t>果报表</w:t>
      </w:r>
    </w:p>
    <w:p w14:paraId="74C6E03D">
      <w:pPr>
        <w:keepNext w:val="0"/>
        <w:keepLines w:val="0"/>
        <w:pageBreakBefore w:val="0"/>
        <w:widowControl w:val="0"/>
        <w:kinsoku/>
        <w:wordWrap/>
        <w:overflowPunct/>
        <w:topLinePunct w:val="0"/>
        <w:autoSpaceDE/>
        <w:autoSpaceDN/>
        <w:bidi w:val="0"/>
        <w:adjustRightInd/>
        <w:snapToGrid w:val="0"/>
        <w:spacing w:line="420" w:lineRule="exact"/>
        <w:ind w:left="0" w:leftChars="0"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成果报表包括《山洪灾害防治对象名录》、《跨沟道路、桥涵、塘（堰）坝调查成果表》、《沟滩占地情况调查成果表》、《干流顶托城集镇及村落调查分析成果表》4个表格，电子附表采用Excel形式。各表式结构参见下述表格。</w:t>
      </w:r>
      <w:r>
        <w:rPr>
          <w:rFonts w:hint="eastAsia" w:ascii="仿宋" w:hAnsi="仿宋" w:eastAsia="仿宋" w:cs="仿宋"/>
          <w:b/>
          <w:bCs/>
          <w:color w:val="000000" w:themeColor="text1"/>
          <w:sz w:val="24"/>
          <w:szCs w:val="24"/>
          <w:highlight w:val="none"/>
          <w:lang w:eastAsia="zh-CN"/>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表格形式具体见附件1）</w:t>
      </w:r>
    </w:p>
    <w:p w14:paraId="192C8555">
      <w:pPr>
        <w:pStyle w:val="3"/>
        <w:pageBreakBefore w:val="0"/>
        <w:widowControl w:val="0"/>
        <w:tabs>
          <w:tab w:val="left" w:pos="432"/>
        </w:tabs>
        <w:kinsoku/>
        <w:wordWrap/>
        <w:overflowPunct/>
        <w:topLinePunct w:val="0"/>
        <w:autoSpaceDE/>
        <w:autoSpaceDN/>
        <w:bidi w:val="0"/>
        <w:adjustRightInd/>
        <w:snapToGrid w:val="0"/>
        <w:spacing w:before="0" w:beforeLines="0" w:after="0" w:afterLines="0" w:line="420" w:lineRule="exact"/>
        <w:ind w:firstLine="482" w:firstLineChars="200"/>
        <w:jc w:val="left"/>
        <w:textAlignment w:val="auto"/>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沟道断面补充测量</w:t>
      </w:r>
    </w:p>
    <w:p w14:paraId="0C9F4FD2">
      <w:pPr>
        <w:pageBreakBefore w:val="0"/>
        <w:widowControl/>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14" w:name="_Toc162369227"/>
      <w:bookmarkStart w:id="15" w:name="_Toc164263204"/>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1）风险隐患断面补充测量</w:t>
      </w:r>
      <w:bookmarkEnd w:id="14"/>
      <w:bookmarkEnd w:id="15"/>
    </w:p>
    <w:p w14:paraId="2A982E18">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根据前期调查结果，对桥梁、堰坝、路涵等加重山洪灾害影响的风险隐患进行隐患结构尺寸测量，并填写跨沟路段、桥涵、堰坝调查成果表》”和《河道断面测量表》。</w:t>
      </w:r>
    </w:p>
    <w:p w14:paraId="5998AEE4">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1.1堰坝测量要求：需测量上下游沟深，堰顶到堤顶的高程和堰底到堤顶的高程</w:t>
      </w:r>
      <w:r>
        <w:rPr>
          <w:rFonts w:hint="eastAsia" w:ascii="仿宋" w:hAnsi="仿宋" w:eastAsia="仿宋" w:cs="仿宋"/>
          <w:color w:val="000000" w:themeColor="text1"/>
          <w:sz w:val="24"/>
          <w:szCs w:val="24"/>
          <w:highlight w:val="none"/>
          <w14:textFill>
            <w14:solidFill>
              <w14:schemeClr w14:val="tx1"/>
            </w14:solidFill>
          </w14:textFill>
        </w:rPr>
        <w:t>。</w:t>
      </w:r>
    </w:p>
    <w:p w14:paraId="4DECA2C6">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1.2拱桥测量要求：需测量上下游沟深，桥面到河床底的高度和拱顶到河床底的高度</w:t>
      </w:r>
      <w:r>
        <w:rPr>
          <w:rFonts w:hint="eastAsia" w:ascii="仿宋" w:hAnsi="仿宋" w:eastAsia="仿宋" w:cs="仿宋"/>
          <w:color w:val="000000" w:themeColor="text1"/>
          <w:sz w:val="24"/>
          <w:szCs w:val="24"/>
          <w:highlight w:val="none"/>
          <w14:textFill>
            <w14:solidFill>
              <w14:schemeClr w14:val="tx1"/>
            </w14:solidFill>
          </w14:textFill>
        </w:rPr>
        <w:t>。</w:t>
      </w:r>
    </w:p>
    <w:p w14:paraId="6A6055DB">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1.3不规则断面测量要求：需对断面进行概化处理，测量相关特征点，反映断面形态变化</w:t>
      </w:r>
      <w:r>
        <w:rPr>
          <w:rFonts w:hint="eastAsia" w:ascii="仿宋" w:hAnsi="仿宋" w:eastAsia="仿宋" w:cs="仿宋"/>
          <w:color w:val="000000" w:themeColor="text1"/>
          <w:sz w:val="24"/>
          <w:szCs w:val="24"/>
          <w:highlight w:val="none"/>
          <w14:textFill>
            <w14:solidFill>
              <w14:schemeClr w14:val="tx1"/>
            </w14:solidFill>
          </w14:textFill>
        </w:rPr>
        <w:t>。</w:t>
      </w:r>
    </w:p>
    <w:p w14:paraId="7EA0D3D8">
      <w:pPr>
        <w:pageBreakBefore w:val="0"/>
        <w:widowControl/>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bookmarkStart w:id="16" w:name="_Toc164263205"/>
      <w:bookmarkStart w:id="17" w:name="_Toc162369228"/>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2</w:t>
      </w:r>
      <w:bookmarkEnd w:id="16"/>
      <w:bookmarkEnd w:id="17"/>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）淹没分析断面补充测量</w:t>
      </w:r>
    </w:p>
    <w:p w14:paraId="4ACFC7A5">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根据前期调查成果，梳理已测量断面位置，为满足简化洪水淹没分析要求，补充布设沟道断面并完成测量工作，断面需满足以下基本技术要求：</w:t>
      </w:r>
    </w:p>
    <w:p w14:paraId="202AF124">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河道洪水的计算断面间距应与河宽相匹配，对于河宽小于500m的河流，其计算断面间距一般不超过500m。河道形态变化显著的河段和有工程（桥、闸、坝、堰等）的位置，断面进行加密。</w:t>
      </w:r>
    </w:p>
    <w:p w14:paraId="2A71B0A5">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能够处理急流、缓流和混合流等流态，并具备侧向水流交换（例如侧向分洪闸、堰、溃口、泵站、沿程入流等）的计算功能和处理河道内影响或控制行洪的工程（桥、堰、闸、坝等）的功能。</w:t>
      </w:r>
    </w:p>
    <w:p w14:paraId="485242C1">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能够记录所有断面（在有溃口或分洪的情况下，还应记录溃口或分洪口门处）的水位和流量的计算过程，能够提取水位、流量的最大值和整时刻的水位和流量值。</w:t>
      </w:r>
    </w:p>
    <w:p w14:paraId="10C764DD">
      <w:pPr>
        <w:pageBreakBefore w:val="0"/>
        <w:kinsoku/>
        <w:wordWrap/>
        <w:overflowPunct/>
        <w:topLinePunct w:val="0"/>
        <w:autoSpaceDE/>
        <w:autoSpaceDN/>
        <w:bidi w:val="0"/>
        <w:adjustRightInd/>
        <w:snapToGrid w:val="0"/>
        <w:spacing w:line="420" w:lineRule="exact"/>
        <w:ind w:firstLine="482" w:firstLineChars="200"/>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简化洪水淹没分析</w:t>
      </w:r>
    </w:p>
    <w:p w14:paraId="7DBE67B9">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按照省水利厅工作要求，本次需针对洪浦江、凰桐江、马剑溪、石渎溪、孝泉江、同山溪、璜山江、次坞溪、白渠、嵩山溪、西岩溪11条小流域治理单元，开发简化洪水淹没分析模型，实现依据历史典型场次降雨、未来预报降雨或实测降雨等情景，动态生成淹没范围和转移对象清单。依托已有“四预”工作基础，简化洪水淹没分析模型开发主要包括淹没分析范围确定、内业资料整理、外业调查测量、水文分析计算、淹没面绘制、影响对象生成等工作内容。</w:t>
      </w:r>
    </w:p>
    <w:p w14:paraId="4CF83662">
      <w:pPr>
        <w:pageBreakBefore w:val="0"/>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3.1淹没分析范围确定</w:t>
      </w:r>
    </w:p>
    <w:p w14:paraId="2E9320D9">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以11条小流域为分析单元，针对干流防御对象（重点集镇、重要村落、企事业单位等）划定可能影响范围，结合风险隐患分布情况确定最终简化洪水淹没分析范围。</w:t>
      </w:r>
    </w:p>
    <w:p w14:paraId="3FC22D28">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3.2内业资料整理</w:t>
      </w:r>
    </w:p>
    <w:p w14:paraId="00246E80">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内业梳理前期重要村落与集镇分布位置、风险区范围、预警指标等分析评价成果，收集前期项目断面测量成果和历史灾害影响情况等基础资料，为后续构建简化洪水淹没分析模型提供基础数据支撑。</w:t>
      </w:r>
    </w:p>
    <w:p w14:paraId="7AD0EA87">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3.3外业调查测量</w:t>
      </w:r>
    </w:p>
    <w:p w14:paraId="71B13AEC">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为反映出流域干流洪水演进及洪水淹没等情况，对11条小流域干流开展河道断面测量成果收集和补充测量，河道断面的测量延伸至堤防以外，收集（前期已有断面测量数据）和补充测量后的河道断面间距原则上不大于500m。</w:t>
      </w:r>
    </w:p>
    <w:p w14:paraId="67E857B1">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3.4水文分析计算</w:t>
      </w:r>
    </w:p>
    <w:p w14:paraId="6DB72453">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建设小流域治理单元的简化水文分析模型，开展以城集镇、沿河村落为节点的小流域暴雨山洪分析，概化断面并分析水位流量关系，得出每个断面影响位置，输出节点流量过程。</w:t>
      </w:r>
    </w:p>
    <w:p w14:paraId="63D4E7BD">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3.5淹没面绘制</w:t>
      </w:r>
    </w:p>
    <w:p w14:paraId="2F75A560">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基于水文分析计算结果，结合DEM、测量数据实时绘制各典型频率洪水的淹没范围图像，利用模型还原历史洪水淹没范围，检验模型精准度。</w:t>
      </w:r>
    </w:p>
    <w:p w14:paraId="32DD2842">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3.6影响对象生成</w:t>
      </w:r>
    </w:p>
    <w:p w14:paraId="102F01AE">
      <w:pPr>
        <w:keepNext w:val="0"/>
        <w:keepLines w:val="0"/>
        <w:pageBreakBefore w:val="0"/>
        <w:widowControl/>
        <w:kinsoku/>
        <w:wordWrap/>
        <w:overflowPunct/>
        <w:topLinePunct w:val="0"/>
        <w:autoSpaceDE/>
        <w:autoSpaceDN/>
        <w:bidi w:val="0"/>
        <w:adjustRightInd/>
        <w:snapToGrid w:val="0"/>
        <w:spacing w:line="420" w:lineRule="exact"/>
        <w:ind w:firstLine="480" w:firstLineChars="200"/>
        <w:textAlignment w:val="auto"/>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实现影响对象分析功能，结合前期山洪灾害重要村落、重点城集镇调查成果中的防御对象分布及人员清单，基于淹没范围分析对应的影响对象，生成需转移人员清单。</w:t>
      </w:r>
    </w:p>
    <w:p w14:paraId="7A84224C">
      <w:pPr>
        <w:pStyle w:val="3"/>
        <w:pageBreakBefore w:val="0"/>
        <w:widowControl w:val="0"/>
        <w:tabs>
          <w:tab w:val="left" w:pos="432"/>
        </w:tabs>
        <w:kinsoku/>
        <w:wordWrap/>
        <w:overflowPunct/>
        <w:topLinePunct w:val="0"/>
        <w:autoSpaceDE/>
        <w:autoSpaceDN/>
        <w:bidi w:val="0"/>
        <w:adjustRightInd/>
        <w:snapToGrid w:val="0"/>
        <w:spacing w:before="0" w:beforeLines="0" w:after="0" w:afterLines="0" w:line="420" w:lineRule="exact"/>
        <w:ind w:firstLine="482" w:firstLineChars="200"/>
        <w:jc w:val="left"/>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Cs/>
          <w:color w:val="000000" w:themeColor="text1"/>
          <w:sz w:val="24"/>
          <w:szCs w:val="24"/>
          <w:highlight w:val="none"/>
          <w14:textFill>
            <w14:solidFill>
              <w14:schemeClr w14:val="tx1"/>
            </w14:solidFill>
          </w14:textFill>
        </w:rPr>
        <w:t>中小河流洪水预报预警体系建设</w:t>
      </w:r>
    </w:p>
    <w:p w14:paraId="5D7ADD51">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浙江省水利厅关于开展全省中小河流洪水预报预警体系建设的通知》（浙水灾防〔2025〕2号）等文件要求和诸暨市实际工作需求，诸暨市需开展骆家桥霞朗桥、陈蔡江盘山大桥、白塔湖水利会斗门、街亭站街亭、大唐站、壶源江华湖口、凰桐江云溪等7个预警站点中小河流洪水预报预警体系建设。</w:t>
      </w:r>
    </w:p>
    <w:p w14:paraId="65CCB30C">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1</w:t>
      </w:r>
      <w:r>
        <w:rPr>
          <w:rFonts w:hint="eastAsia" w:ascii="仿宋" w:hAnsi="仿宋" w:eastAsia="仿宋" w:cs="仿宋"/>
          <w:b/>
          <w:bCs/>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b/>
          <w:bCs/>
          <w:color w:val="000000" w:themeColor="text1"/>
          <w:kern w:val="0"/>
          <w:sz w:val="24"/>
          <w:szCs w:val="24"/>
          <w:highlight w:val="none"/>
          <w14:textFill>
            <w14:solidFill>
              <w14:schemeClr w14:val="tx1"/>
            </w14:solidFill>
          </w14:textFill>
        </w:rPr>
        <w:t>资料收集与整理</w:t>
      </w:r>
    </w:p>
    <w:p w14:paraId="78FDC8B2">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收集骆家桥霞朗桥、陈蔡江盘山大桥、白塔湖水利会斗门、街亭站街亭、大唐站、壶源江华湖口、凰桐江云溪等7个预警站点历史水文资料、防洪保护对象基本情况、流域防洪规划、洪水调度方案、大断面资料、历史洪水资料、上下游水利工程及其余涉水工程信息、断面洪水特性及实测水位流量等资料。</w:t>
      </w:r>
    </w:p>
    <w:p w14:paraId="344E9715">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194310</wp:posOffset>
            </wp:positionV>
            <wp:extent cx="5457825" cy="3590290"/>
            <wp:effectExtent l="0" t="0" r="9525" b="10160"/>
            <wp:wrapTopAndBottom/>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2"/>
                    <a:stretch>
                      <a:fillRect/>
                    </a:stretch>
                  </pic:blipFill>
                  <pic:spPr>
                    <a:xfrm>
                      <a:off x="0" y="0"/>
                      <a:ext cx="5457825" cy="3590290"/>
                    </a:xfrm>
                    <a:prstGeom prst="rect">
                      <a:avLst/>
                    </a:prstGeom>
                    <a:noFill/>
                    <a:ln w="9525">
                      <a:noFill/>
                    </a:ln>
                  </pic:spPr>
                </pic:pic>
              </a:graphicData>
            </a:graphic>
          </wp:anchor>
        </w:drawing>
      </w:r>
    </w:p>
    <w:p w14:paraId="3B093FBD">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（2）调查与测量</w:t>
      </w:r>
    </w:p>
    <w:p w14:paraId="6CDEFEDD">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①</w:t>
      </w:r>
      <w:r>
        <w:rPr>
          <w:rFonts w:hint="eastAsia" w:ascii="仿宋" w:hAnsi="仿宋" w:eastAsia="仿宋" w:cs="仿宋"/>
          <w:bCs/>
          <w:color w:val="000000" w:themeColor="text1"/>
          <w:sz w:val="24"/>
          <w:szCs w:val="24"/>
          <w:highlight w:val="none"/>
          <w14:textFill>
            <w14:solidFill>
              <w14:schemeClr w14:val="tx1"/>
            </w14:solidFill>
          </w14:textFill>
        </w:rPr>
        <w:t>补充调查：包括测站的地理位置，所在流域水系，测验河段和附近河流情况，断面的布设情况和相对位置，测站上下游主要水利工程情况，水文测验设施及设备变动情况等未收集完善资料的补充调查。</w:t>
      </w:r>
    </w:p>
    <w:p w14:paraId="41E44FE2">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w:t>
      </w:r>
      <w:r>
        <w:rPr>
          <w:rFonts w:hint="eastAsia" w:ascii="仿宋" w:hAnsi="仿宋" w:eastAsia="仿宋" w:cs="仿宋"/>
          <w:bCs/>
          <w:color w:val="000000" w:themeColor="text1"/>
          <w:sz w:val="24"/>
          <w:szCs w:val="24"/>
          <w:highlight w:val="none"/>
          <w14:textFill>
            <w14:solidFill>
              <w14:schemeClr w14:val="tx1"/>
            </w14:solidFill>
          </w14:textFill>
        </w:rPr>
        <w:t>现场测量：开展流域下垫面特征（河长、比降、糙率等）及洪水淹没情况调查、水利工程及其余涉水工程调查、防洪保护对象调查等。并开展大断面测量、左右岸堤防高程测量以及防洪保护对象高程测量。</w:t>
      </w:r>
    </w:p>
    <w:p w14:paraId="6ED964A5">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3</w:t>
      </w:r>
      <w:r>
        <w:rPr>
          <w:rFonts w:hint="eastAsia" w:ascii="仿宋" w:hAnsi="仿宋" w:eastAsia="仿宋" w:cs="仿宋"/>
          <w:b/>
          <w:bCs/>
          <w:color w:val="000000" w:themeColor="text1"/>
          <w:kern w:val="0"/>
          <w:sz w:val="24"/>
          <w:szCs w:val="24"/>
          <w:highlight w:val="none"/>
          <w14:textFill>
            <w14:solidFill>
              <w14:schemeClr w14:val="tx1"/>
            </w14:solidFill>
          </w14:textFill>
        </w:rPr>
        <w:t>）水文分析计算</w:t>
      </w:r>
    </w:p>
    <w:p w14:paraId="24F6FC17">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①</w:t>
      </w:r>
      <w:r>
        <w:rPr>
          <w:rFonts w:hint="eastAsia" w:ascii="仿宋" w:hAnsi="仿宋" w:eastAsia="仿宋" w:cs="仿宋"/>
          <w:bCs/>
          <w:color w:val="000000" w:themeColor="text1"/>
          <w:sz w:val="24"/>
          <w:szCs w:val="24"/>
          <w:highlight w:val="none"/>
          <w14:textFill>
            <w14:solidFill>
              <w14:schemeClr w14:val="tx1"/>
            </w14:solidFill>
          </w14:textFill>
        </w:rPr>
        <w:t>确定设计洪水：结合现有防洪工程设计资料复核确定不同重现期暴雨洪水特征数据，或采用暴雨、流量资料推求设计洪水。</w:t>
      </w:r>
    </w:p>
    <w:p w14:paraId="3231B26F">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w:t>
      </w:r>
      <w:r>
        <w:rPr>
          <w:rFonts w:hint="eastAsia" w:ascii="仿宋" w:hAnsi="仿宋" w:eastAsia="仿宋" w:cs="仿宋"/>
          <w:bCs/>
          <w:color w:val="000000" w:themeColor="text1"/>
          <w:sz w:val="24"/>
          <w:szCs w:val="24"/>
          <w:highlight w:val="none"/>
          <w14:textFill>
            <w14:solidFill>
              <w14:schemeClr w14:val="tx1"/>
            </w14:solidFill>
          </w14:textFill>
        </w:rPr>
        <w:t>确定水位流量关系：采用实测水文资料或曼宁公式法拟定水位流量关系线。</w:t>
      </w:r>
    </w:p>
    <w:p w14:paraId="37970904">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4</w:t>
      </w:r>
      <w:r>
        <w:rPr>
          <w:rFonts w:hint="eastAsia" w:ascii="仿宋" w:hAnsi="仿宋" w:eastAsia="仿宋" w:cs="仿宋"/>
          <w:b/>
          <w:bCs/>
          <w:color w:val="000000" w:themeColor="text1"/>
          <w:kern w:val="0"/>
          <w:sz w:val="24"/>
          <w:szCs w:val="24"/>
          <w:highlight w:val="none"/>
          <w14:textFill>
            <w14:solidFill>
              <w14:schemeClr w14:val="tx1"/>
            </w14:solidFill>
          </w14:textFill>
        </w:rPr>
        <w:t>）预警指标确定</w:t>
      </w:r>
    </w:p>
    <w:p w14:paraId="3841BD3D">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结合水文分析结果和现有防洪工程资料、保护对象的实际情况，核定防汛特征水位，根据特征水位确定情况，结合当地防汛部门的意见确定预警指标</w:t>
      </w:r>
      <w:r>
        <w:rPr>
          <w:rFonts w:hint="eastAsia" w:ascii="仿宋" w:hAnsi="仿宋" w:eastAsia="仿宋" w:cs="仿宋"/>
          <w:bCs/>
          <w:color w:val="000000" w:themeColor="text1"/>
          <w:sz w:val="24"/>
          <w:szCs w:val="24"/>
          <w:highlight w:val="none"/>
          <w:lang w:eastAsia="zh-CN"/>
          <w14:textFill>
            <w14:solidFill>
              <w14:schemeClr w14:val="tx1"/>
            </w14:solidFill>
          </w14:textFill>
        </w:rPr>
        <w:t>，后期根据实际情况进行更新、调整和修正</w:t>
      </w:r>
      <w:r>
        <w:rPr>
          <w:rFonts w:hint="eastAsia" w:ascii="仿宋" w:hAnsi="仿宋" w:eastAsia="仿宋" w:cs="仿宋"/>
          <w:bCs/>
          <w:color w:val="000000" w:themeColor="text1"/>
          <w:sz w:val="24"/>
          <w:szCs w:val="24"/>
          <w:highlight w:val="none"/>
          <w14:textFill>
            <w14:solidFill>
              <w14:schemeClr w14:val="tx1"/>
            </w14:solidFill>
          </w14:textFill>
        </w:rPr>
        <w:t>。</w:t>
      </w:r>
    </w:p>
    <w:p w14:paraId="4D059E62">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
          <w:bCs/>
          <w:color w:val="000000" w:themeColor="text1"/>
          <w:kern w:val="0"/>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5</w:t>
      </w:r>
      <w:r>
        <w:rPr>
          <w:rFonts w:hint="eastAsia" w:ascii="仿宋" w:hAnsi="仿宋" w:eastAsia="仿宋" w:cs="仿宋"/>
          <w:b/>
          <w:bCs/>
          <w:color w:val="000000" w:themeColor="text1"/>
          <w:kern w:val="0"/>
          <w:sz w:val="24"/>
          <w:szCs w:val="24"/>
          <w:highlight w:val="none"/>
          <w14:textFill>
            <w14:solidFill>
              <w14:schemeClr w14:val="tx1"/>
            </w14:solidFill>
          </w14:textFill>
        </w:rPr>
        <w:t>）洪水预报预警方案编制</w:t>
      </w:r>
    </w:p>
    <w:p w14:paraId="6B99EB8B">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根据预警站的水文特性和流域内的防洪需求，编制洪水预报预警方案，方案应包括流域概况、预警站及防洪保护对象情况、预警等级和指标确定、预报预警方法等内容。</w:t>
      </w:r>
    </w:p>
    <w:p w14:paraId="69545B19">
      <w:pPr>
        <w:pageBreakBefore w:val="0"/>
        <w:numPr>
          <w:ilvl w:val="2"/>
          <w:numId w:val="0"/>
        </w:numPr>
        <w:kinsoku/>
        <w:wordWrap/>
        <w:overflowPunct/>
        <w:topLinePunct w:val="0"/>
        <w:autoSpaceDE/>
        <w:autoSpaceDN/>
        <w:bidi w:val="0"/>
        <w:adjustRightInd/>
        <w:snapToGrid w:val="0"/>
        <w:spacing w:line="420" w:lineRule="exact"/>
        <w:ind w:firstLine="482" w:firstLineChars="200"/>
        <w:jc w:val="left"/>
        <w:textAlignment w:val="auto"/>
        <w:outlineLvl w:val="2"/>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kern w:val="0"/>
          <w:sz w:val="24"/>
          <w:szCs w:val="24"/>
          <w:highlight w:val="none"/>
          <w14:textFill>
            <w14:solidFill>
              <w14:schemeClr w14:val="tx1"/>
            </w14:solidFill>
          </w14:textFill>
        </w:rPr>
        <w:t>（</w:t>
      </w: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6</w:t>
      </w:r>
      <w:r>
        <w:rPr>
          <w:rFonts w:hint="eastAsia" w:ascii="仿宋" w:hAnsi="仿宋" w:eastAsia="仿宋" w:cs="仿宋"/>
          <w:b/>
          <w:bCs/>
          <w:color w:val="000000" w:themeColor="text1"/>
          <w:kern w:val="0"/>
          <w:sz w:val="24"/>
          <w:szCs w:val="24"/>
          <w:highlight w:val="none"/>
          <w14:textFill>
            <w14:solidFill>
              <w14:schemeClr w14:val="tx1"/>
            </w14:solidFill>
          </w14:textFill>
        </w:rPr>
        <w:t>）成果上报</w:t>
      </w:r>
    </w:p>
    <w:p w14:paraId="1AB89BA2">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根据《浙江省水利厅关于开展全省中小河流洪水预报预警体系建设的通知》（浙水防灾〔2025〕2号）文件要求，汇总填写流域下垫面特征参数表、大断面测量记录表、水位流量关系表、防洪保护对象表、浙江省中小河流洪水预报预警指标汇总表并上报</w:t>
      </w:r>
      <w:r>
        <w:rPr>
          <w:rFonts w:hint="eastAsia" w:ascii="仿宋" w:hAnsi="仿宋" w:eastAsia="仿宋" w:cs="仿宋"/>
          <w:bCs/>
          <w:color w:val="000000" w:themeColor="text1"/>
          <w:sz w:val="24"/>
          <w:szCs w:val="24"/>
          <w:highlight w:val="none"/>
          <w:lang w:eastAsia="zh-CN"/>
          <w14:textFill>
            <w14:solidFill>
              <w14:schemeClr w14:val="tx1"/>
            </w14:solidFill>
          </w14:textFill>
        </w:rPr>
        <w:t>，按业主要求上传相关平台</w:t>
      </w:r>
      <w:r>
        <w:rPr>
          <w:rFonts w:hint="eastAsia" w:ascii="仿宋" w:hAnsi="仿宋" w:eastAsia="仿宋" w:cs="仿宋"/>
          <w:bCs/>
          <w:color w:val="000000" w:themeColor="text1"/>
          <w:sz w:val="24"/>
          <w:szCs w:val="24"/>
          <w:highlight w:val="none"/>
          <w14:textFill>
            <w14:solidFill>
              <w14:schemeClr w14:val="tx1"/>
            </w14:solidFill>
          </w14:textFill>
        </w:rPr>
        <w:t>。</w:t>
      </w:r>
    </w:p>
    <w:p w14:paraId="672AA9B0">
      <w:pPr>
        <w:pStyle w:val="3"/>
        <w:pageBreakBefore w:val="0"/>
        <w:widowControl w:val="0"/>
        <w:tabs>
          <w:tab w:val="left" w:pos="432"/>
        </w:tabs>
        <w:kinsoku/>
        <w:wordWrap/>
        <w:overflowPunct/>
        <w:topLinePunct w:val="0"/>
        <w:autoSpaceDE/>
        <w:autoSpaceDN/>
        <w:bidi w:val="0"/>
        <w:adjustRightInd/>
        <w:snapToGrid w:val="0"/>
        <w:spacing w:before="0" w:beforeLines="0" w:after="0" w:afterLines="0" w:line="420" w:lineRule="exact"/>
        <w:ind w:firstLine="482" w:firstLineChars="200"/>
        <w:jc w:val="left"/>
        <w:textAlignment w:val="auto"/>
        <w:rPr>
          <w:rFonts w:hint="eastAsia" w:ascii="仿宋" w:hAnsi="仿宋" w:eastAsia="仿宋" w:cs="仿宋"/>
          <w:bCs/>
          <w:color w:val="000000" w:themeColor="text1"/>
          <w:sz w:val="24"/>
          <w:szCs w:val="24"/>
          <w:highlight w:val="none"/>
          <w14:textFill>
            <w14:solidFill>
              <w14:schemeClr w14:val="tx1"/>
            </w14:solidFill>
          </w14:textFill>
        </w:rPr>
      </w:pPr>
      <w:bookmarkStart w:id="18" w:name="_Toc199162908"/>
      <w:r>
        <w:rPr>
          <w:rFonts w:hint="eastAsia" w:ascii="仿宋" w:hAnsi="仿宋" w:eastAsia="仿宋" w:cs="仿宋"/>
          <w:bCs/>
          <w:color w:val="000000" w:themeColor="text1"/>
          <w:sz w:val="24"/>
          <w:szCs w:val="24"/>
          <w:highlight w:val="none"/>
          <w:lang w:val="en-US" w:eastAsia="zh-CN"/>
          <w14:textFill>
            <w14:solidFill>
              <w14:schemeClr w14:val="tx1"/>
            </w14:solidFill>
          </w14:textFill>
        </w:rPr>
        <w:t>3.</w:t>
      </w:r>
      <w:r>
        <w:rPr>
          <w:rFonts w:hint="eastAsia" w:ascii="仿宋" w:hAnsi="仿宋" w:eastAsia="仿宋" w:cs="仿宋"/>
          <w:bCs/>
          <w:color w:val="000000" w:themeColor="text1"/>
          <w:sz w:val="24"/>
          <w:szCs w:val="24"/>
          <w:highlight w:val="none"/>
          <w14:textFill>
            <w14:solidFill>
              <w14:schemeClr w14:val="tx1"/>
            </w14:solidFill>
          </w14:textFill>
        </w:rPr>
        <w:t>新型入户报警叫应终端设备配备</w:t>
      </w:r>
      <w:bookmarkEnd w:id="18"/>
    </w:p>
    <w:p w14:paraId="0C6B0C66">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为探索解决临灾预警发布无法精准快速“户户通”的难题，本次项目建设将新增配置100套新型入户报警叫应终端设备。新型入户型报警叫应终端设备由呼叫端和接收端组成，村干部或预警员利用呼叫端设备向群众家中的接收端设备发出山洪灾害等预警信号，接收端设备声光提醒，群众实时向呼叫端反馈已收到预警信息，实现预警“叫应”一呼多应和闭环管理。</w:t>
      </w:r>
    </w:p>
    <w:p w14:paraId="49D44852">
      <w:pPr>
        <w:keepNext w:val="0"/>
        <w:keepLines w:val="0"/>
        <w:pageBreakBefore w:val="0"/>
        <w:widowControl w:val="0"/>
        <w:shd w:val="clear" w:color="auto" w:fill="auto"/>
        <w:kinsoku/>
        <w:wordWrap/>
        <w:overflowPunct/>
        <w:topLinePunct w:val="0"/>
        <w:bidi w:val="0"/>
        <w:spacing w:line="420" w:lineRule="exact"/>
        <w:ind w:right="0"/>
        <w:textAlignment w:val="auto"/>
        <w:rPr>
          <w:rFonts w:hint="default" w:ascii="仿宋" w:hAnsi="仿宋" w:eastAsia="仿宋" w:cs="仿宋"/>
          <w:b/>
          <w:bCs w:val="0"/>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t>（四）时间要求</w:t>
      </w:r>
    </w:p>
    <w:p w14:paraId="0C0DE7D9">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2025年10月30日</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前</w:t>
      </w:r>
      <w:r>
        <w:rPr>
          <w:rFonts w:hint="eastAsia" w:ascii="仿宋" w:hAnsi="仿宋" w:eastAsia="仿宋" w:cs="仿宋"/>
          <w:bCs/>
          <w:color w:val="000000" w:themeColor="text1"/>
          <w:sz w:val="24"/>
          <w:szCs w:val="24"/>
          <w:highlight w:val="none"/>
          <w14:textFill>
            <w14:solidFill>
              <w14:schemeClr w14:val="tx1"/>
            </w14:solidFill>
          </w14:textFill>
        </w:rPr>
        <w:t>，完成山洪灾害“四预”能力建设、中小河流洪水预报预警体系建设及新型入户报警叫应终端设备配备等全部项目内容。</w:t>
      </w:r>
    </w:p>
    <w:p w14:paraId="4AA302F0">
      <w:pPr>
        <w:keepNext w:val="0"/>
        <w:keepLines w:val="0"/>
        <w:pageBreakBefore w:val="0"/>
        <w:widowControl w:val="0"/>
        <w:kinsoku/>
        <w:wordWrap/>
        <w:overflowPunct/>
        <w:topLinePunct w:val="0"/>
        <w:bidi w:val="0"/>
        <w:spacing w:line="420" w:lineRule="exact"/>
        <w:ind w:firstLine="480" w:firstLineChars="200"/>
        <w:textAlignment w:val="auto"/>
        <w:rPr>
          <w:rFonts w:hint="default" w:ascii="仿宋" w:hAnsi="仿宋" w:eastAsia="仿宋" w:cs="仿宋"/>
          <w:bCs/>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具体视省水利厅、绍兴市水利局要求，按时提交项目成果。</w:t>
      </w:r>
    </w:p>
    <w:p w14:paraId="55E81784">
      <w:pPr>
        <w:keepNext w:val="0"/>
        <w:keepLines w:val="0"/>
        <w:pageBreakBefore w:val="0"/>
        <w:widowControl w:val="0"/>
        <w:kinsoku/>
        <w:wordWrap/>
        <w:overflowPunct/>
        <w:topLinePunct w:val="0"/>
        <w:bidi w:val="0"/>
        <w:spacing w:line="420" w:lineRule="exact"/>
        <w:textAlignment w:val="auto"/>
        <w:rPr>
          <w:rFonts w:hint="eastAsia" w:ascii="仿宋" w:hAnsi="仿宋" w:eastAsia="仿宋" w:cs="仿宋"/>
          <w:b/>
          <w:bCs w:val="0"/>
          <w:color w:val="000000" w:themeColor="text1"/>
          <w:sz w:val="24"/>
          <w:szCs w:val="24"/>
          <w:highlight w:val="none"/>
          <w:lang w:eastAsia="zh-CN"/>
          <w14:textFill>
            <w14:solidFill>
              <w14:schemeClr w14:val="tx1"/>
            </w14:solidFill>
          </w14:textFill>
        </w:rPr>
      </w:pPr>
      <w:r>
        <w:rPr>
          <w:rFonts w:hint="eastAsia" w:ascii="仿宋" w:hAnsi="仿宋" w:eastAsia="仿宋" w:cs="仿宋"/>
          <w:b/>
          <w:bCs w:val="0"/>
          <w:color w:val="000000" w:themeColor="text1"/>
          <w:sz w:val="24"/>
          <w:szCs w:val="24"/>
          <w:highlight w:val="none"/>
          <w14:textFill>
            <w14:solidFill>
              <w14:schemeClr w14:val="tx1"/>
            </w14:solidFill>
          </w14:textFill>
        </w:rPr>
        <w:t>（</w:t>
      </w: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五</w:t>
      </w:r>
      <w:r>
        <w:rPr>
          <w:rFonts w:hint="eastAsia" w:ascii="仿宋" w:hAnsi="仿宋" w:eastAsia="仿宋" w:cs="仿宋"/>
          <w:b/>
          <w:bCs w:val="0"/>
          <w:color w:val="000000" w:themeColor="text1"/>
          <w:sz w:val="24"/>
          <w:szCs w:val="24"/>
          <w:highlight w:val="none"/>
          <w14:textFill>
            <w14:solidFill>
              <w14:schemeClr w14:val="tx1"/>
            </w14:solidFill>
          </w14:textFill>
        </w:rPr>
        <w:t>）</w:t>
      </w: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其他要求</w:t>
      </w:r>
    </w:p>
    <w:p w14:paraId="02E67CF8">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本项目</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要求提供</w:t>
      </w:r>
      <w:r>
        <w:rPr>
          <w:rFonts w:hint="eastAsia" w:ascii="仿宋" w:hAnsi="仿宋" w:eastAsia="仿宋" w:cs="仿宋"/>
          <w:bCs/>
          <w:color w:val="000000" w:themeColor="text1"/>
          <w:sz w:val="24"/>
          <w:szCs w:val="24"/>
          <w:highlight w:val="none"/>
          <w14:textFill>
            <w14:solidFill>
              <w14:schemeClr w14:val="tx1"/>
            </w14:solidFill>
          </w14:textFill>
        </w:rPr>
        <w:t>软件质保期</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为</w:t>
      </w:r>
      <w:r>
        <w:rPr>
          <w:rFonts w:hint="eastAsia" w:ascii="仿宋" w:hAnsi="仿宋" w:eastAsia="仿宋" w:cs="仿宋"/>
          <w:bCs/>
          <w:color w:val="000000" w:themeColor="text1"/>
          <w:sz w:val="24"/>
          <w:szCs w:val="24"/>
          <w:highlight w:val="none"/>
          <w14:textFill>
            <w14:solidFill>
              <w14:schemeClr w14:val="tx1"/>
            </w14:solidFill>
          </w14:textFill>
        </w:rPr>
        <w:t>5年</w:t>
      </w:r>
      <w:r>
        <w:rPr>
          <w:rFonts w:hint="eastAsia" w:ascii="仿宋" w:hAnsi="仿宋" w:eastAsia="仿宋" w:cs="仿宋"/>
          <w:bCs/>
          <w:color w:val="000000" w:themeColor="text1"/>
          <w:sz w:val="24"/>
          <w:szCs w:val="24"/>
          <w:highlight w:val="none"/>
          <w:lang w:eastAsia="zh-CN"/>
          <w14:textFill>
            <w14:solidFill>
              <w14:schemeClr w14:val="tx1"/>
            </w14:solidFill>
          </w14:textFill>
        </w:rPr>
        <w:t>，</w:t>
      </w:r>
      <w:r>
        <w:rPr>
          <w:rFonts w:hint="eastAsia" w:ascii="仿宋" w:hAnsi="仿宋" w:eastAsia="仿宋" w:cs="仿宋"/>
          <w:bCs/>
          <w:color w:val="000000" w:themeColor="text1"/>
          <w:sz w:val="24"/>
          <w:szCs w:val="24"/>
          <w:highlight w:val="none"/>
          <w14:textFill>
            <w14:solidFill>
              <w14:schemeClr w14:val="tx1"/>
            </w14:solidFill>
          </w14:textFill>
        </w:rPr>
        <w:t>硬件质保期</w:t>
      </w:r>
      <w:r>
        <w:rPr>
          <w:rFonts w:hint="eastAsia" w:ascii="仿宋" w:hAnsi="仿宋" w:eastAsia="仿宋" w:cs="仿宋"/>
          <w:bCs/>
          <w:color w:val="000000" w:themeColor="text1"/>
          <w:sz w:val="24"/>
          <w:szCs w:val="24"/>
          <w:highlight w:val="none"/>
          <w:lang w:val="en-US" w:eastAsia="zh-CN"/>
          <w14:textFill>
            <w14:solidFill>
              <w14:schemeClr w14:val="tx1"/>
            </w14:solidFill>
          </w14:textFill>
        </w:rPr>
        <w:t>为</w:t>
      </w:r>
      <w:r>
        <w:rPr>
          <w:rFonts w:hint="eastAsia" w:ascii="仿宋" w:hAnsi="仿宋" w:eastAsia="仿宋" w:cs="仿宋"/>
          <w:bCs/>
          <w:color w:val="000000" w:themeColor="text1"/>
          <w:sz w:val="24"/>
          <w:szCs w:val="24"/>
          <w:highlight w:val="none"/>
          <w14:textFill>
            <w14:solidFill>
              <w14:schemeClr w14:val="tx1"/>
            </w14:solidFill>
          </w14:textFill>
        </w:rPr>
        <w:t>3年。</w:t>
      </w:r>
    </w:p>
    <w:p w14:paraId="36C7E306">
      <w:pPr>
        <w:keepNext w:val="0"/>
        <w:keepLines w:val="0"/>
        <w:pageBreakBefore w:val="0"/>
        <w:widowControl w:val="0"/>
        <w:kinsoku/>
        <w:wordWrap/>
        <w:overflowPunct/>
        <w:topLinePunct w:val="0"/>
        <w:bidi w:val="0"/>
        <w:spacing w:line="420" w:lineRule="exact"/>
        <w:textAlignment w:val="auto"/>
        <w:rPr>
          <w:rFonts w:hint="eastAsia" w:ascii="仿宋" w:hAnsi="仿宋" w:eastAsia="仿宋" w:cs="仿宋"/>
          <w:b/>
          <w:bCs w:val="0"/>
          <w:color w:val="000000" w:themeColor="text1"/>
          <w:sz w:val="24"/>
          <w:szCs w:val="24"/>
          <w:highlight w:val="none"/>
          <w14:textFill>
            <w14:solidFill>
              <w14:schemeClr w14:val="tx1"/>
            </w14:solidFill>
          </w14:textFill>
        </w:rPr>
      </w:pPr>
      <w:r>
        <w:rPr>
          <w:rFonts w:hint="eastAsia" w:ascii="仿宋" w:hAnsi="仿宋" w:eastAsia="仿宋" w:cs="仿宋"/>
          <w:b/>
          <w:bCs w:val="0"/>
          <w:color w:val="000000" w:themeColor="text1"/>
          <w:sz w:val="24"/>
          <w:szCs w:val="24"/>
          <w:highlight w:val="none"/>
          <w14:textFill>
            <w14:solidFill>
              <w14:schemeClr w14:val="tx1"/>
            </w14:solidFill>
          </w14:textFill>
        </w:rPr>
        <w:t>（</w:t>
      </w: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六</w:t>
      </w:r>
      <w:r>
        <w:rPr>
          <w:rFonts w:hint="eastAsia" w:ascii="仿宋" w:hAnsi="仿宋" w:eastAsia="仿宋" w:cs="仿宋"/>
          <w:b/>
          <w:bCs w:val="0"/>
          <w:color w:val="000000" w:themeColor="text1"/>
          <w:sz w:val="24"/>
          <w:szCs w:val="24"/>
          <w:highlight w:val="none"/>
          <w14:textFill>
            <w14:solidFill>
              <w14:schemeClr w14:val="tx1"/>
            </w14:solidFill>
          </w14:textFill>
        </w:rPr>
        <w:t>）成果要求</w:t>
      </w:r>
    </w:p>
    <w:p w14:paraId="68F531EA">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项目成果必须</w:t>
      </w: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符合上级部门相关规定</w:t>
      </w:r>
      <w:r>
        <w:rPr>
          <w:rFonts w:hint="eastAsia" w:ascii="仿宋" w:hAnsi="仿宋" w:eastAsia="仿宋" w:cs="仿宋"/>
          <w:b w:val="0"/>
          <w:bCs/>
          <w:color w:val="000000" w:themeColor="text1"/>
          <w:sz w:val="24"/>
          <w:szCs w:val="24"/>
          <w:highlight w:val="none"/>
          <w14:textFill>
            <w14:solidFill>
              <w14:schemeClr w14:val="tx1"/>
            </w14:solidFill>
          </w14:textFill>
        </w:rPr>
        <w:t>或通过采购人组织的专家验收。</w:t>
      </w:r>
    </w:p>
    <w:p w14:paraId="4581E920">
      <w:pPr>
        <w:keepNext w:val="0"/>
        <w:keepLines w:val="0"/>
        <w:pageBreakBefore w:val="0"/>
        <w:widowControl w:val="0"/>
        <w:kinsoku/>
        <w:wordWrap/>
        <w:overflowPunct/>
        <w:topLinePunct w:val="0"/>
        <w:bidi w:val="0"/>
        <w:spacing w:line="420" w:lineRule="exact"/>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w:t>
      </w:r>
      <w:r>
        <w:rPr>
          <w:rFonts w:hint="eastAsia" w:ascii="仿宋" w:hAnsi="仿宋" w:eastAsia="仿宋" w:cs="仿宋"/>
          <w:b/>
          <w:color w:val="000000" w:themeColor="text1"/>
          <w:sz w:val="24"/>
          <w:szCs w:val="24"/>
          <w:highlight w:val="none"/>
          <w:lang w:val="en-US" w:eastAsia="zh-CN"/>
          <w14:textFill>
            <w14:solidFill>
              <w14:schemeClr w14:val="tx1"/>
            </w14:solidFill>
          </w14:textFill>
        </w:rPr>
        <w:t>七</w:t>
      </w:r>
      <w:r>
        <w:rPr>
          <w:rFonts w:hint="eastAsia" w:ascii="仿宋" w:hAnsi="仿宋" w:eastAsia="仿宋" w:cs="仿宋"/>
          <w:b/>
          <w:color w:val="000000" w:themeColor="text1"/>
          <w:sz w:val="24"/>
          <w:szCs w:val="24"/>
          <w:highlight w:val="none"/>
          <w14:textFill>
            <w14:solidFill>
              <w14:schemeClr w14:val="tx1"/>
            </w14:solidFill>
          </w14:textFill>
        </w:rPr>
        <w:t>）违约责任</w:t>
      </w:r>
    </w:p>
    <w:p w14:paraId="733759F5">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1</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color w:val="000000" w:themeColor="text1"/>
          <w:sz w:val="24"/>
          <w:szCs w:val="24"/>
          <w:highlight w:val="none"/>
          <w14:textFill>
            <w14:solidFill>
              <w14:schemeClr w14:val="tx1"/>
            </w14:solidFill>
          </w14:textFill>
        </w:rPr>
        <w:t>中标人提供的服务不符合要求的，应当更正或修改，并承担由此产生的全部费用。</w:t>
      </w:r>
    </w:p>
    <w:p w14:paraId="3B1743C8">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14:textFill>
            <w14:solidFill>
              <w14:schemeClr w14:val="tx1"/>
            </w14:solidFill>
          </w14:textFill>
        </w:rPr>
        <w:t>2</w:t>
      </w:r>
      <w:r>
        <w:rPr>
          <w:rFonts w:hint="eastAsia" w:ascii="仿宋" w:hAnsi="仿宋" w:eastAsia="仿宋" w:cs="仿宋"/>
          <w:b w:val="0"/>
          <w:bCs/>
          <w:color w:val="000000" w:themeColor="text1"/>
          <w:sz w:val="24"/>
          <w:szCs w:val="24"/>
          <w:highlight w:val="none"/>
          <w:lang w:eastAsia="zh-CN"/>
          <w14:textFill>
            <w14:solidFill>
              <w14:schemeClr w14:val="tx1"/>
            </w14:solidFill>
          </w14:textFill>
        </w:rPr>
        <w:t>、</w:t>
      </w:r>
      <w:r>
        <w:rPr>
          <w:rFonts w:hint="eastAsia" w:ascii="仿宋" w:hAnsi="仿宋" w:eastAsia="仿宋" w:cs="仿宋"/>
          <w:b w:val="0"/>
          <w:bCs/>
          <w:color w:val="000000" w:themeColor="text1"/>
          <w:sz w:val="24"/>
          <w:szCs w:val="24"/>
          <w:highlight w:val="none"/>
          <w14:textFill>
            <w14:solidFill>
              <w14:schemeClr w14:val="tx1"/>
            </w14:solidFill>
          </w14:textFill>
        </w:rPr>
        <w:t>中标人应及时响应采购人的要求，因中标人原因响应不到位，每次扣款1000元。</w:t>
      </w:r>
    </w:p>
    <w:p w14:paraId="673BE662">
      <w:pPr>
        <w:keepNext w:val="0"/>
        <w:keepLines w:val="0"/>
        <w:pageBreakBefore w:val="0"/>
        <w:widowControl w:val="0"/>
        <w:kinsoku/>
        <w:wordWrap/>
        <w:overflowPunct/>
        <w:topLinePunct w:val="0"/>
        <w:bidi w:val="0"/>
        <w:spacing w:line="420" w:lineRule="exact"/>
        <w:ind w:firstLine="480" w:firstLineChars="200"/>
        <w:textAlignment w:val="auto"/>
        <w:rPr>
          <w:rFonts w:hint="eastAsia" w:ascii="仿宋" w:hAnsi="仿宋" w:eastAsia="仿宋" w:cs="仿宋"/>
          <w:b w:val="0"/>
          <w:bCs/>
          <w:color w:val="000000" w:themeColor="text1"/>
          <w:sz w:val="24"/>
          <w:szCs w:val="24"/>
          <w:highlight w:val="none"/>
          <w14:textFill>
            <w14:solidFill>
              <w14:schemeClr w14:val="tx1"/>
            </w14:solidFill>
          </w14:textFill>
        </w:rPr>
      </w:pPr>
      <w:r>
        <w:rPr>
          <w:rFonts w:hint="eastAsia" w:ascii="仿宋" w:hAnsi="仿宋" w:eastAsia="仿宋" w:cs="仿宋"/>
          <w:b w:val="0"/>
          <w:bCs/>
          <w:color w:val="000000" w:themeColor="text1"/>
          <w:sz w:val="24"/>
          <w:szCs w:val="24"/>
          <w:highlight w:val="none"/>
          <w:lang w:val="en-US" w:eastAsia="zh-CN"/>
          <w14:textFill>
            <w14:solidFill>
              <w14:schemeClr w14:val="tx1"/>
            </w14:solidFill>
          </w14:textFill>
        </w:rPr>
        <w:t>3、</w:t>
      </w:r>
      <w:r>
        <w:rPr>
          <w:rFonts w:hint="eastAsia" w:ascii="仿宋" w:hAnsi="仿宋" w:eastAsia="仿宋" w:cs="仿宋"/>
          <w:b w:val="0"/>
          <w:bCs/>
          <w:color w:val="000000" w:themeColor="text1"/>
          <w:sz w:val="24"/>
          <w:szCs w:val="24"/>
          <w:highlight w:val="none"/>
          <w14:textFill>
            <w14:solidFill>
              <w14:schemeClr w14:val="tx1"/>
            </w14:solidFill>
          </w14:textFill>
        </w:rPr>
        <w:t>如采购人未按约定向中标人支付合同款项，应向中标人支付逾期利息，利率为合同签订时一年期货款市场报价利率。</w:t>
      </w:r>
    </w:p>
    <w:p w14:paraId="030A9DDB">
      <w:pPr>
        <w:keepNext w:val="0"/>
        <w:keepLines w:val="0"/>
        <w:pageBreakBefore w:val="0"/>
        <w:widowControl w:val="0"/>
        <w:shd w:val="clear" w:color="auto" w:fill="auto"/>
        <w:kinsoku/>
        <w:wordWrap/>
        <w:overflowPunct/>
        <w:topLinePunct w:val="0"/>
        <w:autoSpaceDE/>
        <w:autoSpaceDN/>
        <w:bidi w:val="0"/>
        <w:adjustRightInd/>
        <w:snapToGrid/>
        <w:spacing w:line="420" w:lineRule="exact"/>
        <w:textAlignment w:val="auto"/>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t>（八）履约保证金和付款方式</w:t>
      </w:r>
    </w:p>
    <w:p w14:paraId="16C36DC4">
      <w:pPr>
        <w:keepNext w:val="0"/>
        <w:keepLines w:val="0"/>
        <w:pageBreakBefore w:val="0"/>
        <w:widowControl w:val="0"/>
        <w:shd w:val="clear" w:color="auto" w:fill="auto"/>
        <w:kinsoku/>
        <w:wordWrap/>
        <w:overflowPunct/>
        <w:topLinePunct w:val="0"/>
        <w:autoSpaceDE/>
        <w:autoSpaceDN/>
        <w:bidi w:val="0"/>
        <w:adjustRightInd/>
        <w:spacing w:line="420" w:lineRule="exact"/>
        <w:ind w:left="0" w:leftChars="0" w:firstLine="482" w:firstLineChars="200"/>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1、履约保证金：</w:t>
      </w:r>
      <w:r>
        <w:rPr>
          <w:rFonts w:hint="eastAsia" w:ascii="仿宋" w:hAnsi="仿宋" w:eastAsia="仿宋" w:cs="仿宋"/>
          <w:bCs/>
          <w:color w:val="000000" w:themeColor="text1"/>
          <w:kern w:val="2"/>
          <w:sz w:val="24"/>
          <w:szCs w:val="24"/>
          <w:highlight w:val="none"/>
          <w:lang w:val="en-US" w:eastAsia="zh-CN"/>
          <w14:textFill>
            <w14:solidFill>
              <w14:schemeClr w14:val="tx1"/>
            </w14:solidFill>
          </w14:textFill>
        </w:rPr>
        <w:t>本项目免收履约保证金</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w:t>
      </w:r>
    </w:p>
    <w:p w14:paraId="334F6557">
      <w:pPr>
        <w:pStyle w:val="18"/>
        <w:keepNext w:val="0"/>
        <w:keepLines w:val="0"/>
        <w:pageBreakBefore w:val="0"/>
        <w:widowControl w:val="0"/>
        <w:kinsoku/>
        <w:wordWrap/>
        <w:overflowPunct/>
        <w:topLinePunct w:val="0"/>
        <w:bidi w:val="0"/>
        <w:spacing w:beforeLines="0" w:after="0" w:line="420" w:lineRule="exact"/>
        <w:textAlignment w:val="auto"/>
        <w:rPr>
          <w:rFonts w:hint="eastAsia"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b/>
          <w:bCs/>
          <w:color w:val="000000" w:themeColor="text1"/>
          <w:kern w:val="0"/>
          <w:sz w:val="24"/>
          <w:szCs w:val="24"/>
          <w:highlight w:val="none"/>
          <w:lang w:val="en-US" w:eastAsia="zh-CN"/>
          <w14:textFill>
            <w14:solidFill>
              <w14:schemeClr w14:val="tx1"/>
            </w14:solidFill>
          </w14:textFill>
        </w:rPr>
        <w:t>2、付款方式：</w:t>
      </w:r>
      <w:r>
        <w:rPr>
          <w:rFonts w:hint="eastAsia" w:ascii="仿宋" w:hAnsi="仿宋" w:eastAsia="仿宋" w:cs="仿宋"/>
          <w:color w:val="000000" w:themeColor="text1"/>
          <w:sz w:val="24"/>
          <w:szCs w:val="24"/>
          <w:highlight w:val="none"/>
          <w14:textFill>
            <w14:solidFill>
              <w14:schemeClr w14:val="tx1"/>
            </w14:solidFill>
          </w14:textFill>
        </w:rPr>
        <w:t>合同签订后7个工作日内采购人向中标人支付</w:t>
      </w:r>
      <w:r>
        <w:rPr>
          <w:rFonts w:hint="eastAsia" w:ascii="仿宋" w:hAnsi="仿宋" w:eastAsia="仿宋" w:cs="仿宋"/>
          <w:color w:val="000000" w:themeColor="text1"/>
          <w:sz w:val="24"/>
          <w:szCs w:val="24"/>
          <w:highlight w:val="none"/>
          <w:lang w:val="en-US" w:eastAsia="zh-CN"/>
          <w14:textFill>
            <w14:solidFill>
              <w14:schemeClr w14:val="tx1"/>
            </w14:solidFill>
          </w14:textFill>
        </w:rPr>
        <w:t>预付款</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预付款比例由双方协商确定。</w:t>
      </w:r>
      <w:r>
        <w:rPr>
          <w:rFonts w:hint="eastAsia" w:ascii="仿宋" w:hAnsi="仿宋" w:eastAsia="仿宋" w:cs="仿宋"/>
          <w:color w:val="000000" w:themeColor="text1"/>
          <w:sz w:val="24"/>
          <w:szCs w:val="24"/>
          <w:highlight w:val="none"/>
          <w14:textFill>
            <w14:solidFill>
              <w14:schemeClr w14:val="tx1"/>
            </w14:solidFill>
          </w14:textFill>
        </w:rPr>
        <w:t>支付条件</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在签订合同时，中标人</w:t>
      </w:r>
      <w:r>
        <w:rPr>
          <w:rFonts w:hint="eastAsia" w:ascii="仿宋" w:hAnsi="仿宋" w:eastAsia="仿宋" w:cs="仿宋"/>
          <w:color w:val="000000" w:themeColor="text1"/>
          <w:sz w:val="24"/>
          <w:szCs w:val="24"/>
          <w:highlight w:val="none"/>
          <w14:textFill>
            <w14:solidFill>
              <w14:schemeClr w14:val="tx1"/>
            </w14:solidFill>
          </w14:textFill>
        </w:rPr>
        <w:t>明确表示无需预付款或者主动要求降低预付款比例的</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可不适用前述规定</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支付预付款的，中标人应当向采购人提交发票以及银行、保险公司等金融机构出具的预付款保函</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Cs/>
          <w:color w:val="000000" w:themeColor="text1"/>
          <w:kern w:val="2"/>
          <w:sz w:val="24"/>
          <w:szCs w:val="24"/>
          <w:highlight w:val="none"/>
          <w:lang w:val="en-US" w:eastAsia="zh-CN" w:bidi="ar-SA"/>
          <w14:textFill>
            <w14:solidFill>
              <w14:schemeClr w14:val="tx1"/>
            </w14:solidFill>
          </w14:textFill>
        </w:rPr>
        <w:t>项目完成后一次性付清余款。</w:t>
      </w:r>
    </w:p>
    <w:p w14:paraId="33482A36">
      <w:pPr>
        <w:keepNext w:val="0"/>
        <w:keepLines w:val="0"/>
        <w:pageBreakBefore w:val="0"/>
        <w:widowControl w:val="0"/>
        <w:kinsoku/>
        <w:wordWrap/>
        <w:overflowPunct/>
        <w:topLinePunct w:val="0"/>
        <w:autoSpaceDE w:val="0"/>
        <w:autoSpaceDN w:val="0"/>
        <w:bidi w:val="0"/>
        <w:adjustRightInd w:val="0"/>
        <w:snapToGrid/>
        <w:spacing w:line="420" w:lineRule="exact"/>
        <w:textAlignment w:val="auto"/>
        <w:rPr>
          <w:rFonts w:hint="eastAsia" w:ascii="仿宋" w:hAnsi="仿宋" w:eastAsia="仿宋" w:cs="仿宋"/>
          <w:b/>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w:t>
      </w:r>
      <w:r>
        <w:rPr>
          <w:rFonts w:hint="eastAsia" w:ascii="仿宋" w:hAnsi="仿宋" w:eastAsia="仿宋" w:cs="仿宋"/>
          <w:b/>
          <w:bCs w:val="0"/>
          <w:color w:val="000000" w:themeColor="text1"/>
          <w:kern w:val="2"/>
          <w:sz w:val="24"/>
          <w:szCs w:val="24"/>
          <w:highlight w:val="none"/>
          <w:lang w:val="en-US" w:eastAsia="zh-CN"/>
          <w14:textFill>
            <w14:solidFill>
              <w14:schemeClr w14:val="tx1"/>
            </w14:solidFill>
          </w14:textFill>
        </w:rPr>
        <w:t>九</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）最高限价</w:t>
      </w:r>
    </w:p>
    <w:p w14:paraId="171CF6D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bCs w:val="0"/>
          <w:color w:val="000000" w:themeColor="text1"/>
          <w:sz w:val="24"/>
          <w:szCs w:val="24"/>
          <w:highlight w:val="none"/>
          <w14:textFill>
            <w14:solidFill>
              <w14:schemeClr w14:val="tx1"/>
            </w14:solidFill>
          </w14:textFill>
        </w:rPr>
        <w:t>本次采购最高限价为人民币</w:t>
      </w: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贰佰叁拾叁万</w:t>
      </w:r>
      <w:r>
        <w:rPr>
          <w:rFonts w:hint="eastAsia" w:ascii="仿宋" w:hAnsi="仿宋" w:eastAsia="仿宋" w:cs="仿宋"/>
          <w:b/>
          <w:bCs w:val="0"/>
          <w:color w:val="000000" w:themeColor="text1"/>
          <w:sz w:val="24"/>
          <w:szCs w:val="24"/>
          <w:highlight w:val="none"/>
          <w14:textFill>
            <w14:solidFill>
              <w14:schemeClr w14:val="tx1"/>
            </w14:solidFill>
          </w14:textFill>
        </w:rPr>
        <w:t>元整（¥</w:t>
      </w:r>
      <w:r>
        <w:rPr>
          <w:rFonts w:hint="eastAsia" w:ascii="仿宋" w:hAnsi="仿宋" w:eastAsia="仿宋" w:cs="仿宋"/>
          <w:b/>
          <w:bCs w:val="0"/>
          <w:color w:val="000000" w:themeColor="text1"/>
          <w:sz w:val="24"/>
          <w:szCs w:val="24"/>
          <w:highlight w:val="none"/>
          <w:lang w:val="en-US" w:eastAsia="zh-CN"/>
          <w14:textFill>
            <w14:solidFill>
              <w14:schemeClr w14:val="tx1"/>
            </w14:solidFill>
          </w14:textFill>
        </w:rPr>
        <w:t>233</w:t>
      </w:r>
      <w:r>
        <w:rPr>
          <w:rFonts w:hint="eastAsia" w:ascii="仿宋" w:hAnsi="仿宋" w:eastAsia="仿宋" w:cs="仿宋"/>
          <w:b/>
          <w:bCs w:val="0"/>
          <w:color w:val="000000" w:themeColor="text1"/>
          <w:sz w:val="24"/>
          <w:szCs w:val="24"/>
          <w:highlight w:val="none"/>
          <w14:textFill>
            <w14:solidFill>
              <w14:schemeClr w14:val="tx1"/>
            </w14:solidFill>
          </w14:textFill>
        </w:rPr>
        <w:t>0000.00），任何超过最高限价的报价将被认定为无效报价</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，报价包含了与本项目相关的一切费用。</w:t>
      </w:r>
    </w:p>
    <w:p w14:paraId="226CCB8A">
      <w:pPr>
        <w:spacing w:after="0" w:afterLines="50" w:afterAutospacing="0"/>
        <w:rPr>
          <w:rFonts w:hint="eastAsia" w:ascii="仿宋" w:hAnsi="仿宋" w:eastAsia="仿宋" w:cs="仿宋"/>
          <w:b/>
          <w:bCs/>
          <w:color w:val="auto"/>
          <w:sz w:val="24"/>
          <w:szCs w:val="24"/>
        </w:rPr>
      </w:pPr>
    </w:p>
    <w:p w14:paraId="5C52F6A4">
      <w:pPr>
        <w:rPr>
          <w:rFonts w:hint="eastAsia" w:ascii="仿宋" w:hAnsi="仿宋" w:eastAsia="仿宋" w:cs="仿宋"/>
          <w:b/>
          <w:bCs/>
          <w:color w:val="auto"/>
          <w:sz w:val="24"/>
          <w:szCs w:val="24"/>
        </w:rPr>
      </w:pPr>
      <w:r>
        <w:rPr>
          <w:rFonts w:hint="eastAsia" w:ascii="仿宋" w:hAnsi="仿宋" w:eastAsia="仿宋" w:cs="仿宋"/>
          <w:b/>
          <w:bCs/>
          <w:color w:val="auto"/>
          <w:sz w:val="24"/>
          <w:szCs w:val="24"/>
        </w:rPr>
        <w:br w:type="page"/>
      </w:r>
    </w:p>
    <w:p w14:paraId="10426DCC">
      <w:pPr>
        <w:spacing w:after="0" w:afterLines="50" w:afterAutospacing="0"/>
        <w:rPr>
          <w:rFonts w:hint="eastAsia" w:ascii="仿宋" w:hAnsi="仿宋" w:eastAsia="仿宋" w:cs="仿宋"/>
          <w:b/>
          <w:bCs/>
          <w:color w:val="auto"/>
          <w:sz w:val="24"/>
          <w:szCs w:val="24"/>
        </w:rPr>
        <w:sectPr>
          <w:headerReference r:id="rId6" w:type="default"/>
          <w:footerReference r:id="rId7" w:type="default"/>
          <w:pgSz w:w="11906" w:h="16838"/>
          <w:pgMar w:top="1236" w:right="1247" w:bottom="1236" w:left="124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19" w:name="_GoBack"/>
      <w:bookmarkEnd w:id="19"/>
    </w:p>
    <w:p w14:paraId="33A91748">
      <w:pPr>
        <w:keepNext/>
        <w:keepLines/>
        <w:pageBreakBefore w:val="0"/>
        <w:widowControl/>
        <w:numPr>
          <w:ilvl w:val="3"/>
          <w:numId w:val="0"/>
        </w:numPr>
        <w:kinsoku/>
        <w:wordWrap/>
        <w:overflowPunct/>
        <w:topLinePunct w:val="0"/>
        <w:autoSpaceDE/>
        <w:autoSpaceDN/>
        <w:bidi w:val="0"/>
        <w:adjustRightInd/>
        <w:snapToGrid w:val="0"/>
        <w:spacing w:line="288" w:lineRule="auto"/>
        <w:jc w:val="left"/>
        <w:textAlignment w:val="auto"/>
        <w:outlineLvl w:val="3"/>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lang w:val="en-US" w:eastAsia="zh-CN"/>
          <w14:textFill>
            <w14:solidFill>
              <w14:schemeClr w14:val="tx1"/>
            </w14:solidFill>
          </w14:textFill>
        </w:rPr>
        <w:t>附件1：</w:t>
      </w:r>
      <w:r>
        <w:rPr>
          <w:rFonts w:hint="eastAsia" w:ascii="仿宋" w:hAnsi="仿宋" w:eastAsia="仿宋" w:cs="仿宋"/>
          <w:b/>
          <w:bCs/>
          <w:color w:val="000000" w:themeColor="text1"/>
          <w:kern w:val="0"/>
          <w:sz w:val="24"/>
          <w:szCs w:val="24"/>
          <w14:textFill>
            <w14:solidFill>
              <w14:schemeClr w14:val="tx1"/>
            </w14:solidFill>
          </w14:textFill>
        </w:rPr>
        <w:t>相关表格</w:t>
      </w:r>
    </w:p>
    <w:p w14:paraId="4AF44A80">
      <w:pPr>
        <w:keepNext/>
        <w:keepLines/>
        <w:pageBreakBefore w:val="0"/>
        <w:widowControl/>
        <w:kinsoku/>
        <w:wordWrap/>
        <w:overflowPunct/>
        <w:topLinePunct w:val="0"/>
        <w:autoSpaceDE/>
        <w:autoSpaceDN/>
        <w:bidi w:val="0"/>
        <w:adjustRightInd/>
        <w:snapToGrid w:val="0"/>
        <w:spacing w:line="288" w:lineRule="auto"/>
        <w:ind w:left="567"/>
        <w:jc w:val="center"/>
        <w:textAlignment w:val="auto"/>
        <w:outlineLvl w:val="4"/>
        <w:rPr>
          <w:rFonts w:hint="eastAsia" w:ascii="仿宋" w:hAnsi="仿宋" w:eastAsia="仿宋" w:cs="仿宋"/>
          <w:b/>
          <w:color w:val="000000" w:themeColor="text1"/>
          <w:kern w:val="0"/>
          <w:sz w:val="24"/>
          <w:szCs w:val="24"/>
          <w14:textFill>
            <w14:solidFill>
              <w14:schemeClr w14:val="tx1"/>
            </w14:solidFill>
          </w14:textFill>
        </w:rPr>
      </w:pPr>
      <w:r>
        <w:rPr>
          <w:rFonts w:hint="eastAsia" w:ascii="仿宋" w:hAnsi="仿宋" w:eastAsia="仿宋" w:cs="仿宋"/>
          <w:b/>
          <w:color w:val="000000" w:themeColor="text1"/>
          <w:kern w:val="0"/>
          <w:sz w:val="24"/>
          <w:szCs w:val="24"/>
          <w:lang w:bidi="ar"/>
          <w14:textFill>
            <w14:solidFill>
              <w14:schemeClr w14:val="tx1"/>
            </w14:solidFill>
          </w14:textFill>
        </w:rPr>
        <w:t>（1）山洪灾害防治对象名录</w:t>
      </w:r>
    </w:p>
    <w:tbl>
      <w:tblPr>
        <w:tblStyle w:val="37"/>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93"/>
        <w:gridCol w:w="563"/>
        <w:gridCol w:w="658"/>
        <w:gridCol w:w="398"/>
        <w:gridCol w:w="454"/>
        <w:gridCol w:w="549"/>
        <w:gridCol w:w="641"/>
        <w:gridCol w:w="731"/>
        <w:gridCol w:w="923"/>
        <w:gridCol w:w="731"/>
        <w:gridCol w:w="731"/>
        <w:gridCol w:w="731"/>
        <w:gridCol w:w="826"/>
        <w:gridCol w:w="367"/>
        <w:gridCol w:w="369"/>
        <w:gridCol w:w="455"/>
        <w:gridCol w:w="461"/>
        <w:gridCol w:w="469"/>
        <w:gridCol w:w="489"/>
        <w:gridCol w:w="367"/>
        <w:gridCol w:w="369"/>
        <w:gridCol w:w="466"/>
        <w:gridCol w:w="369"/>
        <w:gridCol w:w="388"/>
        <w:gridCol w:w="966"/>
      </w:tblGrid>
      <w:tr w14:paraId="73DD6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615" w:type="pct"/>
            <w:gridSpan w:val="3"/>
            <w:tcBorders>
              <w:top w:val="single" w:color="000000" w:sz="2" w:space="0"/>
              <w:left w:val="single" w:color="000000" w:sz="2" w:space="0"/>
              <w:bottom w:val="single" w:color="auto" w:sz="4" w:space="0"/>
              <w:right w:val="single" w:color="000000" w:sz="2" w:space="0"/>
            </w:tcBorders>
            <w:vAlign w:val="center"/>
          </w:tcPr>
          <w:p w14:paraId="7EDCE05E">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1.县（区、市、旗）名称</w:t>
            </w:r>
          </w:p>
        </w:tc>
        <w:tc>
          <w:tcPr>
            <w:tcW w:w="503" w:type="pct"/>
            <w:gridSpan w:val="3"/>
            <w:tcBorders>
              <w:top w:val="single" w:color="000000" w:sz="2" w:space="0"/>
              <w:left w:val="single" w:color="000000" w:sz="2" w:space="0"/>
              <w:bottom w:val="single" w:color="auto" w:sz="4" w:space="0"/>
              <w:right w:val="single" w:color="000000" w:sz="2" w:space="0"/>
            </w:tcBorders>
            <w:vAlign w:val="center"/>
          </w:tcPr>
          <w:p w14:paraId="45D61129">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zh-CN"/>
                <w14:textFill>
                  <w14:solidFill>
                    <w14:schemeClr w14:val="tx1"/>
                  </w14:solidFill>
                </w14:textFill>
              </w:rPr>
            </w:pPr>
          </w:p>
        </w:tc>
        <w:tc>
          <w:tcPr>
            <w:tcW w:w="823" w:type="pct"/>
            <w:gridSpan w:val="3"/>
            <w:tcBorders>
              <w:top w:val="single" w:color="000000" w:sz="2" w:space="0"/>
              <w:left w:val="single" w:color="000000" w:sz="2" w:space="0"/>
              <w:bottom w:val="single" w:color="auto" w:sz="4" w:space="0"/>
              <w:right w:val="single" w:color="000000" w:sz="2" w:space="0"/>
            </w:tcBorders>
            <w:vAlign w:val="center"/>
          </w:tcPr>
          <w:p w14:paraId="1C0216B9">
            <w:pPr>
              <w:pStyle w:val="36"/>
              <w:pageBreakBefore w:val="0"/>
              <w:numPr>
                <w:ilvl w:val="0"/>
                <w:numId w:val="2"/>
              </w:numPr>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县（区、市、旗）</w:t>
            </w:r>
          </w:p>
          <w:p w14:paraId="428EC65F">
            <w:pPr>
              <w:pStyle w:val="36"/>
              <w:pageBreakBefore w:val="0"/>
              <w:numPr>
                <w:ilvl w:val="0"/>
                <w:numId w:val="0"/>
              </w:numPr>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代码</w:t>
            </w:r>
          </w:p>
        </w:tc>
        <w:tc>
          <w:tcPr>
            <w:tcW w:w="786" w:type="pct"/>
            <w:gridSpan w:val="3"/>
            <w:tcBorders>
              <w:top w:val="single" w:color="000000" w:sz="2" w:space="0"/>
              <w:left w:val="single" w:color="000000" w:sz="2" w:space="0"/>
              <w:bottom w:val="single" w:color="000000" w:sz="2" w:space="0"/>
              <w:right w:val="single" w:color="000000" w:sz="2" w:space="0"/>
            </w:tcBorders>
            <w:vAlign w:val="center"/>
          </w:tcPr>
          <w:p w14:paraId="16266E8E">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zh-CN"/>
                <w14:textFill>
                  <w14:solidFill>
                    <w14:schemeClr w14:val="tx1"/>
                  </w14:solidFill>
                </w14:textFill>
              </w:rPr>
            </w:pPr>
          </w:p>
        </w:tc>
        <w:tc>
          <w:tcPr>
            <w:tcW w:w="425" w:type="pct"/>
            <w:gridSpan w:val="2"/>
            <w:tcBorders>
              <w:top w:val="single" w:color="000000" w:sz="2" w:space="0"/>
              <w:left w:val="single" w:color="000000" w:sz="2" w:space="0"/>
              <w:bottom w:val="single" w:color="000000" w:sz="2" w:space="0"/>
              <w:right w:val="single" w:color="000000" w:sz="2" w:space="0"/>
            </w:tcBorders>
            <w:vAlign w:val="center"/>
          </w:tcPr>
          <w:p w14:paraId="3B449F03">
            <w:pPr>
              <w:pStyle w:val="36"/>
              <w:pageBreakBefore w:val="0"/>
              <w:numPr>
                <w:ilvl w:val="0"/>
                <w:numId w:val="2"/>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乡镇</w:t>
            </w:r>
          </w:p>
          <w:p w14:paraId="53807081">
            <w:pPr>
              <w:pStyle w:val="36"/>
              <w:pageBreakBefore w:val="0"/>
              <w:numPr>
                <w:ilvl w:val="0"/>
                <w:numId w:val="0"/>
              </w:numPr>
              <w:kinsoku/>
              <w:wordWrap/>
              <w:overflowPunct/>
              <w:topLinePunct w:val="0"/>
              <w:autoSpaceDE/>
              <w:autoSpaceDN/>
              <w:bidi w:val="0"/>
              <w:adjustRightInd/>
              <w:snapToGrid w:val="0"/>
              <w:spacing w:line="240" w:lineRule="auto"/>
              <w:ind w:leftChars="0"/>
              <w:jc w:val="center"/>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名称</w:t>
            </w:r>
          </w:p>
        </w:tc>
        <w:tc>
          <w:tcPr>
            <w:tcW w:w="803" w:type="pct"/>
            <w:gridSpan w:val="5"/>
            <w:tcBorders>
              <w:top w:val="single" w:color="000000" w:sz="2" w:space="0"/>
              <w:left w:val="single" w:color="000000" w:sz="2" w:space="0"/>
              <w:bottom w:val="single" w:color="000000" w:sz="2" w:space="0"/>
              <w:right w:val="single" w:color="000000" w:sz="2" w:space="0"/>
            </w:tcBorders>
            <w:vAlign w:val="center"/>
          </w:tcPr>
          <w:p w14:paraId="3CD310B6">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428" w:type="pct"/>
            <w:gridSpan w:val="3"/>
            <w:tcBorders>
              <w:top w:val="single" w:color="000000" w:sz="2" w:space="0"/>
              <w:left w:val="single" w:color="000000" w:sz="2" w:space="0"/>
              <w:bottom w:val="single" w:color="000000" w:sz="2" w:space="0"/>
              <w:right w:val="single" w:color="000000" w:sz="2" w:space="0"/>
            </w:tcBorders>
            <w:vAlign w:val="center"/>
          </w:tcPr>
          <w:p w14:paraId="684E8FED">
            <w:pPr>
              <w:pStyle w:val="36"/>
              <w:pageBreakBefore w:val="0"/>
              <w:numPr>
                <w:ilvl w:val="0"/>
                <w:numId w:val="2"/>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乡镇</w:t>
            </w:r>
          </w:p>
          <w:p w14:paraId="576BEE34">
            <w:pPr>
              <w:pStyle w:val="36"/>
              <w:pageBreakBefore w:val="0"/>
              <w:numPr>
                <w:ilvl w:val="0"/>
                <w:numId w:val="0"/>
              </w:numPr>
              <w:kinsoku/>
              <w:wordWrap/>
              <w:overflowPunct/>
              <w:topLinePunct w:val="0"/>
              <w:autoSpaceDE/>
              <w:autoSpaceDN/>
              <w:bidi w:val="0"/>
              <w:adjustRightInd/>
              <w:snapToGrid w:val="0"/>
              <w:spacing w:line="240" w:lineRule="auto"/>
              <w:ind w:leftChars="0"/>
              <w:jc w:val="center"/>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代码</w:t>
            </w:r>
          </w:p>
        </w:tc>
        <w:tc>
          <w:tcPr>
            <w:tcW w:w="618" w:type="pct"/>
            <w:gridSpan w:val="3"/>
            <w:tcBorders>
              <w:top w:val="single" w:color="000000" w:sz="2" w:space="0"/>
              <w:left w:val="single" w:color="000000" w:sz="2" w:space="0"/>
              <w:bottom w:val="single" w:color="000000" w:sz="2" w:space="0"/>
              <w:right w:val="single" w:color="000000" w:sz="2" w:space="0"/>
            </w:tcBorders>
            <w:vAlign w:val="center"/>
          </w:tcPr>
          <w:p w14:paraId="073422FC">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45D6A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177" w:type="pct"/>
            <w:vMerge w:val="restart"/>
            <w:tcBorders>
              <w:top w:val="nil"/>
              <w:left w:val="single" w:color="000000" w:sz="2" w:space="0"/>
              <w:bottom w:val="single" w:color="auto" w:sz="4" w:space="0"/>
              <w:right w:val="single" w:color="000000" w:sz="2" w:space="0"/>
            </w:tcBorders>
            <w:vAlign w:val="center"/>
          </w:tcPr>
          <w:p w14:paraId="7AB117EB">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序号</w:t>
            </w:r>
          </w:p>
        </w:tc>
        <w:tc>
          <w:tcPr>
            <w:tcW w:w="202" w:type="pct"/>
            <w:vMerge w:val="restart"/>
            <w:tcBorders>
              <w:top w:val="nil"/>
              <w:left w:val="single" w:color="000000" w:sz="2" w:space="0"/>
              <w:bottom w:val="single" w:color="auto" w:sz="4" w:space="0"/>
              <w:right w:val="single" w:color="000000" w:sz="2" w:space="0"/>
            </w:tcBorders>
            <w:vAlign w:val="center"/>
          </w:tcPr>
          <w:p w14:paraId="3CA2CD5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5.名称</w:t>
            </w:r>
          </w:p>
        </w:tc>
        <w:tc>
          <w:tcPr>
            <w:tcW w:w="235" w:type="pct"/>
            <w:vMerge w:val="restart"/>
            <w:tcBorders>
              <w:top w:val="nil"/>
              <w:left w:val="single" w:color="000000" w:sz="2" w:space="0"/>
              <w:bottom w:val="single" w:color="auto" w:sz="4" w:space="0"/>
              <w:right w:val="single" w:color="000000" w:sz="2" w:space="0"/>
            </w:tcBorders>
            <w:vAlign w:val="center"/>
          </w:tcPr>
          <w:p w14:paraId="53A0ABE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6.代码</w:t>
            </w:r>
          </w:p>
        </w:tc>
        <w:tc>
          <w:tcPr>
            <w:tcW w:w="143" w:type="pct"/>
            <w:vMerge w:val="restart"/>
            <w:tcBorders>
              <w:top w:val="nil"/>
              <w:left w:val="single" w:color="000000" w:sz="2" w:space="0"/>
              <w:bottom w:val="single" w:color="auto" w:sz="4" w:space="0"/>
              <w:right w:val="single" w:color="000000" w:sz="2" w:space="0"/>
            </w:tcBorders>
            <w:vAlign w:val="center"/>
          </w:tcPr>
          <w:p w14:paraId="02BA5A71">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7.类型</w:t>
            </w:r>
          </w:p>
        </w:tc>
        <w:tc>
          <w:tcPr>
            <w:tcW w:w="163" w:type="pct"/>
            <w:vMerge w:val="restart"/>
            <w:tcBorders>
              <w:top w:val="nil"/>
              <w:left w:val="single" w:color="000000" w:sz="2" w:space="0"/>
              <w:bottom w:val="single" w:color="auto" w:sz="4" w:space="0"/>
              <w:right w:val="single" w:color="000000" w:sz="2" w:space="0"/>
            </w:tcBorders>
            <w:vAlign w:val="center"/>
          </w:tcPr>
          <w:p w14:paraId="25E7E40F">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8.人口</w:t>
            </w:r>
          </w:p>
        </w:tc>
        <w:tc>
          <w:tcPr>
            <w:tcW w:w="197" w:type="pct"/>
            <w:vMerge w:val="restart"/>
            <w:tcBorders>
              <w:top w:val="nil"/>
              <w:left w:val="single" w:color="000000" w:sz="2" w:space="0"/>
              <w:bottom w:val="single" w:color="auto" w:sz="4" w:space="0"/>
              <w:right w:val="single" w:color="000000" w:sz="2" w:space="0"/>
            </w:tcBorders>
            <w:vAlign w:val="center"/>
          </w:tcPr>
          <w:p w14:paraId="58B5767F">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9.河流 名称</w:t>
            </w:r>
          </w:p>
        </w:tc>
        <w:tc>
          <w:tcPr>
            <w:tcW w:w="230" w:type="pct"/>
            <w:vMerge w:val="restart"/>
            <w:tcBorders>
              <w:top w:val="nil"/>
              <w:left w:val="single" w:color="000000" w:sz="2" w:space="0"/>
              <w:bottom w:val="single" w:color="auto" w:sz="4" w:space="0"/>
              <w:right w:val="single" w:color="000000" w:sz="2" w:space="0"/>
            </w:tcBorders>
            <w:vAlign w:val="center"/>
          </w:tcPr>
          <w:p w14:paraId="2A255A22">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10.河流 代码</w:t>
            </w:r>
          </w:p>
        </w:tc>
        <w:tc>
          <w:tcPr>
            <w:tcW w:w="2606" w:type="pct"/>
            <w:gridSpan w:val="12"/>
            <w:tcBorders>
              <w:top w:val="single" w:color="000000" w:sz="2" w:space="0"/>
              <w:left w:val="single" w:color="000000" w:sz="2" w:space="0"/>
              <w:bottom w:val="single" w:color="auto" w:sz="4" w:space="0"/>
              <w:right w:val="single" w:color="000000" w:sz="2" w:space="0"/>
            </w:tcBorders>
            <w:vAlign w:val="center"/>
          </w:tcPr>
          <w:p w14:paraId="0752862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风险隐患要素类别</w:t>
            </w:r>
          </w:p>
        </w:tc>
        <w:tc>
          <w:tcPr>
            <w:tcW w:w="699" w:type="pct"/>
            <w:gridSpan w:val="5"/>
            <w:tcBorders>
              <w:top w:val="single" w:color="000000" w:sz="2" w:space="0"/>
              <w:left w:val="single" w:color="000000" w:sz="2" w:space="0"/>
              <w:bottom w:val="single" w:color="auto" w:sz="4" w:space="0"/>
              <w:right w:val="single" w:color="000000" w:sz="2" w:space="0"/>
            </w:tcBorders>
            <w:vAlign w:val="center"/>
          </w:tcPr>
          <w:p w14:paraId="162499BC">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风险隐患影响类型</w:t>
            </w:r>
          </w:p>
        </w:tc>
        <w:tc>
          <w:tcPr>
            <w:tcW w:w="347" w:type="pct"/>
            <w:vMerge w:val="restart"/>
            <w:tcBorders>
              <w:top w:val="single" w:color="000000" w:sz="2" w:space="0"/>
              <w:left w:val="single" w:color="000000" w:sz="2" w:space="0"/>
              <w:bottom w:val="single" w:color="auto" w:sz="4" w:space="0"/>
              <w:right w:val="single" w:color="000000" w:sz="2" w:space="0"/>
            </w:tcBorders>
            <w:vAlign w:val="center"/>
          </w:tcPr>
          <w:p w14:paraId="249BB360">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p w14:paraId="770882DE">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28.</w:t>
            </w:r>
          </w:p>
          <w:p w14:paraId="41BF5811">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备注</w:t>
            </w:r>
          </w:p>
        </w:tc>
      </w:tr>
      <w:tr w14:paraId="0F6BC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177" w:type="pct"/>
            <w:vMerge w:val="continue"/>
            <w:tcBorders>
              <w:top w:val="nil"/>
              <w:left w:val="single" w:color="000000" w:sz="2" w:space="0"/>
              <w:bottom w:val="nil"/>
              <w:right w:val="single" w:color="000000" w:sz="2" w:space="0"/>
            </w:tcBorders>
            <w:vAlign w:val="center"/>
          </w:tcPr>
          <w:p w14:paraId="02DB3846">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02" w:type="pct"/>
            <w:vMerge w:val="continue"/>
            <w:tcBorders>
              <w:top w:val="nil"/>
              <w:left w:val="single" w:color="000000" w:sz="2" w:space="0"/>
              <w:bottom w:val="nil"/>
              <w:right w:val="single" w:color="000000" w:sz="2" w:space="0"/>
            </w:tcBorders>
            <w:vAlign w:val="center"/>
          </w:tcPr>
          <w:p w14:paraId="4E5F9AC8">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5" w:type="pct"/>
            <w:vMerge w:val="continue"/>
            <w:tcBorders>
              <w:top w:val="nil"/>
              <w:left w:val="single" w:color="000000" w:sz="2" w:space="0"/>
              <w:bottom w:val="nil"/>
              <w:right w:val="single" w:color="000000" w:sz="2" w:space="0"/>
            </w:tcBorders>
            <w:vAlign w:val="center"/>
          </w:tcPr>
          <w:p w14:paraId="3AF4ED16">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43" w:type="pct"/>
            <w:vMerge w:val="continue"/>
            <w:tcBorders>
              <w:top w:val="nil"/>
              <w:left w:val="single" w:color="000000" w:sz="2" w:space="0"/>
              <w:bottom w:val="nil"/>
              <w:right w:val="single" w:color="000000" w:sz="2" w:space="0"/>
            </w:tcBorders>
            <w:vAlign w:val="center"/>
          </w:tcPr>
          <w:p w14:paraId="25D7F96A">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3" w:type="pct"/>
            <w:vMerge w:val="continue"/>
            <w:tcBorders>
              <w:top w:val="nil"/>
              <w:left w:val="single" w:color="000000" w:sz="2" w:space="0"/>
              <w:bottom w:val="nil"/>
              <w:right w:val="single" w:color="000000" w:sz="2" w:space="0"/>
            </w:tcBorders>
            <w:vAlign w:val="center"/>
          </w:tcPr>
          <w:p w14:paraId="4ADBF80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97" w:type="pct"/>
            <w:vMerge w:val="continue"/>
            <w:tcBorders>
              <w:top w:val="nil"/>
              <w:left w:val="single" w:color="000000" w:sz="2" w:space="0"/>
              <w:bottom w:val="nil"/>
              <w:right w:val="single" w:color="000000" w:sz="2" w:space="0"/>
            </w:tcBorders>
            <w:vAlign w:val="center"/>
          </w:tcPr>
          <w:p w14:paraId="55810296">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0" w:type="pct"/>
            <w:vMerge w:val="continue"/>
            <w:tcBorders>
              <w:top w:val="nil"/>
              <w:left w:val="single" w:color="000000" w:sz="2" w:space="0"/>
              <w:bottom w:val="nil"/>
              <w:right w:val="single" w:color="000000" w:sz="2" w:space="0"/>
            </w:tcBorders>
            <w:vAlign w:val="center"/>
          </w:tcPr>
          <w:p w14:paraId="07E1BFED">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93" w:type="pct"/>
            <w:gridSpan w:val="2"/>
            <w:tcBorders>
              <w:top w:val="single" w:color="000000" w:sz="2" w:space="0"/>
              <w:left w:val="single" w:color="000000" w:sz="2" w:space="0"/>
              <w:bottom w:val="single" w:color="000000" w:sz="2" w:space="0"/>
              <w:right w:val="single" w:color="000000" w:sz="2" w:space="0"/>
            </w:tcBorders>
            <w:vAlign w:val="center"/>
          </w:tcPr>
          <w:p w14:paraId="6180E85D">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跨沟道路、桥涵</w:t>
            </w:r>
          </w:p>
        </w:tc>
        <w:tc>
          <w:tcPr>
            <w:tcW w:w="524" w:type="pct"/>
            <w:gridSpan w:val="2"/>
            <w:tcBorders>
              <w:top w:val="single" w:color="000000" w:sz="2" w:space="0"/>
              <w:left w:val="single" w:color="000000" w:sz="2" w:space="0"/>
              <w:bottom w:val="single" w:color="000000" w:sz="2" w:space="0"/>
              <w:right w:val="single" w:color="000000" w:sz="2" w:space="0"/>
            </w:tcBorders>
            <w:vAlign w:val="center"/>
          </w:tcPr>
          <w:p w14:paraId="09E232DA">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塘（堰）坝</w:t>
            </w:r>
          </w:p>
        </w:tc>
        <w:tc>
          <w:tcPr>
            <w:tcW w:w="558" w:type="pct"/>
            <w:gridSpan w:val="2"/>
            <w:tcBorders>
              <w:top w:val="single" w:color="000000" w:sz="2" w:space="0"/>
              <w:left w:val="single" w:color="000000" w:sz="2" w:space="0"/>
              <w:bottom w:val="single" w:color="000000" w:sz="2" w:space="0"/>
              <w:right w:val="single" w:color="000000" w:sz="2" w:space="0"/>
            </w:tcBorders>
            <w:vAlign w:val="center"/>
          </w:tcPr>
          <w:p w14:paraId="29114F9B">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多支齐汇</w:t>
            </w:r>
          </w:p>
        </w:tc>
        <w:tc>
          <w:tcPr>
            <w:tcW w:w="757" w:type="pct"/>
            <w:gridSpan w:val="5"/>
            <w:tcBorders>
              <w:top w:val="single" w:color="000000" w:sz="2" w:space="0"/>
              <w:left w:val="single" w:color="000000" w:sz="2" w:space="0"/>
              <w:bottom w:val="single" w:color="000000" w:sz="2" w:space="0"/>
              <w:right w:val="single" w:color="000000" w:sz="2" w:space="0"/>
            </w:tcBorders>
            <w:vAlign w:val="center"/>
          </w:tcPr>
          <w:p w14:paraId="75E1408D">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局地河势与微地形</w:t>
            </w:r>
          </w:p>
        </w:tc>
        <w:tc>
          <w:tcPr>
            <w:tcW w:w="175" w:type="pct"/>
            <w:vMerge w:val="restart"/>
            <w:tcBorders>
              <w:top w:val="single" w:color="000000" w:sz="2" w:space="0"/>
              <w:left w:val="single" w:color="000000" w:sz="2" w:space="0"/>
              <w:bottom w:val="nil"/>
              <w:right w:val="single" w:color="000000" w:sz="2" w:space="0"/>
            </w:tcBorders>
            <w:vAlign w:val="center"/>
          </w:tcPr>
          <w:p w14:paraId="64F8A59A">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22.沟滩 占地</w:t>
            </w:r>
          </w:p>
        </w:tc>
        <w:tc>
          <w:tcPr>
            <w:tcW w:w="129" w:type="pct"/>
            <w:vMerge w:val="restart"/>
            <w:tcBorders>
              <w:top w:val="single" w:color="000000" w:sz="2" w:space="0"/>
              <w:left w:val="single" w:color="000000" w:sz="2" w:space="0"/>
              <w:bottom w:val="nil"/>
              <w:right w:val="single" w:color="000000" w:sz="2" w:space="0"/>
            </w:tcBorders>
            <w:vAlign w:val="center"/>
          </w:tcPr>
          <w:p w14:paraId="3E62916D">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23.溃决</w:t>
            </w:r>
          </w:p>
        </w:tc>
        <w:tc>
          <w:tcPr>
            <w:tcW w:w="132" w:type="pct"/>
            <w:vMerge w:val="restart"/>
            <w:tcBorders>
              <w:top w:val="single" w:color="000000" w:sz="2" w:space="0"/>
              <w:left w:val="single" w:color="000000" w:sz="2" w:space="0"/>
              <w:bottom w:val="nil"/>
              <w:right w:val="single" w:color="000000" w:sz="2" w:space="0"/>
            </w:tcBorders>
            <w:vAlign w:val="center"/>
          </w:tcPr>
          <w:p w14:paraId="559BAA57">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24.壅水</w:t>
            </w:r>
          </w:p>
        </w:tc>
        <w:tc>
          <w:tcPr>
            <w:tcW w:w="167" w:type="pct"/>
            <w:vMerge w:val="restart"/>
            <w:tcBorders>
              <w:top w:val="single" w:color="000000" w:sz="2" w:space="0"/>
              <w:left w:val="single" w:color="000000" w:sz="2" w:space="0"/>
              <w:bottom w:val="nil"/>
              <w:right w:val="single" w:color="000000" w:sz="2" w:space="0"/>
            </w:tcBorders>
            <w:vAlign w:val="center"/>
          </w:tcPr>
          <w:p w14:paraId="098DCE10">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25.顶托</w:t>
            </w:r>
          </w:p>
        </w:tc>
        <w:tc>
          <w:tcPr>
            <w:tcW w:w="132" w:type="pct"/>
            <w:vMerge w:val="restart"/>
            <w:tcBorders>
              <w:top w:val="single" w:color="000000" w:sz="2" w:space="0"/>
              <w:left w:val="single" w:color="000000" w:sz="2" w:space="0"/>
              <w:bottom w:val="nil"/>
              <w:right w:val="single" w:color="000000" w:sz="2" w:space="0"/>
            </w:tcBorders>
            <w:vAlign w:val="center"/>
          </w:tcPr>
          <w:p w14:paraId="3B36A087">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26.改道</w:t>
            </w:r>
          </w:p>
        </w:tc>
        <w:tc>
          <w:tcPr>
            <w:tcW w:w="139" w:type="pct"/>
            <w:vMerge w:val="restart"/>
            <w:tcBorders>
              <w:top w:val="single" w:color="000000" w:sz="2" w:space="0"/>
              <w:left w:val="single" w:color="000000" w:sz="2" w:space="0"/>
              <w:bottom w:val="nil"/>
              <w:right w:val="single" w:color="000000" w:sz="2" w:space="0"/>
            </w:tcBorders>
            <w:vAlign w:val="center"/>
          </w:tcPr>
          <w:p w14:paraId="402A2934">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27.漫流</w:t>
            </w:r>
          </w:p>
        </w:tc>
        <w:tc>
          <w:tcPr>
            <w:tcW w:w="347" w:type="pct"/>
            <w:vMerge w:val="continue"/>
            <w:tcBorders>
              <w:top w:val="single" w:color="000000" w:sz="2" w:space="0"/>
              <w:left w:val="single" w:color="000000" w:sz="2" w:space="0"/>
              <w:bottom w:val="nil"/>
              <w:right w:val="single" w:color="000000" w:sz="2" w:space="0"/>
            </w:tcBorders>
            <w:vAlign w:val="center"/>
          </w:tcPr>
          <w:p w14:paraId="1C47D579">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6E1E1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177" w:type="pct"/>
            <w:vMerge w:val="continue"/>
            <w:tcBorders>
              <w:top w:val="nil"/>
              <w:left w:val="single" w:color="000000" w:sz="2" w:space="0"/>
              <w:bottom w:val="single" w:color="auto" w:sz="4" w:space="0"/>
              <w:right w:val="single" w:color="000000" w:sz="2" w:space="0"/>
            </w:tcBorders>
            <w:vAlign w:val="center"/>
          </w:tcPr>
          <w:p w14:paraId="58A6CDE1">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02" w:type="pct"/>
            <w:vMerge w:val="continue"/>
            <w:tcBorders>
              <w:top w:val="nil"/>
              <w:left w:val="single" w:color="000000" w:sz="2" w:space="0"/>
              <w:bottom w:val="single" w:color="auto" w:sz="4" w:space="0"/>
              <w:right w:val="single" w:color="000000" w:sz="2" w:space="0"/>
            </w:tcBorders>
            <w:vAlign w:val="center"/>
          </w:tcPr>
          <w:p w14:paraId="5DA5F11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5" w:type="pct"/>
            <w:vMerge w:val="continue"/>
            <w:tcBorders>
              <w:top w:val="nil"/>
              <w:left w:val="single" w:color="000000" w:sz="2" w:space="0"/>
              <w:bottom w:val="single" w:color="auto" w:sz="4" w:space="0"/>
              <w:right w:val="single" w:color="000000" w:sz="2" w:space="0"/>
            </w:tcBorders>
            <w:vAlign w:val="center"/>
          </w:tcPr>
          <w:p w14:paraId="42E386DB">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43" w:type="pct"/>
            <w:vMerge w:val="continue"/>
            <w:tcBorders>
              <w:top w:val="nil"/>
              <w:left w:val="single" w:color="000000" w:sz="2" w:space="0"/>
              <w:bottom w:val="single" w:color="auto" w:sz="4" w:space="0"/>
              <w:right w:val="single" w:color="000000" w:sz="2" w:space="0"/>
            </w:tcBorders>
            <w:vAlign w:val="center"/>
          </w:tcPr>
          <w:p w14:paraId="1AA39FEE">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3" w:type="pct"/>
            <w:vMerge w:val="continue"/>
            <w:tcBorders>
              <w:top w:val="nil"/>
              <w:left w:val="single" w:color="000000" w:sz="2" w:space="0"/>
              <w:bottom w:val="single" w:color="auto" w:sz="4" w:space="0"/>
              <w:right w:val="single" w:color="000000" w:sz="2" w:space="0"/>
            </w:tcBorders>
            <w:vAlign w:val="center"/>
          </w:tcPr>
          <w:p w14:paraId="5EC13E56">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97" w:type="pct"/>
            <w:vMerge w:val="continue"/>
            <w:tcBorders>
              <w:top w:val="nil"/>
              <w:left w:val="single" w:color="000000" w:sz="2" w:space="0"/>
              <w:bottom w:val="single" w:color="auto" w:sz="4" w:space="0"/>
              <w:right w:val="single" w:color="000000" w:sz="2" w:space="0"/>
            </w:tcBorders>
            <w:vAlign w:val="center"/>
          </w:tcPr>
          <w:p w14:paraId="42E1BCE8">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0" w:type="pct"/>
            <w:vMerge w:val="continue"/>
            <w:tcBorders>
              <w:top w:val="nil"/>
              <w:left w:val="single" w:color="000000" w:sz="2" w:space="0"/>
              <w:bottom w:val="single" w:color="auto" w:sz="4" w:space="0"/>
              <w:right w:val="single" w:color="000000" w:sz="2" w:space="0"/>
            </w:tcBorders>
            <w:vAlign w:val="center"/>
          </w:tcPr>
          <w:p w14:paraId="02394036">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auto" w:sz="4" w:space="0"/>
              <w:right w:val="single" w:color="000000" w:sz="2" w:space="0"/>
            </w:tcBorders>
            <w:vAlign w:val="center"/>
          </w:tcPr>
          <w:p w14:paraId="3EE09379">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11.</w:t>
            </w:r>
          </w:p>
          <w:p w14:paraId="362FEC41">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名称</w:t>
            </w:r>
          </w:p>
        </w:tc>
        <w:tc>
          <w:tcPr>
            <w:tcW w:w="331" w:type="pct"/>
            <w:tcBorders>
              <w:top w:val="single" w:color="000000" w:sz="2" w:space="0"/>
              <w:left w:val="single" w:color="000000" w:sz="2" w:space="0"/>
              <w:bottom w:val="single" w:color="auto" w:sz="4" w:space="0"/>
              <w:right w:val="single" w:color="000000" w:sz="2" w:space="0"/>
            </w:tcBorders>
            <w:vAlign w:val="center"/>
          </w:tcPr>
          <w:p w14:paraId="19B0E964">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12.</w:t>
            </w:r>
          </w:p>
          <w:p w14:paraId="66DD837F">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编码</w:t>
            </w:r>
          </w:p>
        </w:tc>
        <w:tc>
          <w:tcPr>
            <w:tcW w:w="262" w:type="pct"/>
            <w:tcBorders>
              <w:top w:val="single" w:color="000000" w:sz="2" w:space="0"/>
              <w:left w:val="single" w:color="000000" w:sz="2" w:space="0"/>
              <w:bottom w:val="single" w:color="000000" w:sz="2" w:space="0"/>
              <w:right w:val="single" w:color="000000" w:sz="2" w:space="0"/>
            </w:tcBorders>
            <w:vAlign w:val="center"/>
          </w:tcPr>
          <w:p w14:paraId="00CFE92B">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13.</w:t>
            </w:r>
          </w:p>
          <w:p w14:paraId="1D840FE9">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名称</w:t>
            </w:r>
          </w:p>
        </w:tc>
        <w:tc>
          <w:tcPr>
            <w:tcW w:w="262" w:type="pct"/>
            <w:tcBorders>
              <w:top w:val="single" w:color="000000" w:sz="2" w:space="0"/>
              <w:left w:val="single" w:color="000000" w:sz="2" w:space="0"/>
              <w:bottom w:val="single" w:color="000000" w:sz="2" w:space="0"/>
              <w:right w:val="single" w:color="000000" w:sz="2" w:space="0"/>
            </w:tcBorders>
            <w:vAlign w:val="center"/>
          </w:tcPr>
          <w:p w14:paraId="2D03FAD2">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14.</w:t>
            </w:r>
          </w:p>
          <w:p w14:paraId="6B274363">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编码</w:t>
            </w:r>
          </w:p>
        </w:tc>
        <w:tc>
          <w:tcPr>
            <w:tcW w:w="262" w:type="pct"/>
            <w:tcBorders>
              <w:top w:val="single" w:color="000000" w:sz="2" w:space="0"/>
              <w:left w:val="single" w:color="000000" w:sz="2" w:space="0"/>
              <w:bottom w:val="single" w:color="000000" w:sz="2" w:space="0"/>
              <w:right w:val="single" w:color="000000" w:sz="2" w:space="0"/>
            </w:tcBorders>
            <w:vAlign w:val="center"/>
          </w:tcPr>
          <w:p w14:paraId="40D06711">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15.河流 名称</w:t>
            </w:r>
          </w:p>
        </w:tc>
        <w:tc>
          <w:tcPr>
            <w:tcW w:w="296" w:type="pct"/>
            <w:tcBorders>
              <w:top w:val="single" w:color="000000" w:sz="2" w:space="0"/>
              <w:left w:val="single" w:color="000000" w:sz="2" w:space="0"/>
              <w:bottom w:val="single" w:color="auto" w:sz="4" w:space="0"/>
              <w:right w:val="single" w:color="000000" w:sz="2" w:space="0"/>
            </w:tcBorders>
            <w:vAlign w:val="center"/>
          </w:tcPr>
          <w:p w14:paraId="01814510">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16.河流</w:t>
            </w:r>
          </w:p>
          <w:p w14:paraId="28676968">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代码</w:t>
            </w:r>
          </w:p>
        </w:tc>
        <w:tc>
          <w:tcPr>
            <w:tcW w:w="129" w:type="pct"/>
            <w:tcBorders>
              <w:top w:val="single" w:color="000000" w:sz="2" w:space="0"/>
              <w:left w:val="single" w:color="000000" w:sz="2" w:space="0"/>
              <w:bottom w:val="single" w:color="auto" w:sz="4" w:space="0"/>
              <w:right w:val="single" w:color="000000" w:sz="2" w:space="0"/>
            </w:tcBorders>
            <w:vAlign w:val="center"/>
          </w:tcPr>
          <w:p w14:paraId="609AF1CA">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17.束窄</w:t>
            </w:r>
          </w:p>
        </w:tc>
        <w:tc>
          <w:tcPr>
            <w:tcW w:w="132" w:type="pct"/>
            <w:tcBorders>
              <w:top w:val="single" w:color="000000" w:sz="2" w:space="0"/>
              <w:left w:val="single" w:color="000000" w:sz="2" w:space="0"/>
              <w:bottom w:val="single" w:color="auto" w:sz="4" w:space="0"/>
              <w:right w:val="single" w:color="000000" w:sz="2" w:space="0"/>
            </w:tcBorders>
            <w:vAlign w:val="center"/>
          </w:tcPr>
          <w:p w14:paraId="00370419">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18.急弯</w:t>
            </w:r>
          </w:p>
        </w:tc>
        <w:tc>
          <w:tcPr>
            <w:tcW w:w="163" w:type="pct"/>
            <w:tcBorders>
              <w:top w:val="single" w:color="000000" w:sz="2" w:space="0"/>
              <w:left w:val="single" w:color="000000" w:sz="2" w:space="0"/>
              <w:bottom w:val="single" w:color="auto" w:sz="4" w:space="0"/>
              <w:right w:val="single" w:color="000000" w:sz="2" w:space="0"/>
            </w:tcBorders>
            <w:vAlign w:val="center"/>
          </w:tcPr>
          <w:p w14:paraId="2D555452">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19.</w:t>
            </w:r>
          </w:p>
          <w:p w14:paraId="060244E1">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低洼地</w:t>
            </w:r>
          </w:p>
        </w:tc>
        <w:tc>
          <w:tcPr>
            <w:tcW w:w="165" w:type="pct"/>
            <w:tcBorders>
              <w:top w:val="single" w:color="000000" w:sz="2" w:space="0"/>
              <w:left w:val="single" w:color="000000" w:sz="2" w:space="0"/>
              <w:bottom w:val="single" w:color="auto" w:sz="4" w:space="0"/>
              <w:right w:val="single" w:color="000000" w:sz="2" w:space="0"/>
            </w:tcBorders>
            <w:vAlign w:val="center"/>
          </w:tcPr>
          <w:p w14:paraId="18F2C9C0">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20.临河 滑坡</w:t>
            </w:r>
          </w:p>
        </w:tc>
        <w:tc>
          <w:tcPr>
            <w:tcW w:w="168" w:type="pct"/>
            <w:tcBorders>
              <w:top w:val="single" w:color="000000" w:sz="2" w:space="0"/>
              <w:left w:val="single" w:color="000000" w:sz="2" w:space="0"/>
              <w:bottom w:val="single" w:color="auto" w:sz="4" w:space="0"/>
              <w:right w:val="single" w:color="000000" w:sz="2" w:space="0"/>
            </w:tcBorders>
            <w:vAlign w:val="center"/>
          </w:tcPr>
          <w:p w14:paraId="00E80E82">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21.</w:t>
            </w:r>
          </w:p>
          <w:p w14:paraId="709C4171">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泥石流</w:t>
            </w:r>
          </w:p>
        </w:tc>
        <w:tc>
          <w:tcPr>
            <w:tcW w:w="175" w:type="pct"/>
            <w:vMerge w:val="continue"/>
            <w:tcBorders>
              <w:top w:val="single" w:color="000000" w:sz="2" w:space="0"/>
              <w:left w:val="single" w:color="000000" w:sz="2" w:space="0"/>
              <w:bottom w:val="single" w:color="auto" w:sz="4" w:space="0"/>
              <w:right w:val="single" w:color="000000" w:sz="2" w:space="0"/>
            </w:tcBorders>
            <w:vAlign w:val="center"/>
          </w:tcPr>
          <w:p w14:paraId="3A42AFBE">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29" w:type="pct"/>
            <w:vMerge w:val="continue"/>
            <w:tcBorders>
              <w:top w:val="single" w:color="000000" w:sz="2" w:space="0"/>
              <w:left w:val="single" w:color="000000" w:sz="2" w:space="0"/>
              <w:bottom w:val="single" w:color="auto" w:sz="4" w:space="0"/>
              <w:right w:val="single" w:color="000000" w:sz="2" w:space="0"/>
            </w:tcBorders>
            <w:vAlign w:val="center"/>
          </w:tcPr>
          <w:p w14:paraId="6E7C4A6B">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32" w:type="pct"/>
            <w:vMerge w:val="continue"/>
            <w:tcBorders>
              <w:top w:val="single" w:color="000000" w:sz="2" w:space="0"/>
              <w:left w:val="single" w:color="000000" w:sz="2" w:space="0"/>
              <w:bottom w:val="single" w:color="auto" w:sz="4" w:space="0"/>
              <w:right w:val="single" w:color="000000" w:sz="2" w:space="0"/>
            </w:tcBorders>
            <w:vAlign w:val="center"/>
          </w:tcPr>
          <w:p w14:paraId="30EE4EB4">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7" w:type="pct"/>
            <w:vMerge w:val="continue"/>
            <w:tcBorders>
              <w:top w:val="single" w:color="000000" w:sz="2" w:space="0"/>
              <w:left w:val="single" w:color="000000" w:sz="2" w:space="0"/>
              <w:bottom w:val="single" w:color="auto" w:sz="4" w:space="0"/>
              <w:right w:val="single" w:color="000000" w:sz="2" w:space="0"/>
            </w:tcBorders>
            <w:vAlign w:val="center"/>
          </w:tcPr>
          <w:p w14:paraId="031167A6">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32" w:type="pct"/>
            <w:vMerge w:val="continue"/>
            <w:tcBorders>
              <w:top w:val="single" w:color="000000" w:sz="2" w:space="0"/>
              <w:left w:val="single" w:color="000000" w:sz="2" w:space="0"/>
              <w:bottom w:val="single" w:color="auto" w:sz="4" w:space="0"/>
              <w:right w:val="single" w:color="000000" w:sz="2" w:space="0"/>
            </w:tcBorders>
            <w:vAlign w:val="center"/>
          </w:tcPr>
          <w:p w14:paraId="4320DE71">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39" w:type="pct"/>
            <w:vMerge w:val="continue"/>
            <w:tcBorders>
              <w:top w:val="single" w:color="000000" w:sz="2" w:space="0"/>
              <w:left w:val="single" w:color="000000" w:sz="2" w:space="0"/>
              <w:bottom w:val="single" w:color="auto" w:sz="4" w:space="0"/>
              <w:right w:val="single" w:color="000000" w:sz="2" w:space="0"/>
            </w:tcBorders>
            <w:vAlign w:val="center"/>
          </w:tcPr>
          <w:p w14:paraId="128B1506">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47" w:type="pct"/>
            <w:vMerge w:val="continue"/>
            <w:tcBorders>
              <w:top w:val="single" w:color="000000" w:sz="2" w:space="0"/>
              <w:left w:val="single" w:color="000000" w:sz="2" w:space="0"/>
              <w:bottom w:val="single" w:color="auto" w:sz="4" w:space="0"/>
              <w:right w:val="single" w:color="000000" w:sz="2" w:space="0"/>
            </w:tcBorders>
            <w:vAlign w:val="center"/>
          </w:tcPr>
          <w:p w14:paraId="384F9BB9">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685E9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177" w:type="pct"/>
            <w:vMerge w:val="restart"/>
            <w:tcBorders>
              <w:top w:val="single" w:color="auto" w:sz="4" w:space="0"/>
              <w:left w:val="single" w:color="000000" w:sz="2" w:space="0"/>
              <w:bottom w:val="nil"/>
              <w:right w:val="single" w:color="000000" w:sz="2" w:space="0"/>
            </w:tcBorders>
            <w:vAlign w:val="center"/>
          </w:tcPr>
          <w:p w14:paraId="5C7DAA3D">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w:t>
            </w:r>
          </w:p>
        </w:tc>
        <w:tc>
          <w:tcPr>
            <w:tcW w:w="202" w:type="pct"/>
            <w:vMerge w:val="restart"/>
            <w:tcBorders>
              <w:top w:val="single" w:color="auto" w:sz="4" w:space="0"/>
              <w:left w:val="single" w:color="000000" w:sz="2" w:space="0"/>
              <w:bottom w:val="nil"/>
              <w:right w:val="single" w:color="000000" w:sz="2" w:space="0"/>
            </w:tcBorders>
            <w:vAlign w:val="center"/>
          </w:tcPr>
          <w:p w14:paraId="16D8CBF4">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5" w:type="pct"/>
            <w:vMerge w:val="restart"/>
            <w:tcBorders>
              <w:top w:val="single" w:color="auto" w:sz="4" w:space="0"/>
              <w:left w:val="single" w:color="000000" w:sz="2" w:space="0"/>
              <w:bottom w:val="nil"/>
              <w:right w:val="single" w:color="000000" w:sz="2" w:space="0"/>
            </w:tcBorders>
            <w:vAlign w:val="center"/>
          </w:tcPr>
          <w:p w14:paraId="13DCBF50">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43" w:type="pct"/>
            <w:vMerge w:val="restart"/>
            <w:tcBorders>
              <w:top w:val="single" w:color="auto" w:sz="4" w:space="0"/>
              <w:left w:val="single" w:color="000000" w:sz="2" w:space="0"/>
              <w:bottom w:val="nil"/>
              <w:right w:val="single" w:color="000000" w:sz="2" w:space="0"/>
            </w:tcBorders>
            <w:vAlign w:val="center"/>
          </w:tcPr>
          <w:p w14:paraId="67075848">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3" w:type="pct"/>
            <w:vMerge w:val="restart"/>
            <w:tcBorders>
              <w:top w:val="single" w:color="auto" w:sz="4" w:space="0"/>
              <w:left w:val="single" w:color="000000" w:sz="2" w:space="0"/>
              <w:bottom w:val="nil"/>
              <w:right w:val="single" w:color="000000" w:sz="2" w:space="0"/>
            </w:tcBorders>
            <w:vAlign w:val="center"/>
          </w:tcPr>
          <w:p w14:paraId="119F09AA">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97" w:type="pct"/>
            <w:vMerge w:val="restart"/>
            <w:tcBorders>
              <w:top w:val="single" w:color="auto" w:sz="4" w:space="0"/>
              <w:left w:val="single" w:color="000000" w:sz="2" w:space="0"/>
              <w:bottom w:val="nil"/>
              <w:right w:val="single" w:color="000000" w:sz="2" w:space="0"/>
            </w:tcBorders>
            <w:vAlign w:val="center"/>
          </w:tcPr>
          <w:p w14:paraId="104F4C2E">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0" w:type="pct"/>
            <w:vMerge w:val="restart"/>
            <w:tcBorders>
              <w:top w:val="single" w:color="auto" w:sz="4" w:space="0"/>
              <w:left w:val="single" w:color="000000" w:sz="2" w:space="0"/>
              <w:bottom w:val="nil"/>
              <w:right w:val="single" w:color="000000" w:sz="2" w:space="0"/>
            </w:tcBorders>
            <w:vAlign w:val="center"/>
          </w:tcPr>
          <w:p w14:paraId="218E6D2D">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auto" w:sz="4" w:space="0"/>
              <w:left w:val="single" w:color="000000" w:sz="2" w:space="0"/>
              <w:bottom w:val="single" w:color="000000" w:sz="2" w:space="0"/>
              <w:right w:val="single" w:color="000000" w:sz="2" w:space="0"/>
            </w:tcBorders>
            <w:vAlign w:val="center"/>
          </w:tcPr>
          <w:p w14:paraId="4B29F7C4">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31" w:type="pct"/>
            <w:tcBorders>
              <w:top w:val="single" w:color="auto" w:sz="4" w:space="0"/>
              <w:left w:val="single" w:color="000000" w:sz="2" w:space="0"/>
              <w:bottom w:val="single" w:color="000000" w:sz="2" w:space="0"/>
              <w:right w:val="single" w:color="000000" w:sz="2" w:space="0"/>
            </w:tcBorders>
            <w:vAlign w:val="center"/>
          </w:tcPr>
          <w:p w14:paraId="43AA8267">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000000" w:sz="2" w:space="0"/>
              <w:right w:val="single" w:color="000000" w:sz="2" w:space="0"/>
            </w:tcBorders>
            <w:vAlign w:val="center"/>
          </w:tcPr>
          <w:p w14:paraId="4136A7DE">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000000" w:sz="2" w:space="0"/>
              <w:right w:val="single" w:color="000000" w:sz="2" w:space="0"/>
            </w:tcBorders>
            <w:vAlign w:val="center"/>
          </w:tcPr>
          <w:p w14:paraId="3DD43EFA">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000000" w:sz="2" w:space="0"/>
              <w:right w:val="single" w:color="000000" w:sz="2" w:space="0"/>
            </w:tcBorders>
            <w:vAlign w:val="center"/>
          </w:tcPr>
          <w:p w14:paraId="7729D702">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96" w:type="pct"/>
            <w:tcBorders>
              <w:top w:val="single" w:color="auto" w:sz="4" w:space="0"/>
              <w:left w:val="single" w:color="000000" w:sz="2" w:space="0"/>
              <w:bottom w:val="single" w:color="000000" w:sz="2" w:space="0"/>
              <w:right w:val="single" w:color="000000" w:sz="2" w:space="0"/>
            </w:tcBorders>
            <w:vAlign w:val="center"/>
          </w:tcPr>
          <w:p w14:paraId="40B0E39B">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29" w:type="pct"/>
            <w:vMerge w:val="restart"/>
            <w:tcBorders>
              <w:top w:val="single" w:color="auto" w:sz="4" w:space="0"/>
              <w:left w:val="single" w:color="000000" w:sz="2" w:space="0"/>
              <w:bottom w:val="nil"/>
              <w:right w:val="single" w:color="000000" w:sz="2" w:space="0"/>
            </w:tcBorders>
            <w:vAlign w:val="center"/>
          </w:tcPr>
          <w:p w14:paraId="039DC5E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2" w:type="pct"/>
            <w:vMerge w:val="restart"/>
            <w:tcBorders>
              <w:top w:val="single" w:color="auto" w:sz="4" w:space="0"/>
              <w:left w:val="single" w:color="000000" w:sz="2" w:space="0"/>
              <w:bottom w:val="nil"/>
              <w:right w:val="single" w:color="000000" w:sz="2" w:space="0"/>
            </w:tcBorders>
            <w:vAlign w:val="center"/>
          </w:tcPr>
          <w:p w14:paraId="4F61A517">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3" w:type="pct"/>
            <w:vMerge w:val="restart"/>
            <w:tcBorders>
              <w:top w:val="single" w:color="auto" w:sz="4" w:space="0"/>
              <w:left w:val="single" w:color="000000" w:sz="2" w:space="0"/>
              <w:bottom w:val="nil"/>
              <w:right w:val="single" w:color="000000" w:sz="2" w:space="0"/>
            </w:tcBorders>
            <w:vAlign w:val="center"/>
          </w:tcPr>
          <w:p w14:paraId="0FFC189F">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5" w:type="pct"/>
            <w:vMerge w:val="restart"/>
            <w:tcBorders>
              <w:top w:val="single" w:color="auto" w:sz="4" w:space="0"/>
              <w:left w:val="single" w:color="000000" w:sz="2" w:space="0"/>
              <w:bottom w:val="nil"/>
              <w:right w:val="single" w:color="000000" w:sz="2" w:space="0"/>
            </w:tcBorders>
            <w:vAlign w:val="center"/>
          </w:tcPr>
          <w:p w14:paraId="60AE28A4">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8" w:type="pct"/>
            <w:vMerge w:val="restart"/>
            <w:tcBorders>
              <w:top w:val="single" w:color="auto" w:sz="4" w:space="0"/>
              <w:left w:val="single" w:color="000000" w:sz="2" w:space="0"/>
              <w:bottom w:val="nil"/>
              <w:right w:val="single" w:color="000000" w:sz="2" w:space="0"/>
            </w:tcBorders>
            <w:vAlign w:val="center"/>
          </w:tcPr>
          <w:p w14:paraId="648E0E2A">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75" w:type="pct"/>
            <w:vMerge w:val="restart"/>
            <w:tcBorders>
              <w:top w:val="single" w:color="auto" w:sz="4" w:space="0"/>
              <w:left w:val="single" w:color="000000" w:sz="2" w:space="0"/>
              <w:bottom w:val="nil"/>
              <w:right w:val="single" w:color="000000" w:sz="2" w:space="0"/>
            </w:tcBorders>
            <w:vAlign w:val="center"/>
          </w:tcPr>
          <w:p w14:paraId="48823B73">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29" w:type="pct"/>
            <w:vMerge w:val="restart"/>
            <w:tcBorders>
              <w:top w:val="single" w:color="auto" w:sz="4" w:space="0"/>
              <w:left w:val="single" w:color="000000" w:sz="2" w:space="0"/>
              <w:bottom w:val="nil"/>
              <w:right w:val="single" w:color="000000" w:sz="2" w:space="0"/>
            </w:tcBorders>
            <w:vAlign w:val="center"/>
          </w:tcPr>
          <w:p w14:paraId="46DA42D0">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2" w:type="pct"/>
            <w:vMerge w:val="restart"/>
            <w:tcBorders>
              <w:top w:val="single" w:color="auto" w:sz="4" w:space="0"/>
              <w:left w:val="single" w:color="000000" w:sz="2" w:space="0"/>
              <w:bottom w:val="nil"/>
              <w:right w:val="single" w:color="000000" w:sz="2" w:space="0"/>
            </w:tcBorders>
            <w:vAlign w:val="center"/>
          </w:tcPr>
          <w:p w14:paraId="27071EB9">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7" w:type="pct"/>
            <w:vMerge w:val="restart"/>
            <w:tcBorders>
              <w:top w:val="single" w:color="auto" w:sz="4" w:space="0"/>
              <w:left w:val="single" w:color="000000" w:sz="2" w:space="0"/>
              <w:bottom w:val="nil"/>
              <w:right w:val="single" w:color="000000" w:sz="2" w:space="0"/>
            </w:tcBorders>
            <w:vAlign w:val="center"/>
          </w:tcPr>
          <w:p w14:paraId="78FE69D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2" w:type="pct"/>
            <w:vMerge w:val="restart"/>
            <w:tcBorders>
              <w:top w:val="single" w:color="auto" w:sz="4" w:space="0"/>
              <w:left w:val="single" w:color="000000" w:sz="2" w:space="0"/>
              <w:bottom w:val="nil"/>
              <w:right w:val="single" w:color="000000" w:sz="2" w:space="0"/>
            </w:tcBorders>
            <w:vAlign w:val="center"/>
          </w:tcPr>
          <w:p w14:paraId="4E8539E2">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9" w:type="pct"/>
            <w:vMerge w:val="restart"/>
            <w:tcBorders>
              <w:top w:val="single" w:color="auto" w:sz="4" w:space="0"/>
              <w:left w:val="single" w:color="000000" w:sz="2" w:space="0"/>
              <w:bottom w:val="nil"/>
              <w:right w:val="single" w:color="000000" w:sz="2" w:space="0"/>
            </w:tcBorders>
            <w:vAlign w:val="center"/>
          </w:tcPr>
          <w:p w14:paraId="5501A96C">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347" w:type="pct"/>
            <w:vMerge w:val="restart"/>
            <w:tcBorders>
              <w:top w:val="single" w:color="auto" w:sz="4" w:space="0"/>
              <w:left w:val="single" w:color="000000" w:sz="2" w:space="0"/>
              <w:bottom w:val="nil"/>
              <w:right w:val="single" w:color="000000" w:sz="2" w:space="0"/>
            </w:tcBorders>
            <w:vAlign w:val="center"/>
          </w:tcPr>
          <w:p w14:paraId="1CD9348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38F05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177" w:type="pct"/>
            <w:vMerge w:val="continue"/>
            <w:tcBorders>
              <w:top w:val="nil"/>
              <w:left w:val="single" w:color="000000" w:sz="2" w:space="0"/>
              <w:bottom w:val="single" w:color="auto" w:sz="4" w:space="0"/>
              <w:right w:val="single" w:color="000000" w:sz="2" w:space="0"/>
            </w:tcBorders>
            <w:vAlign w:val="center"/>
          </w:tcPr>
          <w:p w14:paraId="662D4972">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02" w:type="pct"/>
            <w:vMerge w:val="continue"/>
            <w:tcBorders>
              <w:top w:val="nil"/>
              <w:left w:val="single" w:color="000000" w:sz="2" w:space="0"/>
              <w:bottom w:val="single" w:color="auto" w:sz="4" w:space="0"/>
              <w:right w:val="single" w:color="000000" w:sz="2" w:space="0"/>
            </w:tcBorders>
            <w:vAlign w:val="center"/>
          </w:tcPr>
          <w:p w14:paraId="721D4246">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5" w:type="pct"/>
            <w:vMerge w:val="continue"/>
            <w:tcBorders>
              <w:top w:val="nil"/>
              <w:left w:val="single" w:color="000000" w:sz="2" w:space="0"/>
              <w:bottom w:val="single" w:color="auto" w:sz="4" w:space="0"/>
              <w:right w:val="single" w:color="000000" w:sz="2" w:space="0"/>
            </w:tcBorders>
            <w:vAlign w:val="center"/>
          </w:tcPr>
          <w:p w14:paraId="3CE9CF7B">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43" w:type="pct"/>
            <w:vMerge w:val="continue"/>
            <w:tcBorders>
              <w:top w:val="nil"/>
              <w:left w:val="single" w:color="000000" w:sz="2" w:space="0"/>
              <w:bottom w:val="single" w:color="auto" w:sz="4" w:space="0"/>
              <w:right w:val="single" w:color="000000" w:sz="2" w:space="0"/>
            </w:tcBorders>
            <w:vAlign w:val="center"/>
          </w:tcPr>
          <w:p w14:paraId="780E1553">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3" w:type="pct"/>
            <w:vMerge w:val="continue"/>
            <w:tcBorders>
              <w:top w:val="nil"/>
              <w:left w:val="single" w:color="000000" w:sz="2" w:space="0"/>
              <w:bottom w:val="single" w:color="auto" w:sz="4" w:space="0"/>
              <w:right w:val="single" w:color="000000" w:sz="2" w:space="0"/>
            </w:tcBorders>
            <w:vAlign w:val="center"/>
          </w:tcPr>
          <w:p w14:paraId="5885C0E7">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97" w:type="pct"/>
            <w:vMerge w:val="continue"/>
            <w:tcBorders>
              <w:top w:val="nil"/>
              <w:left w:val="single" w:color="000000" w:sz="2" w:space="0"/>
              <w:bottom w:val="single" w:color="auto" w:sz="4" w:space="0"/>
              <w:right w:val="single" w:color="000000" w:sz="2" w:space="0"/>
            </w:tcBorders>
            <w:vAlign w:val="center"/>
          </w:tcPr>
          <w:p w14:paraId="43EEF273">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0" w:type="pct"/>
            <w:vMerge w:val="continue"/>
            <w:tcBorders>
              <w:top w:val="nil"/>
              <w:left w:val="single" w:color="000000" w:sz="2" w:space="0"/>
              <w:bottom w:val="single" w:color="auto" w:sz="4" w:space="0"/>
              <w:right w:val="single" w:color="000000" w:sz="2" w:space="0"/>
            </w:tcBorders>
            <w:vAlign w:val="center"/>
          </w:tcPr>
          <w:p w14:paraId="1C2441D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auto" w:sz="4" w:space="0"/>
              <w:right w:val="single" w:color="000000" w:sz="2" w:space="0"/>
            </w:tcBorders>
            <w:vAlign w:val="center"/>
          </w:tcPr>
          <w:p w14:paraId="2F90F3CE">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331" w:type="pct"/>
            <w:tcBorders>
              <w:top w:val="single" w:color="000000" w:sz="2" w:space="0"/>
              <w:left w:val="single" w:color="000000" w:sz="2" w:space="0"/>
              <w:bottom w:val="single" w:color="auto" w:sz="4" w:space="0"/>
              <w:right w:val="single" w:color="000000" w:sz="2" w:space="0"/>
            </w:tcBorders>
            <w:vAlign w:val="center"/>
          </w:tcPr>
          <w:p w14:paraId="04F403C1">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000000" w:sz="2" w:space="0"/>
              <w:right w:val="single" w:color="000000" w:sz="2" w:space="0"/>
            </w:tcBorders>
            <w:vAlign w:val="center"/>
          </w:tcPr>
          <w:p w14:paraId="3903EC4C">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000000" w:sz="2" w:space="0"/>
              <w:right w:val="single" w:color="000000" w:sz="2" w:space="0"/>
            </w:tcBorders>
            <w:vAlign w:val="center"/>
          </w:tcPr>
          <w:p w14:paraId="14C74886">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auto" w:sz="4" w:space="0"/>
              <w:right w:val="single" w:color="000000" w:sz="2" w:space="0"/>
            </w:tcBorders>
            <w:vAlign w:val="center"/>
          </w:tcPr>
          <w:p w14:paraId="5CB9181A">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96" w:type="pct"/>
            <w:tcBorders>
              <w:top w:val="single" w:color="000000" w:sz="2" w:space="0"/>
              <w:left w:val="single" w:color="000000" w:sz="2" w:space="0"/>
              <w:bottom w:val="single" w:color="auto" w:sz="4" w:space="0"/>
              <w:right w:val="single" w:color="000000" w:sz="2" w:space="0"/>
            </w:tcBorders>
            <w:vAlign w:val="center"/>
          </w:tcPr>
          <w:p w14:paraId="04DAF2F3">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29" w:type="pct"/>
            <w:vMerge w:val="continue"/>
            <w:tcBorders>
              <w:top w:val="nil"/>
              <w:left w:val="single" w:color="000000" w:sz="2" w:space="0"/>
              <w:bottom w:val="single" w:color="auto" w:sz="4" w:space="0"/>
              <w:right w:val="single" w:color="000000" w:sz="2" w:space="0"/>
            </w:tcBorders>
            <w:vAlign w:val="center"/>
          </w:tcPr>
          <w:p w14:paraId="7178DFF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32" w:type="pct"/>
            <w:vMerge w:val="continue"/>
            <w:tcBorders>
              <w:top w:val="nil"/>
              <w:left w:val="single" w:color="000000" w:sz="2" w:space="0"/>
              <w:bottom w:val="single" w:color="auto" w:sz="4" w:space="0"/>
              <w:right w:val="single" w:color="000000" w:sz="2" w:space="0"/>
            </w:tcBorders>
            <w:vAlign w:val="center"/>
          </w:tcPr>
          <w:p w14:paraId="14E84C16">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3" w:type="pct"/>
            <w:vMerge w:val="continue"/>
            <w:tcBorders>
              <w:top w:val="nil"/>
              <w:left w:val="single" w:color="000000" w:sz="2" w:space="0"/>
              <w:bottom w:val="single" w:color="auto" w:sz="4" w:space="0"/>
              <w:right w:val="single" w:color="000000" w:sz="2" w:space="0"/>
            </w:tcBorders>
            <w:vAlign w:val="center"/>
          </w:tcPr>
          <w:p w14:paraId="020222E4">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5" w:type="pct"/>
            <w:vMerge w:val="continue"/>
            <w:tcBorders>
              <w:top w:val="nil"/>
              <w:left w:val="single" w:color="000000" w:sz="2" w:space="0"/>
              <w:bottom w:val="single" w:color="auto" w:sz="4" w:space="0"/>
              <w:right w:val="single" w:color="000000" w:sz="2" w:space="0"/>
            </w:tcBorders>
            <w:vAlign w:val="center"/>
          </w:tcPr>
          <w:p w14:paraId="39B561E6">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8" w:type="pct"/>
            <w:vMerge w:val="continue"/>
            <w:tcBorders>
              <w:top w:val="nil"/>
              <w:left w:val="single" w:color="000000" w:sz="2" w:space="0"/>
              <w:bottom w:val="single" w:color="auto" w:sz="4" w:space="0"/>
              <w:right w:val="single" w:color="000000" w:sz="2" w:space="0"/>
            </w:tcBorders>
            <w:vAlign w:val="center"/>
          </w:tcPr>
          <w:p w14:paraId="2BD1F8BB">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75" w:type="pct"/>
            <w:vMerge w:val="continue"/>
            <w:tcBorders>
              <w:top w:val="nil"/>
              <w:left w:val="single" w:color="000000" w:sz="2" w:space="0"/>
              <w:bottom w:val="single" w:color="auto" w:sz="4" w:space="0"/>
              <w:right w:val="single" w:color="000000" w:sz="2" w:space="0"/>
            </w:tcBorders>
            <w:vAlign w:val="center"/>
          </w:tcPr>
          <w:p w14:paraId="3E1F2AA7">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29" w:type="pct"/>
            <w:vMerge w:val="continue"/>
            <w:tcBorders>
              <w:top w:val="nil"/>
              <w:left w:val="single" w:color="000000" w:sz="2" w:space="0"/>
              <w:bottom w:val="single" w:color="auto" w:sz="4" w:space="0"/>
              <w:right w:val="single" w:color="000000" w:sz="2" w:space="0"/>
            </w:tcBorders>
            <w:vAlign w:val="center"/>
          </w:tcPr>
          <w:p w14:paraId="058466DB">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32" w:type="pct"/>
            <w:vMerge w:val="continue"/>
            <w:tcBorders>
              <w:top w:val="nil"/>
              <w:left w:val="single" w:color="000000" w:sz="2" w:space="0"/>
              <w:bottom w:val="single" w:color="auto" w:sz="4" w:space="0"/>
              <w:right w:val="single" w:color="000000" w:sz="2" w:space="0"/>
            </w:tcBorders>
            <w:vAlign w:val="center"/>
          </w:tcPr>
          <w:p w14:paraId="4A2654DB">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7" w:type="pct"/>
            <w:vMerge w:val="continue"/>
            <w:tcBorders>
              <w:top w:val="nil"/>
              <w:left w:val="single" w:color="000000" w:sz="2" w:space="0"/>
              <w:bottom w:val="single" w:color="auto" w:sz="4" w:space="0"/>
              <w:right w:val="single" w:color="000000" w:sz="2" w:space="0"/>
            </w:tcBorders>
            <w:vAlign w:val="center"/>
          </w:tcPr>
          <w:p w14:paraId="5B043821">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32" w:type="pct"/>
            <w:vMerge w:val="continue"/>
            <w:tcBorders>
              <w:top w:val="nil"/>
              <w:left w:val="single" w:color="000000" w:sz="2" w:space="0"/>
              <w:bottom w:val="single" w:color="auto" w:sz="4" w:space="0"/>
              <w:right w:val="single" w:color="000000" w:sz="2" w:space="0"/>
            </w:tcBorders>
            <w:vAlign w:val="center"/>
          </w:tcPr>
          <w:p w14:paraId="741E6E26">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39" w:type="pct"/>
            <w:vMerge w:val="continue"/>
            <w:tcBorders>
              <w:top w:val="nil"/>
              <w:left w:val="single" w:color="000000" w:sz="2" w:space="0"/>
              <w:bottom w:val="single" w:color="auto" w:sz="4" w:space="0"/>
              <w:right w:val="single" w:color="000000" w:sz="2" w:space="0"/>
            </w:tcBorders>
            <w:vAlign w:val="center"/>
          </w:tcPr>
          <w:p w14:paraId="493B7D74">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47" w:type="pct"/>
            <w:vMerge w:val="continue"/>
            <w:tcBorders>
              <w:top w:val="nil"/>
              <w:left w:val="single" w:color="000000" w:sz="2" w:space="0"/>
              <w:bottom w:val="single" w:color="auto" w:sz="4" w:space="0"/>
              <w:right w:val="single" w:color="000000" w:sz="2" w:space="0"/>
            </w:tcBorders>
            <w:vAlign w:val="center"/>
          </w:tcPr>
          <w:p w14:paraId="3C921B29">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30598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177" w:type="pct"/>
            <w:tcBorders>
              <w:top w:val="single" w:color="auto" w:sz="4" w:space="0"/>
              <w:left w:val="single" w:color="000000" w:sz="2" w:space="0"/>
              <w:bottom w:val="single" w:color="000000" w:sz="2" w:space="0"/>
              <w:right w:val="single" w:color="000000" w:sz="2" w:space="0"/>
            </w:tcBorders>
            <w:vAlign w:val="center"/>
          </w:tcPr>
          <w:p w14:paraId="76BE60C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202" w:type="pct"/>
            <w:tcBorders>
              <w:top w:val="single" w:color="auto" w:sz="4" w:space="0"/>
              <w:left w:val="single" w:color="000000" w:sz="2" w:space="0"/>
              <w:bottom w:val="single" w:color="000000" w:sz="2" w:space="0"/>
              <w:right w:val="single" w:color="000000" w:sz="2" w:space="0"/>
            </w:tcBorders>
            <w:vAlign w:val="center"/>
          </w:tcPr>
          <w:p w14:paraId="014E710F">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5" w:type="pct"/>
            <w:tcBorders>
              <w:top w:val="single" w:color="auto" w:sz="4" w:space="0"/>
              <w:left w:val="single" w:color="000000" w:sz="2" w:space="0"/>
              <w:bottom w:val="single" w:color="000000" w:sz="2" w:space="0"/>
              <w:right w:val="single" w:color="000000" w:sz="2" w:space="0"/>
            </w:tcBorders>
            <w:vAlign w:val="center"/>
          </w:tcPr>
          <w:p w14:paraId="72A0BAEB">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43" w:type="pct"/>
            <w:tcBorders>
              <w:top w:val="single" w:color="auto" w:sz="4" w:space="0"/>
              <w:left w:val="single" w:color="000000" w:sz="2" w:space="0"/>
              <w:bottom w:val="single" w:color="000000" w:sz="2" w:space="0"/>
              <w:right w:val="single" w:color="000000" w:sz="2" w:space="0"/>
            </w:tcBorders>
            <w:vAlign w:val="center"/>
          </w:tcPr>
          <w:p w14:paraId="478CD60F">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63" w:type="pct"/>
            <w:tcBorders>
              <w:top w:val="single" w:color="auto" w:sz="4" w:space="0"/>
              <w:left w:val="single" w:color="000000" w:sz="2" w:space="0"/>
              <w:bottom w:val="single" w:color="000000" w:sz="2" w:space="0"/>
              <w:right w:val="single" w:color="000000" w:sz="2" w:space="0"/>
            </w:tcBorders>
            <w:vAlign w:val="center"/>
          </w:tcPr>
          <w:p w14:paraId="69C48EB2">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97" w:type="pct"/>
            <w:tcBorders>
              <w:top w:val="single" w:color="auto" w:sz="4" w:space="0"/>
              <w:left w:val="single" w:color="000000" w:sz="2" w:space="0"/>
              <w:bottom w:val="single" w:color="000000" w:sz="2" w:space="0"/>
              <w:right w:val="single" w:color="000000" w:sz="2" w:space="0"/>
            </w:tcBorders>
            <w:vAlign w:val="center"/>
          </w:tcPr>
          <w:p w14:paraId="1408B8A2">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30" w:type="pct"/>
            <w:tcBorders>
              <w:top w:val="single" w:color="auto" w:sz="4" w:space="0"/>
              <w:left w:val="single" w:color="000000" w:sz="2" w:space="0"/>
              <w:bottom w:val="single" w:color="000000" w:sz="2" w:space="0"/>
              <w:right w:val="single" w:color="000000" w:sz="2" w:space="0"/>
            </w:tcBorders>
            <w:vAlign w:val="center"/>
          </w:tcPr>
          <w:p w14:paraId="209B567C">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auto" w:sz="4" w:space="0"/>
              <w:left w:val="single" w:color="000000" w:sz="2" w:space="0"/>
              <w:bottom w:val="single" w:color="000000" w:sz="2" w:space="0"/>
              <w:right w:val="single" w:color="000000" w:sz="2" w:space="0"/>
            </w:tcBorders>
            <w:vAlign w:val="center"/>
          </w:tcPr>
          <w:p w14:paraId="5406E8BC">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31" w:type="pct"/>
            <w:tcBorders>
              <w:top w:val="single" w:color="auto" w:sz="4" w:space="0"/>
              <w:left w:val="single" w:color="000000" w:sz="2" w:space="0"/>
              <w:bottom w:val="single" w:color="000000" w:sz="2" w:space="0"/>
              <w:right w:val="single" w:color="000000" w:sz="2" w:space="0"/>
            </w:tcBorders>
            <w:vAlign w:val="center"/>
          </w:tcPr>
          <w:p w14:paraId="6F598C96">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000000" w:sz="2" w:space="0"/>
              <w:right w:val="single" w:color="000000" w:sz="2" w:space="0"/>
            </w:tcBorders>
            <w:vAlign w:val="center"/>
          </w:tcPr>
          <w:p w14:paraId="62ADF1FA">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000000" w:sz="2" w:space="0"/>
              <w:left w:val="single" w:color="000000" w:sz="2" w:space="0"/>
              <w:bottom w:val="single" w:color="000000" w:sz="2" w:space="0"/>
              <w:right w:val="single" w:color="000000" w:sz="2" w:space="0"/>
            </w:tcBorders>
            <w:vAlign w:val="center"/>
          </w:tcPr>
          <w:p w14:paraId="6AAAEE2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2" w:type="pct"/>
            <w:tcBorders>
              <w:top w:val="single" w:color="auto" w:sz="4" w:space="0"/>
              <w:left w:val="single" w:color="000000" w:sz="2" w:space="0"/>
              <w:bottom w:val="single" w:color="000000" w:sz="2" w:space="0"/>
              <w:right w:val="single" w:color="000000" w:sz="2" w:space="0"/>
            </w:tcBorders>
            <w:vAlign w:val="center"/>
          </w:tcPr>
          <w:p w14:paraId="107FE5D7">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96" w:type="pct"/>
            <w:tcBorders>
              <w:top w:val="single" w:color="auto" w:sz="4" w:space="0"/>
              <w:left w:val="single" w:color="000000" w:sz="2" w:space="0"/>
              <w:bottom w:val="single" w:color="000000" w:sz="2" w:space="0"/>
              <w:right w:val="single" w:color="000000" w:sz="2" w:space="0"/>
            </w:tcBorders>
            <w:vAlign w:val="center"/>
          </w:tcPr>
          <w:p w14:paraId="19906942">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129" w:type="pct"/>
            <w:tcBorders>
              <w:top w:val="single" w:color="auto" w:sz="4" w:space="0"/>
              <w:left w:val="single" w:color="000000" w:sz="2" w:space="0"/>
              <w:bottom w:val="single" w:color="000000" w:sz="2" w:space="0"/>
              <w:right w:val="single" w:color="000000" w:sz="2" w:space="0"/>
            </w:tcBorders>
            <w:vAlign w:val="center"/>
          </w:tcPr>
          <w:p w14:paraId="583F429E">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2" w:type="pct"/>
            <w:tcBorders>
              <w:top w:val="single" w:color="auto" w:sz="4" w:space="0"/>
              <w:left w:val="single" w:color="000000" w:sz="2" w:space="0"/>
              <w:bottom w:val="single" w:color="000000" w:sz="2" w:space="0"/>
              <w:right w:val="single" w:color="000000" w:sz="2" w:space="0"/>
            </w:tcBorders>
            <w:vAlign w:val="center"/>
          </w:tcPr>
          <w:p w14:paraId="38FF282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3" w:type="pct"/>
            <w:tcBorders>
              <w:top w:val="single" w:color="auto" w:sz="4" w:space="0"/>
              <w:left w:val="single" w:color="000000" w:sz="2" w:space="0"/>
              <w:bottom w:val="single" w:color="000000" w:sz="2" w:space="0"/>
              <w:right w:val="single" w:color="000000" w:sz="2" w:space="0"/>
            </w:tcBorders>
            <w:vAlign w:val="center"/>
          </w:tcPr>
          <w:p w14:paraId="6012AD8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5" w:type="pct"/>
            <w:tcBorders>
              <w:top w:val="single" w:color="auto" w:sz="4" w:space="0"/>
              <w:left w:val="single" w:color="000000" w:sz="2" w:space="0"/>
              <w:bottom w:val="single" w:color="000000" w:sz="2" w:space="0"/>
              <w:right w:val="single" w:color="000000" w:sz="2" w:space="0"/>
            </w:tcBorders>
            <w:vAlign w:val="center"/>
          </w:tcPr>
          <w:p w14:paraId="671E3914">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8" w:type="pct"/>
            <w:tcBorders>
              <w:top w:val="single" w:color="auto" w:sz="4" w:space="0"/>
              <w:left w:val="single" w:color="000000" w:sz="2" w:space="0"/>
              <w:bottom w:val="single" w:color="000000" w:sz="2" w:space="0"/>
              <w:right w:val="single" w:color="000000" w:sz="2" w:space="0"/>
            </w:tcBorders>
            <w:vAlign w:val="center"/>
          </w:tcPr>
          <w:p w14:paraId="0B124BFD">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75" w:type="pct"/>
            <w:tcBorders>
              <w:top w:val="single" w:color="auto" w:sz="4" w:space="0"/>
              <w:left w:val="single" w:color="000000" w:sz="2" w:space="0"/>
              <w:bottom w:val="single" w:color="000000" w:sz="2" w:space="0"/>
              <w:right w:val="single" w:color="000000" w:sz="2" w:space="0"/>
            </w:tcBorders>
            <w:vAlign w:val="center"/>
          </w:tcPr>
          <w:p w14:paraId="533BD5FB">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29" w:type="pct"/>
            <w:tcBorders>
              <w:top w:val="single" w:color="auto" w:sz="4" w:space="0"/>
              <w:left w:val="single" w:color="000000" w:sz="2" w:space="0"/>
              <w:bottom w:val="single" w:color="000000" w:sz="2" w:space="0"/>
              <w:right w:val="single" w:color="000000" w:sz="2" w:space="0"/>
            </w:tcBorders>
            <w:vAlign w:val="center"/>
          </w:tcPr>
          <w:p w14:paraId="67C4A760">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2" w:type="pct"/>
            <w:tcBorders>
              <w:top w:val="single" w:color="auto" w:sz="4" w:space="0"/>
              <w:left w:val="single" w:color="000000" w:sz="2" w:space="0"/>
              <w:bottom w:val="single" w:color="000000" w:sz="2" w:space="0"/>
              <w:right w:val="single" w:color="000000" w:sz="2" w:space="0"/>
            </w:tcBorders>
            <w:vAlign w:val="center"/>
          </w:tcPr>
          <w:p w14:paraId="2724C572">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67" w:type="pct"/>
            <w:tcBorders>
              <w:top w:val="single" w:color="auto" w:sz="4" w:space="0"/>
              <w:left w:val="single" w:color="000000" w:sz="2" w:space="0"/>
              <w:bottom w:val="single" w:color="000000" w:sz="2" w:space="0"/>
              <w:right w:val="single" w:color="000000" w:sz="2" w:space="0"/>
            </w:tcBorders>
            <w:vAlign w:val="center"/>
          </w:tcPr>
          <w:p w14:paraId="1A73C189">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2" w:type="pct"/>
            <w:tcBorders>
              <w:top w:val="single" w:color="auto" w:sz="4" w:space="0"/>
              <w:left w:val="single" w:color="000000" w:sz="2" w:space="0"/>
              <w:bottom w:val="single" w:color="000000" w:sz="2" w:space="0"/>
              <w:right w:val="single" w:color="000000" w:sz="2" w:space="0"/>
            </w:tcBorders>
            <w:vAlign w:val="center"/>
          </w:tcPr>
          <w:p w14:paraId="362EEFD9">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139" w:type="pct"/>
            <w:tcBorders>
              <w:top w:val="single" w:color="auto" w:sz="4" w:space="0"/>
              <w:left w:val="single" w:color="000000" w:sz="2" w:space="0"/>
              <w:bottom w:val="single" w:color="000000" w:sz="2" w:space="0"/>
              <w:right w:val="single" w:color="000000" w:sz="2" w:space="0"/>
            </w:tcBorders>
            <w:vAlign w:val="center"/>
          </w:tcPr>
          <w:p w14:paraId="03337E2D">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347" w:type="pct"/>
            <w:tcBorders>
              <w:top w:val="single" w:color="auto" w:sz="4" w:space="0"/>
              <w:left w:val="single" w:color="000000" w:sz="2" w:space="0"/>
              <w:bottom w:val="single" w:color="000000" w:sz="2" w:space="0"/>
              <w:right w:val="single" w:color="000000" w:sz="2" w:space="0"/>
            </w:tcBorders>
            <w:vAlign w:val="center"/>
          </w:tcPr>
          <w:p w14:paraId="27606975">
            <w:pPr>
              <w:pStyle w:val="36"/>
              <w:pageBreakBefore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bl>
    <w:p w14:paraId="5E4C0EA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填表说明：</w:t>
      </w:r>
    </w:p>
    <w:p w14:paraId="240F59A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1.县（区、市、旗）名称：填写防治对象所在县（区、市、旗）</w:t>
      </w:r>
      <w:r>
        <w:rPr>
          <w:rFonts w:hint="eastAsia" w:ascii="仿宋" w:hAnsi="仿宋" w:eastAsia="仿宋" w:cs="仿宋"/>
          <w:color w:val="000000" w:themeColor="text1"/>
          <w:spacing w:val="-9"/>
          <w:sz w:val="24"/>
          <w:szCs w:val="24"/>
          <w14:textFill>
            <w14:solidFill>
              <w14:schemeClr w14:val="tx1"/>
            </w14:solidFill>
          </w14:textFill>
        </w:rPr>
        <w:t>的名称，字符型（20</w:t>
      </w:r>
      <w:r>
        <w:rPr>
          <w:rFonts w:hint="eastAsia" w:ascii="仿宋" w:hAnsi="仿宋" w:eastAsia="仿宋" w:cs="仿宋"/>
          <w:color w:val="000000" w:themeColor="text1"/>
          <w:spacing w:val="-39"/>
          <w:sz w:val="24"/>
          <w:szCs w:val="24"/>
          <w14:textFill>
            <w14:solidFill>
              <w14:schemeClr w14:val="tx1"/>
            </w14:solidFill>
          </w14:textFill>
        </w:rPr>
        <w:t>）；</w:t>
      </w:r>
    </w:p>
    <w:p w14:paraId="6415769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2.县（区、市、旗）代码：填写防治对象所在县（区、市、旗）的代码，参见第</w:t>
      </w:r>
      <w:r>
        <w:rPr>
          <w:rFonts w:hint="eastAsia" w:ascii="仿宋" w:hAnsi="仿宋" w:eastAsia="仿宋" w:cs="仿宋"/>
          <w:color w:val="000000" w:themeColor="text1"/>
          <w:spacing w:val="-43"/>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6条；</w:t>
      </w:r>
    </w:p>
    <w:p w14:paraId="76A9888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3.乡镇名称：填写防治对象所在乡镇的名称，字符型（20</w:t>
      </w:r>
      <w:r>
        <w:rPr>
          <w:rFonts w:hint="eastAsia" w:ascii="仿宋" w:hAnsi="仿宋" w:eastAsia="仿宋" w:cs="仿宋"/>
          <w:color w:val="000000" w:themeColor="text1"/>
          <w:spacing w:val="-32"/>
          <w:sz w:val="24"/>
          <w:szCs w:val="24"/>
          <w14:textFill>
            <w14:solidFill>
              <w14:schemeClr w14:val="tx1"/>
            </w14:solidFill>
          </w14:textFill>
        </w:rPr>
        <w:t>）；</w:t>
      </w:r>
    </w:p>
    <w:p w14:paraId="2F0D86D1">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4.乡镇代码：填写防治对象所在乡镇的代码，参见第</w:t>
      </w:r>
      <w:r>
        <w:rPr>
          <w:rFonts w:hint="eastAsia" w:ascii="仿宋" w:hAnsi="仿宋" w:eastAsia="仿宋" w:cs="仿宋"/>
          <w:color w:val="000000" w:themeColor="text1"/>
          <w:spacing w:val="-34"/>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6条；</w:t>
      </w:r>
    </w:p>
    <w:p w14:paraId="26A116CC">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5.名称：填写防治对象的名称，字符型（20</w:t>
      </w:r>
      <w:r>
        <w:rPr>
          <w:rFonts w:hint="eastAsia" w:ascii="仿宋" w:hAnsi="仿宋" w:eastAsia="仿宋" w:cs="仿宋"/>
          <w:color w:val="000000" w:themeColor="text1"/>
          <w:spacing w:val="-30"/>
          <w:sz w:val="24"/>
          <w:szCs w:val="24"/>
          <w14:textFill>
            <w14:solidFill>
              <w14:schemeClr w14:val="tx1"/>
            </w14:solidFill>
          </w14:textFill>
        </w:rPr>
        <w:t>）；</w:t>
      </w:r>
    </w:p>
    <w:p w14:paraId="37FA5887">
      <w:pPr>
        <w:keepNext w:val="0"/>
        <w:keepLines w:val="0"/>
        <w:pageBreakBefore w:val="0"/>
        <w:widowControl/>
        <w:kinsoku/>
        <w:wordWrap/>
        <w:overflowPunct/>
        <w:topLinePunct w:val="0"/>
        <w:autoSpaceDE/>
        <w:autoSpaceDN/>
        <w:bidi w:val="0"/>
        <w:adjustRightInd/>
        <w:snapToGrid w:val="0"/>
        <w:spacing w:line="288" w:lineRule="auto"/>
        <w:ind w:firstLine="464" w:firstLineChars="200"/>
        <w:textAlignment w:val="auto"/>
        <w:rPr>
          <w:rFonts w:hint="eastAsia" w:ascii="仿宋" w:hAnsi="仿宋" w:eastAsia="仿宋" w:cs="仿宋"/>
          <w:color w:val="000000" w:themeColor="text1"/>
          <w:spacing w:val="-7"/>
          <w:sz w:val="24"/>
          <w:szCs w:val="24"/>
          <w14:textFill>
            <w14:solidFill>
              <w14:schemeClr w14:val="tx1"/>
            </w14:solidFill>
          </w14:textFill>
        </w:rPr>
      </w:pPr>
      <w:r>
        <w:rPr>
          <w:rFonts w:hint="eastAsia" w:ascii="仿宋" w:hAnsi="仿宋" w:eastAsia="仿宋" w:cs="仿宋"/>
          <w:color w:val="000000" w:themeColor="text1"/>
          <w:spacing w:val="-4"/>
          <w:sz w:val="24"/>
          <w:szCs w:val="24"/>
          <w14:textFill>
            <w14:solidFill>
              <w14:schemeClr w14:val="tx1"/>
            </w14:solidFill>
          </w14:textFill>
        </w:rPr>
        <w:t>6.代码：与《山洪灾害调查与评价技术规范》（SL</w:t>
      </w:r>
      <w:r>
        <w:rPr>
          <w:rFonts w:hint="eastAsia" w:ascii="仿宋" w:hAnsi="仿宋" w:eastAsia="仿宋" w:cs="仿宋"/>
          <w:color w:val="000000" w:themeColor="text1"/>
          <w:spacing w:val="-5"/>
          <w:sz w:val="24"/>
          <w:szCs w:val="24"/>
          <w14:textFill>
            <w14:solidFill>
              <w14:schemeClr w14:val="tx1"/>
            </w14:solidFill>
          </w14:textFill>
        </w:rPr>
        <w:t>767-2018）基本一致，略有扩展，填写与所</w:t>
      </w:r>
      <w:r>
        <w:rPr>
          <w:rFonts w:hint="eastAsia" w:ascii="仿宋" w:hAnsi="仿宋" w:eastAsia="仿宋" w:cs="仿宋"/>
          <w:color w:val="000000" w:themeColor="text1"/>
          <w:sz w:val="24"/>
          <w:szCs w:val="24"/>
          <w14:textFill>
            <w14:solidFill>
              <w14:schemeClr w14:val="tx1"/>
            </w14:solidFill>
          </w14:textFill>
        </w:rPr>
        <w:t>调查的乡（镇、街道办事处）、行政村、行政村（居民委员会）、自然村（民小组）</w:t>
      </w:r>
      <w:r>
        <w:rPr>
          <w:rFonts w:hint="eastAsia" w:ascii="仿宋" w:hAnsi="仿宋" w:eastAsia="仿宋" w:cs="仿宋"/>
          <w:color w:val="000000" w:themeColor="text1"/>
          <w:spacing w:val="-42"/>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名称对应的行政区</w:t>
      </w:r>
      <w:r>
        <w:rPr>
          <w:rFonts w:hint="eastAsia" w:ascii="仿宋" w:hAnsi="仿宋" w:eastAsia="仿宋" w:cs="仿宋"/>
          <w:color w:val="000000" w:themeColor="text1"/>
          <w:spacing w:val="-7"/>
          <w:sz w:val="24"/>
          <w:szCs w:val="24"/>
          <w14:textFill>
            <w14:solidFill>
              <w14:schemeClr w14:val="tx1"/>
            </w14:solidFill>
          </w14:textFill>
        </w:rPr>
        <w:t>划代码，字符型（15）。本次调查以国家统计</w:t>
      </w:r>
      <w:r>
        <w:rPr>
          <w:rFonts w:hint="eastAsia" w:ascii="仿宋" w:hAnsi="仿宋" w:eastAsia="仿宋" w:cs="仿宋"/>
          <w:color w:val="000000" w:themeColor="text1"/>
          <w:sz w:val="24"/>
          <w:szCs w:val="24"/>
          <w14:textFill>
            <w14:solidFill>
              <w14:schemeClr w14:val="tx1"/>
            </w14:solidFill>
          </w14:textFill>
        </w:rPr>
        <w:t>局</w:t>
      </w:r>
      <w:r>
        <w:rPr>
          <w:rFonts w:hint="eastAsia" w:ascii="仿宋" w:hAnsi="仿宋" w:eastAsia="仿宋" w:cs="仿宋"/>
          <w:color w:val="000000" w:themeColor="text1"/>
          <w:spacing w:val="-47"/>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2011年统计用行政区划代码为基础，行政区划代码扩</w:t>
      </w:r>
      <w:r>
        <w:rPr>
          <w:rFonts w:hint="eastAsia" w:ascii="仿宋" w:hAnsi="仿宋" w:eastAsia="仿宋" w:cs="仿宋"/>
          <w:color w:val="000000" w:themeColor="text1"/>
          <w:spacing w:val="-7"/>
          <w:sz w:val="24"/>
          <w:szCs w:val="24"/>
          <w14:textFill>
            <w14:solidFill>
              <w14:schemeClr w14:val="tx1"/>
            </w14:solidFill>
          </w14:textFill>
        </w:rPr>
        <w:t>展到自然村一级，采用15位代码，编码方法为：</w:t>
      </w:r>
    </w:p>
    <w:p w14:paraId="4BBF724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m:oMathPara>
        <m:oMath>
          <m:f>
            <m:fPr>
              <m:ctrlPr>
                <w:rPr>
                  <w:rFonts w:hint="eastAsia" w:ascii="Cambria Math" w:hAnsi="Cambria Math" w:eastAsia="仿宋" w:cs="仿宋"/>
                  <w:iCs/>
                  <w:color w:val="000000" w:themeColor="text1"/>
                  <w:sz w:val="24"/>
                  <w:szCs w:val="24"/>
                  <w14:textFill>
                    <w14:solidFill>
                      <w14:schemeClr w14:val="tx1"/>
                    </w14:solidFill>
                  </w14:textFill>
                </w:rPr>
              </m:ctrlPr>
            </m:fPr>
            <m:num>
              <m:r>
                <m:rPr>
                  <m:sty m:val="p"/>
                </m:rPr>
                <w:rPr>
                  <w:rFonts w:hint="eastAsia" w:ascii="Cambria Math" w:hAnsi="Cambria Math" w:eastAsia="仿宋" w:cs="仿宋"/>
                  <w:color w:val="000000" w:themeColor="text1"/>
                  <w:sz w:val="24"/>
                  <w:szCs w:val="24"/>
                  <w14:textFill>
                    <w14:solidFill>
                      <w14:schemeClr w14:val="tx1"/>
                    </w14:solidFill>
                  </w14:textFill>
                </w:rPr>
                <m:t>省（市、区）+市+县</m:t>
              </m:r>
              <m:ctrlPr>
                <w:rPr>
                  <w:rFonts w:hint="eastAsia" w:ascii="Cambria Math" w:hAnsi="Cambria Math" w:eastAsia="仿宋" w:cs="仿宋"/>
                  <w:iCs/>
                  <w:color w:val="000000" w:themeColor="text1"/>
                  <w:sz w:val="24"/>
                  <w:szCs w:val="24"/>
                  <w14:textFill>
                    <w14:solidFill>
                      <w14:schemeClr w14:val="tx1"/>
                    </w14:solidFill>
                  </w14:textFill>
                </w:rPr>
              </m:ctrlPr>
            </m:num>
            <m:den>
              <m:r>
                <m:rPr>
                  <m:sty m:val="p"/>
                </m:rPr>
                <w:rPr>
                  <w:rFonts w:hint="eastAsia" w:ascii="Cambria Math" w:hAnsi="Cambria Math" w:eastAsia="仿宋" w:cs="仿宋"/>
                  <w:color w:val="000000" w:themeColor="text1"/>
                  <w:sz w:val="24"/>
                  <w:szCs w:val="24"/>
                  <w14:textFill>
                    <w14:solidFill>
                      <w14:schemeClr w14:val="tx1"/>
                    </w14:solidFill>
                  </w14:textFill>
                </w:rPr>
                <m:t>6位</m:t>
              </m:r>
              <m:ctrlPr>
                <w:rPr>
                  <w:rFonts w:hint="eastAsia" w:ascii="Cambria Math" w:hAnsi="Cambria Math" w:eastAsia="仿宋" w:cs="仿宋"/>
                  <w:iCs/>
                  <w:color w:val="000000" w:themeColor="text1"/>
                  <w:sz w:val="24"/>
                  <w:szCs w:val="24"/>
                  <w14:textFill>
                    <w14:solidFill>
                      <w14:schemeClr w14:val="tx1"/>
                    </w14:solidFill>
                  </w14:textFill>
                </w:rPr>
              </m:ctrlPr>
            </m:den>
          </m:f>
          <m:r>
            <m:rPr/>
            <w:rPr>
              <w:rFonts w:hint="eastAsia" w:ascii="Cambria Math" w:hAnsi="Cambria Math" w:eastAsia="仿宋" w:cs="仿宋"/>
              <w:color w:val="000000" w:themeColor="text1"/>
              <w:sz w:val="24"/>
              <w:szCs w:val="24"/>
              <w14:textFill>
                <w14:solidFill>
                  <w14:schemeClr w14:val="tx1"/>
                </w14:solidFill>
              </w14:textFill>
            </w:rPr>
            <m:t>+</m:t>
          </m:r>
          <m:f>
            <m:fPr>
              <m:ctrlPr>
                <w:rPr>
                  <w:rFonts w:hint="eastAsia" w:ascii="Cambria Math" w:hAnsi="Cambria Math" w:eastAsia="仿宋" w:cs="仿宋"/>
                  <w:color w:val="000000" w:themeColor="text1"/>
                  <w:sz w:val="24"/>
                  <w:szCs w:val="24"/>
                  <w14:textFill>
                    <w14:solidFill>
                      <w14:schemeClr w14:val="tx1"/>
                    </w14:solidFill>
                  </w14:textFill>
                </w:rPr>
              </m:ctrlPr>
            </m:fPr>
            <m:num>
              <m:r>
                <m:rPr>
                  <m:sty m:val="p"/>
                </m:rPr>
                <w:rPr>
                  <w:rFonts w:hint="eastAsia" w:ascii="Cambria Math" w:hAnsi="Cambria Math" w:eastAsia="仿宋" w:cs="仿宋"/>
                  <w:color w:val="000000" w:themeColor="text1"/>
                  <w:sz w:val="24"/>
                  <w:szCs w:val="24"/>
                  <w14:textFill>
                    <w14:solidFill>
                      <w14:schemeClr w14:val="tx1"/>
                    </w14:solidFill>
                  </w14:textFill>
                </w:rPr>
                <m:t>乡镇</m:t>
              </m:r>
              <m:ctrlPr>
                <w:rPr>
                  <w:rFonts w:hint="eastAsia" w:ascii="Cambria Math" w:hAnsi="Cambria Math" w:eastAsia="仿宋" w:cs="仿宋"/>
                  <w:color w:val="000000" w:themeColor="text1"/>
                  <w:sz w:val="24"/>
                  <w:szCs w:val="24"/>
                  <w14:textFill>
                    <w14:solidFill>
                      <w14:schemeClr w14:val="tx1"/>
                    </w14:solidFill>
                  </w14:textFill>
                </w:rPr>
              </m:ctrlPr>
            </m:num>
            <m:den>
              <m:r>
                <m:rPr>
                  <m:sty m:val="p"/>
                </m:rPr>
                <w:rPr>
                  <w:rFonts w:hint="eastAsia" w:ascii="Cambria Math" w:hAnsi="Cambria Math" w:eastAsia="仿宋" w:cs="仿宋"/>
                  <w:color w:val="000000" w:themeColor="text1"/>
                  <w:sz w:val="24"/>
                  <w:szCs w:val="24"/>
                  <w14:textFill>
                    <w14:solidFill>
                      <w14:schemeClr w14:val="tx1"/>
                    </w14:solidFill>
                  </w14:textFill>
                </w:rPr>
                <m:t>3位</m:t>
              </m:r>
              <m:ctrlPr>
                <w:rPr>
                  <w:rFonts w:hint="eastAsia" w:ascii="Cambria Math" w:hAnsi="Cambria Math" w:eastAsia="仿宋" w:cs="仿宋"/>
                  <w:color w:val="000000" w:themeColor="text1"/>
                  <w:sz w:val="24"/>
                  <w:szCs w:val="24"/>
                  <w14:textFill>
                    <w14:solidFill>
                      <w14:schemeClr w14:val="tx1"/>
                    </w14:solidFill>
                  </w14:textFill>
                </w:rPr>
              </m:ctrlPr>
            </m:den>
          </m:f>
          <m:r>
            <m:rPr/>
            <w:rPr>
              <w:rFonts w:hint="eastAsia" w:ascii="Cambria Math" w:hAnsi="Cambria Math" w:eastAsia="仿宋" w:cs="仿宋"/>
              <w:color w:val="000000" w:themeColor="text1"/>
              <w:sz w:val="24"/>
              <w:szCs w:val="24"/>
              <w14:textFill>
                <w14:solidFill>
                  <w14:schemeClr w14:val="tx1"/>
                </w14:solidFill>
              </w14:textFill>
            </w:rPr>
            <m:t>+</m:t>
          </m:r>
          <m:f>
            <m:fPr>
              <m:ctrlPr>
                <w:rPr>
                  <w:rFonts w:hint="eastAsia" w:ascii="Cambria Math" w:hAnsi="Cambria Math" w:eastAsia="仿宋" w:cs="仿宋"/>
                  <w:color w:val="000000" w:themeColor="text1"/>
                  <w:sz w:val="24"/>
                  <w:szCs w:val="24"/>
                  <w14:textFill>
                    <w14:solidFill>
                      <w14:schemeClr w14:val="tx1"/>
                    </w14:solidFill>
                  </w14:textFill>
                </w:rPr>
              </m:ctrlPr>
            </m:fPr>
            <m:num>
              <m:r>
                <m:rPr>
                  <m:sty m:val="p"/>
                </m:rPr>
                <w:rPr>
                  <w:rFonts w:hint="eastAsia" w:ascii="Cambria Math" w:hAnsi="Cambria Math" w:eastAsia="仿宋" w:cs="仿宋"/>
                  <w:color w:val="000000" w:themeColor="text1"/>
                  <w:sz w:val="24"/>
                  <w:szCs w:val="24"/>
                  <w14:textFill>
                    <w14:solidFill>
                      <w14:schemeClr w14:val="tx1"/>
                    </w14:solidFill>
                  </w14:textFill>
                </w:rPr>
                <m:t>行政村</m:t>
              </m:r>
              <m:ctrlPr>
                <w:rPr>
                  <w:rFonts w:hint="eastAsia" w:ascii="Cambria Math" w:hAnsi="Cambria Math" w:eastAsia="仿宋" w:cs="仿宋"/>
                  <w:color w:val="000000" w:themeColor="text1"/>
                  <w:sz w:val="24"/>
                  <w:szCs w:val="24"/>
                  <w14:textFill>
                    <w14:solidFill>
                      <w14:schemeClr w14:val="tx1"/>
                    </w14:solidFill>
                  </w14:textFill>
                </w:rPr>
              </m:ctrlPr>
            </m:num>
            <m:den>
              <m:r>
                <m:rPr>
                  <m:sty m:val="p"/>
                </m:rPr>
                <w:rPr>
                  <w:rFonts w:hint="eastAsia" w:ascii="Cambria Math" w:hAnsi="Cambria Math" w:eastAsia="仿宋" w:cs="仿宋"/>
                  <w:color w:val="000000" w:themeColor="text1"/>
                  <w:sz w:val="24"/>
                  <w:szCs w:val="24"/>
                  <w14:textFill>
                    <w14:solidFill>
                      <w14:schemeClr w14:val="tx1"/>
                    </w14:solidFill>
                  </w14:textFill>
                </w:rPr>
                <m:t>3位</m:t>
              </m:r>
              <m:ctrlPr>
                <w:rPr>
                  <w:rFonts w:hint="eastAsia" w:ascii="Cambria Math" w:hAnsi="Cambria Math" w:eastAsia="仿宋" w:cs="仿宋"/>
                  <w:color w:val="000000" w:themeColor="text1"/>
                  <w:sz w:val="24"/>
                  <w:szCs w:val="24"/>
                  <w14:textFill>
                    <w14:solidFill>
                      <w14:schemeClr w14:val="tx1"/>
                    </w14:solidFill>
                  </w14:textFill>
                </w:rPr>
              </m:ctrlPr>
            </m:den>
          </m:f>
          <m:r>
            <m:rPr/>
            <w:rPr>
              <w:rFonts w:hint="eastAsia" w:ascii="Cambria Math" w:hAnsi="Cambria Math" w:eastAsia="仿宋" w:cs="仿宋"/>
              <w:color w:val="000000" w:themeColor="text1"/>
              <w:sz w:val="24"/>
              <w:szCs w:val="24"/>
              <w14:textFill>
                <w14:solidFill>
                  <w14:schemeClr w14:val="tx1"/>
                </w14:solidFill>
              </w14:textFill>
            </w:rPr>
            <m:t>+</m:t>
          </m:r>
          <m:f>
            <m:fPr>
              <m:ctrlPr>
                <w:rPr>
                  <w:rFonts w:hint="eastAsia" w:ascii="Cambria Math" w:hAnsi="Cambria Math" w:eastAsia="仿宋" w:cs="仿宋"/>
                  <w:color w:val="000000" w:themeColor="text1"/>
                  <w:sz w:val="24"/>
                  <w:szCs w:val="24"/>
                  <w14:textFill>
                    <w14:solidFill>
                      <w14:schemeClr w14:val="tx1"/>
                    </w14:solidFill>
                  </w14:textFill>
                </w:rPr>
              </m:ctrlPr>
            </m:fPr>
            <m:num>
              <m:r>
                <m:rPr>
                  <m:sty m:val="p"/>
                </m:rPr>
                <w:rPr>
                  <w:rFonts w:hint="eastAsia" w:ascii="Cambria Math" w:hAnsi="Cambria Math" w:eastAsia="仿宋" w:cs="仿宋"/>
                  <w:color w:val="000000" w:themeColor="text1"/>
                  <w:sz w:val="24"/>
                  <w:szCs w:val="24"/>
                  <w14:textFill>
                    <w14:solidFill>
                      <w14:schemeClr w14:val="tx1"/>
                    </w14:solidFill>
                  </w14:textFill>
                </w:rPr>
                <m:t>其他（自然村、经济区、景区等）</m:t>
              </m:r>
              <m:ctrlPr>
                <w:rPr>
                  <w:rFonts w:hint="eastAsia" w:ascii="Cambria Math" w:hAnsi="Cambria Math" w:eastAsia="仿宋" w:cs="仿宋"/>
                  <w:color w:val="000000" w:themeColor="text1"/>
                  <w:sz w:val="24"/>
                  <w:szCs w:val="24"/>
                  <w14:textFill>
                    <w14:solidFill>
                      <w14:schemeClr w14:val="tx1"/>
                    </w14:solidFill>
                  </w14:textFill>
                </w:rPr>
              </m:ctrlPr>
            </m:num>
            <m:den>
              <m:r>
                <m:rPr>
                  <m:sty m:val="p"/>
                </m:rPr>
                <w:rPr>
                  <w:rFonts w:hint="eastAsia" w:ascii="Cambria Math" w:hAnsi="Cambria Math" w:eastAsia="仿宋" w:cs="仿宋"/>
                  <w:color w:val="000000" w:themeColor="text1"/>
                  <w:sz w:val="24"/>
                  <w:szCs w:val="24"/>
                  <w14:textFill>
                    <w14:solidFill>
                      <w14:schemeClr w14:val="tx1"/>
                    </w14:solidFill>
                  </w14:textFill>
                </w:rPr>
                <m:t>3位</m:t>
              </m:r>
              <m:ctrlPr>
                <w:rPr>
                  <w:rFonts w:hint="eastAsia" w:ascii="Cambria Math" w:hAnsi="Cambria Math" w:eastAsia="仿宋" w:cs="仿宋"/>
                  <w:color w:val="000000" w:themeColor="text1"/>
                  <w:sz w:val="24"/>
                  <w:szCs w:val="24"/>
                  <w14:textFill>
                    <w14:solidFill>
                      <w14:schemeClr w14:val="tx1"/>
                    </w14:solidFill>
                  </w14:textFill>
                </w:rPr>
              </m:ctrlPr>
            </m:den>
          </m:f>
        </m:oMath>
      </m:oMathPara>
    </w:p>
    <w:p w14:paraId="48A1A87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7.类型：填写集镇、村落、景区、事业、企业、厂矿、其他，6类，字符（6</w:t>
      </w:r>
      <w:r>
        <w:rPr>
          <w:rFonts w:hint="eastAsia" w:ascii="仿宋" w:hAnsi="仿宋" w:eastAsia="仿宋" w:cs="仿宋"/>
          <w:color w:val="000000" w:themeColor="text1"/>
          <w:spacing w:val="-30"/>
          <w:sz w:val="24"/>
          <w:szCs w:val="24"/>
          <w14:textFill>
            <w14:solidFill>
              <w14:schemeClr w14:val="tx1"/>
            </w14:solidFill>
          </w14:textFill>
        </w:rPr>
        <w:t>）；</w:t>
      </w:r>
    </w:p>
    <w:p w14:paraId="4FA0E10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8.人口：填写防治对象内的人口数量，长整型；</w:t>
      </w:r>
    </w:p>
    <w:p w14:paraId="076D8C1E">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9.河流名称：填写河流/沟道名称，字符型</w:t>
      </w:r>
      <w:r>
        <w:rPr>
          <w:rFonts w:hint="eastAsia" w:ascii="仿宋" w:hAnsi="仿宋" w:eastAsia="仿宋" w:cs="仿宋"/>
          <w:color w:val="000000" w:themeColor="text1"/>
          <w:spacing w:val="-5"/>
          <w:sz w:val="24"/>
          <w:szCs w:val="24"/>
          <w14:textFill>
            <w14:solidFill>
              <w14:schemeClr w14:val="tx1"/>
            </w14:solidFill>
          </w14:textFill>
        </w:rPr>
        <w:t>（20</w:t>
      </w:r>
      <w:r>
        <w:rPr>
          <w:rFonts w:hint="eastAsia" w:ascii="仿宋" w:hAnsi="仿宋" w:eastAsia="仿宋" w:cs="仿宋"/>
          <w:color w:val="000000" w:themeColor="text1"/>
          <w:spacing w:val="-38"/>
          <w:sz w:val="24"/>
          <w:szCs w:val="24"/>
          <w14:textFill>
            <w14:solidFill>
              <w14:schemeClr w14:val="tx1"/>
            </w14:solidFill>
          </w14:textFill>
        </w:rPr>
        <w:t>）；</w:t>
      </w:r>
    </w:p>
    <w:p w14:paraId="7E12081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10.河流代码：按照《中国河流代码》（SL249-2012）为基础，填写主要河流代码， 后续补充地方编码， </w:t>
      </w:r>
      <w:r>
        <w:rPr>
          <w:rFonts w:hint="eastAsia" w:ascii="仿宋" w:hAnsi="仿宋" w:eastAsia="仿宋" w:cs="仿宋"/>
          <w:color w:val="000000" w:themeColor="text1"/>
          <w:spacing w:val="-1"/>
          <w:sz w:val="24"/>
          <w:szCs w:val="24"/>
          <w14:textFill>
            <w14:solidFill>
              <w14:schemeClr w14:val="tx1"/>
            </w14:solidFill>
          </w14:textFill>
        </w:rPr>
        <w:t>形成河流代码，字符型（20</w:t>
      </w:r>
      <w:r>
        <w:rPr>
          <w:rFonts w:hint="eastAsia" w:ascii="仿宋" w:hAnsi="仿宋" w:eastAsia="仿宋" w:cs="仿宋"/>
          <w:color w:val="000000" w:themeColor="text1"/>
          <w:spacing w:val="-43"/>
          <w:sz w:val="24"/>
          <w:szCs w:val="24"/>
          <w14:textFill>
            <w14:solidFill>
              <w14:schemeClr w14:val="tx1"/>
            </w14:solidFill>
          </w14:textFill>
        </w:rPr>
        <w:t>）；</w:t>
      </w:r>
      <w:r>
        <w:rPr>
          <w:rFonts w:hint="eastAsia" w:ascii="仿宋" w:hAnsi="仿宋" w:eastAsia="仿宋" w:cs="仿宋"/>
          <w:color w:val="000000" w:themeColor="text1"/>
          <w:spacing w:val="-1"/>
          <w:sz w:val="24"/>
          <w:szCs w:val="24"/>
          <w14:textFill>
            <w14:solidFill>
              <w14:schemeClr w14:val="tx1"/>
            </w14:solidFill>
          </w14:textFill>
        </w:rPr>
        <w:t>工作中，根据河段所在流域面积确定是否细化分级，如果部分河流需</w:t>
      </w:r>
      <w:r>
        <w:rPr>
          <w:rFonts w:hint="eastAsia" w:ascii="仿宋" w:hAnsi="仿宋" w:eastAsia="仿宋" w:cs="仿宋"/>
          <w:color w:val="000000" w:themeColor="text1"/>
          <w:spacing w:val="-3"/>
          <w:sz w:val="24"/>
          <w:szCs w:val="24"/>
          <w14:textFill>
            <w14:solidFill>
              <w14:schemeClr w14:val="tx1"/>
            </w14:solidFill>
          </w14:textFill>
        </w:rPr>
        <w:t>细化，具体编码按如下方法进行：在河段编码（RVCD，</w:t>
      </w:r>
      <w:r>
        <w:rPr>
          <w:rFonts w:hint="eastAsia" w:ascii="仿宋" w:hAnsi="仿宋" w:eastAsia="仿宋" w:cs="仿宋"/>
          <w:color w:val="000000" w:themeColor="text1"/>
          <w:spacing w:val="27"/>
          <w:sz w:val="24"/>
          <w:szCs w:val="24"/>
          <w14:textFill>
            <w14:solidFill>
              <w14:schemeClr w14:val="tx1"/>
            </w14:solidFill>
          </w14:textFill>
        </w:rPr>
        <w:t xml:space="preserve"> </w:t>
      </w:r>
      <w:r>
        <w:rPr>
          <w:rFonts w:hint="eastAsia" w:ascii="仿宋" w:hAnsi="仿宋" w:eastAsia="仿宋" w:cs="仿宋"/>
          <w:color w:val="000000" w:themeColor="text1"/>
          <w:spacing w:val="-3"/>
          <w:sz w:val="24"/>
          <w:szCs w:val="24"/>
          <w14:textFill>
            <w14:solidFill>
              <w14:schemeClr w14:val="tx1"/>
            </w14:solidFill>
          </w14:textFill>
        </w:rPr>
        <w:t>16位编码）基础上，若流域面积＞5</w:t>
      </w:r>
      <w:r>
        <w:rPr>
          <w:rFonts w:hint="eastAsia" w:ascii="仿宋" w:hAnsi="仿宋" w:eastAsia="仿宋" w:cs="仿宋"/>
          <w:color w:val="000000" w:themeColor="text1"/>
          <w:spacing w:val="-3"/>
          <w:sz w:val="24"/>
          <w:szCs w:val="24"/>
          <w:lang w:eastAsia="zh-CN"/>
          <w14:textFill>
            <w14:solidFill>
              <w14:schemeClr w14:val="tx1"/>
            </w14:solidFill>
          </w14:textFill>
        </w:rPr>
        <w:t>km²</w:t>
      </w:r>
      <w:r>
        <w:rPr>
          <w:rFonts w:hint="eastAsia" w:ascii="仿宋" w:hAnsi="仿宋" w:eastAsia="仿宋" w:cs="仿宋"/>
          <w:color w:val="000000" w:themeColor="text1"/>
          <w:spacing w:val="-6"/>
          <w:position w:val="6"/>
          <w:sz w:val="24"/>
          <w:szCs w:val="24"/>
          <w14:textFill>
            <w14:solidFill>
              <w14:schemeClr w14:val="tx1"/>
            </w14:solidFill>
          </w14:textFill>
        </w:rPr>
        <w:t xml:space="preserve"> </w:t>
      </w:r>
      <w:r>
        <w:rPr>
          <w:rFonts w:hint="eastAsia" w:ascii="仿宋" w:hAnsi="仿宋" w:eastAsia="仿宋" w:cs="仿宋"/>
          <w:color w:val="000000" w:themeColor="text1"/>
          <w:spacing w:val="-3"/>
          <w:sz w:val="24"/>
          <w:szCs w:val="24"/>
          <w14:textFill>
            <w14:solidFill>
              <w14:schemeClr w14:val="tx1"/>
            </w14:solidFill>
          </w14:textFill>
        </w:rPr>
        <w:t>，且</w:t>
      </w:r>
      <w:r>
        <w:rPr>
          <w:rFonts w:hint="eastAsia" w:ascii="仿宋" w:hAnsi="仿宋" w:eastAsia="仿宋" w:cs="仿宋"/>
          <w:color w:val="000000" w:themeColor="text1"/>
          <w:spacing w:val="-6"/>
          <w:sz w:val="24"/>
          <w:szCs w:val="24"/>
          <w14:textFill>
            <w14:solidFill>
              <w14:schemeClr w14:val="tx1"/>
            </w14:solidFill>
          </w14:textFill>
        </w:rPr>
        <w:t>上游有分支，则按支流进行细分，支流编码方法为：在现有河段编码后</w:t>
      </w:r>
      <w:r>
        <w:rPr>
          <w:rFonts w:hint="eastAsia" w:ascii="仿宋" w:hAnsi="仿宋" w:eastAsia="仿宋" w:cs="仿宋"/>
          <w:color w:val="000000" w:themeColor="text1"/>
          <w:sz w:val="24"/>
          <w:szCs w:val="24"/>
          <w14:textFill>
            <w14:solidFill>
              <w14:schemeClr w14:val="tx1"/>
            </w14:solidFill>
          </w14:textFill>
        </w:rPr>
        <w:t>面新增</w:t>
      </w:r>
      <w:r>
        <w:rPr>
          <w:rFonts w:hint="eastAsia" w:ascii="仿宋" w:hAnsi="仿宋" w:eastAsia="仿宋" w:cs="仿宋"/>
          <w:color w:val="000000" w:themeColor="text1"/>
          <w:spacing w:val="-31"/>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pacing w:val="16"/>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位编码（0-9之间</w:t>
      </w:r>
      <w:r>
        <w:rPr>
          <w:rFonts w:hint="eastAsia" w:ascii="仿宋" w:hAnsi="仿宋" w:eastAsia="仿宋" w:cs="仿宋"/>
          <w:color w:val="000000" w:themeColor="text1"/>
          <w:spacing w:val="-22"/>
          <w:sz w:val="24"/>
          <w:szCs w:val="24"/>
          <w14:textFill>
            <w14:solidFill>
              <w14:schemeClr w14:val="tx1"/>
            </w14:solidFill>
          </w14:textFill>
        </w:rPr>
        <w:t>），</w:t>
      </w:r>
      <w:r>
        <w:rPr>
          <w:rFonts w:hint="eastAsia" w:ascii="仿宋" w:hAnsi="仿宋" w:eastAsia="仿宋" w:cs="仿宋"/>
          <w:color w:val="000000" w:themeColor="text1"/>
          <w:spacing w:val="-1"/>
          <w:sz w:val="24"/>
          <w:szCs w:val="24"/>
          <w14:textFill>
            <w14:solidFill>
              <w14:schemeClr w14:val="tx1"/>
            </w14:solidFill>
          </w14:textFill>
        </w:rPr>
        <w:t>直至支流流域面积≤5</w:t>
      </w:r>
      <w:r>
        <w:rPr>
          <w:rFonts w:hint="eastAsia" w:ascii="仿宋" w:hAnsi="仿宋" w:eastAsia="仿宋" w:cs="仿宋"/>
          <w:color w:val="000000" w:themeColor="text1"/>
          <w:spacing w:val="-1"/>
          <w:sz w:val="24"/>
          <w:szCs w:val="24"/>
          <w:lang w:eastAsia="zh-CN"/>
          <w14:textFill>
            <w14:solidFill>
              <w14:schemeClr w14:val="tx1"/>
            </w14:solidFill>
          </w14:textFill>
        </w:rPr>
        <w:t>km²</w:t>
      </w:r>
      <w:r>
        <w:rPr>
          <w:rFonts w:hint="eastAsia" w:ascii="仿宋" w:hAnsi="仿宋" w:eastAsia="仿宋" w:cs="仿宋"/>
          <w:color w:val="000000" w:themeColor="text1"/>
          <w:spacing w:val="-1"/>
          <w:sz w:val="24"/>
          <w:szCs w:val="24"/>
          <w14:textFill>
            <w14:solidFill>
              <w14:schemeClr w14:val="tx1"/>
            </w14:solidFill>
          </w14:textFill>
        </w:rPr>
        <w:t>；</w:t>
      </w:r>
    </w:p>
    <w:p w14:paraId="28B286F5">
      <w:pPr>
        <w:keepNext w:val="0"/>
        <w:keepLines w:val="0"/>
        <w:pageBreakBefore w:val="0"/>
        <w:widowControl/>
        <w:kinsoku/>
        <w:wordWrap/>
        <w:overflowPunct/>
        <w:topLinePunct w:val="0"/>
        <w:autoSpaceDE/>
        <w:autoSpaceDN/>
        <w:bidi w:val="0"/>
        <w:adjustRightInd/>
        <w:snapToGrid w:val="0"/>
        <w:spacing w:line="288" w:lineRule="auto"/>
        <w:ind w:firstLine="464"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pacing w:val="-4"/>
          <w:sz w:val="24"/>
          <w:szCs w:val="24"/>
          <w14:textFill>
            <w14:solidFill>
              <w14:schemeClr w14:val="tx1"/>
            </w14:solidFill>
          </w14:textFill>
        </w:rPr>
        <w:t>11.名称：填写跨沟道路、桥涵名称，按《</w:t>
      </w:r>
      <w:r>
        <w:rPr>
          <w:rFonts w:hint="eastAsia" w:ascii="仿宋" w:hAnsi="仿宋" w:eastAsia="仿宋" w:cs="仿宋"/>
          <w:color w:val="000000" w:themeColor="text1"/>
          <w:sz w:val="24"/>
          <w:szCs w:val="24"/>
          <w14:textFill>
            <w14:solidFill>
              <w14:schemeClr w14:val="tx1"/>
            </w14:solidFill>
          </w14:textFill>
        </w:rPr>
        <w:t>山洪灾害调查与评价技术规范》（SL 767-2018）要求填写；</w:t>
      </w:r>
    </w:p>
    <w:p w14:paraId="76241ED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12.编码：按“县级行政代码+河流代码+编号”填写跨沟道路、桥涵</w:t>
      </w:r>
      <w:r>
        <w:rPr>
          <w:rFonts w:hint="eastAsia" w:ascii="仿宋" w:hAnsi="仿宋" w:eastAsia="仿宋" w:cs="仿宋"/>
          <w:color w:val="000000" w:themeColor="text1"/>
          <w:spacing w:val="-11"/>
          <w:sz w:val="24"/>
          <w:szCs w:val="24"/>
          <w14:textFill>
            <w14:solidFill>
              <w14:schemeClr w14:val="tx1"/>
            </w14:solidFill>
          </w14:textFill>
        </w:rPr>
        <w:t>编码，“编号”为</w:t>
      </w:r>
      <w:r>
        <w:rPr>
          <w:rFonts w:hint="eastAsia" w:ascii="仿宋" w:hAnsi="仿宋" w:eastAsia="仿宋" w:cs="仿宋"/>
          <w:color w:val="000000" w:themeColor="text1"/>
          <w:spacing w:val="-53"/>
          <w:sz w:val="24"/>
          <w:szCs w:val="24"/>
          <w14:textFill>
            <w14:solidFill>
              <w14:schemeClr w14:val="tx1"/>
            </w14:solidFill>
          </w14:textFill>
        </w:rPr>
        <w:t xml:space="preserve"> </w:t>
      </w:r>
      <w:r>
        <w:rPr>
          <w:rFonts w:hint="eastAsia" w:ascii="仿宋" w:hAnsi="仿宋" w:eastAsia="仿宋" w:cs="仿宋"/>
          <w:color w:val="000000" w:themeColor="text1"/>
          <w:spacing w:val="-11"/>
          <w:sz w:val="24"/>
          <w:szCs w:val="24"/>
          <w14:textFill>
            <w14:solidFill>
              <w14:schemeClr w14:val="tx1"/>
            </w14:solidFill>
          </w14:textFill>
        </w:rPr>
        <w:t>A0001，A0002，ⅆⅆ</w:t>
      </w:r>
      <w:r>
        <w:rPr>
          <w:rFonts w:hint="eastAsia" w:ascii="仿宋" w:hAnsi="仿宋" w:eastAsia="仿宋" w:cs="仿宋"/>
          <w:color w:val="000000" w:themeColor="text1"/>
          <w:spacing w:val="-24"/>
          <w:sz w:val="24"/>
          <w:szCs w:val="24"/>
          <w14:textFill>
            <w14:solidFill>
              <w14:schemeClr w14:val="tx1"/>
            </w14:solidFill>
          </w14:textFill>
        </w:rPr>
        <w:t xml:space="preserve"> </w:t>
      </w:r>
      <w:r>
        <w:rPr>
          <w:rFonts w:hint="eastAsia" w:ascii="仿宋" w:hAnsi="仿宋" w:eastAsia="仿宋" w:cs="仿宋"/>
          <w:color w:val="000000" w:themeColor="text1"/>
          <w:spacing w:val="-11"/>
          <w:sz w:val="24"/>
          <w:szCs w:val="24"/>
          <w14:textFill>
            <w14:solidFill>
              <w14:schemeClr w14:val="tx1"/>
            </w14:solidFill>
          </w14:textFill>
        </w:rPr>
        <w:t>，</w:t>
      </w:r>
      <w:r>
        <w:rPr>
          <w:rFonts w:hint="eastAsia" w:ascii="仿宋" w:hAnsi="仿宋" w:eastAsia="仿宋" w:cs="仿宋"/>
          <w:color w:val="000000" w:themeColor="text1"/>
          <w:spacing w:val="-9"/>
          <w:sz w:val="24"/>
          <w:szCs w:val="24"/>
          <w14:textFill>
            <w14:solidFill>
              <w14:schemeClr w14:val="tx1"/>
            </w14:solidFill>
          </w14:textFill>
        </w:rPr>
        <w:t>从下游向上游</w:t>
      </w:r>
      <w:r>
        <w:rPr>
          <w:rFonts w:hint="eastAsia" w:ascii="仿宋" w:hAnsi="仿宋" w:eastAsia="仿宋" w:cs="仿宋"/>
          <w:color w:val="000000" w:themeColor="text1"/>
          <w:spacing w:val="-9"/>
          <w:sz w:val="24"/>
          <w:szCs w:val="24"/>
          <w:lang w:eastAsia="zh-CN"/>
          <w14:textFill>
            <w14:solidFill>
              <w14:schemeClr w14:val="tx1"/>
            </w14:solidFill>
          </w14:textFill>
        </w:rPr>
        <w:t>计数</w:t>
      </w:r>
      <w:r>
        <w:rPr>
          <w:rFonts w:hint="eastAsia" w:ascii="仿宋" w:hAnsi="仿宋" w:eastAsia="仿宋" w:cs="仿宋"/>
          <w:color w:val="000000" w:themeColor="text1"/>
          <w:spacing w:val="-9"/>
          <w:sz w:val="24"/>
          <w:szCs w:val="24"/>
          <w14:textFill>
            <w14:solidFill>
              <w14:schemeClr w14:val="tx1"/>
            </w14:solidFill>
          </w14:textFill>
        </w:rPr>
        <w:t>，系统自动生成；</w:t>
      </w:r>
    </w:p>
    <w:p w14:paraId="1FD864CE">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13.塘（堰）坝名称：按《山洪灾害调查与评价技术规范》（SL767-2018）要求填写具体塘（堰）坝名称； </w:t>
      </w:r>
    </w:p>
    <w:p w14:paraId="5F56E438">
      <w:pPr>
        <w:keepNext w:val="0"/>
        <w:keepLines w:val="0"/>
        <w:pageBreakBefore w:val="0"/>
        <w:widowControl/>
        <w:kinsoku/>
        <w:wordWrap/>
        <w:overflowPunct/>
        <w:topLinePunct w:val="0"/>
        <w:autoSpaceDE/>
        <w:autoSpaceDN/>
        <w:bidi w:val="0"/>
        <w:adjustRightInd/>
        <w:snapToGrid w:val="0"/>
        <w:spacing w:line="288" w:lineRule="auto"/>
        <w:ind w:firstLine="464"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pacing w:val="-4"/>
          <w:sz w:val="24"/>
          <w:szCs w:val="24"/>
          <w14:textFill>
            <w14:solidFill>
              <w14:schemeClr w14:val="tx1"/>
            </w14:solidFill>
          </w14:textFill>
        </w:rPr>
        <w:t>14.塘（堰）坝代码：填写与塘坝名称相对应的塘坝代码，</w:t>
      </w:r>
      <w:r>
        <w:rPr>
          <w:rFonts w:hint="eastAsia" w:ascii="仿宋" w:hAnsi="仿宋" w:eastAsia="仿宋" w:cs="仿宋"/>
          <w:color w:val="000000" w:themeColor="text1"/>
          <w:spacing w:val="-36"/>
          <w:sz w:val="24"/>
          <w:szCs w:val="24"/>
          <w14:textFill>
            <w14:solidFill>
              <w14:schemeClr w14:val="tx1"/>
            </w14:solidFill>
          </w14:textFill>
        </w:rPr>
        <w:t xml:space="preserve"> </w:t>
      </w:r>
      <w:r>
        <w:rPr>
          <w:rFonts w:hint="eastAsia" w:ascii="仿宋" w:hAnsi="仿宋" w:eastAsia="仿宋" w:cs="仿宋"/>
          <w:color w:val="000000" w:themeColor="text1"/>
          <w:spacing w:val="-4"/>
          <w:sz w:val="24"/>
          <w:szCs w:val="24"/>
          <w14:textFill>
            <w14:solidFill>
              <w14:schemeClr w14:val="tx1"/>
            </w14:solidFill>
          </w14:textFill>
        </w:rPr>
        <w:t>如</w:t>
      </w:r>
      <w:r>
        <w:rPr>
          <w:rFonts w:hint="eastAsia" w:ascii="仿宋" w:hAnsi="仿宋" w:eastAsia="仿宋" w:cs="仿宋"/>
          <w:color w:val="000000" w:themeColor="text1"/>
          <w:sz w:val="24"/>
          <w:szCs w:val="24"/>
          <w14:textFill>
            <w14:solidFill>
              <w14:schemeClr w14:val="tx1"/>
            </w14:solidFill>
          </w14:textFill>
        </w:rPr>
        <w:t>果是本次新增，则按《山洪灾害调查与评价技术规范》（SL767-2018）</w:t>
      </w:r>
      <w:r>
        <w:rPr>
          <w:rFonts w:hint="eastAsia" w:ascii="仿宋" w:hAnsi="仿宋" w:eastAsia="仿宋" w:cs="仿宋"/>
          <w:color w:val="000000" w:themeColor="text1"/>
          <w:position w:val="7"/>
          <w:sz w:val="24"/>
          <w:szCs w:val="24"/>
          <w14:textFill>
            <w14:solidFill>
              <w14:schemeClr w14:val="tx1"/>
            </w14:solidFill>
          </w14:textFill>
        </w:rPr>
        <w:t>的规则统一生成；</w:t>
      </w:r>
    </w:p>
    <w:p w14:paraId="58B59BD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15.河流名称：参照</w:t>
      </w:r>
      <w:r>
        <w:rPr>
          <w:rFonts w:hint="eastAsia" w:ascii="仿宋" w:hAnsi="仿宋" w:eastAsia="仿宋" w:cs="仿宋"/>
          <w:color w:val="000000" w:themeColor="text1"/>
          <w:spacing w:val="-42"/>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9填写，应为</w:t>
      </w:r>
      <w:r>
        <w:rPr>
          <w:rFonts w:hint="eastAsia" w:ascii="仿宋" w:hAnsi="仿宋" w:eastAsia="仿宋" w:cs="仿宋"/>
          <w:color w:val="000000" w:themeColor="text1"/>
          <w:spacing w:val="-44"/>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9的上游支流；</w:t>
      </w:r>
    </w:p>
    <w:p w14:paraId="7701E077">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16河流代码：参照10填写，应为</w:t>
      </w:r>
      <w:r>
        <w:rPr>
          <w:rFonts w:hint="eastAsia" w:ascii="仿宋" w:hAnsi="仿宋" w:eastAsia="仿宋" w:cs="仿宋"/>
          <w:color w:val="000000" w:themeColor="text1"/>
          <w:spacing w:val="-44"/>
          <w:sz w:val="24"/>
          <w:szCs w:val="24"/>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9的上游支流；</w:t>
      </w:r>
    </w:p>
    <w:p w14:paraId="71DBD08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17.束窄：有此类风险要素的，在方框中打“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2E8C7B71">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18.急弯：有此类风险要素的，在方框中打“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65279461">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19.低洼地：有此类风险要素的，在方框中打“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7139AA1A">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20.沟滩占地：属于此类风险隐患要素类别的，在方框中打“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56502EE4">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21.临河滑坡：受此类风险隐患影响的，在方框</w:t>
      </w:r>
      <w:r>
        <w:rPr>
          <w:rFonts w:hint="eastAsia" w:ascii="仿宋" w:hAnsi="仿宋" w:eastAsia="仿宋" w:cs="仿宋"/>
          <w:color w:val="000000" w:themeColor="text1"/>
          <w:spacing w:val="-10"/>
          <w:sz w:val="24"/>
          <w:szCs w:val="24"/>
          <w14:textFill>
            <w14:solidFill>
              <w14:schemeClr w14:val="tx1"/>
            </w14:solidFill>
          </w14:textFill>
        </w:rPr>
        <w:t>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pacing w:val="-10"/>
          <w:sz w:val="24"/>
          <w:szCs w:val="24"/>
          <w14:textFill>
            <w14:solidFill>
              <w14:schemeClr w14:val="tx1"/>
            </w14:solidFill>
          </w14:textFill>
        </w:rPr>
        <w:t>”；</w:t>
      </w:r>
    </w:p>
    <w:p w14:paraId="356101E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22.泥石流：受此类风险隐患影响的，在方框中打“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2E7CC09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23.溃决：受此类风险隐患影响的，在方框中打“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1569EEF4">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24.壅水：受此类风险隐患影响的，在方框中打“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62E5DAE2">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25.顶托：受此类风险隐患影响的，在方框中打“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458EE8A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26.改道：受此类风险隐患影响的，在方框中打“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1DB7D90D">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27.漫流：受此类风险隐患影响的，在方框中打“</w:t>
      </w:r>
      <w:r>
        <w:rPr>
          <w:rFonts w:hint="eastAsia" w:ascii="仿宋" w:hAnsi="仿宋" w:eastAsia="仿宋" w:cs="仿宋"/>
          <w:color w:val="000000" w:themeColor="text1"/>
          <w:sz w:val="24"/>
          <w:szCs w:val="24"/>
          <w14:textFill>
            <w14:solidFill>
              <w14:schemeClr w14:val="tx1"/>
            </w14:solidFill>
          </w14:textFill>
        </w:rPr>
        <w:drawing>
          <wp:inline distT="0" distB="0" distL="0" distR="0">
            <wp:extent cx="106045" cy="95885"/>
            <wp:effectExtent l="0" t="0" r="8255" b="0"/>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06045" cy="958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p>
    <w:p w14:paraId="42BBDA29">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pacing w:val="-6"/>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28.备注：填写跨沟道路、桥涵等的复核情况，因壅水、溃决和改道</w:t>
      </w:r>
      <w:r>
        <w:rPr>
          <w:rFonts w:hint="eastAsia" w:ascii="仿宋" w:hAnsi="仿宋" w:eastAsia="仿宋" w:cs="仿宋"/>
          <w:color w:val="000000" w:themeColor="text1"/>
          <w:spacing w:val="-6"/>
          <w:sz w:val="24"/>
          <w:szCs w:val="24"/>
          <w14:textFill>
            <w14:solidFill>
              <w14:schemeClr w14:val="tx1"/>
            </w14:solidFill>
          </w14:textFill>
        </w:rPr>
        <w:t>等受影响人数等，字符型（200）。</w:t>
      </w:r>
    </w:p>
    <w:p w14:paraId="4316323F">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p>
    <w:p w14:paraId="62EA354E">
      <w:pPr>
        <w:keepNext/>
        <w:keepLines/>
        <w:pageBreakBefore w:val="0"/>
        <w:widowControl/>
        <w:kinsoku/>
        <w:wordWrap/>
        <w:overflowPunct/>
        <w:topLinePunct w:val="0"/>
        <w:autoSpaceDE/>
        <w:autoSpaceDN/>
        <w:bidi w:val="0"/>
        <w:adjustRightInd/>
        <w:snapToGrid w:val="0"/>
        <w:spacing w:line="288" w:lineRule="auto"/>
        <w:ind w:left="567"/>
        <w:jc w:val="center"/>
        <w:textAlignment w:val="auto"/>
        <w:outlineLvl w:val="4"/>
        <w:rPr>
          <w:rFonts w:hint="eastAsia" w:ascii="仿宋" w:hAnsi="仿宋" w:eastAsia="仿宋" w:cs="仿宋"/>
          <w:b/>
          <w:color w:val="000000" w:themeColor="text1"/>
          <w:kern w:val="0"/>
          <w:sz w:val="24"/>
          <w:szCs w:val="24"/>
          <w14:textFill>
            <w14:solidFill>
              <w14:schemeClr w14:val="tx1"/>
            </w14:solidFill>
          </w14:textFill>
        </w:rPr>
      </w:pPr>
      <w:r>
        <w:rPr>
          <w:rFonts w:hint="eastAsia" w:ascii="仿宋" w:hAnsi="仿宋" w:eastAsia="仿宋" w:cs="仿宋"/>
          <w:b/>
          <w:color w:val="000000" w:themeColor="text1"/>
          <w:kern w:val="0"/>
          <w:sz w:val="24"/>
          <w:szCs w:val="24"/>
          <w14:textFill>
            <w14:solidFill>
              <w14:schemeClr w14:val="tx1"/>
            </w14:solidFill>
          </w14:textFill>
        </w:rPr>
        <w:t>（2）跨沟路段、桥涵、堰坝调查成果表</w:t>
      </w:r>
    </w:p>
    <w:tbl>
      <w:tblPr>
        <w:tblStyle w:val="37"/>
        <w:tblW w:w="500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07"/>
        <w:gridCol w:w="709"/>
        <w:gridCol w:w="852"/>
        <w:gridCol w:w="709"/>
        <w:gridCol w:w="1028"/>
        <w:gridCol w:w="676"/>
        <w:gridCol w:w="852"/>
        <w:gridCol w:w="852"/>
        <w:gridCol w:w="857"/>
        <w:gridCol w:w="704"/>
        <w:gridCol w:w="857"/>
        <w:gridCol w:w="709"/>
        <w:gridCol w:w="989"/>
        <w:gridCol w:w="991"/>
        <w:gridCol w:w="989"/>
        <w:gridCol w:w="799"/>
        <w:gridCol w:w="684"/>
      </w:tblGrid>
      <w:tr w14:paraId="16307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 w:hRule="atLeast"/>
          <w:jc w:val="center"/>
        </w:trPr>
        <w:tc>
          <w:tcPr>
            <w:tcW w:w="811" w:type="pct"/>
            <w:gridSpan w:val="3"/>
            <w:tcBorders>
              <w:top w:val="single" w:color="000000" w:sz="2" w:space="0"/>
              <w:left w:val="single" w:color="000000" w:sz="2" w:space="0"/>
              <w:bottom w:val="single" w:color="000000" w:sz="2" w:space="0"/>
              <w:right w:val="single" w:color="000000" w:sz="2" w:space="0"/>
            </w:tcBorders>
            <w:vAlign w:val="center"/>
          </w:tcPr>
          <w:p w14:paraId="6DB92378">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1.县（区、市、旗）名称</w:t>
            </w:r>
          </w:p>
        </w:tc>
        <w:tc>
          <w:tcPr>
            <w:tcW w:w="622" w:type="pct"/>
            <w:gridSpan w:val="2"/>
            <w:tcBorders>
              <w:top w:val="single" w:color="000000" w:sz="2" w:space="0"/>
              <w:left w:val="single" w:color="000000" w:sz="2" w:space="0"/>
              <w:bottom w:val="single" w:color="000000" w:sz="2" w:space="0"/>
              <w:right w:val="single" w:color="000000" w:sz="2" w:space="0"/>
            </w:tcBorders>
            <w:vAlign w:val="center"/>
          </w:tcPr>
          <w:p w14:paraId="67E1F805">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zh-CN"/>
                <w14:textFill>
                  <w14:solidFill>
                    <w14:schemeClr w14:val="tx1"/>
                  </w14:solidFill>
                </w14:textFill>
              </w:rPr>
            </w:pPr>
          </w:p>
        </w:tc>
        <w:tc>
          <w:tcPr>
            <w:tcW w:w="547" w:type="pct"/>
            <w:gridSpan w:val="2"/>
            <w:tcBorders>
              <w:top w:val="single" w:color="000000" w:sz="2" w:space="0"/>
              <w:left w:val="single" w:color="000000" w:sz="2" w:space="0"/>
              <w:bottom w:val="single" w:color="000000" w:sz="2" w:space="0"/>
              <w:right w:val="single" w:color="000000" w:sz="2" w:space="0"/>
            </w:tcBorders>
            <w:vAlign w:val="center"/>
          </w:tcPr>
          <w:p w14:paraId="58E4445D">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2.县（区、市、旗）代码</w:t>
            </w:r>
          </w:p>
        </w:tc>
        <w:tc>
          <w:tcPr>
            <w:tcW w:w="612" w:type="pct"/>
            <w:gridSpan w:val="2"/>
            <w:tcBorders>
              <w:top w:val="single" w:color="000000" w:sz="2" w:space="0"/>
              <w:left w:val="single" w:color="000000" w:sz="2" w:space="0"/>
              <w:bottom w:val="single" w:color="000000" w:sz="2" w:space="0"/>
              <w:right w:val="single" w:color="000000" w:sz="2" w:space="0"/>
            </w:tcBorders>
            <w:vAlign w:val="center"/>
          </w:tcPr>
          <w:p w14:paraId="314336B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zh-CN"/>
                <w14:textFill>
                  <w14:solidFill>
                    <w14:schemeClr w14:val="tx1"/>
                  </w14:solidFill>
                </w14:textFill>
              </w:rPr>
            </w:pPr>
          </w:p>
        </w:tc>
        <w:tc>
          <w:tcPr>
            <w:tcW w:w="559" w:type="pct"/>
            <w:gridSpan w:val="2"/>
            <w:tcBorders>
              <w:top w:val="single" w:color="000000" w:sz="2" w:space="0"/>
              <w:left w:val="single" w:color="000000" w:sz="2" w:space="0"/>
              <w:bottom w:val="single" w:color="000000" w:sz="2" w:space="0"/>
              <w:right w:val="single" w:color="000000" w:sz="2" w:space="0"/>
            </w:tcBorders>
            <w:vAlign w:val="center"/>
          </w:tcPr>
          <w:p w14:paraId="55FA279E">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3.乡镇名称</w:t>
            </w:r>
          </w:p>
        </w:tc>
        <w:tc>
          <w:tcPr>
            <w:tcW w:w="608" w:type="pct"/>
            <w:gridSpan w:val="2"/>
            <w:tcBorders>
              <w:top w:val="single" w:color="000000" w:sz="2" w:space="0"/>
              <w:left w:val="single" w:color="000000" w:sz="2" w:space="0"/>
              <w:bottom w:val="single" w:color="000000" w:sz="2" w:space="0"/>
              <w:right w:val="single" w:color="000000" w:sz="2" w:space="0"/>
            </w:tcBorders>
            <w:vAlign w:val="center"/>
          </w:tcPr>
          <w:p w14:paraId="2E782EAB">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5" w:type="pct"/>
            <w:tcBorders>
              <w:top w:val="single" w:color="000000" w:sz="2" w:space="0"/>
              <w:left w:val="single" w:color="000000" w:sz="2" w:space="0"/>
              <w:bottom w:val="single" w:color="000000" w:sz="2" w:space="0"/>
              <w:right w:val="single" w:color="000000" w:sz="2" w:space="0"/>
            </w:tcBorders>
            <w:vAlign w:val="center"/>
          </w:tcPr>
          <w:p w14:paraId="481060DE">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4.乡镇代码</w:t>
            </w:r>
          </w:p>
        </w:tc>
        <w:tc>
          <w:tcPr>
            <w:tcW w:w="885" w:type="pct"/>
            <w:gridSpan w:val="3"/>
            <w:tcBorders>
              <w:top w:val="single" w:color="000000" w:sz="2" w:space="0"/>
              <w:left w:val="single" w:color="000000" w:sz="2" w:space="0"/>
              <w:bottom w:val="single" w:color="000000" w:sz="2" w:space="0"/>
              <w:right w:val="single" w:color="000000" w:sz="2" w:space="0"/>
            </w:tcBorders>
            <w:vAlign w:val="center"/>
          </w:tcPr>
          <w:p w14:paraId="78B57100">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6D37B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jc w:val="center"/>
        </w:trPr>
        <w:tc>
          <w:tcPr>
            <w:tcW w:w="253" w:type="pct"/>
            <w:tcBorders>
              <w:top w:val="single" w:color="000000" w:sz="2" w:space="0"/>
              <w:left w:val="single" w:color="000000" w:sz="2" w:space="0"/>
              <w:bottom w:val="single" w:color="auto" w:sz="4" w:space="0"/>
              <w:right w:val="single" w:color="000000" w:sz="2" w:space="0"/>
            </w:tcBorders>
            <w:vAlign w:val="center"/>
          </w:tcPr>
          <w:p w14:paraId="524227E5">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序号</w:t>
            </w:r>
          </w:p>
        </w:tc>
        <w:tc>
          <w:tcPr>
            <w:tcW w:w="254" w:type="pct"/>
            <w:tcBorders>
              <w:top w:val="single" w:color="000000" w:sz="2" w:space="0"/>
              <w:left w:val="single" w:color="000000" w:sz="2" w:space="0"/>
              <w:bottom w:val="single" w:color="auto" w:sz="4" w:space="0"/>
              <w:right w:val="single" w:color="000000" w:sz="2" w:space="0"/>
            </w:tcBorders>
            <w:vAlign w:val="center"/>
          </w:tcPr>
          <w:p w14:paraId="213BE4B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5.名称</w:t>
            </w:r>
          </w:p>
        </w:tc>
        <w:tc>
          <w:tcPr>
            <w:tcW w:w="305" w:type="pct"/>
            <w:tcBorders>
              <w:top w:val="single" w:color="000000" w:sz="2" w:space="0"/>
              <w:left w:val="single" w:color="000000" w:sz="2" w:space="0"/>
              <w:bottom w:val="single" w:color="auto" w:sz="4" w:space="0"/>
              <w:right w:val="single" w:color="000000" w:sz="2" w:space="0"/>
            </w:tcBorders>
            <w:vAlign w:val="center"/>
          </w:tcPr>
          <w:p w14:paraId="18845BAF">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6.编码</w:t>
            </w:r>
          </w:p>
        </w:tc>
        <w:tc>
          <w:tcPr>
            <w:tcW w:w="254" w:type="pct"/>
            <w:tcBorders>
              <w:top w:val="single" w:color="000000" w:sz="2" w:space="0"/>
              <w:left w:val="single" w:color="000000" w:sz="2" w:space="0"/>
              <w:bottom w:val="single" w:color="auto" w:sz="4" w:space="0"/>
              <w:right w:val="single" w:color="000000" w:sz="2" w:space="0"/>
            </w:tcBorders>
            <w:vAlign w:val="center"/>
          </w:tcPr>
          <w:p w14:paraId="4FB5AB1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7.经度</w:t>
            </w:r>
          </w:p>
        </w:tc>
        <w:tc>
          <w:tcPr>
            <w:tcW w:w="368" w:type="pct"/>
            <w:tcBorders>
              <w:top w:val="single" w:color="000000" w:sz="2" w:space="0"/>
              <w:left w:val="single" w:color="000000" w:sz="2" w:space="0"/>
              <w:bottom w:val="single" w:color="auto" w:sz="4" w:space="0"/>
              <w:right w:val="single" w:color="000000" w:sz="2" w:space="0"/>
            </w:tcBorders>
            <w:vAlign w:val="center"/>
          </w:tcPr>
          <w:p w14:paraId="79F93802">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8.纬度</w:t>
            </w:r>
          </w:p>
        </w:tc>
        <w:tc>
          <w:tcPr>
            <w:tcW w:w="242" w:type="pct"/>
            <w:tcBorders>
              <w:top w:val="single" w:color="000000" w:sz="2" w:space="0"/>
              <w:left w:val="single" w:color="000000" w:sz="2" w:space="0"/>
              <w:bottom w:val="single" w:color="auto" w:sz="4" w:space="0"/>
              <w:right w:val="single" w:color="000000" w:sz="2" w:space="0"/>
            </w:tcBorders>
            <w:vAlign w:val="center"/>
          </w:tcPr>
          <w:p w14:paraId="411B46AB">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9.类型</w:t>
            </w:r>
          </w:p>
        </w:tc>
        <w:tc>
          <w:tcPr>
            <w:tcW w:w="305" w:type="pct"/>
            <w:tcBorders>
              <w:top w:val="single" w:color="000000" w:sz="2" w:space="0"/>
              <w:left w:val="single" w:color="000000" w:sz="2" w:space="0"/>
              <w:bottom w:val="single" w:color="auto" w:sz="4" w:space="0"/>
              <w:right w:val="single" w:color="000000" w:sz="2" w:space="0"/>
            </w:tcBorders>
            <w:vAlign w:val="center"/>
          </w:tcPr>
          <w:p w14:paraId="3B712921">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10.沟宽</w:t>
            </w:r>
          </w:p>
          <w:p w14:paraId="03E9E90E">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/m</w:t>
            </w:r>
          </w:p>
        </w:tc>
        <w:tc>
          <w:tcPr>
            <w:tcW w:w="305" w:type="pct"/>
            <w:tcBorders>
              <w:top w:val="single" w:color="000000" w:sz="2" w:space="0"/>
              <w:left w:val="single" w:color="000000" w:sz="2" w:space="0"/>
              <w:bottom w:val="single" w:color="auto" w:sz="4" w:space="0"/>
              <w:right w:val="single" w:color="000000" w:sz="2" w:space="0"/>
            </w:tcBorders>
            <w:vAlign w:val="center"/>
          </w:tcPr>
          <w:p w14:paraId="453C24C7">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11.沟深/m</w:t>
            </w:r>
          </w:p>
        </w:tc>
        <w:tc>
          <w:tcPr>
            <w:tcW w:w="307" w:type="pct"/>
            <w:tcBorders>
              <w:top w:val="single" w:color="000000" w:sz="2" w:space="0"/>
              <w:left w:val="single" w:color="000000" w:sz="2" w:space="0"/>
              <w:bottom w:val="single" w:color="auto" w:sz="4" w:space="0"/>
              <w:right w:val="single" w:color="000000" w:sz="2" w:space="0"/>
            </w:tcBorders>
            <w:vAlign w:val="center"/>
          </w:tcPr>
          <w:p w14:paraId="2B36A414">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12.断面形态</w:t>
            </w:r>
          </w:p>
        </w:tc>
        <w:tc>
          <w:tcPr>
            <w:tcW w:w="252" w:type="pct"/>
            <w:tcBorders>
              <w:top w:val="single" w:color="000000" w:sz="2" w:space="0"/>
              <w:left w:val="single" w:color="000000" w:sz="2" w:space="0"/>
              <w:bottom w:val="single" w:color="auto" w:sz="4" w:space="0"/>
              <w:right w:val="single" w:color="000000" w:sz="2" w:space="0"/>
            </w:tcBorders>
            <w:vAlign w:val="center"/>
          </w:tcPr>
          <w:p w14:paraId="04097072">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13.阻水面积比R1/%</w:t>
            </w:r>
          </w:p>
        </w:tc>
        <w:tc>
          <w:tcPr>
            <w:tcW w:w="307" w:type="pct"/>
            <w:tcBorders>
              <w:top w:val="single" w:color="000000" w:sz="2" w:space="0"/>
              <w:left w:val="single" w:color="000000" w:sz="2" w:space="0"/>
              <w:bottom w:val="single" w:color="auto" w:sz="4" w:space="0"/>
              <w:right w:val="single" w:color="000000" w:sz="2" w:space="0"/>
            </w:tcBorders>
            <w:vAlign w:val="center"/>
          </w:tcPr>
          <w:p w14:paraId="6EAE5890">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14.阻水库容</w:t>
            </w:r>
          </w:p>
          <w:p w14:paraId="0CD6303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V/万m³</w:t>
            </w:r>
          </w:p>
        </w:tc>
        <w:tc>
          <w:tcPr>
            <w:tcW w:w="254" w:type="pct"/>
            <w:tcBorders>
              <w:top w:val="single" w:color="000000" w:sz="2" w:space="0"/>
              <w:left w:val="single" w:color="000000" w:sz="2" w:space="0"/>
              <w:bottom w:val="single" w:color="auto" w:sz="4" w:space="0"/>
              <w:right w:val="single" w:color="000000" w:sz="2" w:space="0"/>
            </w:tcBorders>
            <w:vAlign w:val="center"/>
          </w:tcPr>
          <w:p w14:paraId="4999FD9B">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15.河流代码</w:t>
            </w:r>
          </w:p>
        </w:tc>
        <w:tc>
          <w:tcPr>
            <w:tcW w:w="354" w:type="pct"/>
            <w:tcBorders>
              <w:top w:val="single" w:color="000000" w:sz="2" w:space="0"/>
              <w:left w:val="single" w:color="000000" w:sz="2" w:space="0"/>
              <w:bottom w:val="single" w:color="auto" w:sz="4" w:space="0"/>
              <w:right w:val="single" w:color="000000" w:sz="2" w:space="0"/>
            </w:tcBorders>
            <w:vAlign w:val="center"/>
          </w:tcPr>
          <w:p w14:paraId="3D07C7E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16.壅水</w:t>
            </w:r>
          </w:p>
          <w:p w14:paraId="23416AE2">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影响对象</w:t>
            </w:r>
          </w:p>
          <w:p w14:paraId="542C2A60">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名称</w:t>
            </w:r>
          </w:p>
        </w:tc>
        <w:tc>
          <w:tcPr>
            <w:tcW w:w="355" w:type="pct"/>
            <w:tcBorders>
              <w:top w:val="single" w:color="000000" w:sz="2" w:space="0"/>
              <w:left w:val="single" w:color="000000" w:sz="2" w:space="0"/>
              <w:bottom w:val="single" w:color="000000" w:sz="2" w:space="0"/>
              <w:right w:val="single" w:color="000000" w:sz="2" w:space="0"/>
            </w:tcBorders>
            <w:vAlign w:val="center"/>
          </w:tcPr>
          <w:p w14:paraId="177C1CF7">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17.壅水影响对象编码</w:t>
            </w:r>
          </w:p>
        </w:tc>
        <w:tc>
          <w:tcPr>
            <w:tcW w:w="354" w:type="pct"/>
            <w:tcBorders>
              <w:top w:val="single" w:color="000000" w:sz="2" w:space="0"/>
              <w:left w:val="single" w:color="000000" w:sz="2" w:space="0"/>
              <w:bottom w:val="single" w:color="000000" w:sz="2" w:space="0"/>
              <w:right w:val="single" w:color="000000" w:sz="2" w:space="0"/>
            </w:tcBorders>
            <w:vAlign w:val="center"/>
          </w:tcPr>
          <w:p w14:paraId="1643FDA0">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18.溃决影响对象名称</w:t>
            </w:r>
          </w:p>
        </w:tc>
        <w:tc>
          <w:tcPr>
            <w:tcW w:w="286" w:type="pct"/>
            <w:tcBorders>
              <w:top w:val="single" w:color="000000" w:sz="2" w:space="0"/>
              <w:left w:val="single" w:color="000000" w:sz="2" w:space="0"/>
              <w:bottom w:val="single" w:color="000000" w:sz="2" w:space="0"/>
              <w:right w:val="single" w:color="000000" w:sz="2" w:space="0"/>
            </w:tcBorders>
            <w:vAlign w:val="center"/>
          </w:tcPr>
          <w:p w14:paraId="4D96D82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19.溃决影响对象编码</w:t>
            </w:r>
          </w:p>
        </w:tc>
        <w:tc>
          <w:tcPr>
            <w:tcW w:w="245" w:type="pct"/>
            <w:tcBorders>
              <w:top w:val="single" w:color="000000" w:sz="2" w:space="0"/>
              <w:left w:val="single" w:color="000000" w:sz="2" w:space="0"/>
              <w:bottom w:val="single" w:color="000000" w:sz="2" w:space="0"/>
              <w:right w:val="single" w:color="000000" w:sz="2" w:space="0"/>
            </w:tcBorders>
            <w:vAlign w:val="center"/>
          </w:tcPr>
          <w:p w14:paraId="45238D90">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20.备注</w:t>
            </w:r>
          </w:p>
        </w:tc>
      </w:tr>
      <w:tr w14:paraId="4E4AB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53" w:type="pct"/>
            <w:vMerge w:val="restart"/>
            <w:tcBorders>
              <w:top w:val="single" w:color="auto" w:sz="4" w:space="0"/>
              <w:left w:val="single" w:color="000000" w:sz="2" w:space="0"/>
              <w:bottom w:val="nil"/>
              <w:right w:val="single" w:color="000000" w:sz="2" w:space="0"/>
            </w:tcBorders>
            <w:vAlign w:val="center"/>
          </w:tcPr>
          <w:p w14:paraId="275F02BF">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w:t>
            </w:r>
          </w:p>
        </w:tc>
        <w:tc>
          <w:tcPr>
            <w:tcW w:w="254" w:type="pct"/>
            <w:vMerge w:val="restart"/>
            <w:tcBorders>
              <w:top w:val="single" w:color="auto" w:sz="4" w:space="0"/>
              <w:left w:val="single" w:color="000000" w:sz="2" w:space="0"/>
              <w:bottom w:val="nil"/>
              <w:right w:val="single" w:color="000000" w:sz="2" w:space="0"/>
            </w:tcBorders>
            <w:vAlign w:val="center"/>
          </w:tcPr>
          <w:p w14:paraId="5EDE72AD">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vMerge w:val="restart"/>
            <w:tcBorders>
              <w:top w:val="single" w:color="auto" w:sz="4" w:space="0"/>
              <w:left w:val="single" w:color="000000" w:sz="2" w:space="0"/>
              <w:bottom w:val="nil"/>
              <w:right w:val="single" w:color="000000" w:sz="2" w:space="0"/>
            </w:tcBorders>
            <w:vAlign w:val="center"/>
          </w:tcPr>
          <w:p w14:paraId="0C8C2BC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vMerge w:val="restart"/>
            <w:tcBorders>
              <w:top w:val="single" w:color="auto" w:sz="4" w:space="0"/>
              <w:left w:val="single" w:color="000000" w:sz="2" w:space="0"/>
              <w:bottom w:val="nil"/>
              <w:right w:val="single" w:color="000000" w:sz="2" w:space="0"/>
            </w:tcBorders>
            <w:vAlign w:val="center"/>
          </w:tcPr>
          <w:p w14:paraId="7EC23CBE">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68" w:type="pct"/>
            <w:vMerge w:val="restart"/>
            <w:tcBorders>
              <w:top w:val="single" w:color="auto" w:sz="4" w:space="0"/>
              <w:left w:val="single" w:color="000000" w:sz="2" w:space="0"/>
              <w:bottom w:val="nil"/>
              <w:right w:val="single" w:color="000000" w:sz="2" w:space="0"/>
            </w:tcBorders>
            <w:vAlign w:val="center"/>
          </w:tcPr>
          <w:p w14:paraId="2082ADD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2" w:type="pct"/>
            <w:vMerge w:val="restart"/>
            <w:tcBorders>
              <w:top w:val="single" w:color="auto" w:sz="4" w:space="0"/>
              <w:left w:val="single" w:color="000000" w:sz="2" w:space="0"/>
              <w:bottom w:val="nil"/>
              <w:right w:val="single" w:color="000000" w:sz="2" w:space="0"/>
            </w:tcBorders>
            <w:vAlign w:val="center"/>
          </w:tcPr>
          <w:p w14:paraId="250D75A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vMerge w:val="restart"/>
            <w:tcBorders>
              <w:top w:val="single" w:color="auto" w:sz="4" w:space="0"/>
              <w:left w:val="single" w:color="000000" w:sz="2" w:space="0"/>
              <w:bottom w:val="nil"/>
              <w:right w:val="single" w:color="000000" w:sz="2" w:space="0"/>
            </w:tcBorders>
            <w:vAlign w:val="center"/>
          </w:tcPr>
          <w:p w14:paraId="1B954FCB">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vMerge w:val="restart"/>
            <w:tcBorders>
              <w:top w:val="single" w:color="auto" w:sz="4" w:space="0"/>
              <w:left w:val="single" w:color="000000" w:sz="2" w:space="0"/>
              <w:bottom w:val="nil"/>
              <w:right w:val="single" w:color="000000" w:sz="2" w:space="0"/>
            </w:tcBorders>
            <w:vAlign w:val="center"/>
          </w:tcPr>
          <w:p w14:paraId="6DDA9351">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vMerge w:val="restart"/>
            <w:tcBorders>
              <w:top w:val="single" w:color="auto" w:sz="4" w:space="0"/>
              <w:left w:val="single" w:color="000000" w:sz="2" w:space="0"/>
              <w:bottom w:val="nil"/>
              <w:right w:val="single" w:color="000000" w:sz="2" w:space="0"/>
            </w:tcBorders>
            <w:vAlign w:val="center"/>
          </w:tcPr>
          <w:p w14:paraId="3BA843FE">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2" w:type="pct"/>
            <w:vMerge w:val="restart"/>
            <w:tcBorders>
              <w:top w:val="single" w:color="auto" w:sz="4" w:space="0"/>
              <w:left w:val="single" w:color="000000" w:sz="2" w:space="0"/>
              <w:bottom w:val="nil"/>
              <w:right w:val="single" w:color="000000" w:sz="2" w:space="0"/>
            </w:tcBorders>
            <w:vAlign w:val="center"/>
          </w:tcPr>
          <w:p w14:paraId="5EA605A2">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vMerge w:val="restart"/>
            <w:tcBorders>
              <w:top w:val="single" w:color="auto" w:sz="4" w:space="0"/>
              <w:left w:val="single" w:color="000000" w:sz="2" w:space="0"/>
              <w:bottom w:val="nil"/>
              <w:right w:val="single" w:color="000000" w:sz="2" w:space="0"/>
            </w:tcBorders>
            <w:vAlign w:val="center"/>
          </w:tcPr>
          <w:p w14:paraId="20B0368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vMerge w:val="restart"/>
            <w:tcBorders>
              <w:top w:val="single" w:color="auto" w:sz="4" w:space="0"/>
              <w:left w:val="single" w:color="000000" w:sz="2" w:space="0"/>
              <w:bottom w:val="nil"/>
              <w:right w:val="single" w:color="000000" w:sz="2" w:space="0"/>
            </w:tcBorders>
            <w:vAlign w:val="center"/>
          </w:tcPr>
          <w:p w14:paraId="257C115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auto" w:sz="4" w:space="0"/>
              <w:left w:val="single" w:color="000000" w:sz="2" w:space="0"/>
              <w:bottom w:val="single" w:color="000000" w:sz="2" w:space="0"/>
              <w:right w:val="single" w:color="000000" w:sz="2" w:space="0"/>
            </w:tcBorders>
            <w:vAlign w:val="center"/>
          </w:tcPr>
          <w:p w14:paraId="792F1947">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5" w:type="pct"/>
            <w:tcBorders>
              <w:top w:val="single" w:color="000000" w:sz="2" w:space="0"/>
              <w:left w:val="single" w:color="000000" w:sz="2" w:space="0"/>
              <w:bottom w:val="single" w:color="000000" w:sz="2" w:space="0"/>
              <w:right w:val="single" w:color="000000" w:sz="2" w:space="0"/>
            </w:tcBorders>
            <w:vAlign w:val="center"/>
          </w:tcPr>
          <w:p w14:paraId="4908DEDC">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000000" w:sz="2" w:space="0"/>
              <w:right w:val="single" w:color="000000" w:sz="2" w:space="0"/>
            </w:tcBorders>
            <w:vAlign w:val="center"/>
          </w:tcPr>
          <w:p w14:paraId="618EB3D4">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86" w:type="pct"/>
            <w:tcBorders>
              <w:top w:val="single" w:color="000000" w:sz="2" w:space="0"/>
              <w:left w:val="single" w:color="000000" w:sz="2" w:space="0"/>
              <w:bottom w:val="single" w:color="000000" w:sz="2" w:space="0"/>
              <w:right w:val="single" w:color="000000" w:sz="2" w:space="0"/>
            </w:tcBorders>
            <w:vAlign w:val="center"/>
          </w:tcPr>
          <w:p w14:paraId="2EAC15F4">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5" w:type="pct"/>
            <w:vMerge w:val="restart"/>
            <w:tcBorders>
              <w:top w:val="nil"/>
              <w:left w:val="single" w:color="000000" w:sz="2" w:space="0"/>
              <w:bottom w:val="nil"/>
              <w:right w:val="single" w:color="000000" w:sz="2" w:space="0"/>
            </w:tcBorders>
            <w:vAlign w:val="center"/>
          </w:tcPr>
          <w:p w14:paraId="0552A138">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6E8FF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53" w:type="pct"/>
            <w:vMerge w:val="continue"/>
            <w:tcBorders>
              <w:top w:val="nil"/>
              <w:left w:val="single" w:color="000000" w:sz="2" w:space="0"/>
              <w:bottom w:val="single" w:color="auto" w:sz="4" w:space="0"/>
              <w:right w:val="single" w:color="000000" w:sz="2" w:space="0"/>
            </w:tcBorders>
            <w:vAlign w:val="center"/>
          </w:tcPr>
          <w:p w14:paraId="4CAE5380">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vMerge w:val="continue"/>
            <w:tcBorders>
              <w:top w:val="nil"/>
              <w:left w:val="single" w:color="000000" w:sz="2" w:space="0"/>
              <w:bottom w:val="single" w:color="auto" w:sz="4" w:space="0"/>
              <w:right w:val="single" w:color="000000" w:sz="2" w:space="0"/>
            </w:tcBorders>
            <w:vAlign w:val="center"/>
          </w:tcPr>
          <w:p w14:paraId="12E0EF5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vMerge w:val="continue"/>
            <w:tcBorders>
              <w:top w:val="nil"/>
              <w:left w:val="single" w:color="000000" w:sz="2" w:space="0"/>
              <w:bottom w:val="single" w:color="auto" w:sz="4" w:space="0"/>
              <w:right w:val="single" w:color="000000" w:sz="2" w:space="0"/>
            </w:tcBorders>
            <w:vAlign w:val="center"/>
          </w:tcPr>
          <w:p w14:paraId="5D9F50E3">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vMerge w:val="continue"/>
            <w:tcBorders>
              <w:top w:val="nil"/>
              <w:left w:val="single" w:color="000000" w:sz="2" w:space="0"/>
              <w:bottom w:val="single" w:color="auto" w:sz="4" w:space="0"/>
              <w:right w:val="single" w:color="000000" w:sz="2" w:space="0"/>
            </w:tcBorders>
            <w:vAlign w:val="center"/>
          </w:tcPr>
          <w:p w14:paraId="2C2BB091">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68" w:type="pct"/>
            <w:vMerge w:val="continue"/>
            <w:tcBorders>
              <w:top w:val="nil"/>
              <w:left w:val="single" w:color="000000" w:sz="2" w:space="0"/>
              <w:bottom w:val="single" w:color="auto" w:sz="4" w:space="0"/>
              <w:right w:val="single" w:color="000000" w:sz="2" w:space="0"/>
            </w:tcBorders>
            <w:vAlign w:val="center"/>
          </w:tcPr>
          <w:p w14:paraId="446567B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2" w:type="pct"/>
            <w:vMerge w:val="continue"/>
            <w:tcBorders>
              <w:top w:val="nil"/>
              <w:left w:val="single" w:color="000000" w:sz="2" w:space="0"/>
              <w:bottom w:val="single" w:color="auto" w:sz="4" w:space="0"/>
              <w:right w:val="single" w:color="000000" w:sz="2" w:space="0"/>
            </w:tcBorders>
            <w:vAlign w:val="center"/>
          </w:tcPr>
          <w:p w14:paraId="6EE165C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vMerge w:val="continue"/>
            <w:tcBorders>
              <w:top w:val="nil"/>
              <w:left w:val="single" w:color="000000" w:sz="2" w:space="0"/>
              <w:bottom w:val="single" w:color="auto" w:sz="4" w:space="0"/>
              <w:right w:val="single" w:color="000000" w:sz="2" w:space="0"/>
            </w:tcBorders>
            <w:vAlign w:val="center"/>
          </w:tcPr>
          <w:p w14:paraId="4A78BF78">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vMerge w:val="continue"/>
            <w:tcBorders>
              <w:top w:val="nil"/>
              <w:left w:val="single" w:color="000000" w:sz="2" w:space="0"/>
              <w:bottom w:val="single" w:color="auto" w:sz="4" w:space="0"/>
              <w:right w:val="single" w:color="000000" w:sz="2" w:space="0"/>
            </w:tcBorders>
            <w:vAlign w:val="center"/>
          </w:tcPr>
          <w:p w14:paraId="4AF46D6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vMerge w:val="continue"/>
            <w:tcBorders>
              <w:top w:val="nil"/>
              <w:left w:val="single" w:color="000000" w:sz="2" w:space="0"/>
              <w:bottom w:val="single" w:color="auto" w:sz="4" w:space="0"/>
              <w:right w:val="single" w:color="000000" w:sz="2" w:space="0"/>
            </w:tcBorders>
            <w:vAlign w:val="center"/>
          </w:tcPr>
          <w:p w14:paraId="1061D81E">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2" w:type="pct"/>
            <w:vMerge w:val="continue"/>
            <w:tcBorders>
              <w:top w:val="nil"/>
              <w:left w:val="single" w:color="000000" w:sz="2" w:space="0"/>
              <w:bottom w:val="single" w:color="auto" w:sz="4" w:space="0"/>
              <w:right w:val="single" w:color="000000" w:sz="2" w:space="0"/>
            </w:tcBorders>
            <w:vAlign w:val="center"/>
          </w:tcPr>
          <w:p w14:paraId="6C256541">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vMerge w:val="continue"/>
            <w:tcBorders>
              <w:top w:val="nil"/>
              <w:left w:val="single" w:color="000000" w:sz="2" w:space="0"/>
              <w:bottom w:val="single" w:color="auto" w:sz="4" w:space="0"/>
              <w:right w:val="single" w:color="000000" w:sz="2" w:space="0"/>
            </w:tcBorders>
            <w:vAlign w:val="center"/>
          </w:tcPr>
          <w:p w14:paraId="72A823E1">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vMerge w:val="continue"/>
            <w:tcBorders>
              <w:top w:val="nil"/>
              <w:left w:val="single" w:color="000000" w:sz="2" w:space="0"/>
              <w:bottom w:val="single" w:color="auto" w:sz="4" w:space="0"/>
              <w:right w:val="single" w:color="000000" w:sz="2" w:space="0"/>
            </w:tcBorders>
            <w:vAlign w:val="center"/>
          </w:tcPr>
          <w:p w14:paraId="3906D961">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auto" w:sz="4" w:space="0"/>
              <w:right w:val="single" w:color="000000" w:sz="2" w:space="0"/>
            </w:tcBorders>
            <w:vAlign w:val="center"/>
          </w:tcPr>
          <w:p w14:paraId="793E0943">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355" w:type="pct"/>
            <w:tcBorders>
              <w:top w:val="single" w:color="000000" w:sz="2" w:space="0"/>
              <w:left w:val="single" w:color="000000" w:sz="2" w:space="0"/>
              <w:bottom w:val="single" w:color="000000" w:sz="2" w:space="0"/>
              <w:right w:val="single" w:color="000000" w:sz="2" w:space="0"/>
            </w:tcBorders>
            <w:vAlign w:val="center"/>
          </w:tcPr>
          <w:p w14:paraId="462468F8">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000000" w:sz="2" w:space="0"/>
              <w:right w:val="single" w:color="000000" w:sz="2" w:space="0"/>
            </w:tcBorders>
            <w:vAlign w:val="center"/>
          </w:tcPr>
          <w:p w14:paraId="61C1176D">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86" w:type="pct"/>
            <w:tcBorders>
              <w:top w:val="single" w:color="000000" w:sz="2" w:space="0"/>
              <w:left w:val="single" w:color="000000" w:sz="2" w:space="0"/>
              <w:bottom w:val="single" w:color="000000" w:sz="2" w:space="0"/>
              <w:right w:val="single" w:color="000000" w:sz="2" w:space="0"/>
            </w:tcBorders>
            <w:vAlign w:val="center"/>
          </w:tcPr>
          <w:p w14:paraId="243F7A21">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5" w:type="pct"/>
            <w:vMerge w:val="continue"/>
            <w:tcBorders>
              <w:top w:val="nil"/>
              <w:left w:val="single" w:color="000000" w:sz="2" w:space="0"/>
              <w:bottom w:val="nil"/>
              <w:right w:val="single" w:color="000000" w:sz="2" w:space="0"/>
            </w:tcBorders>
            <w:vAlign w:val="center"/>
          </w:tcPr>
          <w:p w14:paraId="348F7400">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2B705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253" w:type="pct"/>
            <w:tcBorders>
              <w:top w:val="single" w:color="auto" w:sz="4" w:space="0"/>
              <w:left w:val="single" w:color="000000" w:sz="2" w:space="0"/>
              <w:bottom w:val="single" w:color="000000" w:sz="2" w:space="0"/>
              <w:right w:val="single" w:color="000000" w:sz="2" w:space="0"/>
            </w:tcBorders>
            <w:vAlign w:val="center"/>
          </w:tcPr>
          <w:p w14:paraId="77241E6C">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w:t>
            </w:r>
          </w:p>
        </w:tc>
        <w:tc>
          <w:tcPr>
            <w:tcW w:w="254" w:type="pct"/>
            <w:tcBorders>
              <w:top w:val="single" w:color="auto" w:sz="4" w:space="0"/>
              <w:left w:val="single" w:color="000000" w:sz="2" w:space="0"/>
              <w:bottom w:val="single" w:color="000000" w:sz="2" w:space="0"/>
              <w:right w:val="single" w:color="000000" w:sz="2" w:space="0"/>
            </w:tcBorders>
            <w:vAlign w:val="center"/>
          </w:tcPr>
          <w:p w14:paraId="4A5868C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auto" w:sz="4" w:space="0"/>
              <w:left w:val="single" w:color="000000" w:sz="2" w:space="0"/>
              <w:bottom w:val="single" w:color="000000" w:sz="2" w:space="0"/>
              <w:right w:val="single" w:color="000000" w:sz="2" w:space="0"/>
            </w:tcBorders>
            <w:vAlign w:val="center"/>
          </w:tcPr>
          <w:p w14:paraId="6E67B898">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tcBorders>
              <w:top w:val="single" w:color="auto" w:sz="4" w:space="0"/>
              <w:left w:val="single" w:color="000000" w:sz="2" w:space="0"/>
              <w:bottom w:val="single" w:color="000000" w:sz="2" w:space="0"/>
              <w:right w:val="single" w:color="000000" w:sz="2" w:space="0"/>
            </w:tcBorders>
            <w:vAlign w:val="center"/>
          </w:tcPr>
          <w:p w14:paraId="0375195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68" w:type="pct"/>
            <w:tcBorders>
              <w:top w:val="single" w:color="auto" w:sz="4" w:space="0"/>
              <w:left w:val="single" w:color="000000" w:sz="2" w:space="0"/>
              <w:bottom w:val="single" w:color="000000" w:sz="2" w:space="0"/>
              <w:right w:val="single" w:color="000000" w:sz="2" w:space="0"/>
            </w:tcBorders>
            <w:vAlign w:val="center"/>
          </w:tcPr>
          <w:p w14:paraId="64C0D15D">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2" w:type="pct"/>
            <w:tcBorders>
              <w:top w:val="single" w:color="auto" w:sz="4" w:space="0"/>
              <w:left w:val="single" w:color="000000" w:sz="2" w:space="0"/>
              <w:bottom w:val="single" w:color="000000" w:sz="2" w:space="0"/>
              <w:right w:val="single" w:color="000000" w:sz="2" w:space="0"/>
            </w:tcBorders>
            <w:vAlign w:val="center"/>
          </w:tcPr>
          <w:p w14:paraId="73F77E61">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auto" w:sz="4" w:space="0"/>
              <w:left w:val="single" w:color="000000" w:sz="2" w:space="0"/>
              <w:bottom w:val="single" w:color="000000" w:sz="2" w:space="0"/>
              <w:right w:val="single" w:color="000000" w:sz="2" w:space="0"/>
            </w:tcBorders>
            <w:vAlign w:val="center"/>
          </w:tcPr>
          <w:p w14:paraId="5785C6A7">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auto" w:sz="4" w:space="0"/>
              <w:left w:val="single" w:color="000000" w:sz="2" w:space="0"/>
              <w:bottom w:val="single" w:color="000000" w:sz="2" w:space="0"/>
              <w:right w:val="single" w:color="000000" w:sz="2" w:space="0"/>
            </w:tcBorders>
            <w:vAlign w:val="center"/>
          </w:tcPr>
          <w:p w14:paraId="4466D2B1">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tcBorders>
              <w:top w:val="single" w:color="auto" w:sz="4" w:space="0"/>
              <w:left w:val="single" w:color="000000" w:sz="2" w:space="0"/>
              <w:bottom w:val="single" w:color="000000" w:sz="2" w:space="0"/>
              <w:right w:val="single" w:color="000000" w:sz="2" w:space="0"/>
            </w:tcBorders>
            <w:vAlign w:val="center"/>
          </w:tcPr>
          <w:p w14:paraId="34F2A59C">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2" w:type="pct"/>
            <w:tcBorders>
              <w:top w:val="single" w:color="auto" w:sz="4" w:space="0"/>
              <w:left w:val="single" w:color="000000" w:sz="2" w:space="0"/>
              <w:bottom w:val="single" w:color="000000" w:sz="2" w:space="0"/>
              <w:right w:val="single" w:color="000000" w:sz="2" w:space="0"/>
            </w:tcBorders>
            <w:vAlign w:val="center"/>
          </w:tcPr>
          <w:p w14:paraId="5984CCDF">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tcBorders>
              <w:top w:val="single" w:color="auto" w:sz="4" w:space="0"/>
              <w:left w:val="single" w:color="000000" w:sz="2" w:space="0"/>
              <w:bottom w:val="single" w:color="000000" w:sz="2" w:space="0"/>
              <w:right w:val="single" w:color="000000" w:sz="2" w:space="0"/>
            </w:tcBorders>
            <w:vAlign w:val="center"/>
          </w:tcPr>
          <w:p w14:paraId="33B9F013">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tcBorders>
              <w:top w:val="single" w:color="auto" w:sz="4" w:space="0"/>
              <w:left w:val="single" w:color="000000" w:sz="2" w:space="0"/>
              <w:bottom w:val="single" w:color="000000" w:sz="2" w:space="0"/>
              <w:right w:val="single" w:color="000000" w:sz="2" w:space="0"/>
            </w:tcBorders>
            <w:vAlign w:val="center"/>
          </w:tcPr>
          <w:p w14:paraId="592FAD9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auto" w:sz="4" w:space="0"/>
              <w:left w:val="single" w:color="000000" w:sz="2" w:space="0"/>
              <w:bottom w:val="single" w:color="000000" w:sz="2" w:space="0"/>
              <w:right w:val="single" w:color="000000" w:sz="2" w:space="0"/>
            </w:tcBorders>
            <w:vAlign w:val="center"/>
          </w:tcPr>
          <w:p w14:paraId="357905EF">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5" w:type="pct"/>
            <w:tcBorders>
              <w:top w:val="single" w:color="000000" w:sz="2" w:space="0"/>
              <w:left w:val="single" w:color="000000" w:sz="2" w:space="0"/>
              <w:bottom w:val="single" w:color="000000" w:sz="2" w:space="0"/>
              <w:right w:val="single" w:color="000000" w:sz="2" w:space="0"/>
            </w:tcBorders>
            <w:vAlign w:val="center"/>
          </w:tcPr>
          <w:p w14:paraId="5C3A729F">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000000" w:sz="2" w:space="0"/>
              <w:right w:val="single" w:color="000000" w:sz="2" w:space="0"/>
            </w:tcBorders>
            <w:vAlign w:val="center"/>
          </w:tcPr>
          <w:p w14:paraId="7EB7D85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86" w:type="pct"/>
            <w:tcBorders>
              <w:top w:val="single" w:color="000000" w:sz="2" w:space="0"/>
              <w:left w:val="single" w:color="000000" w:sz="2" w:space="0"/>
              <w:bottom w:val="single" w:color="000000" w:sz="2" w:space="0"/>
              <w:right w:val="single" w:color="000000" w:sz="2" w:space="0"/>
            </w:tcBorders>
            <w:vAlign w:val="center"/>
          </w:tcPr>
          <w:p w14:paraId="51D24E58">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5" w:type="pct"/>
            <w:tcBorders>
              <w:top w:val="single" w:color="000000" w:sz="2" w:space="0"/>
              <w:left w:val="single" w:color="000000" w:sz="2" w:space="0"/>
              <w:bottom w:val="single" w:color="000000" w:sz="2" w:space="0"/>
              <w:right w:val="single" w:color="000000" w:sz="2" w:space="0"/>
            </w:tcBorders>
            <w:vAlign w:val="center"/>
          </w:tcPr>
          <w:p w14:paraId="4B16A428">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5C4505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253" w:type="pct"/>
            <w:tcBorders>
              <w:top w:val="single" w:color="000000" w:sz="2" w:space="0"/>
              <w:left w:val="single" w:color="000000" w:sz="2" w:space="0"/>
              <w:bottom w:val="single" w:color="000000" w:sz="2" w:space="0"/>
              <w:right w:val="single" w:color="000000" w:sz="2" w:space="0"/>
            </w:tcBorders>
            <w:vAlign w:val="center"/>
          </w:tcPr>
          <w:p w14:paraId="27E5656E">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3</w:t>
            </w:r>
          </w:p>
        </w:tc>
        <w:tc>
          <w:tcPr>
            <w:tcW w:w="254" w:type="pct"/>
            <w:tcBorders>
              <w:top w:val="single" w:color="000000" w:sz="2" w:space="0"/>
              <w:left w:val="single" w:color="000000" w:sz="2" w:space="0"/>
              <w:bottom w:val="single" w:color="000000" w:sz="2" w:space="0"/>
              <w:right w:val="single" w:color="000000" w:sz="2" w:space="0"/>
            </w:tcBorders>
            <w:vAlign w:val="center"/>
          </w:tcPr>
          <w:p w14:paraId="0CC8B542">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000000" w:sz="2" w:space="0"/>
              <w:left w:val="single" w:color="000000" w:sz="2" w:space="0"/>
              <w:bottom w:val="single" w:color="000000" w:sz="2" w:space="0"/>
              <w:right w:val="single" w:color="000000" w:sz="2" w:space="0"/>
            </w:tcBorders>
            <w:vAlign w:val="center"/>
          </w:tcPr>
          <w:p w14:paraId="07D256A2">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tcBorders>
              <w:top w:val="single" w:color="000000" w:sz="2" w:space="0"/>
              <w:left w:val="single" w:color="000000" w:sz="2" w:space="0"/>
              <w:bottom w:val="single" w:color="000000" w:sz="2" w:space="0"/>
              <w:right w:val="single" w:color="000000" w:sz="2" w:space="0"/>
            </w:tcBorders>
            <w:vAlign w:val="center"/>
          </w:tcPr>
          <w:p w14:paraId="032E51F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68" w:type="pct"/>
            <w:tcBorders>
              <w:top w:val="single" w:color="000000" w:sz="2" w:space="0"/>
              <w:left w:val="single" w:color="000000" w:sz="2" w:space="0"/>
              <w:bottom w:val="single" w:color="000000" w:sz="2" w:space="0"/>
              <w:right w:val="single" w:color="000000" w:sz="2" w:space="0"/>
            </w:tcBorders>
            <w:vAlign w:val="center"/>
          </w:tcPr>
          <w:p w14:paraId="4992FB1F">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2" w:type="pct"/>
            <w:tcBorders>
              <w:top w:val="single" w:color="000000" w:sz="2" w:space="0"/>
              <w:left w:val="single" w:color="000000" w:sz="2" w:space="0"/>
              <w:bottom w:val="single" w:color="000000" w:sz="2" w:space="0"/>
              <w:right w:val="single" w:color="000000" w:sz="2" w:space="0"/>
            </w:tcBorders>
            <w:vAlign w:val="center"/>
          </w:tcPr>
          <w:p w14:paraId="48ED02D4">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000000" w:sz="2" w:space="0"/>
              <w:left w:val="single" w:color="000000" w:sz="2" w:space="0"/>
              <w:bottom w:val="single" w:color="000000" w:sz="2" w:space="0"/>
              <w:right w:val="single" w:color="000000" w:sz="2" w:space="0"/>
            </w:tcBorders>
            <w:vAlign w:val="center"/>
          </w:tcPr>
          <w:p w14:paraId="5206A874">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000000" w:sz="2" w:space="0"/>
              <w:left w:val="single" w:color="000000" w:sz="2" w:space="0"/>
              <w:bottom w:val="single" w:color="000000" w:sz="2" w:space="0"/>
              <w:right w:val="single" w:color="000000" w:sz="2" w:space="0"/>
            </w:tcBorders>
            <w:vAlign w:val="center"/>
          </w:tcPr>
          <w:p w14:paraId="78C53D4E">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tcBorders>
              <w:top w:val="single" w:color="000000" w:sz="2" w:space="0"/>
              <w:left w:val="single" w:color="000000" w:sz="2" w:space="0"/>
              <w:bottom w:val="single" w:color="000000" w:sz="2" w:space="0"/>
              <w:right w:val="single" w:color="000000" w:sz="2" w:space="0"/>
            </w:tcBorders>
            <w:vAlign w:val="center"/>
          </w:tcPr>
          <w:p w14:paraId="797B5607">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2" w:type="pct"/>
            <w:tcBorders>
              <w:top w:val="single" w:color="000000" w:sz="2" w:space="0"/>
              <w:left w:val="single" w:color="000000" w:sz="2" w:space="0"/>
              <w:bottom w:val="single" w:color="000000" w:sz="2" w:space="0"/>
              <w:right w:val="single" w:color="000000" w:sz="2" w:space="0"/>
            </w:tcBorders>
            <w:vAlign w:val="center"/>
          </w:tcPr>
          <w:p w14:paraId="257396C3">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tcBorders>
              <w:top w:val="single" w:color="000000" w:sz="2" w:space="0"/>
              <w:left w:val="single" w:color="000000" w:sz="2" w:space="0"/>
              <w:bottom w:val="single" w:color="000000" w:sz="2" w:space="0"/>
              <w:right w:val="single" w:color="000000" w:sz="2" w:space="0"/>
            </w:tcBorders>
            <w:vAlign w:val="center"/>
          </w:tcPr>
          <w:p w14:paraId="36F73169">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tcBorders>
              <w:top w:val="single" w:color="000000" w:sz="2" w:space="0"/>
              <w:left w:val="single" w:color="000000" w:sz="2" w:space="0"/>
              <w:bottom w:val="single" w:color="000000" w:sz="2" w:space="0"/>
              <w:right w:val="single" w:color="000000" w:sz="2" w:space="0"/>
            </w:tcBorders>
            <w:vAlign w:val="center"/>
          </w:tcPr>
          <w:p w14:paraId="049B3240">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000000" w:sz="2" w:space="0"/>
              <w:right w:val="single" w:color="000000" w:sz="2" w:space="0"/>
            </w:tcBorders>
            <w:vAlign w:val="center"/>
          </w:tcPr>
          <w:p w14:paraId="52B9CD3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5" w:type="pct"/>
            <w:tcBorders>
              <w:top w:val="single" w:color="000000" w:sz="2" w:space="0"/>
              <w:left w:val="single" w:color="000000" w:sz="2" w:space="0"/>
              <w:bottom w:val="single" w:color="000000" w:sz="2" w:space="0"/>
              <w:right w:val="single" w:color="000000" w:sz="2" w:space="0"/>
            </w:tcBorders>
            <w:vAlign w:val="center"/>
          </w:tcPr>
          <w:p w14:paraId="4FC9A94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000000" w:sz="2" w:space="0"/>
              <w:right w:val="single" w:color="000000" w:sz="2" w:space="0"/>
            </w:tcBorders>
            <w:vAlign w:val="center"/>
          </w:tcPr>
          <w:p w14:paraId="5C299740">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86" w:type="pct"/>
            <w:tcBorders>
              <w:top w:val="single" w:color="000000" w:sz="2" w:space="0"/>
              <w:left w:val="single" w:color="000000" w:sz="2" w:space="0"/>
              <w:bottom w:val="single" w:color="000000" w:sz="2" w:space="0"/>
              <w:right w:val="single" w:color="000000" w:sz="2" w:space="0"/>
            </w:tcBorders>
            <w:vAlign w:val="center"/>
          </w:tcPr>
          <w:p w14:paraId="36B70F85">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5" w:type="pct"/>
            <w:tcBorders>
              <w:top w:val="single" w:color="000000" w:sz="2" w:space="0"/>
              <w:left w:val="single" w:color="000000" w:sz="2" w:space="0"/>
              <w:bottom w:val="single" w:color="000000" w:sz="2" w:space="0"/>
              <w:right w:val="single" w:color="000000" w:sz="2" w:space="0"/>
            </w:tcBorders>
            <w:vAlign w:val="center"/>
          </w:tcPr>
          <w:p w14:paraId="69F13FA2">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2D031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253" w:type="pct"/>
            <w:tcBorders>
              <w:top w:val="single" w:color="000000" w:sz="2" w:space="0"/>
              <w:left w:val="single" w:color="000000" w:sz="2" w:space="0"/>
              <w:bottom w:val="single" w:color="000000" w:sz="2" w:space="0"/>
              <w:right w:val="single" w:color="000000" w:sz="2" w:space="0"/>
            </w:tcBorders>
            <w:vAlign w:val="center"/>
          </w:tcPr>
          <w:p w14:paraId="455D396E">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254" w:type="pct"/>
            <w:tcBorders>
              <w:top w:val="single" w:color="000000" w:sz="2" w:space="0"/>
              <w:left w:val="single" w:color="000000" w:sz="2" w:space="0"/>
              <w:bottom w:val="single" w:color="000000" w:sz="2" w:space="0"/>
              <w:right w:val="single" w:color="000000" w:sz="2" w:space="0"/>
            </w:tcBorders>
            <w:vAlign w:val="center"/>
          </w:tcPr>
          <w:p w14:paraId="5EFEB4EC">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000000" w:sz="2" w:space="0"/>
              <w:left w:val="single" w:color="000000" w:sz="2" w:space="0"/>
              <w:bottom w:val="single" w:color="000000" w:sz="2" w:space="0"/>
              <w:right w:val="single" w:color="000000" w:sz="2" w:space="0"/>
            </w:tcBorders>
            <w:vAlign w:val="center"/>
          </w:tcPr>
          <w:p w14:paraId="46AC3A7D">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tcBorders>
              <w:top w:val="single" w:color="000000" w:sz="2" w:space="0"/>
              <w:left w:val="single" w:color="000000" w:sz="2" w:space="0"/>
              <w:bottom w:val="single" w:color="000000" w:sz="2" w:space="0"/>
              <w:right w:val="single" w:color="000000" w:sz="2" w:space="0"/>
            </w:tcBorders>
            <w:vAlign w:val="center"/>
          </w:tcPr>
          <w:p w14:paraId="33C44B80">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68" w:type="pct"/>
            <w:tcBorders>
              <w:top w:val="single" w:color="000000" w:sz="2" w:space="0"/>
              <w:left w:val="single" w:color="000000" w:sz="2" w:space="0"/>
              <w:bottom w:val="single" w:color="000000" w:sz="2" w:space="0"/>
              <w:right w:val="single" w:color="000000" w:sz="2" w:space="0"/>
            </w:tcBorders>
            <w:vAlign w:val="center"/>
          </w:tcPr>
          <w:p w14:paraId="608AB5E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2" w:type="pct"/>
            <w:tcBorders>
              <w:top w:val="single" w:color="000000" w:sz="2" w:space="0"/>
              <w:left w:val="single" w:color="000000" w:sz="2" w:space="0"/>
              <w:bottom w:val="single" w:color="000000" w:sz="2" w:space="0"/>
              <w:right w:val="single" w:color="000000" w:sz="2" w:space="0"/>
            </w:tcBorders>
            <w:vAlign w:val="center"/>
          </w:tcPr>
          <w:p w14:paraId="66CED33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000000" w:sz="2" w:space="0"/>
              <w:left w:val="single" w:color="000000" w:sz="2" w:space="0"/>
              <w:bottom w:val="single" w:color="000000" w:sz="2" w:space="0"/>
              <w:right w:val="single" w:color="000000" w:sz="2" w:space="0"/>
            </w:tcBorders>
            <w:vAlign w:val="center"/>
          </w:tcPr>
          <w:p w14:paraId="6453879D">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5" w:type="pct"/>
            <w:tcBorders>
              <w:top w:val="single" w:color="000000" w:sz="2" w:space="0"/>
              <w:left w:val="single" w:color="000000" w:sz="2" w:space="0"/>
              <w:bottom w:val="single" w:color="000000" w:sz="2" w:space="0"/>
              <w:right w:val="single" w:color="000000" w:sz="2" w:space="0"/>
            </w:tcBorders>
            <w:vAlign w:val="center"/>
          </w:tcPr>
          <w:p w14:paraId="142D0320">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tcBorders>
              <w:top w:val="single" w:color="000000" w:sz="2" w:space="0"/>
              <w:left w:val="single" w:color="000000" w:sz="2" w:space="0"/>
              <w:bottom w:val="single" w:color="000000" w:sz="2" w:space="0"/>
              <w:right w:val="single" w:color="000000" w:sz="2" w:space="0"/>
            </w:tcBorders>
            <w:vAlign w:val="center"/>
          </w:tcPr>
          <w:p w14:paraId="3BD4A29B">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2" w:type="pct"/>
            <w:tcBorders>
              <w:top w:val="single" w:color="000000" w:sz="2" w:space="0"/>
              <w:left w:val="single" w:color="000000" w:sz="2" w:space="0"/>
              <w:bottom w:val="single" w:color="000000" w:sz="2" w:space="0"/>
              <w:right w:val="single" w:color="000000" w:sz="2" w:space="0"/>
            </w:tcBorders>
            <w:vAlign w:val="center"/>
          </w:tcPr>
          <w:p w14:paraId="5ADE9B43">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 w:type="pct"/>
            <w:tcBorders>
              <w:top w:val="single" w:color="000000" w:sz="2" w:space="0"/>
              <w:left w:val="single" w:color="000000" w:sz="2" w:space="0"/>
              <w:bottom w:val="single" w:color="000000" w:sz="2" w:space="0"/>
              <w:right w:val="single" w:color="000000" w:sz="2" w:space="0"/>
            </w:tcBorders>
            <w:vAlign w:val="center"/>
          </w:tcPr>
          <w:p w14:paraId="0BC7699F">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54" w:type="pct"/>
            <w:tcBorders>
              <w:top w:val="single" w:color="000000" w:sz="2" w:space="0"/>
              <w:left w:val="single" w:color="000000" w:sz="2" w:space="0"/>
              <w:bottom w:val="single" w:color="000000" w:sz="2" w:space="0"/>
              <w:right w:val="single" w:color="000000" w:sz="2" w:space="0"/>
            </w:tcBorders>
            <w:vAlign w:val="center"/>
          </w:tcPr>
          <w:p w14:paraId="74C846E7">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000000" w:sz="2" w:space="0"/>
              <w:right w:val="single" w:color="000000" w:sz="2" w:space="0"/>
            </w:tcBorders>
            <w:vAlign w:val="center"/>
          </w:tcPr>
          <w:p w14:paraId="4E923634">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5" w:type="pct"/>
            <w:tcBorders>
              <w:top w:val="single" w:color="000000" w:sz="2" w:space="0"/>
              <w:left w:val="single" w:color="000000" w:sz="2" w:space="0"/>
              <w:bottom w:val="single" w:color="000000" w:sz="2" w:space="0"/>
              <w:right w:val="single" w:color="000000" w:sz="2" w:space="0"/>
            </w:tcBorders>
            <w:vAlign w:val="center"/>
          </w:tcPr>
          <w:p w14:paraId="25744F8D">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54" w:type="pct"/>
            <w:tcBorders>
              <w:top w:val="single" w:color="000000" w:sz="2" w:space="0"/>
              <w:left w:val="single" w:color="000000" w:sz="2" w:space="0"/>
              <w:bottom w:val="single" w:color="000000" w:sz="2" w:space="0"/>
              <w:right w:val="single" w:color="000000" w:sz="2" w:space="0"/>
            </w:tcBorders>
            <w:vAlign w:val="center"/>
          </w:tcPr>
          <w:p w14:paraId="7BF733DC">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86" w:type="pct"/>
            <w:tcBorders>
              <w:top w:val="single" w:color="000000" w:sz="2" w:space="0"/>
              <w:left w:val="single" w:color="000000" w:sz="2" w:space="0"/>
              <w:bottom w:val="single" w:color="000000" w:sz="2" w:space="0"/>
              <w:right w:val="single" w:color="000000" w:sz="2" w:space="0"/>
            </w:tcBorders>
            <w:vAlign w:val="center"/>
          </w:tcPr>
          <w:p w14:paraId="7FCC3AD4">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5" w:type="pct"/>
            <w:tcBorders>
              <w:top w:val="single" w:color="000000" w:sz="2" w:space="0"/>
              <w:left w:val="single" w:color="000000" w:sz="2" w:space="0"/>
              <w:bottom w:val="single" w:color="000000" w:sz="2" w:space="0"/>
              <w:right w:val="single" w:color="000000" w:sz="2" w:space="0"/>
            </w:tcBorders>
            <w:vAlign w:val="center"/>
          </w:tcPr>
          <w:p w14:paraId="381EC78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bl>
    <w:p w14:paraId="1999C6A2">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填表说明：</w:t>
      </w:r>
    </w:p>
    <w:p w14:paraId="6FE2B24A">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1.县（区、市、旗）名称：填写防治对象所在县（区、市、旗）的名称，字符型（20）；</w:t>
      </w:r>
    </w:p>
    <w:p w14:paraId="11EC249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2.县（区、市、旗）代码：填写防治对象所在县（区、市、旗）的代码，字符型（6）；</w:t>
      </w:r>
    </w:p>
    <w:p w14:paraId="0E0FFA5A">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3.乡镇名称：填写防治对象所在乡镇的名称，字符型（20）；</w:t>
      </w:r>
    </w:p>
    <w:p w14:paraId="4374CEA2">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4.乡镇代码：填写防治对象所在乡镇的代码，字符型（9）；</w:t>
      </w:r>
    </w:p>
    <w:p w14:paraId="7808027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5.名称：填写跨沟道路、桥涵名称，按《山洪灾害调查与评价技术规范》（SL 767-2018）要求填写；</w:t>
      </w:r>
    </w:p>
    <w:p w14:paraId="76532916">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6.编号：按“县级行政代码+河流代码+编号”填写，“编号”为A0001，A0002，ⅆⅆ，从下游向上游</w:t>
      </w:r>
      <w:r>
        <w:rPr>
          <w:rFonts w:hint="eastAsia" w:ascii="仿宋" w:hAnsi="仿宋" w:eastAsia="仿宋" w:cs="仿宋"/>
          <w:color w:val="000000" w:themeColor="text1"/>
          <w:sz w:val="24"/>
          <w:szCs w:val="24"/>
          <w:lang w:eastAsia="zh-CN"/>
          <w14:textFill>
            <w14:solidFill>
              <w14:schemeClr w14:val="tx1"/>
            </w14:solidFill>
          </w14:textFill>
        </w:rPr>
        <w:t>计数</w:t>
      </w:r>
      <w:r>
        <w:rPr>
          <w:rFonts w:hint="eastAsia" w:ascii="仿宋" w:hAnsi="仿宋" w:eastAsia="仿宋" w:cs="仿宋"/>
          <w:color w:val="000000" w:themeColor="text1"/>
          <w:sz w:val="24"/>
          <w:szCs w:val="24"/>
          <w14:textFill>
            <w14:solidFill>
              <w14:schemeClr w14:val="tx1"/>
            </w14:solidFill>
          </w14:textFill>
        </w:rPr>
        <w:t>，系统自动生成；</w:t>
      </w:r>
    </w:p>
    <w:p w14:paraId="46787EAC">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7.经度：填写跨沟道路、桥涵、塘（堰）坝所在断面沟道中心点位置经度，小数点后保留6位小数，双精度（6）；</w:t>
      </w:r>
    </w:p>
    <w:p w14:paraId="3C2F390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8.纬度：填写跨沟道路、桥涵、塘（堰）坝所在断面沟道中心点位置纬度，小数点后保留6位小数，双精度（6）；</w:t>
      </w:r>
    </w:p>
    <w:p w14:paraId="6334590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9.类型：填写 A 、B 、C（A-跨沟道路，B-跨沟桥涵，C-其他，其他类型的跨沟建筑），字符型（2）；</w:t>
      </w:r>
    </w:p>
    <w:p w14:paraId="1EFE3235">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10.沟宽：以较低的岸顶高程为准，跨沟道路、桥涵沟道断面长度，单位： m，双精度（2）；</w:t>
      </w:r>
    </w:p>
    <w:p w14:paraId="600F4B9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11.沟深：跨沟道路、桥涵沟道断面，以较低的岸顶高程为准，该高程至沟底的竖直距离，单位：m，双精度（2）；</w:t>
      </w:r>
    </w:p>
    <w:p w14:paraId="79A04685">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12.断面形态：选填A、B、C、D、E，（A-梯形、B-三角形、C-矩形、D-U型，E-复合型），字符型（2）；</w:t>
      </w:r>
    </w:p>
    <w:p w14:paraId="6F9D8320">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13.阻水面积比（R1）：跨沟道路、桥涵断面所在处，无效过水面积占断面总面积的百分比，单位：%，长整型；</w:t>
      </w:r>
    </w:p>
    <w:p w14:paraId="020AF03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14.阻水库容：将桥涵和跨沟道路视为全部堵塞形成临时阻水坝，该坝顶高程（如果桥涵和跨沟道路上有</w:t>
      </w:r>
      <w:r>
        <w:rPr>
          <w:rFonts w:hint="eastAsia" w:ascii="仿宋" w:hAnsi="仿宋" w:eastAsia="仿宋" w:cs="仿宋"/>
          <w:color w:val="000000" w:themeColor="text1"/>
          <w:sz w:val="24"/>
          <w:szCs w:val="24"/>
          <w:lang w:eastAsia="zh-CN"/>
          <w14:textFill>
            <w14:solidFill>
              <w14:schemeClr w14:val="tx1"/>
            </w14:solidFill>
          </w14:textFill>
        </w:rPr>
        <w:t>护栏</w:t>
      </w:r>
      <w:r>
        <w:rPr>
          <w:rFonts w:hint="eastAsia" w:ascii="仿宋" w:hAnsi="仿宋" w:eastAsia="仿宋" w:cs="仿宋"/>
          <w:color w:val="000000" w:themeColor="text1"/>
          <w:sz w:val="24"/>
          <w:szCs w:val="24"/>
          <w14:textFill>
            <w14:solidFill>
              <w14:schemeClr w14:val="tx1"/>
            </w14:solidFill>
          </w14:textFill>
        </w:rPr>
        <w:t>，应以</w:t>
      </w:r>
      <w:r>
        <w:rPr>
          <w:rFonts w:hint="eastAsia" w:ascii="仿宋" w:hAnsi="仿宋" w:eastAsia="仿宋" w:cs="仿宋"/>
          <w:color w:val="000000" w:themeColor="text1"/>
          <w:sz w:val="24"/>
          <w:szCs w:val="24"/>
          <w:lang w:eastAsia="zh-CN"/>
          <w14:textFill>
            <w14:solidFill>
              <w14:schemeClr w14:val="tx1"/>
            </w14:solidFill>
          </w14:textFill>
        </w:rPr>
        <w:t>护栏</w:t>
      </w:r>
      <w:r>
        <w:rPr>
          <w:rFonts w:hint="eastAsia" w:ascii="仿宋" w:hAnsi="仿宋" w:eastAsia="仿宋" w:cs="仿宋"/>
          <w:color w:val="000000" w:themeColor="text1"/>
          <w:sz w:val="24"/>
          <w:szCs w:val="24"/>
          <w14:textFill>
            <w14:solidFill>
              <w14:schemeClr w14:val="tx1"/>
            </w14:solidFill>
          </w14:textFill>
        </w:rPr>
        <w:t>高程为坝顶高程）以下的库容；单位：万m³，长整型；</w:t>
      </w:r>
    </w:p>
    <w:p w14:paraId="2EF5ABC7">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15.河流代码：按照《中国河流代码》（SL249-2012）为基础，填写主要河流代码，后续补充地方编码，形成河流代码，字符型（20）；</w:t>
      </w:r>
    </w:p>
    <w:p w14:paraId="7BB4145A">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16.壅水影响对象名称：填写跨沟道路、桥涵、塘（堰）坝壅水影响（含改道、漫溢）上游防治对象的名称，字符型（20）；</w:t>
      </w:r>
    </w:p>
    <w:p w14:paraId="363AB40E">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17.壅水影响对象编码：填写跨沟道路、桥涵、塘（堰）坝壅水影响（含改道、漫溢）上游防治对象的编码，字符型（15），参见“表1山洪灾害防治对象名录”填表说明第6条；</w:t>
      </w:r>
    </w:p>
    <w:p w14:paraId="2407B10C">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18.溃决影响对象名称：填写防治对象的名称，字符型（20）；</w:t>
      </w:r>
    </w:p>
    <w:p w14:paraId="255D6C44">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19.溃决影响对象编码：填写跨沟道路、桥涵、塘（堰）坝溃决影响下游防治对象的编码，字符型（15），参见“表1山洪灾害防治对象名录”填 表说明第6条；</w:t>
      </w:r>
    </w:p>
    <w:p w14:paraId="0090841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20.备注：填写前面未列出的其他特性，如跨沟道路、桥涵的建筑材料、类型、坚实程度，断面概化形态描述，上下游附近河道收缩展宽情况，是否为古桥等，字符型（200）。</w:t>
      </w:r>
    </w:p>
    <w:p w14:paraId="72F2D479">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p>
    <w:p w14:paraId="59CD75F0">
      <w:pPr>
        <w:keepNext/>
        <w:keepLines/>
        <w:pageBreakBefore w:val="0"/>
        <w:widowControl/>
        <w:kinsoku/>
        <w:wordWrap/>
        <w:overflowPunct/>
        <w:topLinePunct w:val="0"/>
        <w:autoSpaceDE/>
        <w:autoSpaceDN/>
        <w:bidi w:val="0"/>
        <w:adjustRightInd/>
        <w:snapToGrid w:val="0"/>
        <w:spacing w:line="288" w:lineRule="auto"/>
        <w:ind w:left="567"/>
        <w:jc w:val="center"/>
        <w:textAlignment w:val="auto"/>
        <w:outlineLvl w:val="4"/>
        <w:rPr>
          <w:rFonts w:hint="eastAsia" w:ascii="仿宋" w:hAnsi="仿宋" w:eastAsia="仿宋" w:cs="仿宋"/>
          <w:b/>
          <w:color w:val="000000" w:themeColor="text1"/>
          <w:kern w:val="0"/>
          <w:sz w:val="24"/>
          <w:szCs w:val="24"/>
          <w14:textFill>
            <w14:solidFill>
              <w14:schemeClr w14:val="tx1"/>
            </w14:solidFill>
          </w14:textFill>
        </w:rPr>
      </w:pPr>
      <w:r>
        <w:rPr>
          <w:rFonts w:hint="eastAsia" w:ascii="仿宋" w:hAnsi="仿宋" w:eastAsia="仿宋" w:cs="仿宋"/>
          <w:b/>
          <w:color w:val="000000" w:themeColor="text1"/>
          <w:kern w:val="0"/>
          <w:sz w:val="24"/>
          <w:szCs w:val="24"/>
          <w14:textFill>
            <w14:solidFill>
              <w14:schemeClr w14:val="tx1"/>
            </w14:solidFill>
          </w14:textFill>
        </w:rPr>
        <w:t>（3）沟滩占地情况调查成果表</w:t>
      </w:r>
    </w:p>
    <w:tbl>
      <w:tblPr>
        <w:tblStyle w:val="37"/>
        <w:tblW w:w="501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60"/>
        <w:gridCol w:w="824"/>
        <w:gridCol w:w="779"/>
        <w:gridCol w:w="751"/>
        <w:gridCol w:w="779"/>
        <w:gridCol w:w="897"/>
        <w:gridCol w:w="1317"/>
        <w:gridCol w:w="1073"/>
        <w:gridCol w:w="972"/>
        <w:gridCol w:w="1561"/>
        <w:gridCol w:w="1415"/>
        <w:gridCol w:w="1452"/>
        <w:gridCol w:w="1323"/>
      </w:tblGrid>
      <w:tr w14:paraId="578E6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jc w:val="center"/>
        </w:trPr>
        <w:tc>
          <w:tcPr>
            <w:tcW w:w="879" w:type="pct"/>
            <w:gridSpan w:val="3"/>
            <w:tcBorders>
              <w:top w:val="single" w:color="000000" w:sz="2" w:space="0"/>
              <w:left w:val="single" w:color="000000" w:sz="2" w:space="0"/>
              <w:bottom w:val="single" w:color="000000" w:sz="2" w:space="0"/>
              <w:right w:val="single" w:color="000000" w:sz="2" w:space="0"/>
            </w:tcBorders>
            <w:vAlign w:val="center"/>
          </w:tcPr>
          <w:p w14:paraId="69240AD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1.县(区、市、旗）名称</w:t>
            </w:r>
          </w:p>
        </w:tc>
        <w:tc>
          <w:tcPr>
            <w:tcW w:w="546" w:type="pct"/>
            <w:gridSpan w:val="2"/>
            <w:tcBorders>
              <w:top w:val="single" w:color="000000" w:sz="2" w:space="0"/>
              <w:left w:val="single" w:color="000000" w:sz="2" w:space="0"/>
              <w:bottom w:val="single" w:color="000000" w:sz="2" w:space="0"/>
              <w:right w:val="single" w:color="000000" w:sz="2" w:space="0"/>
            </w:tcBorders>
            <w:vAlign w:val="center"/>
          </w:tcPr>
          <w:p w14:paraId="5BF5DAF9">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790" w:type="pct"/>
            <w:gridSpan w:val="2"/>
            <w:tcBorders>
              <w:top w:val="single" w:color="000000" w:sz="2" w:space="0"/>
              <w:left w:val="single" w:color="000000" w:sz="2" w:space="0"/>
              <w:bottom w:val="single" w:color="000000" w:sz="2" w:space="0"/>
              <w:right w:val="single" w:color="000000" w:sz="2" w:space="0"/>
            </w:tcBorders>
            <w:vAlign w:val="center"/>
          </w:tcPr>
          <w:p w14:paraId="0E75DCF4">
            <w:pPr>
              <w:pStyle w:val="38"/>
              <w:pageBreakBefore w:val="0"/>
              <w:widowControl w:val="0"/>
              <w:numPr>
                <w:ilvl w:val="0"/>
                <w:numId w:val="3"/>
              </w:numPr>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县(区、市、旗）</w:t>
            </w:r>
          </w:p>
          <w:p w14:paraId="617BE01E">
            <w:pPr>
              <w:pStyle w:val="38"/>
              <w:pageBreakBefore w:val="0"/>
              <w:widowControl w:val="0"/>
              <w:numPr>
                <w:ilvl w:val="0"/>
                <w:numId w:val="3"/>
              </w:numPr>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代码</w:t>
            </w:r>
          </w:p>
        </w:tc>
        <w:tc>
          <w:tcPr>
            <w:tcW w:w="730" w:type="pct"/>
            <w:gridSpan w:val="2"/>
            <w:tcBorders>
              <w:top w:val="single" w:color="000000" w:sz="2" w:space="0"/>
              <w:left w:val="single" w:color="000000" w:sz="2" w:space="0"/>
              <w:bottom w:val="single" w:color="000000" w:sz="2" w:space="0"/>
              <w:right w:val="single" w:color="000000" w:sz="2" w:space="0"/>
            </w:tcBorders>
            <w:vAlign w:val="center"/>
          </w:tcPr>
          <w:p w14:paraId="50144568">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57" w:type="pct"/>
            <w:tcBorders>
              <w:top w:val="single" w:color="000000" w:sz="2" w:space="0"/>
              <w:left w:val="single" w:color="000000" w:sz="2" w:space="0"/>
              <w:bottom w:val="single" w:color="000000" w:sz="2" w:space="0"/>
              <w:right w:val="single" w:color="000000" w:sz="2" w:space="0"/>
            </w:tcBorders>
            <w:vAlign w:val="center"/>
          </w:tcPr>
          <w:p w14:paraId="214D59C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3.乡镇名称</w:t>
            </w:r>
          </w:p>
        </w:tc>
        <w:tc>
          <w:tcPr>
            <w:tcW w:w="505" w:type="pct"/>
            <w:tcBorders>
              <w:top w:val="single" w:color="000000" w:sz="2" w:space="0"/>
              <w:left w:val="single" w:color="000000" w:sz="2" w:space="0"/>
              <w:bottom w:val="single" w:color="000000" w:sz="2" w:space="0"/>
              <w:right w:val="single" w:color="000000" w:sz="2" w:space="0"/>
            </w:tcBorders>
            <w:vAlign w:val="center"/>
          </w:tcPr>
          <w:p w14:paraId="6160EA21">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18" w:type="pct"/>
            <w:tcBorders>
              <w:top w:val="single" w:color="000000" w:sz="2" w:space="0"/>
              <w:left w:val="single" w:color="000000" w:sz="2" w:space="0"/>
              <w:bottom w:val="single" w:color="000000" w:sz="2" w:space="0"/>
              <w:right w:val="single" w:color="000000" w:sz="2" w:space="0"/>
            </w:tcBorders>
            <w:vAlign w:val="center"/>
          </w:tcPr>
          <w:p w14:paraId="55F7046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4.乡镇代码</w:t>
            </w:r>
          </w:p>
        </w:tc>
        <w:tc>
          <w:tcPr>
            <w:tcW w:w="472" w:type="pct"/>
            <w:tcBorders>
              <w:top w:val="single" w:color="000000" w:sz="2" w:space="0"/>
              <w:left w:val="single" w:color="000000" w:sz="2" w:space="0"/>
              <w:bottom w:val="single" w:color="000000" w:sz="2" w:space="0"/>
              <w:right w:val="single" w:color="000000" w:sz="2" w:space="0"/>
            </w:tcBorders>
            <w:vAlign w:val="center"/>
          </w:tcPr>
          <w:p w14:paraId="4468CFF4">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5103B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jc w:val="center"/>
        </w:trPr>
        <w:tc>
          <w:tcPr>
            <w:tcW w:w="307" w:type="pct"/>
            <w:tcBorders>
              <w:top w:val="single" w:color="000000" w:sz="2" w:space="0"/>
              <w:left w:val="single" w:color="000000" w:sz="2" w:space="0"/>
              <w:bottom w:val="single" w:color="000000" w:sz="2" w:space="0"/>
              <w:right w:val="single" w:color="000000" w:sz="2" w:space="0"/>
            </w:tcBorders>
            <w:vAlign w:val="center"/>
          </w:tcPr>
          <w:p w14:paraId="7E46225E">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序号</w:t>
            </w:r>
          </w:p>
        </w:tc>
        <w:tc>
          <w:tcPr>
            <w:tcW w:w="294" w:type="pct"/>
            <w:tcBorders>
              <w:top w:val="single" w:color="000000" w:sz="2" w:space="0"/>
              <w:left w:val="single" w:color="000000" w:sz="2" w:space="0"/>
              <w:bottom w:val="single" w:color="000000" w:sz="2" w:space="0"/>
              <w:right w:val="single" w:color="000000" w:sz="2" w:space="0"/>
            </w:tcBorders>
            <w:vAlign w:val="center"/>
          </w:tcPr>
          <w:p w14:paraId="2F19DF0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5.名称</w:t>
            </w:r>
          </w:p>
        </w:tc>
        <w:tc>
          <w:tcPr>
            <w:tcW w:w="277" w:type="pct"/>
            <w:tcBorders>
              <w:top w:val="single" w:color="000000" w:sz="2" w:space="0"/>
              <w:left w:val="single" w:color="000000" w:sz="2" w:space="0"/>
              <w:bottom w:val="single" w:color="000000" w:sz="2" w:space="0"/>
              <w:right w:val="single" w:color="000000" w:sz="2" w:space="0"/>
            </w:tcBorders>
            <w:vAlign w:val="center"/>
          </w:tcPr>
          <w:p w14:paraId="34C22BA5">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6.编号</w:t>
            </w:r>
          </w:p>
        </w:tc>
        <w:tc>
          <w:tcPr>
            <w:tcW w:w="268" w:type="pct"/>
            <w:tcBorders>
              <w:top w:val="single" w:color="000000" w:sz="2" w:space="0"/>
              <w:left w:val="single" w:color="000000" w:sz="2" w:space="0"/>
              <w:bottom w:val="single" w:color="000000" w:sz="2" w:space="0"/>
              <w:right w:val="single" w:color="000000" w:sz="2" w:space="0"/>
            </w:tcBorders>
            <w:vAlign w:val="center"/>
          </w:tcPr>
          <w:p w14:paraId="5DF096E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7.经度</w:t>
            </w:r>
          </w:p>
        </w:tc>
        <w:tc>
          <w:tcPr>
            <w:tcW w:w="278" w:type="pct"/>
            <w:tcBorders>
              <w:top w:val="single" w:color="000000" w:sz="2" w:space="0"/>
              <w:left w:val="single" w:color="000000" w:sz="2" w:space="0"/>
              <w:bottom w:val="single" w:color="000000" w:sz="2" w:space="0"/>
              <w:right w:val="single" w:color="000000" w:sz="2" w:space="0"/>
            </w:tcBorders>
            <w:vAlign w:val="center"/>
          </w:tcPr>
          <w:p w14:paraId="3E6879D3">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8.纬度</w:t>
            </w:r>
          </w:p>
        </w:tc>
        <w:tc>
          <w:tcPr>
            <w:tcW w:w="320" w:type="pct"/>
            <w:tcBorders>
              <w:top w:val="single" w:color="000000" w:sz="2" w:space="0"/>
              <w:left w:val="single" w:color="000000" w:sz="2" w:space="0"/>
              <w:bottom w:val="single" w:color="000000" w:sz="2" w:space="0"/>
              <w:right w:val="single" w:color="000000" w:sz="2" w:space="0"/>
            </w:tcBorders>
            <w:vAlign w:val="center"/>
          </w:tcPr>
          <w:p w14:paraId="6301EFD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9.类型</w:t>
            </w:r>
          </w:p>
        </w:tc>
        <w:tc>
          <w:tcPr>
            <w:tcW w:w="470" w:type="pct"/>
            <w:tcBorders>
              <w:top w:val="single" w:color="000000" w:sz="2" w:space="0"/>
              <w:left w:val="single" w:color="000000" w:sz="2" w:space="0"/>
              <w:bottom w:val="single" w:color="000000" w:sz="2" w:space="0"/>
              <w:right w:val="single" w:color="000000" w:sz="2" w:space="0"/>
            </w:tcBorders>
            <w:vAlign w:val="center"/>
          </w:tcPr>
          <w:p w14:paraId="5D818D00">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10.沟宽/m</w:t>
            </w:r>
          </w:p>
        </w:tc>
        <w:tc>
          <w:tcPr>
            <w:tcW w:w="383" w:type="pct"/>
            <w:tcBorders>
              <w:top w:val="single" w:color="000000" w:sz="2" w:space="0"/>
              <w:left w:val="single" w:color="000000" w:sz="2" w:space="0"/>
              <w:bottom w:val="single" w:color="000000" w:sz="2" w:space="0"/>
              <w:right w:val="single" w:color="000000" w:sz="2" w:space="0"/>
            </w:tcBorders>
            <w:vAlign w:val="center"/>
          </w:tcPr>
          <w:p w14:paraId="451D3DA8">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11.沟深/m</w:t>
            </w:r>
          </w:p>
        </w:tc>
        <w:tc>
          <w:tcPr>
            <w:tcW w:w="347" w:type="pct"/>
            <w:tcBorders>
              <w:top w:val="single" w:color="000000" w:sz="2" w:space="0"/>
              <w:left w:val="single" w:color="000000" w:sz="2" w:space="0"/>
              <w:bottom w:val="single" w:color="000000" w:sz="2" w:space="0"/>
              <w:right w:val="single" w:color="000000" w:sz="2" w:space="0"/>
            </w:tcBorders>
            <w:vAlign w:val="center"/>
          </w:tcPr>
          <w:p w14:paraId="56F9E62C">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12.断面</w:t>
            </w:r>
          </w:p>
          <w:p w14:paraId="0E95413B">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形态</w:t>
            </w:r>
          </w:p>
        </w:tc>
        <w:tc>
          <w:tcPr>
            <w:tcW w:w="557" w:type="pct"/>
            <w:tcBorders>
              <w:top w:val="single" w:color="000000" w:sz="2" w:space="0"/>
              <w:left w:val="single" w:color="000000" w:sz="2" w:space="0"/>
              <w:bottom w:val="single" w:color="000000" w:sz="2" w:space="0"/>
              <w:right w:val="single" w:color="000000" w:sz="2" w:space="0"/>
            </w:tcBorders>
            <w:vAlign w:val="center"/>
          </w:tcPr>
          <w:p w14:paraId="4EA3187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13.阻水面积比R2/%</w:t>
            </w:r>
          </w:p>
        </w:tc>
        <w:tc>
          <w:tcPr>
            <w:tcW w:w="505" w:type="pct"/>
            <w:tcBorders>
              <w:top w:val="single" w:color="000000" w:sz="2" w:space="0"/>
              <w:left w:val="single" w:color="000000" w:sz="2" w:space="0"/>
              <w:bottom w:val="single" w:color="000000" w:sz="2" w:space="0"/>
              <w:right w:val="single" w:color="000000" w:sz="2" w:space="0"/>
            </w:tcBorders>
            <w:vAlign w:val="center"/>
          </w:tcPr>
          <w:p w14:paraId="1ED98764">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14.河流名称</w:t>
            </w:r>
          </w:p>
        </w:tc>
        <w:tc>
          <w:tcPr>
            <w:tcW w:w="518" w:type="pct"/>
            <w:tcBorders>
              <w:top w:val="single" w:color="000000" w:sz="2" w:space="0"/>
              <w:left w:val="single" w:color="000000" w:sz="2" w:space="0"/>
              <w:bottom w:val="single" w:color="000000" w:sz="2" w:space="0"/>
              <w:right w:val="single" w:color="000000" w:sz="2" w:space="0"/>
            </w:tcBorders>
            <w:vAlign w:val="center"/>
          </w:tcPr>
          <w:p w14:paraId="511E3A22">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15.河流代码</w:t>
            </w:r>
          </w:p>
        </w:tc>
        <w:tc>
          <w:tcPr>
            <w:tcW w:w="472" w:type="pct"/>
            <w:tcBorders>
              <w:top w:val="single" w:color="000000" w:sz="2" w:space="0"/>
              <w:left w:val="single" w:color="000000" w:sz="2" w:space="0"/>
              <w:bottom w:val="single" w:color="000000" w:sz="2" w:space="0"/>
              <w:right w:val="single" w:color="000000" w:sz="2" w:space="0"/>
            </w:tcBorders>
            <w:vAlign w:val="center"/>
          </w:tcPr>
          <w:p w14:paraId="746730D3">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16.备注</w:t>
            </w:r>
          </w:p>
        </w:tc>
      </w:tr>
      <w:tr w14:paraId="22644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jc w:val="center"/>
        </w:trPr>
        <w:tc>
          <w:tcPr>
            <w:tcW w:w="307" w:type="pct"/>
            <w:tcBorders>
              <w:top w:val="single" w:color="000000" w:sz="2" w:space="0"/>
              <w:left w:val="single" w:color="000000" w:sz="2" w:space="0"/>
              <w:bottom w:val="single" w:color="000000" w:sz="2" w:space="0"/>
              <w:right w:val="single" w:color="000000" w:sz="2" w:space="0"/>
            </w:tcBorders>
            <w:vAlign w:val="center"/>
          </w:tcPr>
          <w:p w14:paraId="76CB6FAB">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w:t>
            </w:r>
          </w:p>
        </w:tc>
        <w:tc>
          <w:tcPr>
            <w:tcW w:w="294" w:type="pct"/>
            <w:tcBorders>
              <w:top w:val="single" w:color="000000" w:sz="2" w:space="0"/>
              <w:left w:val="single" w:color="000000" w:sz="2" w:space="0"/>
              <w:bottom w:val="single" w:color="000000" w:sz="2" w:space="0"/>
              <w:right w:val="single" w:color="000000" w:sz="2" w:space="0"/>
            </w:tcBorders>
            <w:vAlign w:val="center"/>
          </w:tcPr>
          <w:p w14:paraId="70F4AE35">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77" w:type="pct"/>
            <w:tcBorders>
              <w:top w:val="single" w:color="000000" w:sz="2" w:space="0"/>
              <w:left w:val="single" w:color="000000" w:sz="2" w:space="0"/>
              <w:bottom w:val="single" w:color="000000" w:sz="2" w:space="0"/>
              <w:right w:val="single" w:color="000000" w:sz="2" w:space="0"/>
            </w:tcBorders>
            <w:vAlign w:val="center"/>
          </w:tcPr>
          <w:p w14:paraId="5F017351">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8" w:type="pct"/>
            <w:tcBorders>
              <w:top w:val="single" w:color="000000" w:sz="2" w:space="0"/>
              <w:left w:val="single" w:color="000000" w:sz="2" w:space="0"/>
              <w:bottom w:val="single" w:color="000000" w:sz="2" w:space="0"/>
              <w:right w:val="single" w:color="000000" w:sz="2" w:space="0"/>
            </w:tcBorders>
            <w:vAlign w:val="center"/>
          </w:tcPr>
          <w:p w14:paraId="0CA223EF">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78" w:type="pct"/>
            <w:tcBorders>
              <w:top w:val="single" w:color="000000" w:sz="2" w:space="0"/>
              <w:left w:val="single" w:color="000000" w:sz="2" w:space="0"/>
              <w:bottom w:val="single" w:color="000000" w:sz="2" w:space="0"/>
              <w:right w:val="single" w:color="000000" w:sz="2" w:space="0"/>
            </w:tcBorders>
            <w:vAlign w:val="center"/>
          </w:tcPr>
          <w:p w14:paraId="1975CB5B">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20" w:type="pct"/>
            <w:tcBorders>
              <w:top w:val="single" w:color="000000" w:sz="2" w:space="0"/>
              <w:left w:val="single" w:color="000000" w:sz="2" w:space="0"/>
              <w:bottom w:val="single" w:color="000000" w:sz="2" w:space="0"/>
              <w:right w:val="single" w:color="000000" w:sz="2" w:space="0"/>
            </w:tcBorders>
            <w:vAlign w:val="center"/>
          </w:tcPr>
          <w:p w14:paraId="6211070C">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470" w:type="pct"/>
            <w:tcBorders>
              <w:top w:val="single" w:color="000000" w:sz="2" w:space="0"/>
              <w:left w:val="single" w:color="000000" w:sz="2" w:space="0"/>
              <w:bottom w:val="single" w:color="000000" w:sz="2" w:space="0"/>
              <w:right w:val="single" w:color="000000" w:sz="2" w:space="0"/>
            </w:tcBorders>
            <w:vAlign w:val="center"/>
          </w:tcPr>
          <w:p w14:paraId="01268BAD">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83" w:type="pct"/>
            <w:tcBorders>
              <w:top w:val="single" w:color="000000" w:sz="2" w:space="0"/>
              <w:left w:val="single" w:color="000000" w:sz="2" w:space="0"/>
              <w:bottom w:val="single" w:color="000000" w:sz="2" w:space="0"/>
              <w:right w:val="single" w:color="000000" w:sz="2" w:space="0"/>
            </w:tcBorders>
            <w:vAlign w:val="center"/>
          </w:tcPr>
          <w:p w14:paraId="767CD87D">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47" w:type="pct"/>
            <w:tcBorders>
              <w:top w:val="single" w:color="000000" w:sz="2" w:space="0"/>
              <w:left w:val="single" w:color="000000" w:sz="2" w:space="0"/>
              <w:bottom w:val="single" w:color="000000" w:sz="2" w:space="0"/>
              <w:right w:val="single" w:color="000000" w:sz="2" w:space="0"/>
            </w:tcBorders>
            <w:vAlign w:val="center"/>
          </w:tcPr>
          <w:p w14:paraId="28CFC30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57" w:type="pct"/>
            <w:tcBorders>
              <w:top w:val="single" w:color="000000" w:sz="2" w:space="0"/>
              <w:left w:val="single" w:color="000000" w:sz="2" w:space="0"/>
              <w:bottom w:val="single" w:color="000000" w:sz="2" w:space="0"/>
              <w:right w:val="single" w:color="000000" w:sz="2" w:space="0"/>
            </w:tcBorders>
            <w:vAlign w:val="center"/>
          </w:tcPr>
          <w:p w14:paraId="6DAE489F">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05" w:type="pct"/>
            <w:tcBorders>
              <w:top w:val="single" w:color="000000" w:sz="2" w:space="0"/>
              <w:left w:val="single" w:color="000000" w:sz="2" w:space="0"/>
              <w:bottom w:val="single" w:color="000000" w:sz="2" w:space="0"/>
              <w:right w:val="single" w:color="000000" w:sz="2" w:space="0"/>
            </w:tcBorders>
            <w:vAlign w:val="center"/>
          </w:tcPr>
          <w:p w14:paraId="6933B55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18" w:type="pct"/>
            <w:tcBorders>
              <w:top w:val="single" w:color="000000" w:sz="2" w:space="0"/>
              <w:left w:val="single" w:color="000000" w:sz="2" w:space="0"/>
              <w:bottom w:val="single" w:color="000000" w:sz="2" w:space="0"/>
              <w:right w:val="single" w:color="000000" w:sz="2" w:space="0"/>
            </w:tcBorders>
            <w:vAlign w:val="center"/>
          </w:tcPr>
          <w:p w14:paraId="0505F27B">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472" w:type="pct"/>
            <w:tcBorders>
              <w:top w:val="single" w:color="000000" w:sz="2" w:space="0"/>
              <w:left w:val="single" w:color="000000" w:sz="2" w:space="0"/>
              <w:bottom w:val="single" w:color="000000" w:sz="2" w:space="0"/>
              <w:right w:val="single" w:color="000000" w:sz="2" w:space="0"/>
            </w:tcBorders>
            <w:vAlign w:val="center"/>
          </w:tcPr>
          <w:p w14:paraId="47E44D2B">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4379C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jc w:val="center"/>
        </w:trPr>
        <w:tc>
          <w:tcPr>
            <w:tcW w:w="307" w:type="pct"/>
            <w:tcBorders>
              <w:top w:val="single" w:color="000000" w:sz="2" w:space="0"/>
              <w:left w:val="single" w:color="000000" w:sz="2" w:space="0"/>
              <w:bottom w:val="single" w:color="000000" w:sz="2" w:space="0"/>
              <w:right w:val="single" w:color="000000" w:sz="2" w:space="0"/>
            </w:tcBorders>
            <w:vAlign w:val="center"/>
          </w:tcPr>
          <w:p w14:paraId="1D2C6F1D">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294" w:type="pct"/>
            <w:tcBorders>
              <w:top w:val="single" w:color="000000" w:sz="2" w:space="0"/>
              <w:left w:val="single" w:color="000000" w:sz="2" w:space="0"/>
              <w:bottom w:val="single" w:color="000000" w:sz="2" w:space="0"/>
              <w:right w:val="single" w:color="000000" w:sz="2" w:space="0"/>
            </w:tcBorders>
            <w:vAlign w:val="center"/>
          </w:tcPr>
          <w:p w14:paraId="4271968E">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77" w:type="pct"/>
            <w:tcBorders>
              <w:top w:val="single" w:color="000000" w:sz="2" w:space="0"/>
              <w:left w:val="single" w:color="000000" w:sz="2" w:space="0"/>
              <w:bottom w:val="single" w:color="000000" w:sz="2" w:space="0"/>
              <w:right w:val="single" w:color="000000" w:sz="2" w:space="0"/>
            </w:tcBorders>
            <w:vAlign w:val="center"/>
          </w:tcPr>
          <w:p w14:paraId="49E14E57">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68" w:type="pct"/>
            <w:tcBorders>
              <w:top w:val="single" w:color="000000" w:sz="2" w:space="0"/>
              <w:left w:val="single" w:color="000000" w:sz="2" w:space="0"/>
              <w:bottom w:val="single" w:color="000000" w:sz="2" w:space="0"/>
              <w:right w:val="single" w:color="000000" w:sz="2" w:space="0"/>
            </w:tcBorders>
            <w:vAlign w:val="center"/>
          </w:tcPr>
          <w:p w14:paraId="77A98B43">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78" w:type="pct"/>
            <w:tcBorders>
              <w:top w:val="single" w:color="000000" w:sz="2" w:space="0"/>
              <w:left w:val="single" w:color="000000" w:sz="2" w:space="0"/>
              <w:bottom w:val="single" w:color="000000" w:sz="2" w:space="0"/>
              <w:right w:val="single" w:color="000000" w:sz="2" w:space="0"/>
            </w:tcBorders>
            <w:vAlign w:val="center"/>
          </w:tcPr>
          <w:p w14:paraId="0CD5870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20" w:type="pct"/>
            <w:tcBorders>
              <w:top w:val="single" w:color="000000" w:sz="2" w:space="0"/>
              <w:left w:val="single" w:color="000000" w:sz="2" w:space="0"/>
              <w:bottom w:val="single" w:color="000000" w:sz="2" w:space="0"/>
              <w:right w:val="single" w:color="000000" w:sz="2" w:space="0"/>
            </w:tcBorders>
            <w:vAlign w:val="center"/>
          </w:tcPr>
          <w:p w14:paraId="56340F28">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470" w:type="pct"/>
            <w:tcBorders>
              <w:top w:val="single" w:color="000000" w:sz="2" w:space="0"/>
              <w:left w:val="single" w:color="000000" w:sz="2" w:space="0"/>
              <w:bottom w:val="single" w:color="000000" w:sz="2" w:space="0"/>
              <w:right w:val="single" w:color="000000" w:sz="2" w:space="0"/>
            </w:tcBorders>
            <w:vAlign w:val="center"/>
          </w:tcPr>
          <w:p w14:paraId="26E2B5B1">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83" w:type="pct"/>
            <w:tcBorders>
              <w:top w:val="single" w:color="000000" w:sz="2" w:space="0"/>
              <w:left w:val="single" w:color="000000" w:sz="2" w:space="0"/>
              <w:bottom w:val="single" w:color="000000" w:sz="2" w:space="0"/>
              <w:right w:val="single" w:color="000000" w:sz="2" w:space="0"/>
            </w:tcBorders>
            <w:vAlign w:val="center"/>
          </w:tcPr>
          <w:p w14:paraId="6728D58E">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47" w:type="pct"/>
            <w:tcBorders>
              <w:top w:val="single" w:color="000000" w:sz="2" w:space="0"/>
              <w:left w:val="single" w:color="000000" w:sz="2" w:space="0"/>
              <w:bottom w:val="single" w:color="000000" w:sz="2" w:space="0"/>
              <w:right w:val="single" w:color="000000" w:sz="2" w:space="0"/>
            </w:tcBorders>
            <w:vAlign w:val="center"/>
          </w:tcPr>
          <w:p w14:paraId="7564DC32">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57" w:type="pct"/>
            <w:tcBorders>
              <w:top w:val="single" w:color="000000" w:sz="2" w:space="0"/>
              <w:left w:val="single" w:color="000000" w:sz="2" w:space="0"/>
              <w:bottom w:val="single" w:color="000000" w:sz="2" w:space="0"/>
              <w:right w:val="single" w:color="000000" w:sz="2" w:space="0"/>
            </w:tcBorders>
            <w:vAlign w:val="center"/>
          </w:tcPr>
          <w:p w14:paraId="6FC69C02">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05" w:type="pct"/>
            <w:tcBorders>
              <w:top w:val="single" w:color="000000" w:sz="2" w:space="0"/>
              <w:left w:val="single" w:color="000000" w:sz="2" w:space="0"/>
              <w:bottom w:val="single" w:color="000000" w:sz="2" w:space="0"/>
              <w:right w:val="single" w:color="000000" w:sz="2" w:space="0"/>
            </w:tcBorders>
            <w:vAlign w:val="center"/>
          </w:tcPr>
          <w:p w14:paraId="13237E0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518" w:type="pct"/>
            <w:tcBorders>
              <w:top w:val="single" w:color="000000" w:sz="2" w:space="0"/>
              <w:left w:val="single" w:color="000000" w:sz="2" w:space="0"/>
              <w:bottom w:val="single" w:color="000000" w:sz="2" w:space="0"/>
              <w:right w:val="single" w:color="000000" w:sz="2" w:space="0"/>
            </w:tcBorders>
            <w:vAlign w:val="center"/>
          </w:tcPr>
          <w:p w14:paraId="60CD43EA">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472" w:type="pct"/>
            <w:tcBorders>
              <w:top w:val="single" w:color="000000" w:sz="2" w:space="0"/>
              <w:left w:val="single" w:color="000000" w:sz="2" w:space="0"/>
              <w:bottom w:val="single" w:color="000000" w:sz="2" w:space="0"/>
              <w:right w:val="single" w:color="000000" w:sz="2" w:space="0"/>
            </w:tcBorders>
            <w:vAlign w:val="center"/>
          </w:tcPr>
          <w:p w14:paraId="5C9B93D7">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bl>
    <w:p w14:paraId="221963E3">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填表说明：</w:t>
      </w:r>
    </w:p>
    <w:p w14:paraId="37EBEA2A">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1.县（区、市、旗）名称：填写防治对象所在县（区、市、旗）的名称，字符型（20）；</w:t>
      </w:r>
    </w:p>
    <w:p w14:paraId="6565B2EA">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2.县（区、市、旗）代码：填写防治对象所在县（区、市、旗）的代码，字符型（6）；</w:t>
      </w:r>
    </w:p>
    <w:p w14:paraId="7C856B81">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3.乡镇名称：填写防治对象所在乡镇的名称，字符型（20）；</w:t>
      </w:r>
    </w:p>
    <w:p w14:paraId="0032E177">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4.乡镇代码：填写防治对象所在乡镇的代码，字符型（9）；</w:t>
      </w:r>
    </w:p>
    <w:p w14:paraId="51394244">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5.名称：填写沟滩占地对象的名称，字符型（20）；</w:t>
      </w:r>
    </w:p>
    <w:p w14:paraId="2B125E7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6.编号：按“县级行政代码+河流代码+编号”填写，“编号”为B000 ，B0002，ⅆⅆ ， 从下游向上游记数，系统自动生成；</w:t>
      </w:r>
    </w:p>
    <w:p w14:paraId="5E8A233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7.经度：填写沟滩占地所在断面沟道中心点位置经度，小数点后保留6位小数，双精度（6）；</w:t>
      </w:r>
    </w:p>
    <w:p w14:paraId="1EB25632">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8.纬度：填写沟滩占地所在断面沟道中心点位置纬度，小数点后保留6位小数，双精度（6）；</w:t>
      </w:r>
    </w:p>
    <w:p w14:paraId="31623C3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9.类型：填写A、B、C、D（A-施工临时占地，B-企业厂房，C-居民建筑，D-其他类型），字符型（2）；</w:t>
      </w:r>
    </w:p>
    <w:p w14:paraId="390028E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10.沟宽：以较低的岸顶高程为准，沟道断面长度，单位：m，双精度（2）；</w:t>
      </w:r>
    </w:p>
    <w:p w14:paraId="4D047B7D">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11.沟深：沟滩占地断面，以较低的岸顶高程为准，该高程至沟底的竖直距离，单位：m，双精度（2）；</w:t>
      </w:r>
    </w:p>
    <w:p w14:paraId="0A91813D">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12.断面形态：选填 A、B、C、D、E，（A-梯形、B-三角形、C-矩形、D-U型，E-复合型），字符型（2）；</w:t>
      </w:r>
    </w:p>
    <w:p w14:paraId="5DF81C1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13.阻水面积比（R2）：沟滩占地断面所在处，无效过水面积占断面总断积的百分比，%，长整型；</w:t>
      </w:r>
    </w:p>
    <w:p w14:paraId="591D3A7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14.河流名称：填写河流/沟道名称；</w:t>
      </w:r>
    </w:p>
    <w:p w14:paraId="436B105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15.河流代码：按照《中国河流代码》（SL249-2012）为基础，填写主要河流代码，后续补充地方编码，形成河流代码，字符型（20）；</w:t>
      </w:r>
    </w:p>
    <w:p w14:paraId="289313E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16.备注：填写占用时间、受影响人数等补充信息，字符型（200）。</w:t>
      </w:r>
    </w:p>
    <w:p w14:paraId="5358AA79">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p>
    <w:p w14:paraId="481C9FEF">
      <w:pPr>
        <w:keepNext/>
        <w:keepLines/>
        <w:pageBreakBefore w:val="0"/>
        <w:widowControl/>
        <w:kinsoku/>
        <w:wordWrap/>
        <w:overflowPunct/>
        <w:topLinePunct w:val="0"/>
        <w:autoSpaceDE/>
        <w:autoSpaceDN/>
        <w:bidi w:val="0"/>
        <w:adjustRightInd/>
        <w:snapToGrid w:val="0"/>
        <w:spacing w:line="288" w:lineRule="auto"/>
        <w:ind w:left="567"/>
        <w:jc w:val="center"/>
        <w:textAlignment w:val="auto"/>
        <w:outlineLvl w:val="4"/>
        <w:rPr>
          <w:rFonts w:hint="eastAsia" w:ascii="仿宋" w:hAnsi="仿宋" w:eastAsia="仿宋" w:cs="仿宋"/>
          <w:b/>
          <w:color w:val="000000" w:themeColor="text1"/>
          <w:kern w:val="0"/>
          <w:sz w:val="24"/>
          <w:szCs w:val="24"/>
          <w14:textFill>
            <w14:solidFill>
              <w14:schemeClr w14:val="tx1"/>
            </w14:solidFill>
          </w14:textFill>
        </w:rPr>
      </w:pPr>
      <w:r>
        <w:rPr>
          <w:rFonts w:hint="eastAsia" w:ascii="仿宋" w:hAnsi="仿宋" w:eastAsia="仿宋" w:cs="仿宋"/>
          <w:b/>
          <w:color w:val="000000" w:themeColor="text1"/>
          <w:kern w:val="0"/>
          <w:sz w:val="24"/>
          <w:szCs w:val="24"/>
          <w14:textFill>
            <w14:solidFill>
              <w14:schemeClr w14:val="tx1"/>
            </w14:solidFill>
          </w14:textFill>
        </w:rPr>
        <w:t>（4）多支齐汇调查成果表</w:t>
      </w:r>
    </w:p>
    <w:tbl>
      <w:tblPr>
        <w:tblStyle w:val="37"/>
        <w:tblW w:w="139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9"/>
        <w:gridCol w:w="2195"/>
        <w:gridCol w:w="2137"/>
        <w:gridCol w:w="2403"/>
        <w:gridCol w:w="3073"/>
        <w:gridCol w:w="3072"/>
      </w:tblGrid>
      <w:tr w14:paraId="6AD37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69" w:type="dxa"/>
            <w:vAlign w:val="center"/>
          </w:tcPr>
          <w:p w14:paraId="75E8B5B3">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序号</w:t>
            </w:r>
          </w:p>
        </w:tc>
        <w:tc>
          <w:tcPr>
            <w:tcW w:w="2195" w:type="dxa"/>
            <w:vAlign w:val="center"/>
          </w:tcPr>
          <w:p w14:paraId="1E6EE83D">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1.流域名称</w:t>
            </w:r>
          </w:p>
        </w:tc>
        <w:tc>
          <w:tcPr>
            <w:tcW w:w="2137" w:type="dxa"/>
            <w:vAlign w:val="center"/>
          </w:tcPr>
          <w:p w14:paraId="4367F82B">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2.流域代码</w:t>
            </w:r>
          </w:p>
        </w:tc>
        <w:tc>
          <w:tcPr>
            <w:tcW w:w="2403" w:type="dxa"/>
            <w:vAlign w:val="center"/>
          </w:tcPr>
          <w:p w14:paraId="580D4F96">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3.保护对象名称</w:t>
            </w:r>
          </w:p>
        </w:tc>
        <w:tc>
          <w:tcPr>
            <w:tcW w:w="3073" w:type="dxa"/>
            <w:vAlign w:val="center"/>
          </w:tcPr>
          <w:p w14:paraId="5905F477">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4.保护对象编码</w:t>
            </w:r>
          </w:p>
        </w:tc>
        <w:tc>
          <w:tcPr>
            <w:tcW w:w="3072" w:type="dxa"/>
            <w:vAlign w:val="center"/>
          </w:tcPr>
          <w:p w14:paraId="362C5023">
            <w:pPr>
              <w:pStyle w:val="38"/>
              <w:pageBreakBefore w:val="0"/>
              <w:widowControl w:val="0"/>
              <w:kinsoku/>
              <w:wordWrap/>
              <w:overflowPunct/>
              <w:topLinePunct w:val="0"/>
              <w:autoSpaceDE/>
              <w:autoSpaceDN/>
              <w:bidi w:val="0"/>
              <w:adjustRightInd/>
              <w:snapToGrid w:val="0"/>
              <w:spacing w:line="240"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5.备注</w:t>
            </w:r>
          </w:p>
        </w:tc>
      </w:tr>
      <w:tr w14:paraId="1635D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restart"/>
            <w:vAlign w:val="center"/>
          </w:tcPr>
          <w:p w14:paraId="6328E530">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1</w:t>
            </w:r>
          </w:p>
        </w:tc>
        <w:tc>
          <w:tcPr>
            <w:tcW w:w="2195" w:type="dxa"/>
            <w:vMerge w:val="restart"/>
            <w:vAlign w:val="center"/>
          </w:tcPr>
          <w:p w14:paraId="22142523">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restart"/>
            <w:vAlign w:val="center"/>
          </w:tcPr>
          <w:p w14:paraId="7600BA92">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04DA1FB3">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5DD6F625">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19CAAD95">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4F45C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continue"/>
            <w:tcBorders>
              <w:top w:val="nil"/>
            </w:tcBorders>
            <w:vAlign w:val="center"/>
          </w:tcPr>
          <w:p w14:paraId="1115CDA0">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95" w:type="dxa"/>
            <w:vMerge w:val="continue"/>
            <w:tcBorders>
              <w:top w:val="nil"/>
            </w:tcBorders>
            <w:vAlign w:val="center"/>
          </w:tcPr>
          <w:p w14:paraId="197D4083">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continue"/>
            <w:tcBorders>
              <w:top w:val="nil"/>
            </w:tcBorders>
            <w:vAlign w:val="center"/>
          </w:tcPr>
          <w:p w14:paraId="1E8B9E79">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49DD7A72">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73BF4977">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116802AA">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0FE6B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restart"/>
            <w:vAlign w:val="center"/>
          </w:tcPr>
          <w:p w14:paraId="3D7F849A">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2</w:t>
            </w:r>
          </w:p>
        </w:tc>
        <w:tc>
          <w:tcPr>
            <w:tcW w:w="2195" w:type="dxa"/>
            <w:vMerge w:val="restart"/>
            <w:vAlign w:val="center"/>
          </w:tcPr>
          <w:p w14:paraId="0A2060B4">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restart"/>
            <w:vAlign w:val="center"/>
          </w:tcPr>
          <w:p w14:paraId="037DCCAA">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77DA9A69">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71856A00">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28779197">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57404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continue"/>
            <w:tcBorders>
              <w:top w:val="nil"/>
            </w:tcBorders>
            <w:vAlign w:val="center"/>
          </w:tcPr>
          <w:p w14:paraId="63822652">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95" w:type="dxa"/>
            <w:vMerge w:val="continue"/>
            <w:tcBorders>
              <w:top w:val="nil"/>
            </w:tcBorders>
            <w:vAlign w:val="center"/>
          </w:tcPr>
          <w:p w14:paraId="1A702FE4">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continue"/>
            <w:tcBorders>
              <w:top w:val="nil"/>
            </w:tcBorders>
            <w:vAlign w:val="center"/>
          </w:tcPr>
          <w:p w14:paraId="52A74AD8">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363936B4">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62454E6B">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1719A6BC">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782380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restart"/>
            <w:vAlign w:val="center"/>
          </w:tcPr>
          <w:p w14:paraId="0C59045B">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3</w:t>
            </w:r>
          </w:p>
        </w:tc>
        <w:tc>
          <w:tcPr>
            <w:tcW w:w="2195" w:type="dxa"/>
            <w:vMerge w:val="restart"/>
            <w:vAlign w:val="center"/>
          </w:tcPr>
          <w:p w14:paraId="435AED93">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restart"/>
            <w:vAlign w:val="center"/>
          </w:tcPr>
          <w:p w14:paraId="6EF23C25">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4F6C491A">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02154AC2">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3E4E3A18">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6A1CB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continue"/>
            <w:tcBorders>
              <w:top w:val="nil"/>
            </w:tcBorders>
            <w:vAlign w:val="center"/>
          </w:tcPr>
          <w:p w14:paraId="39459696">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95" w:type="dxa"/>
            <w:vMerge w:val="continue"/>
            <w:tcBorders>
              <w:top w:val="nil"/>
            </w:tcBorders>
            <w:vAlign w:val="center"/>
          </w:tcPr>
          <w:p w14:paraId="19255AB7">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continue"/>
            <w:tcBorders>
              <w:top w:val="nil"/>
            </w:tcBorders>
            <w:vAlign w:val="center"/>
          </w:tcPr>
          <w:p w14:paraId="0B2FC83D">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632DDA3C">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3B0770D7">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1C535553">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7DFB9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restart"/>
            <w:vAlign w:val="center"/>
          </w:tcPr>
          <w:p w14:paraId="254D92F8">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r>
              <w:rPr>
                <w:rFonts w:hint="eastAsia" w:ascii="仿宋" w:hAnsi="仿宋" w:eastAsia="仿宋" w:cs="仿宋"/>
                <w:color w:val="000000" w:themeColor="text1"/>
                <w:sz w:val="24"/>
                <w:szCs w:val="24"/>
                <w:lang w:eastAsia="en-US"/>
                <w14:textFill>
                  <w14:solidFill>
                    <w14:schemeClr w14:val="tx1"/>
                  </w14:solidFill>
                </w14:textFill>
              </w:rPr>
              <w:t>……</w:t>
            </w:r>
          </w:p>
        </w:tc>
        <w:tc>
          <w:tcPr>
            <w:tcW w:w="2195" w:type="dxa"/>
            <w:vMerge w:val="restart"/>
            <w:vAlign w:val="center"/>
          </w:tcPr>
          <w:p w14:paraId="5F4384C8">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restart"/>
            <w:vAlign w:val="center"/>
          </w:tcPr>
          <w:p w14:paraId="6E745DBB">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3CDB13CC">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24FFB1F2">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6063233B">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16287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continue"/>
            <w:tcBorders>
              <w:top w:val="nil"/>
            </w:tcBorders>
            <w:vAlign w:val="center"/>
          </w:tcPr>
          <w:p w14:paraId="64BF7B65">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95" w:type="dxa"/>
            <w:vMerge w:val="continue"/>
            <w:tcBorders>
              <w:top w:val="nil"/>
            </w:tcBorders>
            <w:vAlign w:val="center"/>
          </w:tcPr>
          <w:p w14:paraId="1A30849C">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continue"/>
            <w:tcBorders>
              <w:top w:val="nil"/>
            </w:tcBorders>
            <w:vAlign w:val="center"/>
          </w:tcPr>
          <w:p w14:paraId="3D86DE37">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7EAD13E3">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05FB0C90">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52DDB452">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r w14:paraId="77E08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69" w:type="dxa"/>
            <w:vMerge w:val="continue"/>
            <w:tcBorders>
              <w:top w:val="nil"/>
            </w:tcBorders>
            <w:vAlign w:val="center"/>
          </w:tcPr>
          <w:p w14:paraId="0D4A86C5">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95" w:type="dxa"/>
            <w:vMerge w:val="continue"/>
            <w:tcBorders>
              <w:top w:val="nil"/>
            </w:tcBorders>
            <w:vAlign w:val="center"/>
          </w:tcPr>
          <w:p w14:paraId="5669FE5D">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137" w:type="dxa"/>
            <w:vMerge w:val="continue"/>
            <w:tcBorders>
              <w:top w:val="nil"/>
            </w:tcBorders>
            <w:vAlign w:val="center"/>
          </w:tcPr>
          <w:p w14:paraId="41FB40AC">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2403" w:type="dxa"/>
            <w:vAlign w:val="center"/>
          </w:tcPr>
          <w:p w14:paraId="36C97362">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3" w:type="dxa"/>
            <w:vAlign w:val="center"/>
          </w:tcPr>
          <w:p w14:paraId="6C502B84">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c>
          <w:tcPr>
            <w:tcW w:w="3072" w:type="dxa"/>
            <w:vAlign w:val="center"/>
          </w:tcPr>
          <w:p w14:paraId="19E8C695">
            <w:pPr>
              <w:pStyle w:val="38"/>
              <w:pageBreakBefore w:val="0"/>
              <w:widowControl w:val="0"/>
              <w:kinsoku/>
              <w:wordWrap/>
              <w:overflowPunct/>
              <w:topLinePunct w:val="0"/>
              <w:autoSpaceDE/>
              <w:autoSpaceDN/>
              <w:bidi w:val="0"/>
              <w:adjustRightInd/>
              <w:snapToGrid w:val="0"/>
              <w:spacing w:line="288" w:lineRule="auto"/>
              <w:textAlignment w:val="auto"/>
              <w:rPr>
                <w:rFonts w:hint="eastAsia" w:ascii="仿宋" w:hAnsi="仿宋" w:eastAsia="仿宋" w:cs="仿宋"/>
                <w:color w:val="000000" w:themeColor="text1"/>
                <w:sz w:val="24"/>
                <w:szCs w:val="24"/>
                <w:lang w:eastAsia="en-US"/>
                <w14:textFill>
                  <w14:solidFill>
                    <w14:schemeClr w14:val="tx1"/>
                  </w14:solidFill>
                </w14:textFill>
              </w:rPr>
            </w:pPr>
          </w:p>
        </w:tc>
      </w:tr>
    </w:tbl>
    <w:p w14:paraId="408DEAA5">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填表说明：</w:t>
      </w:r>
    </w:p>
    <w:p w14:paraId="04E3A3FA">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1.流域名称：填写排查后有隐患的流域名称，细化到保护对象所在的水系等级，字符型（20）；</w:t>
      </w:r>
    </w:p>
    <w:p w14:paraId="1E389B6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2.流域代码：以山洪灾害调查评价划分的小流域为基础，填写流域出口所在划分小流域的代码，字符型（20）；</w:t>
      </w:r>
    </w:p>
    <w:p w14:paraId="495CD2D8">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3.保护对象名称：填写属于该流域的表1中的“1.名称”，字符型（20）；</w:t>
      </w:r>
    </w:p>
    <w:p w14:paraId="7BE73A6B">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4.保护对象编码：填写属于该流域的表1中的“2.代码”，字符型（15）；</w:t>
      </w:r>
    </w:p>
    <w:p w14:paraId="3D681AC7">
      <w:pPr>
        <w:keepNext w:val="0"/>
        <w:keepLines w:val="0"/>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5.备注：填写流域的其他特征，如是否跨行政界，下游为水库、大河，等等，字符型（200）。</w:t>
      </w:r>
    </w:p>
    <w:p w14:paraId="140CEA59">
      <w:pP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br w:type="page"/>
      </w:r>
    </w:p>
    <w:p w14:paraId="3E4C7F1B">
      <w:pPr>
        <w:pageBreakBefore w:val="0"/>
        <w:widowControl/>
        <w:kinsoku/>
        <w:wordWrap/>
        <w:overflowPunct/>
        <w:topLinePunct w:val="0"/>
        <w:autoSpaceDE/>
        <w:autoSpaceDN/>
        <w:bidi w:val="0"/>
        <w:adjustRightInd/>
        <w:snapToGrid w:val="0"/>
        <w:spacing w:line="288" w:lineRule="auto"/>
        <w:jc w:val="both"/>
        <w:textAlignment w:val="auto"/>
        <w:rPr>
          <w:rFonts w:hint="eastAsia" w:ascii="仿宋" w:hAnsi="仿宋" w:eastAsia="仿宋" w:cs="仿宋"/>
          <w:b/>
          <w:bCs/>
          <w:color w:val="000000" w:themeColor="text1"/>
          <w:sz w:val="24"/>
          <w:szCs w:val="24"/>
          <w:lang w:val="en-US" w:eastAsia="zh-CN"/>
          <w14:textFill>
            <w14:solidFill>
              <w14:schemeClr w14:val="tx1"/>
            </w14:solidFill>
          </w14:textFill>
        </w:rPr>
      </w:pPr>
      <w:r>
        <w:rPr>
          <w:rFonts w:hint="eastAsia" w:ascii="仿宋" w:hAnsi="仿宋" w:eastAsia="仿宋" w:cs="仿宋"/>
          <w:b/>
          <w:bCs/>
          <w:color w:val="000000" w:themeColor="text1"/>
          <w:sz w:val="24"/>
          <w:szCs w:val="24"/>
          <w:lang w:val="en-US" w:eastAsia="zh-CN"/>
          <w14:textFill>
            <w14:solidFill>
              <w14:schemeClr w14:val="tx1"/>
            </w14:solidFill>
          </w14:textFill>
        </w:rPr>
        <w:t>附件2：</w:t>
      </w:r>
    </w:p>
    <w:p w14:paraId="740632B3">
      <w:pPr>
        <w:pageBreakBefore w:val="0"/>
        <w:widowControl/>
        <w:kinsoku/>
        <w:wordWrap/>
        <w:overflowPunct/>
        <w:topLinePunct w:val="0"/>
        <w:autoSpaceDE/>
        <w:autoSpaceDN/>
        <w:bidi w:val="0"/>
        <w:adjustRightInd/>
        <w:snapToGrid w:val="0"/>
        <w:spacing w:line="288" w:lineRule="auto"/>
        <w:ind w:firstLine="480" w:firstLineChars="200"/>
        <w:jc w:val="center"/>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河道断面测量表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2592"/>
        <w:gridCol w:w="1650"/>
        <w:gridCol w:w="1889"/>
        <w:gridCol w:w="2829"/>
        <w:gridCol w:w="2826"/>
        <w:gridCol w:w="1500"/>
      </w:tblGrid>
      <w:tr w14:paraId="42CD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8" w:hRule="atLeast"/>
        </w:trPr>
        <w:tc>
          <w:tcPr>
            <w:tcW w:w="5000" w:type="pct"/>
            <w:gridSpan w:val="7"/>
            <w:shd w:val="clear" w:color="auto" w:fill="auto"/>
            <w:noWrap/>
            <w:vAlign w:val="center"/>
          </w:tcPr>
          <w:p w14:paraId="524D73C7">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***上/下游河道断面测量成果表</w:t>
            </w:r>
          </w:p>
        </w:tc>
      </w:tr>
      <w:tr w14:paraId="046AC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000" w:type="pct"/>
            <w:gridSpan w:val="7"/>
            <w:shd w:val="clear" w:color="auto" w:fill="auto"/>
            <w:noWrap/>
            <w:vAlign w:val="center"/>
          </w:tcPr>
          <w:p w14:paraId="5E71D857">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测量日期：</w:t>
            </w:r>
          </w:p>
        </w:tc>
      </w:tr>
      <w:tr w14:paraId="05CF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28" w:type="pct"/>
            <w:gridSpan w:val="2"/>
            <w:shd w:val="clear" w:color="auto" w:fill="auto"/>
            <w:noWrap/>
            <w:vAlign w:val="center"/>
          </w:tcPr>
          <w:p w14:paraId="738DE53C">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所在位置</w:t>
            </w:r>
          </w:p>
        </w:tc>
        <w:tc>
          <w:tcPr>
            <w:tcW w:w="1248" w:type="pct"/>
            <w:gridSpan w:val="2"/>
            <w:shd w:val="clear" w:color="auto" w:fill="auto"/>
            <w:noWrap/>
            <w:vAlign w:val="center"/>
          </w:tcPr>
          <w:p w14:paraId="6B5C538B">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71B43D6D">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所在河道</w:t>
            </w:r>
          </w:p>
        </w:tc>
        <w:tc>
          <w:tcPr>
            <w:tcW w:w="1526" w:type="pct"/>
            <w:gridSpan w:val="2"/>
            <w:shd w:val="clear" w:color="auto" w:fill="auto"/>
            <w:noWrap/>
            <w:vAlign w:val="center"/>
          </w:tcPr>
          <w:p w14:paraId="30628EA3">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74B5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228" w:type="pct"/>
            <w:gridSpan w:val="2"/>
            <w:shd w:val="clear" w:color="auto" w:fill="auto"/>
            <w:noWrap/>
            <w:vAlign w:val="center"/>
          </w:tcPr>
          <w:p w14:paraId="721E187D">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断面标识</w:t>
            </w:r>
          </w:p>
        </w:tc>
        <w:tc>
          <w:tcPr>
            <w:tcW w:w="1248" w:type="pct"/>
            <w:gridSpan w:val="2"/>
            <w:shd w:val="clear" w:color="auto" w:fill="auto"/>
            <w:noWrap/>
            <w:vAlign w:val="center"/>
          </w:tcPr>
          <w:p w14:paraId="707707A4">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7DA00FD8">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断面形态</w:t>
            </w:r>
          </w:p>
        </w:tc>
        <w:tc>
          <w:tcPr>
            <w:tcW w:w="1526" w:type="pct"/>
            <w:gridSpan w:val="2"/>
            <w:shd w:val="clear" w:color="auto" w:fill="auto"/>
            <w:noWrap/>
            <w:vAlign w:val="center"/>
          </w:tcPr>
          <w:p w14:paraId="7124D022">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6D0A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28" w:type="pct"/>
            <w:gridSpan w:val="2"/>
            <w:shd w:val="clear" w:color="auto" w:fill="auto"/>
            <w:noWrap/>
            <w:vAlign w:val="center"/>
          </w:tcPr>
          <w:p w14:paraId="54CBF442">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河床底质</w:t>
            </w:r>
          </w:p>
        </w:tc>
        <w:tc>
          <w:tcPr>
            <w:tcW w:w="1248" w:type="pct"/>
            <w:gridSpan w:val="2"/>
            <w:shd w:val="clear" w:color="auto" w:fill="auto"/>
            <w:noWrap/>
            <w:vAlign w:val="center"/>
          </w:tcPr>
          <w:p w14:paraId="132CB16E">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3079EB85">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测量方法</w:t>
            </w:r>
          </w:p>
        </w:tc>
        <w:tc>
          <w:tcPr>
            <w:tcW w:w="1526" w:type="pct"/>
            <w:gridSpan w:val="2"/>
            <w:shd w:val="clear" w:color="auto" w:fill="auto"/>
            <w:noWrap/>
            <w:vAlign w:val="center"/>
          </w:tcPr>
          <w:p w14:paraId="02D4D0EF">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73E0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28" w:type="pct"/>
            <w:gridSpan w:val="2"/>
            <w:shd w:val="clear" w:color="auto" w:fill="auto"/>
            <w:noWrap/>
            <w:vAlign w:val="center"/>
          </w:tcPr>
          <w:p w14:paraId="1077281B">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基点经度（°）</w:t>
            </w:r>
          </w:p>
        </w:tc>
        <w:tc>
          <w:tcPr>
            <w:tcW w:w="1248" w:type="pct"/>
            <w:gridSpan w:val="2"/>
            <w:shd w:val="clear" w:color="auto" w:fill="auto"/>
            <w:noWrap/>
            <w:vAlign w:val="center"/>
          </w:tcPr>
          <w:p w14:paraId="7CD19E55">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2DDB5F37">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基点纬度（°）</w:t>
            </w:r>
          </w:p>
        </w:tc>
        <w:tc>
          <w:tcPr>
            <w:tcW w:w="1526" w:type="pct"/>
            <w:gridSpan w:val="2"/>
            <w:shd w:val="clear" w:color="auto" w:fill="auto"/>
            <w:noWrap/>
            <w:vAlign w:val="center"/>
          </w:tcPr>
          <w:p w14:paraId="7A8FDA3A">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3828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28" w:type="pct"/>
            <w:gridSpan w:val="2"/>
            <w:shd w:val="clear" w:color="auto" w:fill="auto"/>
            <w:noWrap/>
            <w:vAlign w:val="center"/>
          </w:tcPr>
          <w:p w14:paraId="7640D9FB">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基点高程(m）</w:t>
            </w:r>
          </w:p>
        </w:tc>
        <w:tc>
          <w:tcPr>
            <w:tcW w:w="1248" w:type="pct"/>
            <w:gridSpan w:val="2"/>
            <w:shd w:val="clear" w:color="auto" w:fill="auto"/>
            <w:noWrap/>
            <w:vAlign w:val="center"/>
          </w:tcPr>
          <w:p w14:paraId="6EED9A3B">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1AB37D6C">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断面方位角（°）</w:t>
            </w:r>
          </w:p>
        </w:tc>
        <w:tc>
          <w:tcPr>
            <w:tcW w:w="1526" w:type="pct"/>
            <w:gridSpan w:val="2"/>
            <w:shd w:val="clear" w:color="auto" w:fill="auto"/>
            <w:noWrap/>
            <w:vAlign w:val="center"/>
          </w:tcPr>
          <w:p w14:paraId="7878898B">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3A412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228" w:type="pct"/>
            <w:gridSpan w:val="2"/>
            <w:shd w:val="clear" w:color="auto" w:fill="auto"/>
            <w:noWrap/>
            <w:vAlign w:val="center"/>
          </w:tcPr>
          <w:p w14:paraId="7394D0AD">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历史最高水位（m）</w:t>
            </w:r>
          </w:p>
        </w:tc>
        <w:tc>
          <w:tcPr>
            <w:tcW w:w="1248" w:type="pct"/>
            <w:gridSpan w:val="2"/>
            <w:shd w:val="clear" w:color="auto" w:fill="auto"/>
            <w:noWrap/>
            <w:vAlign w:val="center"/>
          </w:tcPr>
          <w:p w14:paraId="7908BF01">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59E97701">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成灾水位（m）</w:t>
            </w:r>
          </w:p>
        </w:tc>
        <w:tc>
          <w:tcPr>
            <w:tcW w:w="1526" w:type="pct"/>
            <w:gridSpan w:val="2"/>
            <w:shd w:val="clear" w:color="auto" w:fill="auto"/>
            <w:noWrap/>
            <w:vAlign w:val="center"/>
          </w:tcPr>
          <w:p w14:paraId="26ACB9F3">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722F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313" w:type="pct"/>
            <w:shd w:val="clear" w:color="auto" w:fill="auto"/>
            <w:noWrap/>
            <w:vAlign w:val="center"/>
          </w:tcPr>
          <w:p w14:paraId="1D524AC7">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序号</w:t>
            </w:r>
          </w:p>
        </w:tc>
        <w:tc>
          <w:tcPr>
            <w:tcW w:w="914" w:type="pct"/>
            <w:shd w:val="clear" w:color="auto" w:fill="auto"/>
            <w:noWrap/>
            <w:vAlign w:val="center"/>
          </w:tcPr>
          <w:p w14:paraId="3DD819C3">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断面特征点</w:t>
            </w:r>
          </w:p>
          <w:p w14:paraId="477813DC">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描述</w:t>
            </w:r>
          </w:p>
        </w:tc>
        <w:tc>
          <w:tcPr>
            <w:tcW w:w="582" w:type="pct"/>
            <w:shd w:val="clear" w:color="auto" w:fill="auto"/>
            <w:noWrap/>
            <w:vAlign w:val="center"/>
          </w:tcPr>
          <w:p w14:paraId="6FD246AD">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起点距（m）</w:t>
            </w:r>
          </w:p>
        </w:tc>
        <w:tc>
          <w:tcPr>
            <w:tcW w:w="666" w:type="pct"/>
            <w:shd w:val="clear" w:color="auto" w:fill="auto"/>
            <w:noWrap/>
            <w:vAlign w:val="center"/>
          </w:tcPr>
          <w:p w14:paraId="68424975">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高程(m）</w:t>
            </w:r>
          </w:p>
        </w:tc>
        <w:tc>
          <w:tcPr>
            <w:tcW w:w="998" w:type="pct"/>
            <w:shd w:val="clear" w:color="auto" w:fill="auto"/>
            <w:noWrap/>
            <w:vAlign w:val="center"/>
          </w:tcPr>
          <w:p w14:paraId="3131869F">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经度</w:t>
            </w:r>
          </w:p>
          <w:p w14:paraId="2B98105C">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（大地2000）</w:t>
            </w:r>
          </w:p>
        </w:tc>
        <w:tc>
          <w:tcPr>
            <w:tcW w:w="997" w:type="pct"/>
            <w:shd w:val="clear" w:color="auto" w:fill="auto"/>
            <w:noWrap/>
            <w:vAlign w:val="center"/>
          </w:tcPr>
          <w:p w14:paraId="10CB8943">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纬度</w:t>
            </w:r>
          </w:p>
          <w:p w14:paraId="1B13DB24">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（大地2000）</w:t>
            </w:r>
          </w:p>
        </w:tc>
        <w:tc>
          <w:tcPr>
            <w:tcW w:w="530" w:type="pct"/>
            <w:shd w:val="clear" w:color="auto" w:fill="auto"/>
            <w:noWrap/>
            <w:vAlign w:val="center"/>
          </w:tcPr>
          <w:p w14:paraId="7FC43FBE">
            <w:pPr>
              <w:pageBreakBefore w:val="0"/>
              <w:kinsoku/>
              <w:wordWrap/>
              <w:overflowPunct/>
              <w:topLinePunct w:val="0"/>
              <w:autoSpaceDE/>
              <w:autoSpaceDN/>
              <w:bidi w:val="0"/>
              <w:adjustRightInd/>
              <w:snapToGrid w:val="0"/>
              <w:spacing w:line="240"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糙率</w:t>
            </w:r>
          </w:p>
        </w:tc>
      </w:tr>
      <w:tr w14:paraId="4954B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6D45399F">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1</w:t>
            </w:r>
          </w:p>
        </w:tc>
        <w:tc>
          <w:tcPr>
            <w:tcW w:w="914" w:type="pct"/>
            <w:shd w:val="clear" w:color="auto" w:fill="auto"/>
            <w:noWrap/>
            <w:vAlign w:val="center"/>
          </w:tcPr>
          <w:p w14:paraId="344F5A1D">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7CEFD6A6">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02F510AF">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19E61150">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2ADB2320">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576EA447">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4E7C7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0C843238">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2</w:t>
            </w:r>
          </w:p>
        </w:tc>
        <w:tc>
          <w:tcPr>
            <w:tcW w:w="914" w:type="pct"/>
            <w:shd w:val="clear" w:color="auto" w:fill="auto"/>
            <w:noWrap/>
            <w:vAlign w:val="center"/>
          </w:tcPr>
          <w:p w14:paraId="794F0BD3">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21CF67CE">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36D0557F">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5D865124">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3EF4C5BB">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405A20A3">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3F89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659B9875">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3</w:t>
            </w:r>
          </w:p>
        </w:tc>
        <w:tc>
          <w:tcPr>
            <w:tcW w:w="914" w:type="pct"/>
            <w:shd w:val="clear" w:color="auto" w:fill="auto"/>
            <w:noWrap/>
            <w:vAlign w:val="center"/>
          </w:tcPr>
          <w:p w14:paraId="40C967D8">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2C23E42B">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5C2B9B57">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7FF5E894">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2A74EC69">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399A52D3">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6A3FB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2EDFA787">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4</w:t>
            </w:r>
          </w:p>
        </w:tc>
        <w:tc>
          <w:tcPr>
            <w:tcW w:w="914" w:type="pct"/>
            <w:shd w:val="clear" w:color="auto" w:fill="auto"/>
            <w:noWrap/>
            <w:vAlign w:val="center"/>
          </w:tcPr>
          <w:p w14:paraId="6D35E4A7">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6F4E8FBE">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6CDBA4F0">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48AA6EA2">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283341C2">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2F6852B6">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40BE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0FE4F268">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5</w:t>
            </w:r>
          </w:p>
        </w:tc>
        <w:tc>
          <w:tcPr>
            <w:tcW w:w="914" w:type="pct"/>
            <w:shd w:val="clear" w:color="auto" w:fill="auto"/>
            <w:noWrap/>
            <w:vAlign w:val="center"/>
          </w:tcPr>
          <w:p w14:paraId="60E4F15D">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731C7C8E">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1EB60C57">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3DFD0A3E">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101B2A71">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1E05BF42">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131E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1B3471F6">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6</w:t>
            </w:r>
          </w:p>
        </w:tc>
        <w:tc>
          <w:tcPr>
            <w:tcW w:w="914" w:type="pct"/>
            <w:shd w:val="clear" w:color="auto" w:fill="auto"/>
            <w:noWrap/>
            <w:vAlign w:val="center"/>
          </w:tcPr>
          <w:p w14:paraId="235895DE">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40669709">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092F23ED">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441283DC">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19D30FA9">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236F23C0">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4DB5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7E212053">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7</w:t>
            </w:r>
          </w:p>
        </w:tc>
        <w:tc>
          <w:tcPr>
            <w:tcW w:w="914" w:type="pct"/>
            <w:shd w:val="clear" w:color="auto" w:fill="auto"/>
            <w:noWrap/>
            <w:vAlign w:val="center"/>
          </w:tcPr>
          <w:p w14:paraId="1BE24B4D">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37D26C3B">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0E3EC0A7">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0DC5EF66">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6AC13484">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23F147A3">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54D6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24F8A6CB">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8</w:t>
            </w:r>
          </w:p>
        </w:tc>
        <w:tc>
          <w:tcPr>
            <w:tcW w:w="914" w:type="pct"/>
            <w:shd w:val="clear" w:color="auto" w:fill="auto"/>
            <w:noWrap/>
            <w:vAlign w:val="center"/>
          </w:tcPr>
          <w:p w14:paraId="7CC67099">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64C5F8EB">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6C0DB0BB">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1BB4FFCA">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2B1BB1B5">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29C7C46F">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r w14:paraId="18E96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13" w:type="pct"/>
            <w:shd w:val="clear" w:color="auto" w:fill="auto"/>
            <w:noWrap/>
            <w:vAlign w:val="center"/>
          </w:tcPr>
          <w:p w14:paraId="23D21DD7">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r>
              <w:rPr>
                <w:rFonts w:hint="eastAsia" w:ascii="仿宋" w:hAnsi="仿宋" w:eastAsia="仿宋" w:cs="仿宋"/>
                <w:color w:val="000000" w:themeColor="text1"/>
                <w:sz w:val="24"/>
                <w:szCs w:val="24"/>
                <w:lang w:bidi="he-IL"/>
                <w14:textFill>
                  <w14:solidFill>
                    <w14:schemeClr w14:val="tx1"/>
                  </w14:solidFill>
                </w14:textFill>
              </w:rPr>
              <w:t>…</w:t>
            </w:r>
          </w:p>
        </w:tc>
        <w:tc>
          <w:tcPr>
            <w:tcW w:w="914" w:type="pct"/>
            <w:shd w:val="clear" w:color="auto" w:fill="auto"/>
            <w:noWrap/>
            <w:vAlign w:val="center"/>
          </w:tcPr>
          <w:p w14:paraId="2D375020">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82" w:type="pct"/>
            <w:shd w:val="clear" w:color="auto" w:fill="auto"/>
            <w:noWrap/>
            <w:vAlign w:val="center"/>
          </w:tcPr>
          <w:p w14:paraId="3155E16F">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666" w:type="pct"/>
            <w:shd w:val="clear" w:color="auto" w:fill="auto"/>
            <w:noWrap/>
            <w:vAlign w:val="center"/>
          </w:tcPr>
          <w:p w14:paraId="17EA5518">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8" w:type="pct"/>
            <w:shd w:val="clear" w:color="auto" w:fill="auto"/>
            <w:noWrap/>
            <w:vAlign w:val="center"/>
          </w:tcPr>
          <w:p w14:paraId="43D61808">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997" w:type="pct"/>
            <w:shd w:val="clear" w:color="auto" w:fill="auto"/>
            <w:noWrap/>
            <w:vAlign w:val="center"/>
          </w:tcPr>
          <w:p w14:paraId="7D04BC78">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c>
          <w:tcPr>
            <w:tcW w:w="530" w:type="pct"/>
            <w:shd w:val="clear" w:color="auto" w:fill="auto"/>
            <w:noWrap/>
            <w:vAlign w:val="center"/>
          </w:tcPr>
          <w:p w14:paraId="0271DB3A">
            <w:pPr>
              <w:pageBreakBefore w:val="0"/>
              <w:kinsoku/>
              <w:wordWrap/>
              <w:overflowPunct/>
              <w:topLinePunct w:val="0"/>
              <w:autoSpaceDE/>
              <w:autoSpaceDN/>
              <w:bidi w:val="0"/>
              <w:adjustRightInd/>
              <w:snapToGrid w:val="0"/>
              <w:spacing w:line="288" w:lineRule="auto"/>
              <w:ind w:left="360" w:hanging="360"/>
              <w:jc w:val="center"/>
              <w:textAlignment w:val="auto"/>
              <w:rPr>
                <w:rFonts w:hint="eastAsia" w:ascii="仿宋" w:hAnsi="仿宋" w:eastAsia="仿宋" w:cs="仿宋"/>
                <w:color w:val="000000" w:themeColor="text1"/>
                <w:sz w:val="24"/>
                <w:szCs w:val="24"/>
                <w:lang w:bidi="he-IL"/>
                <w14:textFill>
                  <w14:solidFill>
                    <w14:schemeClr w14:val="tx1"/>
                  </w14:solidFill>
                </w14:textFill>
              </w:rPr>
            </w:pPr>
          </w:p>
        </w:tc>
      </w:tr>
    </w:tbl>
    <w:p w14:paraId="0DB089F4">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填表说明：</w:t>
      </w:r>
    </w:p>
    <w:p w14:paraId="25DD2322">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 所在位置填写：沿河村落的横断面填写县（市、区）、乡（镇、街道）、行政村、自然村；</w:t>
      </w:r>
    </w:p>
    <w:p w14:paraId="7727D2A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2．所在河道：填写横断面所在河道名称；</w:t>
      </w:r>
    </w:p>
    <w:p w14:paraId="5C60BF7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3．断面标识：0 上游，1 下游，2 控制断面；</w:t>
      </w:r>
    </w:p>
    <w:p w14:paraId="0A46C16C">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4．断面形状类型：A:矩形，B:抛物线型，C:三角形，D;复合型；</w:t>
      </w:r>
    </w:p>
    <w:p w14:paraId="6503B762">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5．河床底质：0：岩石，1：砂砾石，2：砂土，3：壤土，4：粘土；</w:t>
      </w:r>
    </w:p>
    <w:p w14:paraId="30340B34">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6．测量方法为： 1）水准仪卷尺测量法；2） GNSS RTK 测量法；3）全站仪法；4）三维激光 扫描方法的其中一种；</w:t>
      </w:r>
    </w:p>
    <w:p w14:paraId="1AF62673">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7．基点经度：横断面所在坐标系内起点的经度， 保留 7 位小数；</w:t>
      </w:r>
    </w:p>
    <w:p w14:paraId="426586B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8．基点纬度：横断面所在坐标系内起点的纬度， 保留 7 位小数；</w:t>
      </w:r>
    </w:p>
    <w:p w14:paraId="5133FF16">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9. 基点高程：横断面所在坐标系内起点的高程；</w:t>
      </w:r>
    </w:p>
    <w:p w14:paraId="1E480639">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10．断面方位角：横断面的方位角， 保留 4 位小数；</w:t>
      </w:r>
    </w:p>
    <w:p w14:paraId="1695F8B7">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 历史最高水位(m）：根据洪痕确定的历史最高水位；</w:t>
      </w:r>
    </w:p>
    <w:p w14:paraId="0AB01D83">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 成灾水位(m）：防治区内可能发生山洪灾害的最低水位；</w:t>
      </w:r>
    </w:p>
    <w:p w14:paraId="59698CF4">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 起点距：左岸基点的起点距为 0。如定右岸为基点，基点的起点距填写断面最长距离，基点的起点距为必填项（填写经纬度数据可不填写起点距）；</w:t>
      </w:r>
    </w:p>
    <w:p w14:paraId="093042AE">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14. 高程：测点的高程，保留 3 位小数；</w:t>
      </w:r>
    </w:p>
    <w:p w14:paraId="2F923818">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 经度：测量点的经度，保留 7 位小数；</w:t>
      </w:r>
    </w:p>
    <w:p w14:paraId="3CFF01BD">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16. 纬度：测量点的纬度，保留 7 位小数；</w:t>
      </w:r>
    </w:p>
    <w:p w14:paraId="1D68E30C">
      <w:pPr>
        <w:pageBreakBefore w:val="0"/>
        <w:widowControl/>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17. 糙率：根据现场下垫面情况，参照水文手册中下垫面糙率值分段填写。</w:t>
      </w:r>
    </w:p>
    <w:p w14:paraId="7C6C4F35">
      <w:pPr>
        <w:keepNext w:val="0"/>
        <w:keepLines w:val="0"/>
        <w:pageBreakBefore w:val="0"/>
        <w:widowControl w:val="0"/>
        <w:kinsoku/>
        <w:wordWrap/>
        <w:overflowPunct/>
        <w:topLinePunct w:val="0"/>
        <w:autoSpaceDE w:val="0"/>
        <w:autoSpaceDN w:val="0"/>
        <w:bidi w:val="0"/>
        <w:adjustRightInd w:val="0"/>
        <w:snapToGrid w:val="0"/>
        <w:spacing w:line="420" w:lineRule="exact"/>
        <w:textAlignment w:val="auto"/>
        <w:rPr>
          <w:rFonts w:hint="eastAsia" w:ascii="仿宋" w:hAnsi="仿宋" w:eastAsia="仿宋" w:cs="仿宋"/>
          <w:color w:val="auto"/>
          <w:highlight w:val="none"/>
        </w:rPr>
      </w:pPr>
    </w:p>
    <w:sectPr>
      <w:headerReference r:id="rId8" w:type="default"/>
      <w:footerReference r:id="rId9" w:type="default"/>
      <w:pgSz w:w="16838" w:h="11906" w:orient="landscape"/>
      <w:pgMar w:top="1463" w:right="1440" w:bottom="1463"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Times New Roman"/>
    <w:panose1 w:val="00000000000000000000"/>
    <w:charset w:val="00"/>
    <w:family w:val="roman"/>
    <w:pitch w:val="default"/>
    <w:sig w:usb0="00000000" w:usb1="00000000" w:usb2="00000000" w:usb3="00000000" w:csb0="00040001" w:csb1="00000000"/>
  </w:font>
  <w:font w:name="Helvetica">
    <w:altName w:val="Arial"/>
    <w:panose1 w:val="020B0504020202030204"/>
    <w:charset w:val="00"/>
    <w:family w:val="swiss"/>
    <w:pitch w:val="default"/>
    <w:sig w:usb0="00000000" w:usb1="00000000" w:usb2="00000000" w:usb3="00000000" w:csb0="00000093"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汉仪中黑 197">
    <w:panose1 w:val="00020600040101010101"/>
    <w:charset w:val="86"/>
    <w:family w:val="auto"/>
    <w:pitch w:val="default"/>
    <w:sig w:usb0="A00002BF" w:usb1="18EF7CFA" w:usb2="00000016" w:usb3="00000000" w:csb0="0004009F" w:csb1="00000000"/>
  </w:font>
  <w:font w:name="楷体_GB2312">
    <w:panose1 w:val="02010609030101010101"/>
    <w:charset w:val="86"/>
    <w:family w:val="modern"/>
    <w:pitch w:val="default"/>
    <w:sig w:usb0="00000001" w:usb1="080E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仿宋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56EFD">
    <w:pPr>
      <w:pStyle w:val="9"/>
      <w:jc w:val="center"/>
    </w:pPr>
  </w:p>
  <w:p w14:paraId="12F0A416">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E7584">
    <w:pPr>
      <w:pStyle w:val="9"/>
      <w:jc w:val="center"/>
    </w:pPr>
  </w:p>
  <w:p w14:paraId="0CA093F6">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39FB8">
    <w:pPr>
      <w:pStyle w:val="9"/>
      <w:tabs>
        <w:tab w:val="left" w:pos="5051"/>
        <w:tab w:val="clear" w:pos="4153"/>
      </w:tabs>
      <w:ind w:right="360"/>
      <w:rPr>
        <w:rFonts w:hint="eastAsia" w:eastAsia="宋体"/>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106108">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cUoWg3gEAAL4DAAAOAAAAAAAA&#10;AAEAIAAAAB4BAABkcnMvZTJvRG9jLnhtbFBLBQYAAAAABgAGAFkBAABuBQAAAAA=&#10;">
              <v:fill on="f" focussize="0,0"/>
              <v:stroke on="f"/>
              <v:imagedata o:title=""/>
              <o:lock v:ext="edit" aspectratio="f"/>
              <v:textbox inset="0mm,0mm,0mm,0mm" style="mso-fit-shape-to-text:t;">
                <w:txbxContent>
                  <w:p w14:paraId="6E106108">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79540">
    <w:pPr>
      <w:pStyle w:val="9"/>
      <w:rPr>
        <w:sz w:val="21"/>
        <w:szCs w:val="21"/>
      </w:rPr>
    </w:pPr>
    <w:r>
      <w:rPr>
        <w:sz w:val="21"/>
        <w:szCs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2540</wp:posOffset>
              </wp:positionV>
              <wp:extent cx="14986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49860" cy="1828800"/>
                      </a:xfrm>
                      <a:prstGeom prst="rect">
                        <a:avLst/>
                      </a:prstGeom>
                      <a:noFill/>
                      <a:ln w="6350">
                        <a:noFill/>
                      </a:ln>
                      <a:effectLst/>
                    </wps:spPr>
                    <wps:txbx>
                      <w:txbxContent>
                        <w:p w14:paraId="6B3F5E9A">
                          <w:pPr>
                            <w:pStyle w:val="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2pt;height:144pt;width:11.8pt;mso-position-horizontal:center;mso-position-horizontal-relative:margin;z-index:251661312;mso-width-relative:page;mso-height-relative:page;" filled="f" stroked="f" coordsize="21600,21600" o:gfxdata="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z02PzUAAAABAEAAA8AAAAAAAAAAQAgAAAAIgAAAGRycy9kb3ducmV2&#10;LnhtbFBLAQIUABQAAAAIAIdO4kCgn6wnOQIAAGQEAAAOAAAAAAAAAAEAIAAAACMBAABkcnMvZTJv&#10;RG9jLnhtbFBLBQYAAAAABgAGAFkBAADOBQAAAAA=&#10;">
              <v:fill on="f" focussize="0,0"/>
              <v:stroke on="f" weight="0.5pt"/>
              <v:imagedata o:title=""/>
              <o:lock v:ext="edit" aspectratio="f"/>
              <v:textbox inset="0mm,0mm,0mm,0mm" style="mso-fit-shape-to-text:t;">
                <w:txbxContent>
                  <w:p w14:paraId="6B3F5E9A">
                    <w:pPr>
                      <w:pStyle w:val="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18597">
    <w:pPr>
      <w:pStyle w:val="10"/>
      <w:rPr>
        <w:rFonts w:hint="eastAsia" w:ascii="宋体" w:hAnsi="宋体" w:eastAsia="宋体" w:cs="宋体"/>
        <w:sz w:val="21"/>
        <w:szCs w:val="21"/>
      </w:rPr>
    </w:pPr>
    <w:r>
      <w:rPr>
        <w:rFonts w:hint="eastAsia" w:ascii="宋体" w:hAnsi="宋体" w:eastAsia="宋体" w:cs="宋体"/>
        <w:sz w:val="21"/>
        <w:szCs w:val="21"/>
      </w:rPr>
      <w:t>诸暨市宸佳工程管理有限公司采购要素文件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73AEB">
    <w:pPr>
      <w:pStyle w:val="10"/>
      <w:rPr>
        <w:rFonts w:hint="eastAsia" w:ascii="宋体" w:hAnsi="宋体" w:eastAsia="宋体" w:cs="宋体"/>
      </w:rPr>
    </w:pPr>
    <w:r>
      <w:rPr>
        <w:rFonts w:hint="eastAsia" w:ascii="宋体" w:hAnsi="宋体" w:eastAsia="宋体" w:cs="宋体"/>
        <w:sz w:val="21"/>
        <w:szCs w:val="21"/>
      </w:rPr>
      <w:t>诸暨市宸佳工程管理有限公司采购要素文件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DF78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FB1CDC"/>
    <w:multiLevelType w:val="singleLevel"/>
    <w:tmpl w:val="C3FB1CDC"/>
    <w:lvl w:ilvl="0" w:tentative="0">
      <w:start w:val="2"/>
      <w:numFmt w:val="decimal"/>
      <w:lvlText w:val="%1."/>
      <w:lvlJc w:val="left"/>
      <w:pPr>
        <w:tabs>
          <w:tab w:val="left" w:pos="312"/>
        </w:tabs>
      </w:pPr>
    </w:lvl>
  </w:abstractNum>
  <w:abstractNum w:abstractNumId="1">
    <w:nsid w:val="2893058D"/>
    <w:multiLevelType w:val="singleLevel"/>
    <w:tmpl w:val="2893058D"/>
    <w:lvl w:ilvl="0" w:tentative="0">
      <w:start w:val="1"/>
      <w:numFmt w:val="decimal"/>
      <w:pStyle w:val="4"/>
      <w:lvlText w:val="%1."/>
      <w:lvlJc w:val="left"/>
      <w:pPr>
        <w:tabs>
          <w:tab w:val="left" w:pos="360"/>
        </w:tabs>
        <w:ind w:left="360" w:hanging="360"/>
      </w:pPr>
    </w:lvl>
  </w:abstractNum>
  <w:abstractNum w:abstractNumId="2">
    <w:nsid w:val="5B7CDDB1"/>
    <w:multiLevelType w:val="singleLevel"/>
    <w:tmpl w:val="5B7CDDB1"/>
    <w:lvl w:ilvl="0" w:tentative="0">
      <w:start w:val="2"/>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iOTQwM2Q1MWJhZmQ3MzFmZTU4OTNhNDBlM2Y0MDYifQ=="/>
  </w:docVars>
  <w:rsids>
    <w:rsidRoot w:val="5D750AA9"/>
    <w:rsid w:val="004B48CF"/>
    <w:rsid w:val="00944D91"/>
    <w:rsid w:val="012129CF"/>
    <w:rsid w:val="031F3DF1"/>
    <w:rsid w:val="040A2CF3"/>
    <w:rsid w:val="06345E06"/>
    <w:rsid w:val="065F2AE8"/>
    <w:rsid w:val="06D27ECE"/>
    <w:rsid w:val="074B62CD"/>
    <w:rsid w:val="078302D9"/>
    <w:rsid w:val="08AC2B42"/>
    <w:rsid w:val="0A0627FF"/>
    <w:rsid w:val="0B1553E4"/>
    <w:rsid w:val="0B3F7726"/>
    <w:rsid w:val="0DEE40E7"/>
    <w:rsid w:val="0F12626A"/>
    <w:rsid w:val="105552F6"/>
    <w:rsid w:val="12FB373C"/>
    <w:rsid w:val="13184C6E"/>
    <w:rsid w:val="138E4DA7"/>
    <w:rsid w:val="13E96481"/>
    <w:rsid w:val="16BE1E47"/>
    <w:rsid w:val="18211A9A"/>
    <w:rsid w:val="188F0F1E"/>
    <w:rsid w:val="19850135"/>
    <w:rsid w:val="19B337B9"/>
    <w:rsid w:val="19EF703A"/>
    <w:rsid w:val="1AE069FF"/>
    <w:rsid w:val="1B2D1349"/>
    <w:rsid w:val="1C766D20"/>
    <w:rsid w:val="1C977740"/>
    <w:rsid w:val="1DE57CB9"/>
    <w:rsid w:val="1EB13A4F"/>
    <w:rsid w:val="20014799"/>
    <w:rsid w:val="20343D40"/>
    <w:rsid w:val="21F42BC1"/>
    <w:rsid w:val="23835693"/>
    <w:rsid w:val="241A36B7"/>
    <w:rsid w:val="2496006B"/>
    <w:rsid w:val="25181E76"/>
    <w:rsid w:val="255E2BD5"/>
    <w:rsid w:val="259843C5"/>
    <w:rsid w:val="25FE53C5"/>
    <w:rsid w:val="26216231"/>
    <w:rsid w:val="263F35A7"/>
    <w:rsid w:val="26F50657"/>
    <w:rsid w:val="27D55400"/>
    <w:rsid w:val="29F83741"/>
    <w:rsid w:val="2B9B5E9A"/>
    <w:rsid w:val="2CD72733"/>
    <w:rsid w:val="2E2E745B"/>
    <w:rsid w:val="2E7D5CEC"/>
    <w:rsid w:val="2EC77A57"/>
    <w:rsid w:val="2EDA3B18"/>
    <w:rsid w:val="2EF769E1"/>
    <w:rsid w:val="2F0363AD"/>
    <w:rsid w:val="2F511158"/>
    <w:rsid w:val="2F8008A3"/>
    <w:rsid w:val="30DF2C8E"/>
    <w:rsid w:val="31AF6F8B"/>
    <w:rsid w:val="321355F6"/>
    <w:rsid w:val="333572AA"/>
    <w:rsid w:val="35214B91"/>
    <w:rsid w:val="35E42AF3"/>
    <w:rsid w:val="36483084"/>
    <w:rsid w:val="36A147FA"/>
    <w:rsid w:val="371B5911"/>
    <w:rsid w:val="375E7BE5"/>
    <w:rsid w:val="3C7B7D0F"/>
    <w:rsid w:val="3C8C16AC"/>
    <w:rsid w:val="3D7D7AB7"/>
    <w:rsid w:val="3E18333B"/>
    <w:rsid w:val="3FED2BAE"/>
    <w:rsid w:val="41994793"/>
    <w:rsid w:val="41F02B47"/>
    <w:rsid w:val="43757167"/>
    <w:rsid w:val="44494EFB"/>
    <w:rsid w:val="448A57AF"/>
    <w:rsid w:val="48320F2B"/>
    <w:rsid w:val="485B42E2"/>
    <w:rsid w:val="4A8561FD"/>
    <w:rsid w:val="4AA61BC9"/>
    <w:rsid w:val="4AD47373"/>
    <w:rsid w:val="4C4B47F8"/>
    <w:rsid w:val="4E8C7C10"/>
    <w:rsid w:val="4F445795"/>
    <w:rsid w:val="50716043"/>
    <w:rsid w:val="50B11AF9"/>
    <w:rsid w:val="511C098C"/>
    <w:rsid w:val="518549DE"/>
    <w:rsid w:val="52D3636A"/>
    <w:rsid w:val="530321B2"/>
    <w:rsid w:val="53445F56"/>
    <w:rsid w:val="53A57CE9"/>
    <w:rsid w:val="53B66FD2"/>
    <w:rsid w:val="55D30BED"/>
    <w:rsid w:val="56665134"/>
    <w:rsid w:val="581E33EA"/>
    <w:rsid w:val="59BD150F"/>
    <w:rsid w:val="5A5D23AA"/>
    <w:rsid w:val="5D750AA9"/>
    <w:rsid w:val="5D867E6A"/>
    <w:rsid w:val="5FB6484A"/>
    <w:rsid w:val="60D07D7A"/>
    <w:rsid w:val="610D35DE"/>
    <w:rsid w:val="611B60F3"/>
    <w:rsid w:val="63041F5D"/>
    <w:rsid w:val="63666773"/>
    <w:rsid w:val="63D32D7B"/>
    <w:rsid w:val="6554450A"/>
    <w:rsid w:val="65F248EA"/>
    <w:rsid w:val="672916BA"/>
    <w:rsid w:val="679D3DD1"/>
    <w:rsid w:val="6D5B4E6F"/>
    <w:rsid w:val="6D6B55E3"/>
    <w:rsid w:val="6F3E2352"/>
    <w:rsid w:val="706478BD"/>
    <w:rsid w:val="72E85446"/>
    <w:rsid w:val="734E2F17"/>
    <w:rsid w:val="75D93200"/>
    <w:rsid w:val="79F91C98"/>
    <w:rsid w:val="7A304F8E"/>
    <w:rsid w:val="7BFA5853"/>
    <w:rsid w:val="7D0C5FE7"/>
    <w:rsid w:val="7DD153E0"/>
    <w:rsid w:val="7E567BFD"/>
    <w:rsid w:val="7EAD29C3"/>
    <w:rsid w:val="7EC46660"/>
    <w:rsid w:val="7F4A14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rFonts w:ascii="Times New Roman" w:hAnsi="Times New Roman" w:eastAsia="宋体" w:cs="Times New Roman"/>
      <w:b/>
      <w:kern w:val="44"/>
      <w:sz w:val="44"/>
    </w:rPr>
  </w:style>
  <w:style w:type="paragraph" w:styleId="3">
    <w:name w:val="heading 2"/>
    <w:basedOn w:val="1"/>
    <w:next w:val="1"/>
    <w:qFormat/>
    <w:uiPriority w:val="0"/>
    <w:pPr>
      <w:keepNext/>
      <w:keepLines/>
      <w:autoSpaceDE/>
      <w:autoSpaceDN/>
      <w:adjustRightInd/>
      <w:spacing w:before="260" w:beforeLines="0" w:after="260" w:afterLines="0" w:line="413" w:lineRule="auto"/>
      <w:outlineLvl w:val="1"/>
    </w:pPr>
    <w:rPr>
      <w:rFonts w:ascii="Arial" w:hAnsi="Arial" w:eastAsia="黑体" w:cs="Times New Roman"/>
      <w:b/>
      <w:bCs/>
      <w:color w:val="auto"/>
      <w:kern w:val="2"/>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List Number"/>
    <w:basedOn w:val="1"/>
    <w:qFormat/>
    <w:uiPriority w:val="0"/>
    <w:pPr>
      <w:numPr>
        <w:ilvl w:val="0"/>
        <w:numId w:val="1"/>
      </w:numPr>
    </w:pPr>
  </w:style>
  <w:style w:type="paragraph" w:styleId="5">
    <w:name w:val="index 5"/>
    <w:basedOn w:val="1"/>
    <w:next w:val="1"/>
    <w:qFormat/>
    <w:uiPriority w:val="0"/>
    <w:pPr>
      <w:ind w:left="800" w:leftChars="800"/>
    </w:pPr>
  </w:style>
  <w:style w:type="paragraph" w:styleId="6">
    <w:name w:val="Body Text"/>
    <w:basedOn w:val="1"/>
    <w:next w:val="7"/>
    <w:qFormat/>
    <w:uiPriority w:val="0"/>
    <w:pPr>
      <w:spacing w:after="120" w:afterLines="0"/>
    </w:pPr>
    <w:rPr>
      <w:rFonts w:ascii="Times New Roman" w:hAnsi="Times New Roman" w:eastAsia="宋体" w:cs="Times New Roman"/>
    </w:rPr>
  </w:style>
  <w:style w:type="paragraph" w:styleId="7">
    <w:name w:val="Body Text First Indent"/>
    <w:basedOn w:val="6"/>
    <w:next w:val="1"/>
    <w:qFormat/>
    <w:uiPriority w:val="99"/>
    <w:pPr>
      <w:ind w:firstLine="420"/>
    </w:pPr>
    <w:rPr>
      <w:rFonts w:hAnsi="Times New Roman" w:cs="Times New Roman"/>
      <w:szCs w:val="20"/>
    </w:rPr>
  </w:style>
  <w:style w:type="paragraph" w:styleId="8">
    <w:name w:val="Body Text Indent"/>
    <w:basedOn w:val="1"/>
    <w:next w:val="1"/>
    <w:qFormat/>
    <w:uiPriority w:val="0"/>
    <w:pPr>
      <w:autoSpaceDE/>
      <w:autoSpaceDN/>
      <w:adjustRightInd/>
      <w:spacing w:line="200" w:lineRule="exact"/>
      <w:ind w:firstLine="301"/>
      <w:jc w:val="both"/>
      <w:textAlignment w:val="auto"/>
    </w:pPr>
    <w:rPr>
      <w:rFonts w:ascii="??" w:hAnsi="??" w:eastAsia="??" w:cs="宋体"/>
      <w:spacing w:val="-4"/>
      <w:kern w:val="2"/>
      <w:sz w:val="18"/>
    </w:rPr>
  </w:style>
  <w:style w:type="paragraph" w:styleId="9">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11">
    <w:name w:val="Body Text 2"/>
    <w:basedOn w:val="1"/>
    <w:next w:val="1"/>
    <w:qFormat/>
    <w:uiPriority w:val="0"/>
    <w:pPr>
      <w:spacing w:after="120" w:afterLines="0" w:line="480" w:lineRule="auto"/>
    </w:pPr>
  </w:style>
  <w:style w:type="paragraph" w:styleId="12">
    <w:name w:val="Normal (Web)"/>
    <w:basedOn w:val="1"/>
    <w:qFormat/>
    <w:uiPriority w:val="0"/>
    <w:pPr>
      <w:widowControl/>
      <w:autoSpaceDE/>
      <w:autoSpaceDN/>
      <w:adjustRightInd/>
      <w:spacing w:before="100" w:beforeLines="0" w:beforeAutospacing="1" w:after="100" w:afterLines="0" w:afterAutospacing="1"/>
      <w:jc w:val="left"/>
    </w:pPr>
    <w:rPr>
      <w:rFonts w:ascii="宋体" w:hAnsi="宋体" w:eastAsia="宋体" w:cs="宋体"/>
      <w:color w:val="auto"/>
      <w:sz w:val="24"/>
      <w:szCs w:val="24"/>
    </w:rPr>
  </w:style>
  <w:style w:type="paragraph" w:styleId="13">
    <w:name w:val="Body Text First Indent 2"/>
    <w:basedOn w:val="8"/>
    <w:qFormat/>
    <w:uiPriority w:val="0"/>
    <w:pPr>
      <w:spacing w:after="120" w:line="240" w:lineRule="auto"/>
      <w:ind w:left="420" w:leftChars="200" w:firstLine="420"/>
    </w:pPr>
    <w:rPr>
      <w:rFonts w:cs="宋体"/>
      <w:sz w:val="21"/>
      <w:szCs w:val="21"/>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段"/>
    <w:next w:val="1"/>
    <w:qFormat/>
    <w:uiPriority w:val="0"/>
    <w:pPr>
      <w:widowControl w:val="0"/>
      <w:ind w:firstLine="200"/>
      <w:jc w:val="both"/>
    </w:pPr>
    <w:rPr>
      <w:rFonts w:ascii="宋体" w:hAnsi="宋体" w:eastAsia="宋体" w:cs="宋体"/>
      <w:color w:val="000000"/>
      <w:sz w:val="21"/>
      <w:szCs w:val="21"/>
      <w:lang w:val="en-US" w:eastAsia="zh-CN"/>
    </w:rPr>
  </w:style>
  <w:style w:type="paragraph" w:customStyle="1" w:styleId="18">
    <w:name w:val="章正文"/>
    <w:basedOn w:val="1"/>
    <w:autoRedefine/>
    <w:qFormat/>
    <w:uiPriority w:val="99"/>
    <w:pPr>
      <w:adjustRightInd/>
      <w:spacing w:beforeLines="50" w:after="120" w:line="300" w:lineRule="auto"/>
      <w:ind w:firstLine="480" w:firstLineChars="200"/>
    </w:pPr>
    <w:rPr>
      <w:rFonts w:ascii="Helvetica" w:hAnsi="Helvetica"/>
      <w:kern w:val="0"/>
      <w:sz w:val="24"/>
    </w:rPr>
  </w:style>
  <w:style w:type="paragraph" w:customStyle="1" w:styleId="19">
    <w:name w:val="表格文字"/>
    <w:basedOn w:val="20"/>
    <w:next w:val="6"/>
    <w:qFormat/>
    <w:uiPriority w:val="0"/>
    <w:pPr>
      <w:adjustRightInd w:val="0"/>
      <w:spacing w:line="420" w:lineRule="atLeast"/>
      <w:jc w:val="left"/>
      <w:textAlignment w:val="baseline"/>
    </w:pPr>
    <w:rPr>
      <w:rFonts w:ascii="Times New Roman" w:hAnsi="Times New Roman"/>
      <w:kern w:val="0"/>
    </w:rPr>
  </w:style>
  <w:style w:type="paragraph" w:customStyle="1" w:styleId="20">
    <w:name w:val="表格文字（两侧对齐）"/>
    <w:basedOn w:val="1"/>
    <w:qFormat/>
    <w:uiPriority w:val="0"/>
    <w:pPr>
      <w:snapToGrid w:val="0"/>
    </w:pPr>
    <w:rPr>
      <w:sz w:val="20"/>
      <w:szCs w:val="24"/>
    </w:rPr>
  </w:style>
  <w:style w:type="paragraph" w:customStyle="1" w:styleId="21">
    <w:name w:val="Body Text First Indent 21"/>
    <w:basedOn w:val="22"/>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22">
    <w:name w:val="Body Text Indent1"/>
    <w:basedOn w:val="1"/>
    <w:next w:val="1"/>
    <w:qFormat/>
    <w:uiPriority w:val="0"/>
    <w:pPr>
      <w:spacing w:after="120" w:afterLines="0"/>
      <w:ind w:left="420" w:leftChars="200"/>
    </w:pPr>
    <w:rPr>
      <w:color w:val="000000"/>
      <w:sz w:val="21"/>
      <w:szCs w:val="21"/>
    </w:rPr>
  </w:style>
  <w:style w:type="paragraph" w:customStyle="1" w:styleId="23">
    <w:name w:val="正文文字2"/>
    <w:basedOn w:val="6"/>
    <w:next w:val="4"/>
    <w:qFormat/>
    <w:uiPriority w:val="0"/>
    <w:pPr>
      <w:autoSpaceDE/>
      <w:autoSpaceDN/>
      <w:spacing w:after="60" w:afterLines="0" w:line="360" w:lineRule="atLeast"/>
      <w:ind w:left="72" w:right="72"/>
      <w:jc w:val="center"/>
      <w:textAlignment w:val="baseline"/>
    </w:pPr>
    <w:rPr>
      <w:rFonts w:ascii="Arial" w:hAnsi="Times New Roman" w:eastAsia="黑体" w:cs="Times New Roman"/>
      <w:color w:val="auto"/>
      <w:szCs w:val="20"/>
    </w:rPr>
  </w:style>
  <w:style w:type="paragraph" w:customStyle="1" w:styleId="24">
    <w:name w:val="Body Text First Indent 2"/>
    <w:basedOn w:val="25"/>
    <w:qFormat/>
    <w:uiPriority w:val="0"/>
    <w:pPr>
      <w:spacing w:after="120" w:afterLines="0" w:line="240" w:lineRule="auto"/>
      <w:ind w:left="420" w:leftChars="200" w:firstLine="420"/>
    </w:pPr>
    <w:rPr>
      <w:rFonts w:ascii="Times New Roman" w:hAnsi="Times New Roman" w:eastAsia="宋体" w:cs="宋体"/>
      <w:sz w:val="21"/>
      <w:szCs w:val="21"/>
    </w:rPr>
  </w:style>
  <w:style w:type="paragraph" w:customStyle="1" w:styleId="25">
    <w:name w:val="Body Text Indent"/>
    <w:basedOn w:val="1"/>
    <w:next w:val="1"/>
    <w:qFormat/>
    <w:uiPriority w:val="0"/>
    <w:pPr>
      <w:spacing w:after="120" w:afterLines="0"/>
      <w:ind w:left="420" w:leftChars="200"/>
    </w:pPr>
    <w:rPr>
      <w:color w:val="000000"/>
      <w:sz w:val="21"/>
      <w:szCs w:val="21"/>
    </w:rPr>
  </w:style>
  <w:style w:type="paragraph" w:customStyle="1" w:styleId="26">
    <w:name w:val="正文段"/>
    <w:basedOn w:val="1"/>
    <w:next w:val="5"/>
    <w:qFormat/>
    <w:uiPriority w:val="0"/>
    <w:pPr>
      <w:widowControl/>
      <w:snapToGrid w:val="0"/>
      <w:spacing w:after="156" w:afterLines="50"/>
      <w:ind w:firstLine="200" w:firstLineChars="200"/>
    </w:pPr>
    <w:rPr>
      <w:rFonts w:ascii="Times New Roman" w:hAnsi="Times New Roman" w:eastAsia="宋体" w:cs="Times New Roman"/>
      <w:kern w:val="0"/>
      <w:sz w:val="24"/>
      <w:szCs w:val="20"/>
    </w:rPr>
  </w:style>
  <w:style w:type="paragraph" w:customStyle="1" w:styleId="27">
    <w:name w:val="正文首行缩进 22"/>
    <w:basedOn w:val="1"/>
    <w:qFormat/>
    <w:uiPriority w:val="0"/>
    <w:pPr>
      <w:autoSpaceDE/>
      <w:autoSpaceDN/>
      <w:adjustRightInd/>
      <w:spacing w:after="120"/>
      <w:ind w:left="420" w:leftChars="200" w:firstLine="420" w:firstLineChars="200"/>
    </w:pPr>
    <w:rPr>
      <w:rFonts w:ascii="Calibri" w:hAnsi="Calibri"/>
      <w:color w:val="auto"/>
      <w:sz w:val="24"/>
      <w:szCs w:val="20"/>
    </w:rPr>
  </w:style>
  <w:style w:type="character" w:customStyle="1" w:styleId="28">
    <w:name w:val="font01"/>
    <w:basedOn w:val="16"/>
    <w:autoRedefine/>
    <w:unhideWhenUsed/>
    <w:qFormat/>
    <w:uiPriority w:val="99"/>
    <w:rPr>
      <w:rFonts w:hint="eastAsia" w:ascii="微软雅黑" w:hAnsi="微软雅黑" w:eastAsia="微软雅黑"/>
      <w:color w:val="000000"/>
      <w:sz w:val="20"/>
      <w:szCs w:val="24"/>
    </w:rPr>
  </w:style>
  <w:style w:type="paragraph" w:customStyle="1" w:styleId="29">
    <w:name w:val="Table Paragraph"/>
    <w:basedOn w:val="1"/>
    <w:autoRedefine/>
    <w:qFormat/>
    <w:uiPriority w:val="1"/>
    <w:rPr>
      <w:rFonts w:ascii="宋体" w:hAnsi="宋体" w:eastAsia="宋体" w:cs="宋体"/>
      <w:lang w:val="zh-CN" w:eastAsia="zh-CN" w:bidi="zh-CN"/>
    </w:rPr>
  </w:style>
  <w:style w:type="character" w:customStyle="1" w:styleId="30">
    <w:name w:val="font81"/>
    <w:basedOn w:val="16"/>
    <w:autoRedefine/>
    <w:qFormat/>
    <w:uiPriority w:val="99"/>
    <w:rPr>
      <w:rFonts w:ascii="微软雅黑" w:hAnsi="微软雅黑" w:eastAsia="微软雅黑"/>
      <w:color w:val="000000"/>
      <w:sz w:val="20"/>
      <w:u w:val="none"/>
    </w:rPr>
  </w:style>
  <w:style w:type="character" w:customStyle="1" w:styleId="31">
    <w:name w:val="font341"/>
    <w:basedOn w:val="16"/>
    <w:autoRedefine/>
    <w:qFormat/>
    <w:uiPriority w:val="0"/>
    <w:rPr>
      <w:rFonts w:hint="eastAsia" w:ascii="宋体" w:hAnsi="宋体" w:eastAsia="宋体" w:cs="宋体"/>
      <w:color w:val="000000"/>
      <w:sz w:val="20"/>
      <w:szCs w:val="20"/>
      <w:u w:val="none"/>
    </w:rPr>
  </w:style>
  <w:style w:type="character" w:customStyle="1" w:styleId="32">
    <w:name w:val="font91"/>
    <w:basedOn w:val="16"/>
    <w:autoRedefine/>
    <w:qFormat/>
    <w:uiPriority w:val="99"/>
    <w:rPr>
      <w:rFonts w:ascii="仿宋" w:hAnsi="仿宋" w:eastAsia="仿宋"/>
      <w:color w:val="000000"/>
      <w:sz w:val="22"/>
      <w:u w:val="none"/>
    </w:rPr>
  </w:style>
  <w:style w:type="character" w:customStyle="1" w:styleId="33">
    <w:name w:val="font61"/>
    <w:basedOn w:val="16"/>
    <w:autoRedefine/>
    <w:qFormat/>
    <w:uiPriority w:val="99"/>
    <w:rPr>
      <w:rFonts w:ascii="仿宋" w:hAnsi="仿宋" w:eastAsia="仿宋"/>
      <w:color w:val="000000"/>
      <w:sz w:val="20"/>
      <w:u w:val="none"/>
    </w:rPr>
  </w:style>
  <w:style w:type="character" w:customStyle="1" w:styleId="34">
    <w:name w:val="font11"/>
    <w:basedOn w:val="16"/>
    <w:qFormat/>
    <w:uiPriority w:val="0"/>
    <w:rPr>
      <w:rFonts w:hint="default" w:ascii="汉仪中黑 197" w:hAnsi="汉仪中黑 197" w:eastAsia="汉仪中黑 197" w:cs="汉仪中黑 197"/>
      <w:color w:val="000000"/>
      <w:sz w:val="20"/>
      <w:szCs w:val="20"/>
      <w:u w:val="none"/>
    </w:rPr>
  </w:style>
  <w:style w:type="paragraph" w:styleId="35">
    <w:name w:val="List Paragraph"/>
    <w:basedOn w:val="1"/>
    <w:next w:val="1"/>
    <w:qFormat/>
    <w:uiPriority w:val="99"/>
    <w:pPr>
      <w:spacing w:line="360" w:lineRule="auto"/>
      <w:ind w:firstLine="200" w:firstLineChars="200"/>
    </w:pPr>
    <w:rPr>
      <w:rFonts w:eastAsia="楷体_GB2312" w:cs="Lucida Sans"/>
      <w:sz w:val="24"/>
    </w:rPr>
  </w:style>
  <w:style w:type="paragraph" w:customStyle="1" w:styleId="36">
    <w:name w:val="表图内容"/>
    <w:basedOn w:val="1"/>
    <w:autoRedefine/>
    <w:qFormat/>
    <w:uiPriority w:val="0"/>
    <w:pPr>
      <w:jc w:val="center"/>
    </w:pPr>
    <w:rPr>
      <w:sz w:val="24"/>
      <w:szCs w:val="21"/>
    </w:rPr>
  </w:style>
  <w:style w:type="table" w:customStyle="1" w:styleId="37">
    <w:name w:val="Table Normal"/>
    <w:autoRedefine/>
    <w:unhideWhenUsed/>
    <w:qFormat/>
    <w:uiPriority w:val="2"/>
    <w:pPr>
      <w:widowControl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38">
    <w:name w:val="表格内容"/>
    <w:qFormat/>
    <w:uiPriority w:val="0"/>
    <w:pPr>
      <w:jc w:val="center"/>
    </w:pPr>
    <w:rPr>
      <w:rFonts w:ascii="Times New Roman" w:hAnsi="Times New Roman" w:eastAsia="宋体" w:cs="Times New Roman"/>
      <w:sz w:val="24"/>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15615</Words>
  <Characters>16513</Characters>
  <Lines>0</Lines>
  <Paragraphs>0</Paragraphs>
  <TotalTime>28</TotalTime>
  <ScaleCrop>false</ScaleCrop>
  <LinksUpToDate>false</LinksUpToDate>
  <CharactersWithSpaces>16580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2024-06-05T11:07:00Z</dcterms:created>
  <dc:creator>青夏夏夏</dc:creator>
  <cp:lastModifiedBy>WPS_1655029296</cp:lastModifiedBy>
  <cp:lastPrinted>2025-06-16T01:02:00Z</cp:lastPrinted>
  <dcterms:modified xsi:type="dcterms:W3CDTF">2025-06-18T08:18:50Z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AD57A809AFB546A280FF4EAC34BBAB47_13</vt:lpwstr>
  </property>
  <property fmtid="{D5CDD505-2E9C-101B-9397-08002B2CF9AE}" pid="4" name="KSOTemplateDocerSaveRecord">
    <vt:lpwstr>eyJoZGlkIjoiY2ZiOTQwM2Q1MWJhZmQ3MzFmZTU4OTNhNDBlM2Y0MDYiLCJ1c2VySWQiOiIxMzgyMTAzOTgzIn0=</vt:lpwstr>
  </property>
</Properties>
</file>