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0B1B8">
      <w:pPr>
        <w:spacing w:line="600" w:lineRule="atLeas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中共诸暨市委组织部优秀公务员健康休养服务采购项目</w:t>
      </w:r>
    </w:p>
    <w:p w14:paraId="330EB4E3">
      <w:pPr>
        <w:spacing w:line="600" w:lineRule="atLeas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采购</w:t>
      </w:r>
      <w:r>
        <w:rPr>
          <w:rFonts w:hint="eastAsia" w:ascii="仿宋" w:hAnsi="仿宋" w:eastAsia="仿宋" w:cs="宋体"/>
          <w:b/>
          <w:color w:val="auto"/>
          <w:sz w:val="28"/>
          <w:szCs w:val="28"/>
        </w:rPr>
        <w:t>要素</w:t>
      </w:r>
    </w:p>
    <w:p w14:paraId="563E4886">
      <w:pPr>
        <w:spacing w:line="360" w:lineRule="auto"/>
        <w:rPr>
          <w:rFonts w:hint="eastAsia" w:ascii="仿宋" w:hAnsi="仿宋" w:eastAsia="仿宋" w:cs="仿宋"/>
          <w:color w:val="auto"/>
          <w:sz w:val="28"/>
          <w:szCs w:val="28"/>
        </w:rPr>
      </w:pPr>
      <w:r>
        <w:rPr>
          <w:rFonts w:hint="eastAsia" w:ascii="仿宋" w:hAnsi="仿宋" w:eastAsia="仿宋" w:cs="宋体"/>
          <w:b/>
          <w:color w:val="auto"/>
          <w:sz w:val="24"/>
          <w:szCs w:val="24"/>
        </w:rPr>
        <w:t>一、项目名称：</w:t>
      </w:r>
      <w:bookmarkStart w:id="0" w:name="_Hlk44572922"/>
      <w:r>
        <w:rPr>
          <w:rFonts w:hint="eastAsia" w:ascii="仿宋" w:hAnsi="仿宋" w:eastAsia="仿宋" w:cs="仿宋"/>
          <w:color w:val="auto"/>
          <w:sz w:val="24"/>
          <w:szCs w:val="24"/>
        </w:rPr>
        <w:t>中共诸暨市委组织部优秀公务员健康休养服务采购项目</w:t>
      </w:r>
    </w:p>
    <w:bookmarkEnd w:id="0"/>
    <w:p w14:paraId="2E711146">
      <w:pPr>
        <w:spacing w:line="360" w:lineRule="auto"/>
        <w:rPr>
          <w:rFonts w:hint="eastAsia" w:ascii="仿宋" w:hAnsi="仿宋" w:eastAsia="仿宋" w:cs="宋体"/>
          <w:b/>
          <w:color w:val="auto"/>
          <w:sz w:val="24"/>
        </w:rPr>
      </w:pPr>
      <w:r>
        <w:rPr>
          <w:rFonts w:hint="eastAsia" w:ascii="仿宋" w:hAnsi="仿宋" w:eastAsia="仿宋" w:cs="宋体"/>
          <w:b/>
          <w:color w:val="auto"/>
          <w:sz w:val="24"/>
        </w:rPr>
        <w:t>二、项目内容及规模</w:t>
      </w:r>
    </w:p>
    <w:p w14:paraId="42B0870B">
      <w:pPr>
        <w:spacing w:line="360" w:lineRule="auto"/>
        <w:rPr>
          <w:rFonts w:hint="eastAsia" w:ascii="仿宋" w:hAnsi="仿宋" w:eastAsia="仿宋" w:cs="仿宋"/>
          <w:color w:val="auto"/>
          <w:sz w:val="24"/>
          <w:szCs w:val="24"/>
        </w:rPr>
      </w:pPr>
      <w:r>
        <w:rPr>
          <w:rFonts w:hint="eastAsia" w:ascii="宋体" w:hAnsi="宋体"/>
          <w:color w:val="auto"/>
          <w:sz w:val="24"/>
          <w:szCs w:val="20"/>
        </w:rPr>
        <w:t xml:space="preserve"> </w:t>
      </w:r>
      <w:r>
        <w:rPr>
          <w:rFonts w:hint="eastAsia" w:ascii="仿宋" w:hAnsi="仿宋" w:eastAsia="仿宋" w:cs="仿宋"/>
          <w:color w:val="auto"/>
          <w:sz w:val="24"/>
          <w:szCs w:val="24"/>
        </w:rPr>
        <w:t>中共诸暨市委组织部优秀公务员健康休养服务采购项目，</w:t>
      </w:r>
      <w:r>
        <w:rPr>
          <w:rFonts w:hint="eastAsia" w:ascii="仿宋" w:hAnsi="仿宋" w:eastAsia="仿宋" w:cs="仿宋"/>
          <w:color w:val="auto"/>
          <w:sz w:val="24"/>
          <w:szCs w:val="24"/>
        </w:rPr>
        <w:t>采购预算金额153.4万元，本项目共分五个标的，详见下表。</w:t>
      </w:r>
    </w:p>
    <w:tbl>
      <w:tblPr>
        <w:tblStyle w:val="18"/>
        <w:tblW w:w="9358"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339"/>
        <w:gridCol w:w="1080"/>
        <w:gridCol w:w="1230"/>
        <w:gridCol w:w="1747"/>
        <w:gridCol w:w="915"/>
      </w:tblGrid>
      <w:tr w14:paraId="31B3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047" w:type="dxa"/>
            <w:vAlign w:val="center"/>
          </w:tcPr>
          <w:p w14:paraId="093977F5">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标项</w:t>
            </w:r>
          </w:p>
        </w:tc>
        <w:tc>
          <w:tcPr>
            <w:tcW w:w="3339" w:type="dxa"/>
            <w:vAlign w:val="center"/>
          </w:tcPr>
          <w:p w14:paraId="7CBBA600">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标项名称</w:t>
            </w:r>
          </w:p>
        </w:tc>
        <w:tc>
          <w:tcPr>
            <w:tcW w:w="1080" w:type="dxa"/>
            <w:vAlign w:val="center"/>
          </w:tcPr>
          <w:p w14:paraId="45DC5073">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数量</w:t>
            </w:r>
          </w:p>
          <w:p w14:paraId="30072EC2">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（暂定）</w:t>
            </w:r>
          </w:p>
        </w:tc>
        <w:tc>
          <w:tcPr>
            <w:tcW w:w="1230" w:type="dxa"/>
            <w:vAlign w:val="center"/>
          </w:tcPr>
          <w:p w14:paraId="1E99A04B">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单价</w:t>
            </w:r>
          </w:p>
        </w:tc>
        <w:tc>
          <w:tcPr>
            <w:tcW w:w="1747" w:type="dxa"/>
            <w:vAlign w:val="center"/>
          </w:tcPr>
          <w:p w14:paraId="06A73298">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预算</w:t>
            </w:r>
          </w:p>
        </w:tc>
        <w:tc>
          <w:tcPr>
            <w:tcW w:w="915" w:type="dxa"/>
            <w:vAlign w:val="center"/>
          </w:tcPr>
          <w:p w14:paraId="574CA06C">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备注</w:t>
            </w:r>
          </w:p>
        </w:tc>
      </w:tr>
      <w:tr w14:paraId="6367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47" w:type="dxa"/>
            <w:vAlign w:val="center"/>
          </w:tcPr>
          <w:p w14:paraId="43B9B2DD">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标的一</w:t>
            </w:r>
          </w:p>
        </w:tc>
        <w:tc>
          <w:tcPr>
            <w:tcW w:w="3339" w:type="dxa"/>
            <w:vAlign w:val="center"/>
          </w:tcPr>
          <w:p w14:paraId="460FA785">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泉州开元寺东西双塔、西街观景平台、蟳埔村、泉州非遗博物馆、漳州南门湾、苏峰山、风动石、鱼骨沙洲、潮州湘子桥、牌坊街、开元镇国禅寺、南澳岛、长山尾码头灯塔、青澳岛等</w:t>
            </w:r>
          </w:p>
        </w:tc>
        <w:tc>
          <w:tcPr>
            <w:tcW w:w="1080" w:type="dxa"/>
            <w:vAlign w:val="center"/>
          </w:tcPr>
          <w:p w14:paraId="619A6DFC">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26</w:t>
            </w:r>
          </w:p>
        </w:tc>
        <w:tc>
          <w:tcPr>
            <w:tcW w:w="1230" w:type="dxa"/>
            <w:vMerge w:val="restart"/>
            <w:vAlign w:val="center"/>
          </w:tcPr>
          <w:p w14:paraId="7C7A4020">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6500元/人</w:t>
            </w:r>
          </w:p>
        </w:tc>
        <w:tc>
          <w:tcPr>
            <w:tcW w:w="1747" w:type="dxa"/>
            <w:vAlign w:val="center"/>
          </w:tcPr>
          <w:p w14:paraId="78FAF4D2">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169000元/年</w:t>
            </w:r>
          </w:p>
        </w:tc>
        <w:tc>
          <w:tcPr>
            <w:tcW w:w="915" w:type="dxa"/>
            <w:vMerge w:val="restart"/>
            <w:vAlign w:val="center"/>
          </w:tcPr>
          <w:p w14:paraId="4E8F1D6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批数及每批人数以实际成团人数为准</w:t>
            </w:r>
          </w:p>
        </w:tc>
      </w:tr>
      <w:tr w14:paraId="2F54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47" w:type="dxa"/>
            <w:vAlign w:val="center"/>
          </w:tcPr>
          <w:p w14:paraId="0F8CC85E">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标的二</w:t>
            </w:r>
          </w:p>
        </w:tc>
        <w:tc>
          <w:tcPr>
            <w:tcW w:w="3339" w:type="dxa"/>
            <w:vAlign w:val="center"/>
          </w:tcPr>
          <w:p w14:paraId="26EF6663">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乌鲁木齐、天山天池、喀纳斯卧龙湾、神仙湾、鸭泽湖、贾登峪、禾木、乌尔禾魔鬼城、国际大巴扎等</w:t>
            </w:r>
          </w:p>
        </w:tc>
        <w:tc>
          <w:tcPr>
            <w:tcW w:w="1080" w:type="dxa"/>
            <w:vAlign w:val="center"/>
          </w:tcPr>
          <w:p w14:paraId="4937AC32">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122</w:t>
            </w:r>
          </w:p>
        </w:tc>
        <w:tc>
          <w:tcPr>
            <w:tcW w:w="1230" w:type="dxa"/>
            <w:vMerge w:val="continue"/>
          </w:tcPr>
          <w:p w14:paraId="77D5D7E5">
            <w:pPr>
              <w:widowControl/>
              <w:jc w:val="center"/>
              <w:rPr>
                <w:rFonts w:hint="eastAsia" w:ascii="仿宋" w:hAnsi="仿宋" w:eastAsia="仿宋" w:cs="仿宋"/>
                <w:color w:val="auto"/>
                <w:kern w:val="0"/>
                <w:sz w:val="24"/>
                <w:szCs w:val="24"/>
              </w:rPr>
            </w:pPr>
          </w:p>
        </w:tc>
        <w:tc>
          <w:tcPr>
            <w:tcW w:w="1747" w:type="dxa"/>
            <w:vAlign w:val="center"/>
          </w:tcPr>
          <w:p w14:paraId="61C8754F">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793000元/年</w:t>
            </w:r>
          </w:p>
        </w:tc>
        <w:tc>
          <w:tcPr>
            <w:tcW w:w="915" w:type="dxa"/>
            <w:vMerge w:val="continue"/>
          </w:tcPr>
          <w:p w14:paraId="6249411F">
            <w:pPr>
              <w:widowControl/>
              <w:jc w:val="center"/>
              <w:rPr>
                <w:rFonts w:hint="eastAsia" w:ascii="仿宋" w:hAnsi="仿宋" w:eastAsia="仿宋" w:cs="仿宋"/>
                <w:color w:val="auto"/>
                <w:kern w:val="0"/>
                <w:sz w:val="24"/>
                <w:szCs w:val="24"/>
              </w:rPr>
            </w:pPr>
          </w:p>
        </w:tc>
      </w:tr>
      <w:tr w14:paraId="3DA0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47" w:type="dxa"/>
            <w:vAlign w:val="center"/>
          </w:tcPr>
          <w:p w14:paraId="4C0B5D7C">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标的三</w:t>
            </w:r>
          </w:p>
        </w:tc>
        <w:tc>
          <w:tcPr>
            <w:tcW w:w="3339" w:type="dxa"/>
            <w:vAlign w:val="center"/>
          </w:tcPr>
          <w:p w14:paraId="6B0E2D78">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卢沟桥、四姑娘山、磨石公园、亚拉雪山、打谷冰川、毕棚沟、古尔沟、塔公草原、红海子、格底拉姆、木格措等</w:t>
            </w:r>
          </w:p>
        </w:tc>
        <w:tc>
          <w:tcPr>
            <w:tcW w:w="1080" w:type="dxa"/>
            <w:vAlign w:val="center"/>
          </w:tcPr>
          <w:p w14:paraId="19F3431E">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44</w:t>
            </w:r>
          </w:p>
        </w:tc>
        <w:tc>
          <w:tcPr>
            <w:tcW w:w="1230" w:type="dxa"/>
            <w:vMerge w:val="continue"/>
          </w:tcPr>
          <w:p w14:paraId="24628661">
            <w:pPr>
              <w:widowControl/>
              <w:jc w:val="center"/>
              <w:rPr>
                <w:rFonts w:hint="eastAsia" w:ascii="仿宋" w:hAnsi="仿宋" w:eastAsia="仿宋" w:cs="仿宋"/>
                <w:color w:val="auto"/>
                <w:kern w:val="0"/>
                <w:sz w:val="24"/>
                <w:szCs w:val="24"/>
              </w:rPr>
            </w:pPr>
          </w:p>
        </w:tc>
        <w:tc>
          <w:tcPr>
            <w:tcW w:w="1747" w:type="dxa"/>
            <w:vAlign w:val="center"/>
          </w:tcPr>
          <w:p w14:paraId="72C9FEB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286000元/年</w:t>
            </w:r>
          </w:p>
        </w:tc>
        <w:tc>
          <w:tcPr>
            <w:tcW w:w="915" w:type="dxa"/>
            <w:vMerge w:val="continue"/>
          </w:tcPr>
          <w:p w14:paraId="4A3DBD9F">
            <w:pPr>
              <w:widowControl/>
              <w:jc w:val="center"/>
              <w:rPr>
                <w:rFonts w:hint="eastAsia" w:ascii="仿宋" w:hAnsi="仿宋" w:eastAsia="仿宋" w:cs="仿宋"/>
                <w:color w:val="auto"/>
                <w:kern w:val="0"/>
                <w:sz w:val="24"/>
                <w:szCs w:val="24"/>
              </w:rPr>
            </w:pPr>
          </w:p>
        </w:tc>
      </w:tr>
      <w:tr w14:paraId="1BC3F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47" w:type="dxa"/>
            <w:vAlign w:val="center"/>
          </w:tcPr>
          <w:p w14:paraId="4CED4F2F">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标的四</w:t>
            </w:r>
          </w:p>
        </w:tc>
        <w:tc>
          <w:tcPr>
            <w:tcW w:w="3339" w:type="dxa"/>
            <w:vAlign w:val="center"/>
          </w:tcPr>
          <w:p w14:paraId="47039883">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长春电影制片厂、延吉、朝鲜民俗园、延吉水上市场、中朝图们口岸、日光山森林公园、二道白河镇、长白山自然博物馆、长白山景区、老里克湖等</w:t>
            </w:r>
          </w:p>
        </w:tc>
        <w:tc>
          <w:tcPr>
            <w:tcW w:w="1080" w:type="dxa"/>
            <w:vAlign w:val="center"/>
          </w:tcPr>
          <w:p w14:paraId="6FFEBCA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26</w:t>
            </w:r>
          </w:p>
        </w:tc>
        <w:tc>
          <w:tcPr>
            <w:tcW w:w="1230" w:type="dxa"/>
            <w:vMerge w:val="continue"/>
          </w:tcPr>
          <w:p w14:paraId="1A97E4BA">
            <w:pPr>
              <w:widowControl/>
              <w:jc w:val="center"/>
              <w:rPr>
                <w:rFonts w:hint="eastAsia" w:ascii="仿宋" w:hAnsi="仿宋" w:eastAsia="仿宋" w:cs="仿宋"/>
                <w:color w:val="auto"/>
                <w:kern w:val="0"/>
                <w:sz w:val="24"/>
                <w:szCs w:val="24"/>
              </w:rPr>
            </w:pPr>
          </w:p>
        </w:tc>
        <w:tc>
          <w:tcPr>
            <w:tcW w:w="1747" w:type="dxa"/>
            <w:vAlign w:val="center"/>
          </w:tcPr>
          <w:p w14:paraId="502E84DE">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169000元/年</w:t>
            </w:r>
          </w:p>
        </w:tc>
        <w:tc>
          <w:tcPr>
            <w:tcW w:w="915" w:type="dxa"/>
            <w:vMerge w:val="continue"/>
          </w:tcPr>
          <w:p w14:paraId="23AC1590">
            <w:pPr>
              <w:widowControl/>
              <w:jc w:val="center"/>
              <w:rPr>
                <w:rFonts w:hint="eastAsia" w:ascii="仿宋" w:hAnsi="仿宋" w:eastAsia="仿宋" w:cs="仿宋"/>
                <w:color w:val="auto"/>
                <w:kern w:val="0"/>
                <w:sz w:val="24"/>
                <w:szCs w:val="24"/>
              </w:rPr>
            </w:pPr>
          </w:p>
        </w:tc>
      </w:tr>
      <w:tr w14:paraId="0431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47" w:type="dxa"/>
            <w:vAlign w:val="center"/>
          </w:tcPr>
          <w:p w14:paraId="471F4F89">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标的五</w:t>
            </w:r>
          </w:p>
        </w:tc>
        <w:tc>
          <w:tcPr>
            <w:tcW w:w="3339" w:type="dxa"/>
            <w:vAlign w:val="center"/>
          </w:tcPr>
          <w:p w14:paraId="173B185C">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兴义（西峰林景区、马岭河峡谷）、黄果树（天星桥水上石林景区、陡坡塘瀑布、黄果树瀑布）、西江千户苗寨、甲秀楼、梵净山等</w:t>
            </w:r>
          </w:p>
        </w:tc>
        <w:tc>
          <w:tcPr>
            <w:tcW w:w="1080" w:type="dxa"/>
            <w:vAlign w:val="center"/>
          </w:tcPr>
          <w:p w14:paraId="51222FE0">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18</w:t>
            </w:r>
          </w:p>
        </w:tc>
        <w:tc>
          <w:tcPr>
            <w:tcW w:w="1230" w:type="dxa"/>
            <w:vMerge w:val="continue"/>
          </w:tcPr>
          <w:p w14:paraId="279395E5">
            <w:pPr>
              <w:widowControl/>
              <w:jc w:val="center"/>
              <w:rPr>
                <w:rFonts w:hint="eastAsia" w:ascii="仿宋" w:hAnsi="仿宋" w:eastAsia="仿宋" w:cs="仿宋"/>
                <w:color w:val="auto"/>
                <w:kern w:val="0"/>
                <w:sz w:val="24"/>
                <w:szCs w:val="24"/>
              </w:rPr>
            </w:pPr>
          </w:p>
        </w:tc>
        <w:tc>
          <w:tcPr>
            <w:tcW w:w="1747" w:type="dxa"/>
            <w:vAlign w:val="center"/>
          </w:tcPr>
          <w:p w14:paraId="63EA2CC9">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117000元/年</w:t>
            </w:r>
          </w:p>
        </w:tc>
        <w:tc>
          <w:tcPr>
            <w:tcW w:w="915" w:type="dxa"/>
            <w:vMerge w:val="continue"/>
          </w:tcPr>
          <w:p w14:paraId="29C4F682">
            <w:pPr>
              <w:widowControl/>
              <w:jc w:val="center"/>
              <w:rPr>
                <w:rFonts w:hint="eastAsia" w:ascii="仿宋" w:hAnsi="仿宋" w:eastAsia="仿宋" w:cs="仿宋"/>
                <w:color w:val="auto"/>
                <w:kern w:val="0"/>
                <w:sz w:val="24"/>
                <w:szCs w:val="24"/>
              </w:rPr>
            </w:pPr>
          </w:p>
        </w:tc>
      </w:tr>
    </w:tbl>
    <w:p w14:paraId="00705335">
      <w:pPr>
        <w:spacing w:line="360" w:lineRule="auto"/>
        <w:ind w:firstLine="480" w:firstLineChars="200"/>
        <w:rPr>
          <w:rFonts w:hint="eastAsia" w:ascii="仿宋" w:hAnsi="仿宋" w:eastAsia="仿宋" w:cs="宋体"/>
          <w:b/>
          <w:color w:val="auto"/>
          <w:sz w:val="24"/>
        </w:rPr>
      </w:pPr>
      <w:r>
        <w:rPr>
          <w:rFonts w:hint="eastAsia" w:ascii="仿宋" w:hAnsi="仿宋" w:eastAsia="仿宋" w:cs="宋体"/>
          <w:b/>
          <w:color w:val="auto"/>
          <w:sz w:val="24"/>
        </w:rPr>
        <w:t>三、投标人（供应商）资格要求</w:t>
      </w:r>
    </w:p>
    <w:p w14:paraId="7034C85B">
      <w:pPr>
        <w:adjustRightInd w:val="0"/>
        <w:snapToGrid w:val="0"/>
        <w:spacing w:line="360" w:lineRule="auto"/>
        <w:ind w:firstLine="480" w:firstLineChars="200"/>
        <w:rPr>
          <w:rFonts w:hint="eastAsia" w:ascii="仿宋" w:hAnsi="仿宋" w:eastAsia="仿宋" w:cs="宋体"/>
          <w:color w:val="auto"/>
          <w:sz w:val="24"/>
          <w:szCs w:val="24"/>
        </w:rPr>
      </w:pPr>
      <w:bookmarkStart w:id="1" w:name="_Hlk44574667"/>
      <w:r>
        <w:rPr>
          <w:rFonts w:hint="eastAsia" w:ascii="仿宋" w:hAnsi="仿宋" w:eastAsia="仿宋" w:cs="宋体"/>
          <w:color w:val="auto"/>
          <w:sz w:val="24"/>
          <w:szCs w:val="24"/>
        </w:rPr>
        <w:t>1、满足《中华人民共和国政府采购法》第二十二条规定，且未被“信用中国”</w:t>
      </w:r>
      <w:r>
        <w:rPr>
          <w:rFonts w:ascii="Times New Roman" w:hAnsi="仿宋" w:eastAsia="仿宋" w:cs="Times New Roman"/>
          <w:color w:val="auto"/>
          <w:sz w:val="24"/>
          <w:szCs w:val="24"/>
        </w:rPr>
        <w:t>（</w:t>
      </w:r>
      <w:r>
        <w:rPr>
          <w:rFonts w:ascii="Times New Roman" w:hAnsi="Times New Roman" w:eastAsia="仿宋" w:cs="Times New Roman"/>
          <w:color w:val="auto"/>
          <w:sz w:val="24"/>
          <w:szCs w:val="24"/>
        </w:rPr>
        <w:t>www.creditchina.gov.cn</w:t>
      </w:r>
      <w:r>
        <w:rPr>
          <w:rFonts w:ascii="Times New Roman" w:hAnsi="仿宋" w:eastAsia="仿宋" w:cs="Times New Roman"/>
          <w:color w:val="auto"/>
          <w:sz w:val="24"/>
          <w:szCs w:val="24"/>
        </w:rPr>
        <w:t>）</w:t>
      </w:r>
      <w:r>
        <w:rPr>
          <w:rFonts w:hint="eastAsia" w:ascii="仿宋" w:hAnsi="仿宋" w:eastAsia="仿宋" w:cs="宋体"/>
          <w:color w:val="auto"/>
          <w:sz w:val="24"/>
          <w:szCs w:val="24"/>
        </w:rPr>
        <w:t>、中国政府采购网</w:t>
      </w:r>
      <w:r>
        <w:rPr>
          <w:rFonts w:ascii="Times New Roman" w:hAnsi="仿宋" w:eastAsia="仿宋" w:cs="Times New Roman"/>
          <w:color w:val="auto"/>
          <w:sz w:val="24"/>
          <w:szCs w:val="24"/>
        </w:rPr>
        <w:t>（</w:t>
      </w:r>
      <w:r>
        <w:rPr>
          <w:rFonts w:ascii="Times New Roman" w:hAnsi="Times New Roman" w:eastAsia="仿宋" w:cs="Times New Roman"/>
          <w:color w:val="auto"/>
          <w:sz w:val="24"/>
          <w:szCs w:val="24"/>
        </w:rPr>
        <w:t>www.ccgp.gov.cn</w:t>
      </w:r>
      <w:r>
        <w:rPr>
          <w:rFonts w:ascii="Times New Roman" w:hAnsi="仿宋" w:eastAsia="仿宋" w:cs="Times New Roman"/>
          <w:color w:val="auto"/>
          <w:sz w:val="24"/>
          <w:szCs w:val="24"/>
        </w:rPr>
        <w:t>）</w:t>
      </w:r>
      <w:r>
        <w:rPr>
          <w:rFonts w:hint="eastAsia" w:ascii="仿宋" w:hAnsi="仿宋" w:eastAsia="仿宋" w:cs="宋体"/>
          <w:color w:val="auto"/>
          <w:sz w:val="24"/>
          <w:szCs w:val="24"/>
        </w:rPr>
        <w:t>列入失信被执行人、重大税收违法案件当事人名单、政府采购严重违法失信行为记录名单；</w:t>
      </w:r>
    </w:p>
    <w:p w14:paraId="33F73C6D">
      <w:pPr>
        <w:adjustRightInd w:val="0"/>
        <w:snapToGrid w:val="0"/>
        <w:spacing w:line="360" w:lineRule="auto"/>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2、</w:t>
      </w:r>
      <w:r>
        <w:rPr>
          <w:rFonts w:ascii="仿宋" w:hAnsi="仿宋" w:eastAsia="仿宋" w:cs="宋体"/>
          <w:color w:val="auto"/>
          <w:sz w:val="24"/>
          <w:szCs w:val="24"/>
        </w:rPr>
        <w:t>落实政府采购政策需满足的资格要求</w:t>
      </w:r>
      <w:r>
        <w:rPr>
          <w:rFonts w:hint="eastAsia" w:ascii="仿宋" w:hAnsi="仿宋" w:eastAsia="仿宋" w:cs="宋体"/>
          <w:color w:val="auto"/>
          <w:sz w:val="24"/>
          <w:szCs w:val="24"/>
        </w:rPr>
        <w:t>：本项目属于专门面向中小企业采购的项目，要求服务全部由符合政策要求的中、小、微型企业承接（监狱企业、残疾人福利性单位视同小、微型企业）；</w:t>
      </w:r>
    </w:p>
    <w:p w14:paraId="2ED6003C">
      <w:pPr>
        <w:adjustRightInd w:val="0"/>
        <w:snapToGrid w:val="0"/>
        <w:spacing w:line="360" w:lineRule="auto"/>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3、</w:t>
      </w:r>
      <w:r>
        <w:rPr>
          <w:rFonts w:ascii="仿宋" w:hAnsi="仿宋" w:eastAsia="仿宋" w:cs="宋体"/>
          <w:color w:val="auto"/>
          <w:sz w:val="24"/>
          <w:szCs w:val="24"/>
        </w:rPr>
        <w:t>本项目的特定资格要求：</w:t>
      </w:r>
      <w:r>
        <w:rPr>
          <w:rFonts w:hint="eastAsia" w:ascii="仿宋" w:hAnsi="仿宋" w:eastAsia="仿宋" w:cs="宋体"/>
          <w:color w:val="auto"/>
          <w:sz w:val="24"/>
          <w:szCs w:val="24"/>
        </w:rPr>
        <w:t>具有旅游行政管理部门颁发的有效的《旅行社业务经营许可证》；</w:t>
      </w:r>
    </w:p>
    <w:p w14:paraId="62D3C115">
      <w:pPr>
        <w:adjustRightInd w:val="0"/>
        <w:snapToGrid w:val="0"/>
        <w:spacing w:line="360" w:lineRule="auto"/>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4、</w:t>
      </w:r>
      <w:r>
        <w:rPr>
          <w:rFonts w:hint="eastAsia" w:ascii="仿宋" w:hAnsi="仿宋" w:eastAsia="仿宋" w:cs="宋体"/>
          <w:color w:val="auto"/>
          <w:sz w:val="24"/>
        </w:rPr>
        <w:t>本项目不接受联合体投标。</w:t>
      </w:r>
    </w:p>
    <w:bookmarkEnd w:id="1"/>
    <w:p w14:paraId="70A320D0">
      <w:pPr>
        <w:spacing w:line="360" w:lineRule="auto"/>
        <w:rPr>
          <w:rFonts w:hint="eastAsia" w:ascii="仿宋" w:hAnsi="仿宋" w:eastAsia="仿宋" w:cs="宋体"/>
          <w:b/>
          <w:color w:val="auto"/>
          <w:sz w:val="24"/>
        </w:rPr>
      </w:pPr>
      <w:r>
        <w:rPr>
          <w:rFonts w:hint="eastAsia" w:ascii="仿宋" w:hAnsi="仿宋" w:eastAsia="仿宋" w:cs="宋体"/>
          <w:b/>
          <w:color w:val="auto"/>
          <w:sz w:val="24"/>
        </w:rPr>
        <w:t>四、评标办法：综合评分法</w:t>
      </w:r>
    </w:p>
    <w:p w14:paraId="3D2EB1C4">
      <w:pPr>
        <w:adjustRightInd w:val="0"/>
        <w:snapToGrid w:val="0"/>
        <w:spacing w:line="360" w:lineRule="auto"/>
        <w:ind w:firstLine="360" w:firstLineChars="150"/>
        <w:rPr>
          <w:rFonts w:hint="eastAsia" w:ascii="仿宋" w:hAnsi="仿宋" w:eastAsia="仿宋" w:cs="宋体"/>
          <w:color w:val="auto"/>
          <w:sz w:val="24"/>
        </w:rPr>
      </w:pPr>
      <w:r>
        <w:rPr>
          <w:rFonts w:hint="eastAsia" w:ascii="仿宋" w:hAnsi="仿宋" w:eastAsia="仿宋" w:cs="宋体"/>
          <w:color w:val="auto"/>
          <w:sz w:val="24"/>
          <w:szCs w:val="24"/>
        </w:rPr>
        <w:t>（1）满分为100分。总得分=商务技术得分+报价得分；</w:t>
      </w:r>
    </w:p>
    <w:p w14:paraId="43667CC0">
      <w:pPr>
        <w:adjustRightInd w:val="0"/>
        <w:snapToGrid w:val="0"/>
        <w:spacing w:line="360" w:lineRule="auto"/>
        <w:ind w:firstLine="360" w:firstLineChars="150"/>
        <w:rPr>
          <w:rFonts w:hint="eastAsia" w:ascii="仿宋" w:hAnsi="仿宋" w:eastAsia="仿宋" w:cs="宋体"/>
          <w:color w:val="auto"/>
          <w:sz w:val="24"/>
        </w:rPr>
      </w:pPr>
      <w:r>
        <w:rPr>
          <w:rFonts w:hint="eastAsia" w:ascii="仿宋" w:hAnsi="仿宋" w:eastAsia="仿宋" w:cs="宋体"/>
          <w:color w:val="auto"/>
          <w:sz w:val="24"/>
          <w:szCs w:val="24"/>
        </w:rPr>
        <w:t>（2）商务技术得分=商务技术评分，商务技术评分=</w:t>
      </w:r>
      <w:r>
        <w:rPr>
          <w:rFonts w:hint="eastAsia" w:ascii="仿宋" w:hAnsi="仿宋" w:eastAsia="仿宋" w:cs="宋体"/>
          <w:color w:val="auto"/>
          <w:spacing w:val="-6"/>
          <w:sz w:val="24"/>
          <w:szCs w:val="24"/>
        </w:rPr>
        <w:t>所有评委的有效评分的算术平均数</w:t>
      </w:r>
      <w:r>
        <w:rPr>
          <w:rFonts w:hint="eastAsia" w:ascii="仿宋" w:hAnsi="仿宋" w:eastAsia="仿宋" w:cs="宋体"/>
          <w:color w:val="auto"/>
          <w:sz w:val="24"/>
          <w:szCs w:val="24"/>
        </w:rPr>
        <w:t>。</w:t>
      </w:r>
    </w:p>
    <w:p w14:paraId="4DCCB5B4">
      <w:pPr>
        <w:adjustRightInd w:val="0"/>
        <w:snapToGrid w:val="0"/>
        <w:spacing w:line="360" w:lineRule="auto"/>
        <w:ind w:firstLine="360" w:firstLineChars="150"/>
        <w:rPr>
          <w:rFonts w:hint="eastAsia" w:ascii="仿宋" w:hAnsi="仿宋" w:eastAsia="仿宋" w:cs="宋体"/>
          <w:color w:val="auto"/>
          <w:sz w:val="24"/>
        </w:rPr>
      </w:pPr>
      <w:r>
        <w:rPr>
          <w:rFonts w:hint="eastAsia" w:ascii="仿宋" w:hAnsi="仿宋" w:eastAsia="仿宋" w:cs="宋体"/>
          <w:color w:val="auto"/>
          <w:sz w:val="24"/>
          <w:szCs w:val="24"/>
        </w:rPr>
        <w:t>（3）报价得分=（评标基准价/投标报价）*价格权值*100，评标基准价=有效投标人的最低投标报价，价格权值=10%；</w:t>
      </w:r>
    </w:p>
    <w:p w14:paraId="6651EBCE">
      <w:pPr>
        <w:adjustRightInd w:val="0"/>
        <w:snapToGrid w:val="0"/>
        <w:spacing w:line="360" w:lineRule="auto"/>
        <w:ind w:firstLine="360" w:firstLineChars="150"/>
        <w:rPr>
          <w:rFonts w:hint="eastAsia" w:ascii="仿宋" w:hAnsi="仿宋" w:eastAsia="仿宋" w:cs="宋体"/>
          <w:color w:val="auto"/>
          <w:sz w:val="24"/>
          <w:szCs w:val="24"/>
        </w:rPr>
      </w:pPr>
      <w:r>
        <w:rPr>
          <w:rFonts w:hint="eastAsia" w:ascii="仿宋" w:hAnsi="仿宋" w:eastAsia="仿宋" w:cs="宋体"/>
          <w:color w:val="auto"/>
          <w:sz w:val="24"/>
          <w:szCs w:val="24"/>
        </w:rPr>
        <w:t>（4）商务技术分评分细则（90分）</w:t>
      </w:r>
    </w:p>
    <w:tbl>
      <w:tblPr>
        <w:tblStyle w:val="18"/>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485"/>
        <w:gridCol w:w="5775"/>
        <w:gridCol w:w="1018"/>
      </w:tblGrid>
      <w:tr w14:paraId="71A4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65" w:type="dxa"/>
            <w:vAlign w:val="center"/>
          </w:tcPr>
          <w:p w14:paraId="260098AD">
            <w:pPr>
              <w:autoSpaceDE w:val="0"/>
              <w:autoSpaceDN w:val="0"/>
              <w:adjustRightInd w:val="0"/>
              <w:spacing w:line="400" w:lineRule="exact"/>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序号</w:t>
            </w:r>
          </w:p>
        </w:tc>
        <w:tc>
          <w:tcPr>
            <w:tcW w:w="1485" w:type="dxa"/>
            <w:vAlign w:val="center"/>
          </w:tcPr>
          <w:p w14:paraId="7FEDD8EB">
            <w:pPr>
              <w:autoSpaceDE w:val="0"/>
              <w:autoSpaceDN w:val="0"/>
              <w:adjustRightInd w:val="0"/>
              <w:spacing w:line="400" w:lineRule="exact"/>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评分因素</w:t>
            </w:r>
          </w:p>
        </w:tc>
        <w:tc>
          <w:tcPr>
            <w:tcW w:w="5775" w:type="dxa"/>
            <w:vAlign w:val="center"/>
          </w:tcPr>
          <w:p w14:paraId="62A7B8CA">
            <w:pPr>
              <w:autoSpaceDE w:val="0"/>
              <w:autoSpaceDN w:val="0"/>
              <w:adjustRightInd w:val="0"/>
              <w:spacing w:line="400" w:lineRule="exact"/>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评分标准</w:t>
            </w:r>
          </w:p>
        </w:tc>
        <w:tc>
          <w:tcPr>
            <w:tcW w:w="1018" w:type="dxa"/>
            <w:vAlign w:val="center"/>
          </w:tcPr>
          <w:p w14:paraId="5768FC51">
            <w:pPr>
              <w:autoSpaceDE w:val="0"/>
              <w:autoSpaceDN w:val="0"/>
              <w:adjustRightInd w:val="0"/>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r>
      <w:tr w14:paraId="0F5D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Align w:val="center"/>
          </w:tcPr>
          <w:p w14:paraId="50FEDE31">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85" w:type="dxa"/>
            <w:vAlign w:val="center"/>
          </w:tcPr>
          <w:p w14:paraId="5C9EE593">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企业实力</w:t>
            </w:r>
          </w:p>
        </w:tc>
        <w:tc>
          <w:tcPr>
            <w:tcW w:w="5775" w:type="dxa"/>
            <w:vAlign w:val="center"/>
          </w:tcPr>
          <w:p w14:paraId="56DA2832">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投标人被主管部门评定为星级品质旅行社等级为2星级的得1分，3星级的得2分，4星级及以上的得3分，提供证书或相关证明文件扫描件加盖CA签章。</w:t>
            </w:r>
          </w:p>
        </w:tc>
        <w:tc>
          <w:tcPr>
            <w:tcW w:w="1018" w:type="dxa"/>
            <w:vAlign w:val="center"/>
          </w:tcPr>
          <w:p w14:paraId="0A44E04E">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0-3分</w:t>
            </w:r>
          </w:p>
        </w:tc>
      </w:tr>
      <w:tr w14:paraId="3B65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765" w:type="dxa"/>
            <w:vAlign w:val="center"/>
          </w:tcPr>
          <w:p w14:paraId="1E21D239">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85" w:type="dxa"/>
            <w:vAlign w:val="center"/>
          </w:tcPr>
          <w:p w14:paraId="128AA46F">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同类业绩</w:t>
            </w:r>
          </w:p>
        </w:tc>
        <w:tc>
          <w:tcPr>
            <w:tcW w:w="5775" w:type="dxa"/>
            <w:vAlign w:val="center"/>
          </w:tcPr>
          <w:p w14:paraId="6BD2F3FD">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投标人2022年1月1日-至今（以合同签订时间为准）具有同类项目业绩的每提供一份得0.5分，最多得1分，提供合同扫描件加盖CA签章。</w:t>
            </w:r>
          </w:p>
        </w:tc>
        <w:tc>
          <w:tcPr>
            <w:tcW w:w="1018" w:type="dxa"/>
            <w:vAlign w:val="center"/>
          </w:tcPr>
          <w:p w14:paraId="16E71D8F">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0-1分</w:t>
            </w:r>
          </w:p>
        </w:tc>
      </w:tr>
      <w:tr w14:paraId="35BD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765" w:type="dxa"/>
            <w:vAlign w:val="center"/>
          </w:tcPr>
          <w:p w14:paraId="487B4FEC">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485" w:type="dxa"/>
            <w:vAlign w:val="center"/>
          </w:tcPr>
          <w:p w14:paraId="3DB5E807">
            <w:pPr>
              <w:spacing w:line="400" w:lineRule="exact"/>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rPr>
              <w:t>管理制度</w:t>
            </w:r>
          </w:p>
        </w:tc>
        <w:tc>
          <w:tcPr>
            <w:tcW w:w="5775" w:type="dxa"/>
            <w:vAlign w:val="center"/>
          </w:tcPr>
          <w:p w14:paraId="06931F7A">
            <w:pPr>
              <w:widowControl/>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根据投标人提供的管理制度（包括岗位管理制度、组织架构、服务流程、安全管理、危机管理等方面）进行综合评分。</w:t>
            </w:r>
          </w:p>
          <w:p w14:paraId="552B3102">
            <w:pPr>
              <w:pStyle w:val="9"/>
              <w:rPr>
                <w:rFonts w:hint="eastAsia" w:ascii="仿宋" w:hAnsi="仿宋" w:eastAsia="仿宋" w:cs="仿宋"/>
                <w:color w:val="auto"/>
                <w:sz w:val="24"/>
                <w:szCs w:val="24"/>
              </w:rPr>
            </w:pPr>
            <w:r>
              <w:rPr>
                <w:rFonts w:hint="eastAsia" w:ascii="仿宋" w:hAnsi="仿宋" w:eastAsia="仿宋" w:cs="仿宋"/>
                <w:color w:val="auto"/>
                <w:sz w:val="24"/>
                <w:szCs w:val="24"/>
              </w:rPr>
              <w:t>（管理制度健全，能有效保障本次服务，对服务人员有效管控的得5分；投标人管理制度较为健全，对服务人员管控较为有效的得3-4分；投标人管理制度及对服务人员管控一般、不够健全，需进一步完善的得1-2分；未提供不得分。</w:t>
            </w:r>
          </w:p>
        </w:tc>
        <w:tc>
          <w:tcPr>
            <w:tcW w:w="1018" w:type="dxa"/>
            <w:vAlign w:val="center"/>
          </w:tcPr>
          <w:p w14:paraId="75040193">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0-5分</w:t>
            </w:r>
          </w:p>
        </w:tc>
      </w:tr>
      <w:tr w14:paraId="0F6E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jc w:val="center"/>
        </w:trPr>
        <w:tc>
          <w:tcPr>
            <w:tcW w:w="765" w:type="dxa"/>
            <w:vMerge w:val="restart"/>
            <w:vAlign w:val="center"/>
          </w:tcPr>
          <w:p w14:paraId="3C5F305A">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485" w:type="dxa"/>
            <w:vMerge w:val="restart"/>
            <w:vAlign w:val="center"/>
          </w:tcPr>
          <w:p w14:paraId="2ACEBB39">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人员安排</w:t>
            </w:r>
          </w:p>
        </w:tc>
        <w:tc>
          <w:tcPr>
            <w:tcW w:w="5775" w:type="dxa"/>
            <w:vAlign w:val="center"/>
          </w:tcPr>
          <w:p w14:paraId="57F13AF8">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要求项目负责人专业素质高、技术能力强、经验丰富以及调动各项资源的能力程度高（提供人员履历、服务经验证明材料、社保缴纳证明等）</w:t>
            </w:r>
          </w:p>
          <w:p w14:paraId="5C701DF3">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1.专业素质：最高1分</w:t>
            </w:r>
          </w:p>
          <w:p w14:paraId="5439D5A8">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2..技术能力：最高1分</w:t>
            </w:r>
          </w:p>
          <w:p w14:paraId="49C67AD4">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3.疗休养项目服务经验：最高1分</w:t>
            </w:r>
          </w:p>
          <w:p w14:paraId="5E62E6F6">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4.调动各项资源能力：最高1分</w:t>
            </w:r>
          </w:p>
          <w:p w14:paraId="1343644E">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提供相关证明材料</w:t>
            </w:r>
            <w:r>
              <w:rPr>
                <w:rFonts w:hint="eastAsia" w:ascii="仿宋" w:hAnsi="仿宋" w:eastAsia="仿宋" w:cs="仿宋"/>
                <w:color w:val="auto"/>
                <w:sz w:val="24"/>
                <w:szCs w:val="24"/>
                <w:lang w:val="zh-CN"/>
              </w:rPr>
              <w:t>及供应商为其缴纳的近3个月内任意一个月社保证明复印件加盖CA签章。</w:t>
            </w:r>
          </w:p>
        </w:tc>
        <w:tc>
          <w:tcPr>
            <w:tcW w:w="1018" w:type="dxa"/>
            <w:vAlign w:val="center"/>
          </w:tcPr>
          <w:p w14:paraId="1B6BBE42">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0-4分</w:t>
            </w:r>
          </w:p>
        </w:tc>
      </w:tr>
      <w:tr w14:paraId="12EA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Merge w:val="continue"/>
            <w:vAlign w:val="center"/>
          </w:tcPr>
          <w:p w14:paraId="23F401C9">
            <w:pPr>
              <w:spacing w:line="400" w:lineRule="exact"/>
              <w:jc w:val="center"/>
              <w:rPr>
                <w:rFonts w:hint="eastAsia" w:ascii="仿宋" w:hAnsi="仿宋" w:eastAsia="仿宋" w:cs="仿宋"/>
                <w:color w:val="auto"/>
                <w:sz w:val="24"/>
                <w:szCs w:val="24"/>
              </w:rPr>
            </w:pPr>
          </w:p>
        </w:tc>
        <w:tc>
          <w:tcPr>
            <w:tcW w:w="1485" w:type="dxa"/>
            <w:vMerge w:val="continue"/>
            <w:vAlign w:val="center"/>
          </w:tcPr>
          <w:p w14:paraId="62F54419">
            <w:pPr>
              <w:spacing w:line="400" w:lineRule="exact"/>
              <w:jc w:val="center"/>
              <w:rPr>
                <w:rFonts w:hint="eastAsia" w:ascii="仿宋" w:hAnsi="仿宋" w:eastAsia="仿宋" w:cs="仿宋"/>
                <w:color w:val="auto"/>
                <w:sz w:val="24"/>
                <w:szCs w:val="24"/>
              </w:rPr>
            </w:pPr>
          </w:p>
        </w:tc>
        <w:tc>
          <w:tcPr>
            <w:tcW w:w="5775" w:type="dxa"/>
          </w:tcPr>
          <w:p w14:paraId="7642693E">
            <w:pPr>
              <w:spacing w:line="40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拟投入本项目导游（除项目负责人外）：</w:t>
            </w:r>
          </w:p>
          <w:p w14:paraId="6CCC5A85">
            <w:pPr>
              <w:spacing w:line="40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①具有高级导游证的每人得</w:t>
            </w: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分；</w:t>
            </w:r>
          </w:p>
          <w:p w14:paraId="76B988D7">
            <w:pPr>
              <w:spacing w:line="40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②具有中级导游证的每人得</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分；</w:t>
            </w:r>
          </w:p>
          <w:p w14:paraId="46C388EE">
            <w:pP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注：同一人的导游按级别最高的得分，不累计得分，</w:t>
            </w:r>
            <w:r>
              <w:rPr>
                <w:rFonts w:hint="eastAsia" w:ascii="仿宋" w:hAnsi="仿宋" w:eastAsia="仿宋" w:cs="仿宋"/>
                <w:color w:val="auto"/>
                <w:sz w:val="24"/>
                <w:szCs w:val="24"/>
              </w:rPr>
              <w:t>本项最高得4分</w:t>
            </w:r>
            <w:r>
              <w:rPr>
                <w:rFonts w:hint="eastAsia" w:ascii="仿宋" w:hAnsi="仿宋" w:eastAsia="仿宋" w:cs="仿宋"/>
                <w:color w:val="auto"/>
                <w:sz w:val="24"/>
                <w:szCs w:val="24"/>
                <w:lang w:val="zh-CN"/>
              </w:rPr>
              <w:t>。提供有效期内的导游证书复印件及供应商为其缴纳的近3个月内任意一个月社保证明复印件加盖CA签章。</w:t>
            </w:r>
          </w:p>
        </w:tc>
        <w:tc>
          <w:tcPr>
            <w:tcW w:w="1018" w:type="dxa"/>
            <w:vAlign w:val="center"/>
          </w:tcPr>
          <w:p w14:paraId="5668F0CB">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0-4分</w:t>
            </w:r>
          </w:p>
        </w:tc>
      </w:tr>
      <w:tr w14:paraId="651A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3" w:hRule="atLeast"/>
          <w:jc w:val="center"/>
        </w:trPr>
        <w:tc>
          <w:tcPr>
            <w:tcW w:w="765" w:type="dxa"/>
            <w:vAlign w:val="center"/>
          </w:tcPr>
          <w:p w14:paraId="4B9EBFC5">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485" w:type="dxa"/>
            <w:vAlign w:val="center"/>
          </w:tcPr>
          <w:p w14:paraId="242FCD46">
            <w:pPr>
              <w:autoSpaceDE w:val="0"/>
              <w:autoSpaceDN w:val="0"/>
              <w:adjustRightInd w:val="0"/>
              <w:spacing w:line="400" w:lineRule="exact"/>
              <w:ind w:left="105" w:leftChars="50" w:right="105" w:right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健康</w:t>
            </w:r>
            <w:r>
              <w:rPr>
                <w:rFonts w:hint="eastAsia" w:ascii="仿宋" w:hAnsi="仿宋" w:eastAsia="仿宋" w:cs="仿宋"/>
                <w:color w:val="auto"/>
                <w:sz w:val="24"/>
                <w:szCs w:val="24"/>
                <w:lang w:val="zh-CN"/>
              </w:rPr>
              <w:t>休养路线安排</w:t>
            </w:r>
          </w:p>
          <w:p w14:paraId="58E2AEB3">
            <w:pPr>
              <w:spacing w:line="400" w:lineRule="exact"/>
              <w:jc w:val="center"/>
              <w:rPr>
                <w:rFonts w:hint="eastAsia" w:ascii="仿宋" w:hAnsi="仿宋" w:eastAsia="仿宋" w:cs="仿宋"/>
                <w:color w:val="auto"/>
                <w:sz w:val="24"/>
                <w:szCs w:val="24"/>
              </w:rPr>
            </w:pPr>
          </w:p>
        </w:tc>
        <w:tc>
          <w:tcPr>
            <w:tcW w:w="5775" w:type="dxa"/>
          </w:tcPr>
          <w:p w14:paraId="0B54F2AE">
            <w:pPr>
              <w:autoSpaceDE w:val="0"/>
              <w:autoSpaceDN w:val="0"/>
              <w:adjustRightIn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lang w:val="zh-CN"/>
              </w:rPr>
              <w:t>根据</w:t>
            </w:r>
            <w:r>
              <w:rPr>
                <w:rFonts w:hint="eastAsia" w:ascii="仿宋" w:hAnsi="仿宋" w:eastAsia="仿宋" w:cs="仿宋"/>
                <w:color w:val="auto"/>
                <w:sz w:val="24"/>
                <w:szCs w:val="24"/>
              </w:rPr>
              <w:t>健康</w:t>
            </w:r>
            <w:r>
              <w:rPr>
                <w:rFonts w:hint="eastAsia" w:ascii="仿宋" w:hAnsi="仿宋" w:eastAsia="仿宋" w:cs="仿宋"/>
                <w:color w:val="auto"/>
                <w:sz w:val="24"/>
                <w:szCs w:val="24"/>
                <w:lang w:val="zh-CN"/>
              </w:rPr>
              <w:t>休养路线及人均标准进行方案设计，由评委</w:t>
            </w:r>
            <w:r>
              <w:rPr>
                <w:rFonts w:hint="eastAsia" w:ascii="仿宋" w:hAnsi="仿宋" w:eastAsia="仿宋" w:cs="仿宋"/>
                <w:color w:val="auto"/>
                <w:sz w:val="24"/>
                <w:szCs w:val="24"/>
              </w:rPr>
              <w:t>进行综合评分：</w:t>
            </w:r>
          </w:p>
          <w:p w14:paraId="54EEB508">
            <w:pPr>
              <w:autoSpaceDE w:val="0"/>
              <w:autoSpaceDN w:val="0"/>
              <w:adjustRightInd w:val="0"/>
              <w:spacing w:line="40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线路设计合理性</w:t>
            </w:r>
            <w:r>
              <w:rPr>
                <w:rFonts w:hint="eastAsia" w:ascii="仿宋" w:hAnsi="仿宋" w:eastAsia="仿宋" w:cs="仿宋"/>
                <w:color w:val="auto"/>
                <w:sz w:val="24"/>
                <w:szCs w:val="24"/>
              </w:rPr>
              <w:t>[0-5分]</w:t>
            </w:r>
            <w:r>
              <w:rPr>
                <w:rFonts w:hint="eastAsia" w:ascii="仿宋" w:hAnsi="仿宋" w:eastAsia="仿宋" w:cs="仿宋"/>
                <w:color w:val="auto"/>
                <w:sz w:val="24"/>
                <w:szCs w:val="24"/>
                <w:lang w:val="zh-CN"/>
              </w:rPr>
              <w:t>；</w:t>
            </w:r>
          </w:p>
          <w:p w14:paraId="64A3DA1B">
            <w:pPr>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健康</w:t>
            </w:r>
            <w:r>
              <w:rPr>
                <w:rFonts w:hint="eastAsia" w:ascii="仿宋" w:hAnsi="仿宋" w:eastAsia="仿宋" w:cs="仿宋"/>
                <w:bCs/>
                <w:color w:val="auto"/>
                <w:sz w:val="24"/>
                <w:szCs w:val="24"/>
              </w:rPr>
              <w:t>休养</w:t>
            </w:r>
            <w:r>
              <w:rPr>
                <w:rFonts w:hint="eastAsia" w:ascii="仿宋" w:hAnsi="仿宋" w:eastAsia="仿宋" w:cs="仿宋"/>
                <w:color w:val="auto"/>
                <w:sz w:val="24"/>
                <w:szCs w:val="24"/>
                <w:lang w:val="zh-CN"/>
              </w:rPr>
              <w:t>线路设计</w:t>
            </w:r>
            <w:r>
              <w:rPr>
                <w:rFonts w:hint="eastAsia" w:ascii="仿宋" w:hAnsi="仿宋" w:eastAsia="仿宋" w:cs="仿宋"/>
                <w:bCs/>
                <w:color w:val="auto"/>
                <w:sz w:val="24"/>
                <w:szCs w:val="24"/>
              </w:rPr>
              <w:t>的针对性强，方案合理并符合招标人的实际需求得</w:t>
            </w:r>
            <w:r>
              <w:rPr>
                <w:rFonts w:hint="eastAsia" w:ascii="仿宋" w:hAnsi="仿宋" w:eastAsia="仿宋" w:cs="仿宋"/>
                <w:color w:val="auto"/>
                <w:sz w:val="24"/>
                <w:szCs w:val="24"/>
              </w:rPr>
              <w:t>5</w:t>
            </w:r>
            <w:r>
              <w:rPr>
                <w:rFonts w:hint="eastAsia" w:ascii="仿宋" w:hAnsi="仿宋" w:eastAsia="仿宋" w:cs="仿宋"/>
                <w:bCs/>
                <w:color w:val="auto"/>
                <w:sz w:val="24"/>
                <w:szCs w:val="24"/>
              </w:rPr>
              <w:t>分；</w:t>
            </w:r>
            <w:r>
              <w:rPr>
                <w:rFonts w:hint="eastAsia" w:ascii="仿宋" w:hAnsi="仿宋" w:eastAsia="仿宋" w:cs="仿宋"/>
                <w:color w:val="auto"/>
                <w:sz w:val="24"/>
                <w:szCs w:val="24"/>
              </w:rPr>
              <w:t>健康</w:t>
            </w:r>
            <w:r>
              <w:rPr>
                <w:rFonts w:hint="eastAsia" w:ascii="仿宋" w:hAnsi="仿宋" w:eastAsia="仿宋" w:cs="仿宋"/>
                <w:bCs/>
                <w:color w:val="auto"/>
                <w:sz w:val="24"/>
                <w:szCs w:val="24"/>
              </w:rPr>
              <w:t>休养</w:t>
            </w:r>
            <w:r>
              <w:rPr>
                <w:rFonts w:hint="eastAsia" w:ascii="仿宋" w:hAnsi="仿宋" w:eastAsia="仿宋" w:cs="仿宋"/>
                <w:color w:val="auto"/>
                <w:sz w:val="24"/>
                <w:szCs w:val="24"/>
                <w:lang w:val="zh-CN"/>
              </w:rPr>
              <w:t>线路设计</w:t>
            </w:r>
            <w:r>
              <w:rPr>
                <w:rFonts w:hint="eastAsia" w:ascii="仿宋" w:hAnsi="仿宋" w:eastAsia="仿宋" w:cs="仿宋"/>
                <w:bCs/>
                <w:color w:val="auto"/>
                <w:sz w:val="24"/>
                <w:szCs w:val="24"/>
              </w:rPr>
              <w:t>的针对性欠佳，得</w:t>
            </w:r>
            <w:r>
              <w:rPr>
                <w:rFonts w:hint="eastAsia" w:ascii="仿宋" w:hAnsi="仿宋" w:eastAsia="仿宋" w:cs="仿宋"/>
                <w:color w:val="auto"/>
                <w:sz w:val="24"/>
                <w:szCs w:val="24"/>
              </w:rPr>
              <w:t>3-4</w:t>
            </w:r>
            <w:r>
              <w:rPr>
                <w:rFonts w:hint="eastAsia" w:ascii="仿宋" w:hAnsi="仿宋" w:eastAsia="仿宋" w:cs="仿宋"/>
                <w:bCs/>
                <w:color w:val="auto"/>
                <w:sz w:val="24"/>
                <w:szCs w:val="24"/>
              </w:rPr>
              <w:t>分；</w:t>
            </w:r>
            <w:r>
              <w:rPr>
                <w:rFonts w:hint="eastAsia" w:ascii="仿宋" w:hAnsi="仿宋" w:eastAsia="仿宋" w:cs="仿宋"/>
                <w:color w:val="auto"/>
                <w:sz w:val="24"/>
                <w:szCs w:val="24"/>
              </w:rPr>
              <w:t>健康</w:t>
            </w:r>
            <w:r>
              <w:rPr>
                <w:rFonts w:hint="eastAsia" w:ascii="仿宋" w:hAnsi="仿宋" w:eastAsia="仿宋" w:cs="仿宋"/>
                <w:bCs/>
                <w:color w:val="auto"/>
                <w:sz w:val="24"/>
                <w:szCs w:val="24"/>
              </w:rPr>
              <w:t>休养</w:t>
            </w:r>
            <w:r>
              <w:rPr>
                <w:rFonts w:hint="eastAsia" w:ascii="仿宋" w:hAnsi="仿宋" w:eastAsia="仿宋" w:cs="仿宋"/>
                <w:color w:val="auto"/>
                <w:sz w:val="24"/>
                <w:szCs w:val="24"/>
                <w:lang w:val="zh-CN"/>
              </w:rPr>
              <w:t>线路设计</w:t>
            </w:r>
            <w:r>
              <w:rPr>
                <w:rFonts w:hint="eastAsia" w:ascii="仿宋" w:hAnsi="仿宋" w:eastAsia="仿宋" w:cs="仿宋"/>
                <w:bCs/>
                <w:color w:val="auto"/>
                <w:sz w:val="24"/>
                <w:szCs w:val="24"/>
              </w:rPr>
              <w:t>的针对性不强，有明显瑕疵的，得1-2分。</w:t>
            </w:r>
          </w:p>
          <w:p w14:paraId="7CF334B7">
            <w:pPr>
              <w:autoSpaceDE w:val="0"/>
              <w:autoSpaceDN w:val="0"/>
              <w:adjustRightInd w:val="0"/>
              <w:spacing w:line="40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体现休养理念</w:t>
            </w:r>
            <w:r>
              <w:rPr>
                <w:rFonts w:hint="eastAsia" w:ascii="仿宋" w:hAnsi="仿宋" w:eastAsia="仿宋" w:cs="仿宋"/>
                <w:color w:val="auto"/>
                <w:sz w:val="24"/>
                <w:szCs w:val="24"/>
              </w:rPr>
              <w:t>[0-5分]</w:t>
            </w:r>
            <w:r>
              <w:rPr>
                <w:rFonts w:hint="eastAsia" w:ascii="仿宋" w:hAnsi="仿宋" w:eastAsia="仿宋" w:cs="仿宋"/>
                <w:color w:val="auto"/>
                <w:sz w:val="24"/>
                <w:szCs w:val="24"/>
                <w:lang w:val="zh-CN"/>
              </w:rPr>
              <w:t>；</w:t>
            </w:r>
          </w:p>
          <w:p w14:paraId="193A5ACD">
            <w:pPr>
              <w:autoSpaceDE w:val="0"/>
              <w:autoSpaceDN w:val="0"/>
              <w:adjustRightInd w:val="0"/>
              <w:spacing w:line="40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健康</w:t>
            </w:r>
            <w:r>
              <w:rPr>
                <w:rFonts w:hint="eastAsia" w:ascii="仿宋" w:hAnsi="仿宋" w:eastAsia="仿宋" w:cs="仿宋"/>
                <w:bCs/>
                <w:color w:val="auto"/>
                <w:sz w:val="24"/>
                <w:szCs w:val="24"/>
              </w:rPr>
              <w:t>休养</w:t>
            </w:r>
            <w:r>
              <w:rPr>
                <w:rFonts w:hint="eastAsia" w:ascii="仿宋" w:hAnsi="仿宋" w:eastAsia="仿宋" w:cs="仿宋"/>
                <w:color w:val="auto"/>
                <w:sz w:val="24"/>
                <w:szCs w:val="24"/>
                <w:lang w:val="zh-CN"/>
              </w:rPr>
              <w:t>理念</w:t>
            </w:r>
            <w:r>
              <w:rPr>
                <w:rFonts w:hint="eastAsia" w:ascii="仿宋" w:hAnsi="仿宋" w:eastAsia="仿宋" w:cs="仿宋"/>
                <w:bCs/>
                <w:color w:val="auto"/>
                <w:sz w:val="24"/>
                <w:szCs w:val="24"/>
              </w:rPr>
              <w:t>的针对性强，方案合理并符合招标人的实际需求得</w:t>
            </w:r>
            <w:r>
              <w:rPr>
                <w:rFonts w:hint="eastAsia" w:ascii="仿宋" w:hAnsi="仿宋" w:eastAsia="仿宋" w:cs="仿宋"/>
                <w:color w:val="auto"/>
                <w:sz w:val="24"/>
                <w:szCs w:val="24"/>
              </w:rPr>
              <w:t>5</w:t>
            </w:r>
            <w:r>
              <w:rPr>
                <w:rFonts w:hint="eastAsia" w:ascii="仿宋" w:hAnsi="仿宋" w:eastAsia="仿宋" w:cs="仿宋"/>
                <w:bCs/>
                <w:color w:val="auto"/>
                <w:sz w:val="24"/>
                <w:szCs w:val="24"/>
              </w:rPr>
              <w:t>分；</w:t>
            </w:r>
            <w:r>
              <w:rPr>
                <w:rFonts w:hint="eastAsia" w:ascii="仿宋" w:hAnsi="仿宋" w:eastAsia="仿宋" w:cs="仿宋"/>
                <w:color w:val="auto"/>
                <w:sz w:val="24"/>
                <w:szCs w:val="24"/>
              </w:rPr>
              <w:t>健康</w:t>
            </w:r>
            <w:r>
              <w:rPr>
                <w:rFonts w:hint="eastAsia" w:ascii="仿宋" w:hAnsi="仿宋" w:eastAsia="仿宋" w:cs="仿宋"/>
                <w:bCs/>
                <w:color w:val="auto"/>
                <w:sz w:val="24"/>
                <w:szCs w:val="24"/>
              </w:rPr>
              <w:t>休养</w:t>
            </w:r>
            <w:r>
              <w:rPr>
                <w:rFonts w:hint="eastAsia" w:ascii="仿宋" w:hAnsi="仿宋" w:eastAsia="仿宋" w:cs="仿宋"/>
                <w:color w:val="auto"/>
                <w:sz w:val="24"/>
                <w:szCs w:val="24"/>
                <w:lang w:val="zh-CN"/>
              </w:rPr>
              <w:t>理念</w:t>
            </w:r>
            <w:r>
              <w:rPr>
                <w:rFonts w:hint="eastAsia" w:ascii="仿宋" w:hAnsi="仿宋" w:eastAsia="仿宋" w:cs="仿宋"/>
                <w:bCs/>
                <w:color w:val="auto"/>
                <w:sz w:val="24"/>
                <w:szCs w:val="24"/>
              </w:rPr>
              <w:t>的针对性欠佳，得</w:t>
            </w:r>
            <w:r>
              <w:rPr>
                <w:rFonts w:hint="eastAsia" w:ascii="仿宋" w:hAnsi="仿宋" w:eastAsia="仿宋" w:cs="仿宋"/>
                <w:color w:val="auto"/>
                <w:sz w:val="24"/>
                <w:szCs w:val="24"/>
              </w:rPr>
              <w:t>3-4</w:t>
            </w:r>
            <w:r>
              <w:rPr>
                <w:rFonts w:hint="eastAsia" w:ascii="仿宋" w:hAnsi="仿宋" w:eastAsia="仿宋" w:cs="仿宋"/>
                <w:bCs/>
                <w:color w:val="auto"/>
                <w:sz w:val="24"/>
                <w:szCs w:val="24"/>
              </w:rPr>
              <w:t>分；</w:t>
            </w:r>
            <w:r>
              <w:rPr>
                <w:rFonts w:hint="eastAsia" w:ascii="仿宋" w:hAnsi="仿宋" w:eastAsia="仿宋" w:cs="仿宋"/>
                <w:color w:val="auto"/>
                <w:sz w:val="24"/>
                <w:szCs w:val="24"/>
              </w:rPr>
              <w:t>健康</w:t>
            </w:r>
            <w:r>
              <w:rPr>
                <w:rFonts w:hint="eastAsia" w:ascii="仿宋" w:hAnsi="仿宋" w:eastAsia="仿宋" w:cs="仿宋"/>
                <w:bCs/>
                <w:color w:val="auto"/>
                <w:sz w:val="24"/>
                <w:szCs w:val="24"/>
              </w:rPr>
              <w:t>休养</w:t>
            </w:r>
            <w:r>
              <w:rPr>
                <w:rFonts w:hint="eastAsia" w:ascii="仿宋" w:hAnsi="仿宋" w:eastAsia="仿宋" w:cs="仿宋"/>
                <w:color w:val="auto"/>
                <w:sz w:val="24"/>
                <w:szCs w:val="24"/>
                <w:lang w:val="zh-CN"/>
              </w:rPr>
              <w:t>理念</w:t>
            </w:r>
            <w:r>
              <w:rPr>
                <w:rFonts w:hint="eastAsia" w:ascii="仿宋" w:hAnsi="仿宋" w:eastAsia="仿宋" w:cs="仿宋"/>
                <w:bCs/>
                <w:color w:val="auto"/>
                <w:sz w:val="24"/>
                <w:szCs w:val="24"/>
              </w:rPr>
              <w:t>的针对性不强，有明显瑕疵的，得1-2分。</w:t>
            </w:r>
          </w:p>
          <w:p w14:paraId="6EBA29EF">
            <w:pPr>
              <w:autoSpaceDE w:val="0"/>
              <w:autoSpaceDN w:val="0"/>
              <w:adjustRightInd w:val="0"/>
              <w:spacing w:line="40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设计内容有创新理念</w:t>
            </w:r>
            <w:r>
              <w:rPr>
                <w:rFonts w:hint="eastAsia" w:ascii="仿宋" w:hAnsi="仿宋" w:eastAsia="仿宋" w:cs="仿宋"/>
                <w:color w:val="auto"/>
                <w:sz w:val="24"/>
                <w:szCs w:val="24"/>
              </w:rPr>
              <w:t>[0-5分]</w:t>
            </w:r>
            <w:r>
              <w:rPr>
                <w:rFonts w:hint="eastAsia" w:ascii="仿宋" w:hAnsi="仿宋" w:eastAsia="仿宋" w:cs="仿宋"/>
                <w:color w:val="auto"/>
                <w:sz w:val="24"/>
                <w:szCs w:val="24"/>
                <w:lang w:val="zh-CN"/>
              </w:rPr>
              <w:t>；</w:t>
            </w:r>
          </w:p>
          <w:p w14:paraId="76E7B041">
            <w:pPr>
              <w:autoSpaceDE w:val="0"/>
              <w:autoSpaceDN w:val="0"/>
              <w:adjustRightInd w:val="0"/>
              <w:spacing w:line="40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健康</w:t>
            </w:r>
            <w:r>
              <w:rPr>
                <w:rFonts w:hint="eastAsia" w:ascii="仿宋" w:hAnsi="仿宋" w:eastAsia="仿宋" w:cs="仿宋"/>
                <w:bCs/>
                <w:color w:val="auto"/>
                <w:sz w:val="24"/>
                <w:szCs w:val="24"/>
              </w:rPr>
              <w:t>休养</w:t>
            </w:r>
            <w:r>
              <w:rPr>
                <w:rFonts w:hint="eastAsia" w:ascii="仿宋" w:hAnsi="仿宋" w:eastAsia="仿宋" w:cs="仿宋"/>
                <w:color w:val="auto"/>
                <w:sz w:val="24"/>
                <w:szCs w:val="24"/>
                <w:lang w:val="zh-CN"/>
              </w:rPr>
              <w:t>设计内容</w:t>
            </w:r>
            <w:r>
              <w:rPr>
                <w:rFonts w:hint="eastAsia" w:ascii="仿宋" w:hAnsi="仿宋" w:eastAsia="仿宋" w:cs="仿宋"/>
                <w:bCs/>
                <w:color w:val="auto"/>
                <w:sz w:val="24"/>
                <w:szCs w:val="24"/>
              </w:rPr>
              <w:t>的针对性强，方案合理并符合招标人的实际需求得</w:t>
            </w:r>
            <w:r>
              <w:rPr>
                <w:rFonts w:hint="eastAsia" w:ascii="仿宋" w:hAnsi="仿宋" w:eastAsia="仿宋" w:cs="仿宋"/>
                <w:color w:val="auto"/>
                <w:sz w:val="24"/>
                <w:szCs w:val="24"/>
              </w:rPr>
              <w:t>5</w:t>
            </w:r>
            <w:r>
              <w:rPr>
                <w:rFonts w:hint="eastAsia" w:ascii="仿宋" w:hAnsi="仿宋" w:eastAsia="仿宋" w:cs="仿宋"/>
                <w:bCs/>
                <w:color w:val="auto"/>
                <w:sz w:val="24"/>
                <w:szCs w:val="24"/>
              </w:rPr>
              <w:t>分；</w:t>
            </w:r>
            <w:r>
              <w:rPr>
                <w:rFonts w:hint="eastAsia" w:ascii="仿宋" w:hAnsi="仿宋" w:eastAsia="仿宋" w:cs="仿宋"/>
                <w:color w:val="auto"/>
                <w:sz w:val="24"/>
                <w:szCs w:val="24"/>
              </w:rPr>
              <w:t>健康</w:t>
            </w:r>
            <w:r>
              <w:rPr>
                <w:rFonts w:hint="eastAsia" w:ascii="仿宋" w:hAnsi="仿宋" w:eastAsia="仿宋" w:cs="仿宋"/>
                <w:bCs/>
                <w:color w:val="auto"/>
                <w:sz w:val="24"/>
                <w:szCs w:val="24"/>
              </w:rPr>
              <w:t>休养</w:t>
            </w:r>
            <w:r>
              <w:rPr>
                <w:rFonts w:hint="eastAsia" w:ascii="仿宋" w:hAnsi="仿宋" w:eastAsia="仿宋" w:cs="仿宋"/>
                <w:color w:val="auto"/>
                <w:sz w:val="24"/>
                <w:szCs w:val="24"/>
                <w:lang w:val="zh-CN"/>
              </w:rPr>
              <w:t>设计内容</w:t>
            </w:r>
            <w:r>
              <w:rPr>
                <w:rFonts w:hint="eastAsia" w:ascii="仿宋" w:hAnsi="仿宋" w:eastAsia="仿宋" w:cs="仿宋"/>
                <w:bCs/>
                <w:color w:val="auto"/>
                <w:sz w:val="24"/>
                <w:szCs w:val="24"/>
              </w:rPr>
              <w:t>的针对性欠佳，得</w:t>
            </w:r>
            <w:r>
              <w:rPr>
                <w:rFonts w:hint="eastAsia" w:ascii="仿宋" w:hAnsi="仿宋" w:eastAsia="仿宋" w:cs="仿宋"/>
                <w:color w:val="auto"/>
                <w:sz w:val="24"/>
                <w:szCs w:val="24"/>
              </w:rPr>
              <w:t>3-4</w:t>
            </w:r>
            <w:r>
              <w:rPr>
                <w:rFonts w:hint="eastAsia" w:ascii="仿宋" w:hAnsi="仿宋" w:eastAsia="仿宋" w:cs="仿宋"/>
                <w:bCs/>
                <w:color w:val="auto"/>
                <w:sz w:val="24"/>
                <w:szCs w:val="24"/>
              </w:rPr>
              <w:t>分；</w:t>
            </w:r>
            <w:r>
              <w:rPr>
                <w:rFonts w:hint="eastAsia" w:ascii="仿宋" w:hAnsi="仿宋" w:eastAsia="仿宋" w:cs="仿宋"/>
                <w:color w:val="auto"/>
                <w:sz w:val="24"/>
                <w:szCs w:val="24"/>
              </w:rPr>
              <w:t>健康</w:t>
            </w:r>
            <w:r>
              <w:rPr>
                <w:rFonts w:hint="eastAsia" w:ascii="仿宋" w:hAnsi="仿宋" w:eastAsia="仿宋" w:cs="仿宋"/>
                <w:bCs/>
                <w:color w:val="auto"/>
                <w:sz w:val="24"/>
                <w:szCs w:val="24"/>
              </w:rPr>
              <w:t>休养</w:t>
            </w:r>
            <w:r>
              <w:rPr>
                <w:rFonts w:hint="eastAsia" w:ascii="仿宋" w:hAnsi="仿宋" w:eastAsia="仿宋" w:cs="仿宋"/>
                <w:color w:val="auto"/>
                <w:sz w:val="24"/>
                <w:szCs w:val="24"/>
                <w:lang w:val="zh-CN"/>
              </w:rPr>
              <w:t>设计内容</w:t>
            </w:r>
            <w:r>
              <w:rPr>
                <w:rFonts w:hint="eastAsia" w:ascii="仿宋" w:hAnsi="仿宋" w:eastAsia="仿宋" w:cs="仿宋"/>
                <w:bCs/>
                <w:color w:val="auto"/>
                <w:sz w:val="24"/>
                <w:szCs w:val="24"/>
              </w:rPr>
              <w:t>的针对性不强，有明显瑕疵的，得1-2分。</w:t>
            </w:r>
          </w:p>
          <w:p w14:paraId="3161A653">
            <w:pPr>
              <w:autoSpaceDE w:val="0"/>
              <w:autoSpaceDN w:val="0"/>
              <w:adjustRightInd w:val="0"/>
              <w:spacing w:line="40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线路设计，服务项目明确</w:t>
            </w:r>
            <w:r>
              <w:rPr>
                <w:rFonts w:hint="eastAsia" w:ascii="仿宋" w:hAnsi="仿宋" w:eastAsia="仿宋" w:cs="仿宋"/>
                <w:color w:val="auto"/>
                <w:sz w:val="24"/>
                <w:szCs w:val="24"/>
              </w:rPr>
              <w:t>[0-5分]</w:t>
            </w:r>
            <w:r>
              <w:rPr>
                <w:rFonts w:hint="eastAsia" w:ascii="仿宋" w:hAnsi="仿宋" w:eastAsia="仿宋" w:cs="仿宋"/>
                <w:color w:val="auto"/>
                <w:sz w:val="24"/>
                <w:szCs w:val="24"/>
                <w:lang w:val="zh-CN"/>
              </w:rPr>
              <w:t>；</w:t>
            </w:r>
          </w:p>
          <w:p w14:paraId="0A36899C">
            <w:pPr>
              <w:spacing w:line="400" w:lineRule="exact"/>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健康</w:t>
            </w:r>
            <w:r>
              <w:rPr>
                <w:rFonts w:hint="eastAsia" w:ascii="仿宋" w:hAnsi="仿宋" w:eastAsia="仿宋" w:cs="仿宋"/>
                <w:bCs/>
                <w:color w:val="auto"/>
                <w:sz w:val="24"/>
                <w:szCs w:val="24"/>
              </w:rPr>
              <w:t>休养</w:t>
            </w:r>
            <w:r>
              <w:rPr>
                <w:rFonts w:hint="eastAsia" w:ascii="仿宋" w:hAnsi="仿宋" w:eastAsia="仿宋" w:cs="仿宋"/>
                <w:color w:val="auto"/>
                <w:sz w:val="24"/>
                <w:szCs w:val="24"/>
                <w:lang w:val="zh-CN"/>
              </w:rPr>
              <w:t>服务项目</w:t>
            </w:r>
            <w:r>
              <w:rPr>
                <w:rFonts w:hint="eastAsia" w:ascii="仿宋" w:hAnsi="仿宋" w:eastAsia="仿宋" w:cs="仿宋"/>
                <w:bCs/>
                <w:color w:val="auto"/>
                <w:sz w:val="24"/>
                <w:szCs w:val="24"/>
              </w:rPr>
              <w:t>的针对性强，方案合理并符合招标人的实际需求得</w:t>
            </w:r>
            <w:r>
              <w:rPr>
                <w:rFonts w:hint="eastAsia" w:ascii="仿宋" w:hAnsi="仿宋" w:eastAsia="仿宋" w:cs="仿宋"/>
                <w:color w:val="auto"/>
                <w:sz w:val="24"/>
                <w:szCs w:val="24"/>
              </w:rPr>
              <w:t>5</w:t>
            </w:r>
            <w:r>
              <w:rPr>
                <w:rFonts w:hint="eastAsia" w:ascii="仿宋" w:hAnsi="仿宋" w:eastAsia="仿宋" w:cs="仿宋"/>
                <w:bCs/>
                <w:color w:val="auto"/>
                <w:sz w:val="24"/>
                <w:szCs w:val="24"/>
              </w:rPr>
              <w:t>分；</w:t>
            </w:r>
            <w:r>
              <w:rPr>
                <w:rFonts w:hint="eastAsia" w:ascii="仿宋" w:hAnsi="仿宋" w:eastAsia="仿宋" w:cs="仿宋"/>
                <w:color w:val="auto"/>
                <w:sz w:val="24"/>
                <w:szCs w:val="24"/>
              </w:rPr>
              <w:t>健康</w:t>
            </w:r>
            <w:r>
              <w:rPr>
                <w:rFonts w:hint="eastAsia" w:ascii="仿宋" w:hAnsi="仿宋" w:eastAsia="仿宋" w:cs="仿宋"/>
                <w:bCs/>
                <w:color w:val="auto"/>
                <w:sz w:val="24"/>
                <w:szCs w:val="24"/>
              </w:rPr>
              <w:t>休养</w:t>
            </w:r>
            <w:r>
              <w:rPr>
                <w:rFonts w:hint="eastAsia" w:ascii="仿宋" w:hAnsi="仿宋" w:eastAsia="仿宋" w:cs="仿宋"/>
                <w:color w:val="auto"/>
                <w:sz w:val="24"/>
                <w:szCs w:val="24"/>
                <w:lang w:val="zh-CN"/>
              </w:rPr>
              <w:t>服务项目</w:t>
            </w:r>
            <w:r>
              <w:rPr>
                <w:rFonts w:hint="eastAsia" w:ascii="仿宋" w:hAnsi="仿宋" w:eastAsia="仿宋" w:cs="仿宋"/>
                <w:bCs/>
                <w:color w:val="auto"/>
                <w:sz w:val="24"/>
                <w:szCs w:val="24"/>
              </w:rPr>
              <w:t>的针对性欠佳，得</w:t>
            </w:r>
            <w:r>
              <w:rPr>
                <w:rFonts w:hint="eastAsia" w:ascii="仿宋" w:hAnsi="仿宋" w:eastAsia="仿宋" w:cs="仿宋"/>
                <w:color w:val="auto"/>
                <w:sz w:val="24"/>
                <w:szCs w:val="24"/>
              </w:rPr>
              <w:t>3-4</w:t>
            </w:r>
            <w:r>
              <w:rPr>
                <w:rFonts w:hint="eastAsia" w:ascii="仿宋" w:hAnsi="仿宋" w:eastAsia="仿宋" w:cs="仿宋"/>
                <w:bCs/>
                <w:color w:val="auto"/>
                <w:sz w:val="24"/>
                <w:szCs w:val="24"/>
              </w:rPr>
              <w:t>分；</w:t>
            </w:r>
            <w:r>
              <w:rPr>
                <w:rFonts w:hint="eastAsia" w:ascii="仿宋" w:hAnsi="仿宋" w:eastAsia="仿宋" w:cs="仿宋"/>
                <w:color w:val="auto"/>
                <w:sz w:val="24"/>
                <w:szCs w:val="24"/>
              </w:rPr>
              <w:t>健康</w:t>
            </w:r>
            <w:r>
              <w:rPr>
                <w:rFonts w:hint="eastAsia" w:ascii="仿宋" w:hAnsi="仿宋" w:eastAsia="仿宋" w:cs="仿宋"/>
                <w:bCs/>
                <w:color w:val="auto"/>
                <w:sz w:val="24"/>
                <w:szCs w:val="24"/>
              </w:rPr>
              <w:t>休养</w:t>
            </w:r>
            <w:r>
              <w:rPr>
                <w:rFonts w:hint="eastAsia" w:ascii="仿宋" w:hAnsi="仿宋" w:eastAsia="仿宋" w:cs="仿宋"/>
                <w:color w:val="auto"/>
                <w:sz w:val="24"/>
                <w:szCs w:val="24"/>
                <w:lang w:val="zh-CN"/>
              </w:rPr>
              <w:t>服务项目</w:t>
            </w:r>
            <w:r>
              <w:rPr>
                <w:rFonts w:hint="eastAsia" w:ascii="仿宋" w:hAnsi="仿宋" w:eastAsia="仿宋" w:cs="仿宋"/>
                <w:bCs/>
                <w:color w:val="auto"/>
                <w:sz w:val="24"/>
                <w:szCs w:val="24"/>
              </w:rPr>
              <w:t>的针对性不强，有明显瑕疵的，得1-2分。</w:t>
            </w:r>
          </w:p>
          <w:p w14:paraId="6949D5C6">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注：以上</w:t>
            </w:r>
            <w:r>
              <w:rPr>
                <w:rFonts w:hint="eastAsia" w:ascii="仿宋" w:hAnsi="仿宋" w:eastAsia="仿宋" w:cs="仿宋"/>
                <w:color w:val="auto"/>
                <w:sz w:val="24"/>
                <w:szCs w:val="24"/>
                <w:lang w:val="zh-CN"/>
              </w:rPr>
              <w:t>景点安排至少包括</w:t>
            </w:r>
            <w:r>
              <w:rPr>
                <w:rFonts w:hint="eastAsia" w:ascii="仿宋" w:hAnsi="仿宋" w:eastAsia="仿宋" w:cs="仿宋"/>
                <w:color w:val="auto"/>
                <w:sz w:val="24"/>
                <w:szCs w:val="24"/>
              </w:rPr>
              <w:t>招标文件中所投标的主要景点</w:t>
            </w:r>
            <w:r>
              <w:rPr>
                <w:rFonts w:hint="eastAsia" w:ascii="仿宋" w:hAnsi="仿宋" w:eastAsia="仿宋" w:cs="仿宋"/>
                <w:color w:val="auto"/>
                <w:sz w:val="24"/>
                <w:szCs w:val="24"/>
                <w:lang w:val="zh-CN"/>
              </w:rPr>
              <w:t>，当天各景点距离不宜过远，吃饭、住宿、景点之间也不宜过远，以舒适休闲游为主，标明各景点档次、景点之间的车程时间，根据景点安排的合理性等情况综合打分。方案中应包含日程安排、景点选择、服务标准、服务内容、注意事项</w:t>
            </w:r>
            <w:r>
              <w:rPr>
                <w:rFonts w:hint="eastAsia" w:ascii="仿宋" w:hAnsi="仿宋" w:eastAsia="仿宋" w:cs="仿宋"/>
                <w:color w:val="auto"/>
                <w:sz w:val="24"/>
                <w:szCs w:val="24"/>
              </w:rPr>
              <w:t>等</w:t>
            </w:r>
            <w:r>
              <w:rPr>
                <w:rFonts w:hint="eastAsia" w:ascii="仿宋" w:hAnsi="仿宋" w:eastAsia="仿宋" w:cs="仿宋"/>
                <w:color w:val="auto"/>
                <w:sz w:val="24"/>
                <w:szCs w:val="24"/>
                <w:lang w:val="zh-CN"/>
              </w:rPr>
              <w:t>。</w:t>
            </w:r>
          </w:p>
        </w:tc>
        <w:tc>
          <w:tcPr>
            <w:tcW w:w="1018" w:type="dxa"/>
            <w:vAlign w:val="center"/>
          </w:tcPr>
          <w:p w14:paraId="509AFE4C">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0-20分</w:t>
            </w:r>
          </w:p>
        </w:tc>
      </w:tr>
      <w:tr w14:paraId="622C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65" w:type="dxa"/>
            <w:vAlign w:val="center"/>
          </w:tcPr>
          <w:p w14:paraId="442C1038">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485" w:type="dxa"/>
            <w:vAlign w:val="center"/>
          </w:tcPr>
          <w:p w14:paraId="6977051D">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住宿</w:t>
            </w:r>
          </w:p>
        </w:tc>
        <w:tc>
          <w:tcPr>
            <w:tcW w:w="5775" w:type="dxa"/>
            <w:vAlign w:val="center"/>
          </w:tcPr>
          <w:p w14:paraId="160C2266">
            <w:pPr>
              <w:spacing w:line="40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评标小组根据对应标项线路住宿【提供酒店名称及星级证明材料（酒店未评挂星的可提供相关酒店网站截图、评分资料或其他相关证明资料）】方案全面性、专业性、针对性、疗休养定位符合程度等情况综合打分。（注明备选酒店）</w:t>
            </w:r>
          </w:p>
          <w:p w14:paraId="6A905601">
            <w:pPr>
              <w:spacing w:line="40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1.星级标准：三星级以下酒店不得分，挂四（包含）酒店或相当于四星级得</w:t>
            </w:r>
            <w:r>
              <w:rPr>
                <w:rFonts w:hint="eastAsia" w:ascii="仿宋" w:hAnsi="仿宋" w:eastAsia="仿宋" w:cs="仿宋"/>
                <w:color w:val="auto"/>
                <w:sz w:val="24"/>
                <w:szCs w:val="24"/>
              </w:rPr>
              <w:t>6-8</w:t>
            </w:r>
            <w:r>
              <w:rPr>
                <w:rFonts w:hint="eastAsia" w:ascii="仿宋" w:hAnsi="仿宋" w:eastAsia="仿宋" w:cs="仿宋"/>
                <w:color w:val="auto"/>
                <w:sz w:val="24"/>
                <w:szCs w:val="24"/>
                <w:lang w:val="zh-CN"/>
              </w:rPr>
              <w:t>分，四星级（包含）及以上酒店得</w:t>
            </w:r>
            <w:r>
              <w:rPr>
                <w:rFonts w:hint="eastAsia" w:ascii="仿宋" w:hAnsi="仿宋" w:eastAsia="仿宋" w:cs="仿宋"/>
                <w:color w:val="auto"/>
                <w:sz w:val="24"/>
                <w:szCs w:val="24"/>
              </w:rPr>
              <w:t>8-10</w:t>
            </w:r>
            <w:r>
              <w:rPr>
                <w:rFonts w:hint="eastAsia" w:ascii="仿宋" w:hAnsi="仿宋" w:eastAsia="仿宋" w:cs="仿宋"/>
                <w:color w:val="auto"/>
                <w:sz w:val="24"/>
                <w:szCs w:val="24"/>
                <w:lang w:val="zh-CN"/>
              </w:rPr>
              <w:t>分。本项最高</w:t>
            </w:r>
            <w:r>
              <w:rPr>
                <w:rFonts w:hint="eastAsia" w:ascii="仿宋" w:hAnsi="仿宋" w:eastAsia="仿宋" w:cs="仿宋"/>
                <w:color w:val="auto"/>
                <w:sz w:val="24"/>
                <w:szCs w:val="24"/>
              </w:rPr>
              <w:t>得</w:t>
            </w:r>
            <w:r>
              <w:rPr>
                <w:rFonts w:hint="eastAsia" w:ascii="仿宋" w:hAnsi="仿宋" w:eastAsia="仿宋" w:cs="仿宋"/>
                <w:color w:val="auto"/>
                <w:sz w:val="24"/>
                <w:szCs w:val="24"/>
                <w:lang w:val="zh-CN"/>
              </w:rPr>
              <w:t>10分。</w:t>
            </w:r>
          </w:p>
          <w:p w14:paraId="3E4051FC">
            <w:pPr>
              <w:spacing w:line="40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2.房间（楼层、房型、朝向、服务、配套设施）：最高</w:t>
            </w:r>
            <w:r>
              <w:rPr>
                <w:rFonts w:hint="eastAsia" w:ascii="仿宋" w:hAnsi="仿宋" w:eastAsia="仿宋" w:cs="仿宋"/>
                <w:color w:val="auto"/>
                <w:sz w:val="24"/>
                <w:szCs w:val="24"/>
              </w:rPr>
              <w:t>得</w:t>
            </w:r>
            <w:r>
              <w:rPr>
                <w:rFonts w:hint="eastAsia" w:ascii="仿宋" w:hAnsi="仿宋" w:eastAsia="仿宋" w:cs="仿宋"/>
                <w:color w:val="auto"/>
                <w:sz w:val="24"/>
                <w:szCs w:val="24"/>
                <w:lang w:val="zh-CN"/>
              </w:rPr>
              <w:t>2分。</w:t>
            </w:r>
          </w:p>
          <w:p w14:paraId="4496006C">
            <w:pPr>
              <w:spacing w:line="40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3.交通条件：最高</w:t>
            </w:r>
            <w:r>
              <w:rPr>
                <w:rFonts w:hint="eastAsia" w:ascii="仿宋" w:hAnsi="仿宋" w:eastAsia="仿宋" w:cs="仿宋"/>
                <w:color w:val="auto"/>
                <w:sz w:val="24"/>
                <w:szCs w:val="24"/>
              </w:rPr>
              <w:t>得</w:t>
            </w:r>
            <w:r>
              <w:rPr>
                <w:rFonts w:hint="eastAsia" w:ascii="仿宋" w:hAnsi="仿宋" w:eastAsia="仿宋" w:cs="仿宋"/>
                <w:color w:val="auto"/>
                <w:sz w:val="24"/>
                <w:szCs w:val="24"/>
                <w:lang w:val="zh-CN"/>
              </w:rPr>
              <w:t>1.5分。</w:t>
            </w:r>
          </w:p>
          <w:p w14:paraId="499AFAD6">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lang w:val="zh-CN"/>
              </w:rPr>
              <w:t>4.周边环境：最高</w:t>
            </w:r>
            <w:r>
              <w:rPr>
                <w:rFonts w:hint="eastAsia" w:ascii="仿宋" w:hAnsi="仿宋" w:eastAsia="仿宋" w:cs="仿宋"/>
                <w:color w:val="auto"/>
                <w:sz w:val="24"/>
                <w:szCs w:val="24"/>
              </w:rPr>
              <w:t>得</w:t>
            </w:r>
            <w:r>
              <w:rPr>
                <w:rFonts w:hint="eastAsia" w:ascii="仿宋" w:hAnsi="仿宋" w:eastAsia="仿宋" w:cs="仿宋"/>
                <w:color w:val="auto"/>
                <w:sz w:val="24"/>
                <w:szCs w:val="24"/>
                <w:lang w:val="zh-CN"/>
              </w:rPr>
              <w:t>1.5分。</w:t>
            </w:r>
          </w:p>
        </w:tc>
        <w:tc>
          <w:tcPr>
            <w:tcW w:w="1018" w:type="dxa"/>
            <w:vAlign w:val="center"/>
          </w:tcPr>
          <w:p w14:paraId="5995C825">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0-15分</w:t>
            </w:r>
          </w:p>
        </w:tc>
      </w:tr>
      <w:tr w14:paraId="1A52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765" w:type="dxa"/>
            <w:vAlign w:val="center"/>
          </w:tcPr>
          <w:p w14:paraId="5150BA72">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485" w:type="dxa"/>
            <w:vAlign w:val="center"/>
          </w:tcPr>
          <w:p w14:paraId="210D841A">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餐饮</w:t>
            </w:r>
          </w:p>
        </w:tc>
        <w:tc>
          <w:tcPr>
            <w:tcW w:w="5775" w:type="dxa"/>
            <w:vAlign w:val="center"/>
          </w:tcPr>
          <w:p w14:paraId="1E91A760">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lang w:val="zh-CN"/>
              </w:rPr>
              <w:t>早餐需住宿酒店免费自助早餐，每日正餐（中餐和晚餐一起）标准不低于</w:t>
            </w:r>
            <w:r>
              <w:rPr>
                <w:rFonts w:hint="eastAsia" w:ascii="仿宋" w:hAnsi="仿宋" w:eastAsia="仿宋" w:cs="仿宋"/>
                <w:color w:val="auto"/>
                <w:sz w:val="24"/>
                <w:szCs w:val="24"/>
              </w:rPr>
              <w:t>180元/人</w:t>
            </w:r>
            <w:r>
              <w:rPr>
                <w:rFonts w:hint="eastAsia" w:ascii="仿宋" w:hAnsi="仿宋" w:eastAsia="仿宋" w:cs="仿宋"/>
                <w:color w:val="auto"/>
                <w:sz w:val="24"/>
                <w:szCs w:val="24"/>
                <w:lang w:val="zh-CN"/>
              </w:rPr>
              <w:t>，提供最高标准者得此项满分</w:t>
            </w:r>
            <w:r>
              <w:rPr>
                <w:rFonts w:hint="eastAsia" w:ascii="仿宋" w:hAnsi="仿宋" w:eastAsia="仿宋" w:cs="仿宋"/>
                <w:color w:val="auto"/>
                <w:sz w:val="24"/>
                <w:szCs w:val="24"/>
              </w:rPr>
              <w:t>15分</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在最高餐标15分的基础上，剩余投标单位餐标每降低一个餐标档次（20元/人为一个档次）扣3分，扣完为止</w:t>
            </w:r>
            <w:r>
              <w:rPr>
                <w:rFonts w:hint="eastAsia" w:ascii="仿宋" w:hAnsi="仿宋" w:eastAsia="仿宋" w:cs="仿宋"/>
                <w:color w:val="auto"/>
                <w:sz w:val="24"/>
                <w:szCs w:val="24"/>
                <w:lang w:val="zh-CN"/>
              </w:rPr>
              <w:t>。酒店无免费自助早餐的,减5分。（要求提供餐标菜单）</w:t>
            </w:r>
          </w:p>
        </w:tc>
        <w:tc>
          <w:tcPr>
            <w:tcW w:w="1018" w:type="dxa"/>
            <w:vAlign w:val="center"/>
          </w:tcPr>
          <w:p w14:paraId="54CEBDC1">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0-15分</w:t>
            </w:r>
          </w:p>
        </w:tc>
      </w:tr>
      <w:tr w14:paraId="08FD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dxa"/>
            <w:vAlign w:val="center"/>
          </w:tcPr>
          <w:p w14:paraId="67DBF3C9">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485" w:type="dxa"/>
            <w:vAlign w:val="center"/>
          </w:tcPr>
          <w:p w14:paraId="7C24489F">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交通工具</w:t>
            </w:r>
          </w:p>
        </w:tc>
        <w:tc>
          <w:tcPr>
            <w:tcW w:w="5775" w:type="dxa"/>
            <w:vAlign w:val="center"/>
          </w:tcPr>
          <w:p w14:paraId="1702FD77">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val="zh-CN"/>
              </w:rPr>
              <w:t>旅游车或其他交通工具安排（提供车队合作协议及车队资质，可提供车辆清单、外观和内设照片、驾照、行驶证</w:t>
            </w:r>
            <w:r>
              <w:rPr>
                <w:rFonts w:hint="eastAsia" w:ascii="仿宋" w:hAnsi="仿宋" w:eastAsia="仿宋" w:cs="仿宋"/>
                <w:color w:val="auto"/>
                <w:sz w:val="24"/>
                <w:szCs w:val="24"/>
              </w:rPr>
              <w:t>扫描件</w:t>
            </w:r>
            <w:r>
              <w:rPr>
                <w:rFonts w:hint="eastAsia" w:ascii="仿宋" w:hAnsi="仿宋" w:eastAsia="仿宋" w:cs="仿宋"/>
                <w:color w:val="auto"/>
                <w:sz w:val="24"/>
                <w:szCs w:val="24"/>
                <w:lang w:val="zh-CN"/>
              </w:rPr>
              <w:t>等作为辅助评审资料）等情况综合打分。旅游车或其他交通工具安排</w:t>
            </w:r>
            <w:r>
              <w:rPr>
                <w:rFonts w:hint="eastAsia" w:ascii="仿宋" w:hAnsi="仿宋" w:eastAsia="仿宋" w:cs="仿宋"/>
                <w:color w:val="auto"/>
                <w:sz w:val="24"/>
                <w:szCs w:val="24"/>
              </w:rPr>
              <w:t>充足、配备舒适合理得5</w:t>
            </w:r>
            <w:r>
              <w:rPr>
                <w:rFonts w:hint="eastAsia" w:ascii="仿宋" w:hAnsi="仿宋" w:eastAsia="仿宋" w:cs="仿宋"/>
                <w:bCs/>
                <w:color w:val="auto"/>
                <w:sz w:val="24"/>
                <w:szCs w:val="24"/>
              </w:rPr>
              <w:t>分；</w:t>
            </w:r>
            <w:r>
              <w:rPr>
                <w:rFonts w:hint="eastAsia" w:ascii="仿宋" w:hAnsi="仿宋" w:eastAsia="仿宋" w:cs="仿宋"/>
                <w:color w:val="auto"/>
                <w:sz w:val="24"/>
                <w:szCs w:val="24"/>
                <w:lang w:val="zh-CN"/>
              </w:rPr>
              <w:t>旅游车或其他交通工具安排</w:t>
            </w:r>
            <w:r>
              <w:rPr>
                <w:rFonts w:hint="eastAsia" w:ascii="仿宋" w:hAnsi="仿宋" w:eastAsia="仿宋" w:cs="仿宋"/>
                <w:color w:val="auto"/>
                <w:sz w:val="24"/>
                <w:szCs w:val="24"/>
              </w:rPr>
              <w:t>基本充足、配备基本合理得3-4</w:t>
            </w:r>
            <w:r>
              <w:rPr>
                <w:rFonts w:hint="eastAsia" w:ascii="仿宋" w:hAnsi="仿宋" w:eastAsia="仿宋" w:cs="仿宋"/>
                <w:bCs/>
                <w:color w:val="auto"/>
                <w:sz w:val="24"/>
                <w:szCs w:val="24"/>
              </w:rPr>
              <w:t>分；</w:t>
            </w:r>
            <w:r>
              <w:rPr>
                <w:rFonts w:hint="eastAsia" w:ascii="仿宋" w:hAnsi="仿宋" w:eastAsia="仿宋" w:cs="仿宋"/>
                <w:color w:val="auto"/>
                <w:sz w:val="24"/>
                <w:szCs w:val="24"/>
                <w:lang w:val="zh-CN"/>
              </w:rPr>
              <w:t>旅游车或其他交通工具安排</w:t>
            </w:r>
            <w:r>
              <w:rPr>
                <w:rFonts w:hint="eastAsia" w:ascii="仿宋" w:hAnsi="仿宋" w:eastAsia="仿宋" w:cs="仿宋"/>
                <w:color w:val="auto"/>
                <w:sz w:val="24"/>
                <w:szCs w:val="24"/>
              </w:rPr>
              <w:t>不足、配备不太合理</w:t>
            </w:r>
            <w:r>
              <w:rPr>
                <w:rFonts w:hint="eastAsia" w:ascii="仿宋" w:hAnsi="仿宋" w:eastAsia="仿宋" w:cs="仿宋"/>
                <w:bCs/>
                <w:color w:val="auto"/>
                <w:sz w:val="24"/>
                <w:szCs w:val="24"/>
              </w:rPr>
              <w:t>得1-2分。</w:t>
            </w:r>
          </w:p>
        </w:tc>
        <w:tc>
          <w:tcPr>
            <w:tcW w:w="1018" w:type="dxa"/>
            <w:vAlign w:val="center"/>
          </w:tcPr>
          <w:p w14:paraId="68C281E3">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0-5分</w:t>
            </w:r>
          </w:p>
        </w:tc>
      </w:tr>
      <w:tr w14:paraId="0BBE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dxa"/>
            <w:vAlign w:val="center"/>
          </w:tcPr>
          <w:p w14:paraId="0EE6CD60">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485" w:type="dxa"/>
            <w:vAlign w:val="center"/>
          </w:tcPr>
          <w:p w14:paraId="476187EF">
            <w:pPr>
              <w:spacing w:line="400" w:lineRule="exact"/>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旅游意外险</w:t>
            </w:r>
          </w:p>
        </w:tc>
        <w:tc>
          <w:tcPr>
            <w:tcW w:w="5775" w:type="dxa"/>
            <w:vAlign w:val="center"/>
          </w:tcPr>
          <w:p w14:paraId="03A8AE2D">
            <w:pPr>
              <w:spacing w:line="40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每人意外险保额</w:t>
            </w:r>
            <w:r>
              <w:rPr>
                <w:rFonts w:hint="eastAsia" w:ascii="仿宋" w:hAnsi="仿宋" w:eastAsia="仿宋" w:cs="仿宋"/>
                <w:color w:val="auto"/>
                <w:sz w:val="24"/>
                <w:szCs w:val="24"/>
              </w:rPr>
              <w:t>100</w:t>
            </w:r>
            <w:r>
              <w:rPr>
                <w:rFonts w:hint="eastAsia" w:ascii="仿宋" w:hAnsi="仿宋" w:eastAsia="仿宋" w:cs="仿宋"/>
                <w:color w:val="auto"/>
                <w:sz w:val="24"/>
                <w:szCs w:val="24"/>
                <w:lang w:val="zh-CN"/>
              </w:rPr>
              <w:t>万以下不得分，</w:t>
            </w:r>
            <w:r>
              <w:rPr>
                <w:rFonts w:hint="eastAsia" w:ascii="仿宋" w:hAnsi="仿宋" w:eastAsia="仿宋" w:cs="仿宋"/>
                <w:color w:val="auto"/>
                <w:sz w:val="24"/>
                <w:szCs w:val="24"/>
              </w:rPr>
              <w:t>100</w:t>
            </w:r>
            <w:r>
              <w:rPr>
                <w:rFonts w:hint="eastAsia" w:ascii="仿宋" w:hAnsi="仿宋" w:eastAsia="仿宋" w:cs="仿宋"/>
                <w:color w:val="auto"/>
                <w:sz w:val="24"/>
                <w:szCs w:val="24"/>
                <w:lang w:val="zh-CN"/>
              </w:rPr>
              <w:t>万（含）的得基本分1分，每增加10万</w:t>
            </w:r>
            <w:r>
              <w:rPr>
                <w:rFonts w:hint="eastAsia" w:ascii="仿宋" w:hAnsi="仿宋" w:eastAsia="仿宋" w:cs="仿宋"/>
                <w:color w:val="auto"/>
                <w:sz w:val="24"/>
                <w:szCs w:val="24"/>
              </w:rPr>
              <w:t>加</w:t>
            </w:r>
            <w:r>
              <w:rPr>
                <w:rFonts w:hint="eastAsia" w:ascii="仿宋" w:hAnsi="仿宋" w:eastAsia="仿宋" w:cs="仿宋"/>
                <w:color w:val="auto"/>
                <w:sz w:val="24"/>
                <w:szCs w:val="24"/>
                <w:lang w:val="zh-CN"/>
              </w:rPr>
              <w:t>0.5分，</w:t>
            </w:r>
            <w:r>
              <w:rPr>
                <w:rFonts w:hint="eastAsia" w:ascii="仿宋" w:hAnsi="仿宋" w:eastAsia="仿宋" w:cs="仿宋"/>
                <w:color w:val="auto"/>
                <w:sz w:val="24"/>
                <w:szCs w:val="24"/>
              </w:rPr>
              <w:t>本项</w:t>
            </w:r>
            <w:r>
              <w:rPr>
                <w:rFonts w:hint="eastAsia" w:ascii="仿宋" w:hAnsi="仿宋" w:eastAsia="仿宋" w:cs="仿宋"/>
                <w:color w:val="auto"/>
                <w:sz w:val="24"/>
                <w:szCs w:val="24"/>
                <w:lang w:val="zh-CN"/>
              </w:rPr>
              <w:t>最高</w:t>
            </w:r>
            <w:r>
              <w:rPr>
                <w:rFonts w:hint="eastAsia" w:ascii="仿宋" w:hAnsi="仿宋" w:eastAsia="仿宋" w:cs="仿宋"/>
                <w:color w:val="auto"/>
                <w:sz w:val="24"/>
                <w:szCs w:val="24"/>
              </w:rPr>
              <w:t>得3</w:t>
            </w:r>
            <w:r>
              <w:rPr>
                <w:rFonts w:hint="eastAsia" w:ascii="仿宋" w:hAnsi="仿宋" w:eastAsia="仿宋" w:cs="仿宋"/>
                <w:color w:val="auto"/>
                <w:sz w:val="24"/>
                <w:szCs w:val="24"/>
                <w:lang w:val="zh-CN"/>
              </w:rPr>
              <w:t>分（</w:t>
            </w:r>
            <w:r>
              <w:rPr>
                <w:rFonts w:hint="eastAsia" w:ascii="仿宋" w:hAnsi="仿宋" w:eastAsia="仿宋" w:cs="仿宋"/>
                <w:color w:val="auto"/>
                <w:sz w:val="24"/>
                <w:szCs w:val="24"/>
              </w:rPr>
              <w:t>提供相关证明扫描件加盖CA签章</w:t>
            </w:r>
            <w:r>
              <w:rPr>
                <w:rFonts w:hint="eastAsia" w:ascii="仿宋" w:hAnsi="仿宋" w:eastAsia="仿宋" w:cs="仿宋"/>
                <w:color w:val="auto"/>
                <w:sz w:val="24"/>
                <w:szCs w:val="24"/>
                <w:lang w:val="zh-CN"/>
              </w:rPr>
              <w:t>）。</w:t>
            </w:r>
          </w:p>
        </w:tc>
        <w:tc>
          <w:tcPr>
            <w:tcW w:w="1018" w:type="dxa"/>
            <w:vAlign w:val="center"/>
          </w:tcPr>
          <w:p w14:paraId="792E995C">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0-3分</w:t>
            </w:r>
          </w:p>
        </w:tc>
      </w:tr>
      <w:tr w14:paraId="16A8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dxa"/>
            <w:vAlign w:val="center"/>
          </w:tcPr>
          <w:p w14:paraId="1FB443B9">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485" w:type="dxa"/>
            <w:vAlign w:val="center"/>
          </w:tcPr>
          <w:p w14:paraId="6196C375">
            <w:pPr>
              <w:spacing w:line="400" w:lineRule="exact"/>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应急保障预案</w:t>
            </w:r>
          </w:p>
        </w:tc>
        <w:tc>
          <w:tcPr>
            <w:tcW w:w="5775" w:type="dxa"/>
            <w:vAlign w:val="center"/>
          </w:tcPr>
          <w:p w14:paraId="6FD542A2">
            <w:pPr>
              <w:widowControl/>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根据投标人提供的突发事件，如自然灾害、疾病、交通状况的应急保障预案情况进行综合评分。</w:t>
            </w:r>
          </w:p>
          <w:p w14:paraId="636A269A">
            <w:pPr>
              <w:spacing w:line="40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rPr>
              <w:t>(预案内容完善、措施得力、可行性高的得5-6分；预案内容较完善、措施适当的得</w:t>
            </w:r>
            <w:r>
              <w:rPr>
                <w:rFonts w:ascii="仿宋" w:hAnsi="仿宋" w:eastAsia="仿宋" w:cs="仿宋"/>
                <w:color w:val="auto"/>
                <w:sz w:val="24"/>
                <w:szCs w:val="24"/>
              </w:rPr>
              <w:t>3</w:t>
            </w:r>
            <w:r>
              <w:rPr>
                <w:rFonts w:hint="eastAsia" w:ascii="仿宋" w:hAnsi="仿宋" w:eastAsia="仿宋" w:cs="仿宋"/>
                <w:color w:val="auto"/>
                <w:sz w:val="24"/>
                <w:szCs w:val="24"/>
              </w:rPr>
              <w:t>-4分；预案内容不完善、措施不力的得1-</w:t>
            </w:r>
            <w:r>
              <w:rPr>
                <w:rFonts w:ascii="仿宋" w:hAnsi="仿宋" w:eastAsia="仿宋" w:cs="仿宋"/>
                <w:color w:val="auto"/>
                <w:sz w:val="24"/>
                <w:szCs w:val="24"/>
              </w:rPr>
              <w:t>2</w:t>
            </w:r>
            <w:r>
              <w:rPr>
                <w:rFonts w:hint="eastAsia" w:ascii="仿宋" w:hAnsi="仿宋" w:eastAsia="仿宋" w:cs="仿宋"/>
                <w:color w:val="auto"/>
                <w:sz w:val="24"/>
                <w:szCs w:val="24"/>
              </w:rPr>
              <w:t>分；未提供不得分。)</w:t>
            </w:r>
          </w:p>
        </w:tc>
        <w:tc>
          <w:tcPr>
            <w:tcW w:w="1018" w:type="dxa"/>
            <w:vAlign w:val="center"/>
          </w:tcPr>
          <w:p w14:paraId="7A57D58E">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0-6分</w:t>
            </w:r>
          </w:p>
        </w:tc>
      </w:tr>
      <w:tr w14:paraId="1388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dxa"/>
            <w:vAlign w:val="center"/>
          </w:tcPr>
          <w:p w14:paraId="60EFAD3A">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485" w:type="dxa"/>
            <w:vAlign w:val="center"/>
          </w:tcPr>
          <w:p w14:paraId="65D57404">
            <w:pPr>
              <w:spacing w:line="400" w:lineRule="exact"/>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特色服务及增值服务</w:t>
            </w:r>
          </w:p>
        </w:tc>
        <w:tc>
          <w:tcPr>
            <w:tcW w:w="5775" w:type="dxa"/>
            <w:vAlign w:val="center"/>
          </w:tcPr>
          <w:p w14:paraId="48D0B783">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lang w:val="zh-CN"/>
              </w:rPr>
              <w:t>评委根据</w:t>
            </w:r>
            <w:r>
              <w:rPr>
                <w:rFonts w:hint="eastAsia" w:ascii="仿宋" w:hAnsi="仿宋" w:eastAsia="仿宋" w:cs="仿宋"/>
                <w:color w:val="auto"/>
                <w:sz w:val="24"/>
                <w:szCs w:val="24"/>
              </w:rPr>
              <w:t>投标人针对本项目</w:t>
            </w:r>
            <w:r>
              <w:rPr>
                <w:rFonts w:hint="eastAsia" w:ascii="仿宋" w:hAnsi="仿宋" w:eastAsia="仿宋" w:cs="仿宋"/>
                <w:color w:val="auto"/>
                <w:sz w:val="24"/>
                <w:szCs w:val="24"/>
                <w:lang w:val="zh-CN"/>
              </w:rPr>
              <w:t>提出合理化建议</w:t>
            </w:r>
            <w:r>
              <w:rPr>
                <w:rFonts w:hint="eastAsia" w:ascii="仿宋" w:hAnsi="仿宋" w:eastAsia="仿宋" w:cs="仿宋"/>
                <w:bCs/>
                <w:color w:val="auto"/>
                <w:sz w:val="24"/>
                <w:szCs w:val="24"/>
              </w:rPr>
              <w:t>[0-1分]</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具体的</w:t>
            </w:r>
            <w:r>
              <w:rPr>
                <w:rFonts w:hint="eastAsia" w:ascii="仿宋" w:hAnsi="仿宋" w:eastAsia="仿宋" w:cs="仿宋"/>
                <w:color w:val="auto"/>
                <w:sz w:val="24"/>
                <w:szCs w:val="24"/>
                <w:lang w:val="zh-CN"/>
              </w:rPr>
              <w:t>特色服务</w:t>
            </w:r>
            <w:r>
              <w:rPr>
                <w:rFonts w:hint="eastAsia" w:ascii="仿宋" w:hAnsi="仿宋" w:eastAsia="仿宋" w:cs="仿宋"/>
                <w:bCs/>
                <w:color w:val="auto"/>
                <w:sz w:val="24"/>
                <w:szCs w:val="24"/>
              </w:rPr>
              <w:t>[0-1分]</w:t>
            </w:r>
            <w:r>
              <w:rPr>
                <w:rFonts w:hint="eastAsia" w:ascii="仿宋" w:hAnsi="仿宋" w:eastAsia="仿宋" w:cs="仿宋"/>
                <w:color w:val="auto"/>
                <w:sz w:val="24"/>
                <w:szCs w:val="24"/>
                <w:lang w:val="zh-CN"/>
              </w:rPr>
              <w:t>及其他优惠、增值服务承诺</w:t>
            </w:r>
            <w:r>
              <w:rPr>
                <w:rFonts w:hint="eastAsia" w:ascii="仿宋" w:hAnsi="仿宋" w:eastAsia="仿宋" w:cs="仿宋"/>
                <w:bCs/>
                <w:color w:val="auto"/>
                <w:sz w:val="24"/>
                <w:szCs w:val="24"/>
              </w:rPr>
              <w:t>[0-1分]</w:t>
            </w:r>
            <w:r>
              <w:rPr>
                <w:rFonts w:hint="eastAsia" w:ascii="仿宋" w:hAnsi="仿宋" w:eastAsia="仿宋" w:cs="仿宋"/>
                <w:color w:val="auto"/>
                <w:sz w:val="24"/>
                <w:szCs w:val="24"/>
              </w:rPr>
              <w:t>内容的合理性、优惠力度、便于实现性等方面在规定的分值范围内打分。</w:t>
            </w:r>
          </w:p>
        </w:tc>
        <w:tc>
          <w:tcPr>
            <w:tcW w:w="1018" w:type="dxa"/>
            <w:vAlign w:val="center"/>
          </w:tcPr>
          <w:p w14:paraId="0A1CF250">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0-3分</w:t>
            </w:r>
          </w:p>
        </w:tc>
      </w:tr>
      <w:tr w14:paraId="02CB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dxa"/>
            <w:vMerge w:val="restart"/>
            <w:vAlign w:val="center"/>
          </w:tcPr>
          <w:p w14:paraId="79727F40">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485" w:type="dxa"/>
            <w:vMerge w:val="restart"/>
            <w:vAlign w:val="center"/>
          </w:tcPr>
          <w:p w14:paraId="3888C099">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服务承诺</w:t>
            </w:r>
          </w:p>
        </w:tc>
        <w:tc>
          <w:tcPr>
            <w:tcW w:w="5775" w:type="dxa"/>
            <w:vAlign w:val="center"/>
          </w:tcPr>
          <w:p w14:paraId="71517B48">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lang w:val="zh-CN"/>
              </w:rPr>
              <w:t>评委根据</w:t>
            </w:r>
            <w:r>
              <w:rPr>
                <w:rFonts w:hint="eastAsia" w:ascii="仿宋" w:hAnsi="仿宋" w:eastAsia="仿宋" w:cs="仿宋"/>
                <w:color w:val="auto"/>
                <w:sz w:val="24"/>
                <w:szCs w:val="24"/>
              </w:rPr>
              <w:t>投标人针对本项目能够提供的方便、快捷、优质服务的能力，评委根据响应程度和证明（或承诺）力度进行打分。</w:t>
            </w:r>
          </w:p>
          <w:p w14:paraId="5DF360DB">
            <w:pPr>
              <w:rPr>
                <w:rFonts w:hint="eastAsia" w:ascii="仿宋" w:hAnsi="仿宋" w:eastAsia="仿宋" w:cs="仿宋"/>
                <w:snapToGrid w:val="0"/>
                <w:color w:val="auto"/>
                <w:sz w:val="24"/>
                <w:szCs w:val="24"/>
                <w:lang w:bidi="ar"/>
              </w:rPr>
            </w:pPr>
            <w:r>
              <w:rPr>
                <w:rFonts w:hint="eastAsia" w:ascii="仿宋" w:hAnsi="仿宋" w:eastAsia="仿宋" w:cs="仿宋"/>
                <w:snapToGrid w:val="0"/>
                <w:color w:val="auto"/>
                <w:sz w:val="24"/>
                <w:szCs w:val="24"/>
                <w:lang w:bidi="ar"/>
              </w:rPr>
              <w:t>①方案内容详细、有明确的承诺及措施、有相应的人力及物力投入安排能够充分保证及时有效服务响应的得</w:t>
            </w:r>
            <w:r>
              <w:rPr>
                <w:rFonts w:hint="eastAsia" w:ascii="仿宋" w:hAnsi="仿宋" w:eastAsia="仿宋" w:cs="仿宋"/>
                <w:bCs/>
                <w:color w:val="auto"/>
                <w:sz w:val="24"/>
                <w:szCs w:val="24"/>
              </w:rPr>
              <w:t>3</w:t>
            </w:r>
            <w:r>
              <w:rPr>
                <w:rFonts w:hint="eastAsia" w:ascii="仿宋" w:hAnsi="仿宋" w:eastAsia="仿宋" w:cs="仿宋"/>
                <w:snapToGrid w:val="0"/>
                <w:color w:val="auto"/>
                <w:sz w:val="24"/>
                <w:szCs w:val="24"/>
                <w:lang w:bidi="ar"/>
              </w:rPr>
              <w:t>分；</w:t>
            </w:r>
          </w:p>
          <w:p w14:paraId="5CD79A62">
            <w:pPr>
              <w:rPr>
                <w:rFonts w:hint="eastAsia" w:ascii="仿宋" w:hAnsi="仿宋" w:eastAsia="仿宋" w:cs="仿宋"/>
                <w:snapToGrid w:val="0"/>
                <w:color w:val="auto"/>
                <w:sz w:val="24"/>
                <w:szCs w:val="24"/>
                <w:lang w:bidi="ar"/>
              </w:rPr>
            </w:pPr>
            <w:r>
              <w:rPr>
                <w:rFonts w:hint="eastAsia" w:ascii="仿宋" w:hAnsi="仿宋" w:eastAsia="仿宋" w:cs="仿宋"/>
                <w:snapToGrid w:val="0"/>
                <w:color w:val="auto"/>
                <w:sz w:val="24"/>
                <w:szCs w:val="24"/>
                <w:lang w:bidi="ar"/>
              </w:rPr>
              <w:t>②方案较详细，有提供较明确的承诺，但制定的措施较为简单，后续服务响应能力较为一般的得</w:t>
            </w:r>
            <w:r>
              <w:rPr>
                <w:rFonts w:hint="eastAsia" w:ascii="仿宋" w:hAnsi="仿宋" w:eastAsia="仿宋" w:cs="仿宋"/>
                <w:bCs/>
                <w:color w:val="auto"/>
                <w:sz w:val="24"/>
                <w:szCs w:val="24"/>
              </w:rPr>
              <w:t>2</w:t>
            </w:r>
            <w:r>
              <w:rPr>
                <w:rFonts w:hint="eastAsia" w:ascii="仿宋" w:hAnsi="仿宋" w:eastAsia="仿宋" w:cs="仿宋"/>
                <w:snapToGrid w:val="0"/>
                <w:color w:val="auto"/>
                <w:sz w:val="24"/>
                <w:szCs w:val="24"/>
                <w:lang w:bidi="ar"/>
              </w:rPr>
              <w:t>分；</w:t>
            </w:r>
          </w:p>
          <w:p w14:paraId="564A7FDC">
            <w:pPr>
              <w:rPr>
                <w:rFonts w:hint="eastAsia" w:ascii="仿宋" w:hAnsi="仿宋" w:eastAsia="仿宋" w:cs="仿宋"/>
                <w:snapToGrid w:val="0"/>
                <w:color w:val="auto"/>
                <w:sz w:val="24"/>
                <w:szCs w:val="24"/>
                <w:lang w:bidi="ar"/>
              </w:rPr>
            </w:pPr>
            <w:r>
              <w:rPr>
                <w:rFonts w:hint="eastAsia" w:ascii="仿宋" w:hAnsi="仿宋" w:eastAsia="仿宋" w:cs="仿宋"/>
                <w:snapToGrid w:val="0"/>
                <w:color w:val="auto"/>
                <w:sz w:val="24"/>
                <w:szCs w:val="24"/>
                <w:lang w:bidi="ar"/>
              </w:rPr>
              <w:t>③方案内容过于粗略，无法有效体现其针对性或可行性或与项目需求切合度较差的得</w:t>
            </w:r>
            <w:r>
              <w:rPr>
                <w:rFonts w:hint="eastAsia" w:ascii="仿宋" w:hAnsi="仿宋" w:eastAsia="仿宋" w:cs="仿宋"/>
                <w:bCs/>
                <w:color w:val="auto"/>
                <w:sz w:val="24"/>
                <w:szCs w:val="24"/>
              </w:rPr>
              <w:t>1</w:t>
            </w:r>
            <w:r>
              <w:rPr>
                <w:rFonts w:hint="eastAsia" w:ascii="仿宋" w:hAnsi="仿宋" w:eastAsia="仿宋" w:cs="仿宋"/>
                <w:snapToGrid w:val="0"/>
                <w:color w:val="auto"/>
                <w:sz w:val="24"/>
                <w:szCs w:val="24"/>
                <w:lang w:bidi="ar"/>
              </w:rPr>
              <w:t>分；</w:t>
            </w:r>
          </w:p>
          <w:p w14:paraId="03180819">
            <w:pPr>
              <w:pStyle w:val="10"/>
              <w:rPr>
                <w:rFonts w:hint="eastAsia"/>
                <w:color w:val="auto"/>
              </w:rPr>
            </w:pPr>
            <w:r>
              <w:rPr>
                <w:rFonts w:hint="eastAsia" w:ascii="仿宋" w:hAnsi="仿宋" w:eastAsia="仿宋" w:cs="仿宋"/>
                <w:snapToGrid w:val="0"/>
                <w:color w:val="auto"/>
                <w:sz w:val="24"/>
                <w:szCs w:val="24"/>
                <w:lang w:bidi="ar"/>
              </w:rPr>
              <w:t>④方案未提供或不符合项目的不得分。</w:t>
            </w:r>
          </w:p>
        </w:tc>
        <w:tc>
          <w:tcPr>
            <w:tcW w:w="1018" w:type="dxa"/>
            <w:vAlign w:val="center"/>
          </w:tcPr>
          <w:p w14:paraId="4BFB4D25">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0-3分</w:t>
            </w:r>
          </w:p>
        </w:tc>
      </w:tr>
      <w:tr w14:paraId="2711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dxa"/>
            <w:vMerge w:val="continue"/>
            <w:vAlign w:val="center"/>
          </w:tcPr>
          <w:p w14:paraId="507F46BA">
            <w:pPr>
              <w:spacing w:line="400" w:lineRule="exact"/>
              <w:jc w:val="center"/>
              <w:rPr>
                <w:rFonts w:hint="eastAsia" w:ascii="仿宋" w:hAnsi="仿宋" w:eastAsia="仿宋" w:cs="仿宋"/>
                <w:color w:val="auto"/>
                <w:sz w:val="24"/>
                <w:szCs w:val="24"/>
              </w:rPr>
            </w:pPr>
          </w:p>
        </w:tc>
        <w:tc>
          <w:tcPr>
            <w:tcW w:w="1485" w:type="dxa"/>
            <w:vMerge w:val="continue"/>
            <w:vAlign w:val="center"/>
          </w:tcPr>
          <w:p w14:paraId="3DC91C66">
            <w:pPr>
              <w:spacing w:line="400" w:lineRule="exact"/>
              <w:jc w:val="center"/>
              <w:rPr>
                <w:rFonts w:hint="eastAsia" w:ascii="仿宋" w:hAnsi="仿宋" w:eastAsia="仿宋" w:cs="仿宋"/>
                <w:color w:val="auto"/>
                <w:sz w:val="24"/>
                <w:szCs w:val="24"/>
              </w:rPr>
            </w:pPr>
          </w:p>
        </w:tc>
        <w:tc>
          <w:tcPr>
            <w:tcW w:w="5775" w:type="dxa"/>
            <w:vAlign w:val="center"/>
          </w:tcPr>
          <w:p w14:paraId="675342D4">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lang w:val="zh-CN"/>
              </w:rPr>
              <w:t>评委根据</w:t>
            </w:r>
            <w:r>
              <w:rPr>
                <w:rFonts w:hint="eastAsia" w:ascii="仿宋" w:hAnsi="仿宋" w:eastAsia="仿宋" w:cs="仿宋"/>
                <w:color w:val="auto"/>
                <w:sz w:val="24"/>
                <w:szCs w:val="24"/>
              </w:rPr>
              <w:t>投标人针对本项目日常投诉处理详细方案及相应的解决办法的可行性情况进行打分。</w:t>
            </w:r>
          </w:p>
          <w:p w14:paraId="0037ADB0">
            <w:pPr>
              <w:rPr>
                <w:rFonts w:hint="eastAsia" w:ascii="仿宋" w:hAnsi="仿宋" w:eastAsia="仿宋" w:cs="仿宋"/>
                <w:snapToGrid w:val="0"/>
                <w:color w:val="auto"/>
                <w:sz w:val="24"/>
                <w:szCs w:val="24"/>
                <w:lang w:bidi="ar"/>
              </w:rPr>
            </w:pPr>
            <w:r>
              <w:rPr>
                <w:rFonts w:hint="eastAsia" w:ascii="仿宋" w:hAnsi="仿宋" w:eastAsia="仿宋" w:cs="仿宋"/>
                <w:snapToGrid w:val="0"/>
                <w:color w:val="auto"/>
                <w:sz w:val="24"/>
                <w:szCs w:val="24"/>
                <w:lang w:bidi="ar"/>
              </w:rPr>
              <w:t>①方案内容详细、有相应的人力及物力投入安排能够充分保证及时有效服务响应的得</w:t>
            </w:r>
            <w:r>
              <w:rPr>
                <w:rFonts w:hint="eastAsia" w:ascii="仿宋" w:hAnsi="仿宋" w:eastAsia="仿宋" w:cs="仿宋"/>
                <w:bCs/>
                <w:color w:val="auto"/>
                <w:sz w:val="24"/>
                <w:szCs w:val="24"/>
              </w:rPr>
              <w:t>3</w:t>
            </w:r>
            <w:r>
              <w:rPr>
                <w:rFonts w:hint="eastAsia" w:ascii="仿宋" w:hAnsi="仿宋" w:eastAsia="仿宋" w:cs="仿宋"/>
                <w:snapToGrid w:val="0"/>
                <w:color w:val="auto"/>
                <w:sz w:val="24"/>
                <w:szCs w:val="24"/>
                <w:lang w:bidi="ar"/>
              </w:rPr>
              <w:t>分；</w:t>
            </w:r>
          </w:p>
          <w:p w14:paraId="730EF746">
            <w:pPr>
              <w:rPr>
                <w:rFonts w:hint="eastAsia" w:ascii="仿宋" w:hAnsi="仿宋" w:eastAsia="仿宋" w:cs="仿宋"/>
                <w:snapToGrid w:val="0"/>
                <w:color w:val="auto"/>
                <w:sz w:val="24"/>
                <w:szCs w:val="24"/>
                <w:lang w:bidi="ar"/>
              </w:rPr>
            </w:pPr>
            <w:r>
              <w:rPr>
                <w:rFonts w:hint="eastAsia" w:ascii="仿宋" w:hAnsi="仿宋" w:eastAsia="仿宋" w:cs="仿宋"/>
                <w:snapToGrid w:val="0"/>
                <w:color w:val="auto"/>
                <w:sz w:val="24"/>
                <w:szCs w:val="24"/>
                <w:lang w:bidi="ar"/>
              </w:rPr>
              <w:t>②方案较详细，但制定的措施较为简单，后续服务响应能力较为一般的得</w:t>
            </w:r>
            <w:r>
              <w:rPr>
                <w:rFonts w:hint="eastAsia" w:ascii="仿宋" w:hAnsi="仿宋" w:eastAsia="仿宋" w:cs="仿宋"/>
                <w:bCs/>
                <w:color w:val="auto"/>
                <w:sz w:val="24"/>
                <w:szCs w:val="24"/>
              </w:rPr>
              <w:t>2</w:t>
            </w:r>
            <w:r>
              <w:rPr>
                <w:rFonts w:hint="eastAsia" w:ascii="仿宋" w:hAnsi="仿宋" w:eastAsia="仿宋" w:cs="仿宋"/>
                <w:snapToGrid w:val="0"/>
                <w:color w:val="auto"/>
                <w:sz w:val="24"/>
                <w:szCs w:val="24"/>
                <w:lang w:bidi="ar"/>
              </w:rPr>
              <w:t>分；</w:t>
            </w:r>
          </w:p>
          <w:p w14:paraId="20313D6E">
            <w:pPr>
              <w:rPr>
                <w:rFonts w:hint="eastAsia" w:ascii="仿宋" w:hAnsi="仿宋" w:eastAsia="仿宋" w:cs="仿宋"/>
                <w:snapToGrid w:val="0"/>
                <w:color w:val="auto"/>
                <w:sz w:val="24"/>
                <w:szCs w:val="24"/>
                <w:lang w:bidi="ar"/>
              </w:rPr>
            </w:pPr>
            <w:r>
              <w:rPr>
                <w:rFonts w:hint="eastAsia" w:ascii="仿宋" w:hAnsi="仿宋" w:eastAsia="仿宋" w:cs="仿宋"/>
                <w:snapToGrid w:val="0"/>
                <w:color w:val="auto"/>
                <w:sz w:val="24"/>
                <w:szCs w:val="24"/>
                <w:lang w:bidi="ar"/>
              </w:rPr>
              <w:t>③方案内容过于粗略，无法有效体现其针对性或可行性或与项目需求切合度较差的得</w:t>
            </w:r>
            <w:r>
              <w:rPr>
                <w:rFonts w:hint="eastAsia" w:ascii="仿宋" w:hAnsi="仿宋" w:eastAsia="仿宋" w:cs="仿宋"/>
                <w:bCs/>
                <w:color w:val="auto"/>
                <w:sz w:val="24"/>
                <w:szCs w:val="24"/>
              </w:rPr>
              <w:t>1</w:t>
            </w:r>
            <w:r>
              <w:rPr>
                <w:rFonts w:hint="eastAsia" w:ascii="仿宋" w:hAnsi="仿宋" w:eastAsia="仿宋" w:cs="仿宋"/>
                <w:snapToGrid w:val="0"/>
                <w:color w:val="auto"/>
                <w:sz w:val="24"/>
                <w:szCs w:val="24"/>
                <w:lang w:bidi="ar"/>
              </w:rPr>
              <w:t>分；</w:t>
            </w:r>
          </w:p>
          <w:p w14:paraId="1C0E76B6">
            <w:pPr>
              <w:pStyle w:val="10"/>
              <w:rPr>
                <w:rFonts w:hint="eastAsia"/>
                <w:color w:val="auto"/>
              </w:rPr>
            </w:pPr>
            <w:r>
              <w:rPr>
                <w:rFonts w:hint="eastAsia" w:ascii="仿宋" w:hAnsi="仿宋" w:eastAsia="仿宋" w:cs="仿宋"/>
                <w:snapToGrid w:val="0"/>
                <w:color w:val="auto"/>
                <w:sz w:val="24"/>
                <w:szCs w:val="24"/>
                <w:lang w:bidi="ar"/>
              </w:rPr>
              <w:t>④方案未提供或不符合项目的不得分。</w:t>
            </w:r>
          </w:p>
        </w:tc>
        <w:tc>
          <w:tcPr>
            <w:tcW w:w="1018" w:type="dxa"/>
            <w:vAlign w:val="center"/>
          </w:tcPr>
          <w:p w14:paraId="71ECDE1C">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0-3分</w:t>
            </w:r>
          </w:p>
        </w:tc>
      </w:tr>
    </w:tbl>
    <w:p w14:paraId="704B07C7">
      <w:pPr>
        <w:pStyle w:val="4"/>
        <w:rPr>
          <w:rFonts w:hint="eastAsia"/>
          <w:color w:val="auto"/>
        </w:rPr>
      </w:pPr>
    </w:p>
    <w:p w14:paraId="09765315">
      <w:pPr>
        <w:spacing w:line="360" w:lineRule="auto"/>
        <w:ind w:firstLine="480" w:firstLineChars="200"/>
        <w:rPr>
          <w:rFonts w:hint="eastAsia" w:ascii="仿宋" w:hAnsi="仿宋" w:eastAsia="仿宋" w:cs="宋体"/>
          <w:i/>
          <w:color w:val="auto"/>
          <w:sz w:val="24"/>
          <w:szCs w:val="24"/>
        </w:rPr>
      </w:pPr>
      <w:r>
        <w:rPr>
          <w:rFonts w:hint="eastAsia" w:ascii="仿宋" w:hAnsi="仿宋" w:eastAsia="仿宋" w:cs="宋体"/>
          <w:i/>
          <w:color w:val="auto"/>
          <w:sz w:val="24"/>
          <w:szCs w:val="24"/>
        </w:rPr>
        <w:t>注：</w:t>
      </w:r>
    </w:p>
    <w:p w14:paraId="1B5E14CA">
      <w:pPr>
        <w:spacing w:line="300" w:lineRule="auto"/>
        <w:ind w:firstLine="480" w:firstLineChars="200"/>
        <w:rPr>
          <w:rFonts w:hint="eastAsia" w:ascii="仿宋" w:hAnsi="仿宋" w:eastAsia="仿宋" w:cs="宋体"/>
          <w:bCs/>
          <w:i/>
          <w:color w:val="auto"/>
          <w:sz w:val="24"/>
          <w:szCs w:val="24"/>
        </w:rPr>
      </w:pPr>
      <w:r>
        <w:rPr>
          <w:rFonts w:hint="eastAsia" w:ascii="仿宋" w:hAnsi="仿宋" w:eastAsia="仿宋" w:cs="宋体"/>
          <w:bCs/>
          <w:i/>
          <w:color w:val="auto"/>
          <w:sz w:val="24"/>
          <w:szCs w:val="24"/>
        </w:rPr>
        <w:t>1.</w:t>
      </w:r>
      <w:r>
        <w:rPr>
          <w:rFonts w:hint="eastAsia" w:ascii="仿宋" w:hAnsi="仿宋" w:eastAsia="仿宋" w:cs="宋体"/>
          <w:i/>
          <w:color w:val="auto"/>
          <w:sz w:val="24"/>
          <w:szCs w:val="24"/>
          <w:u w:val="single"/>
        </w:rPr>
        <w:t>本项目5个标项均采用同一商务技术评分细则，按标项1到标项5的先后顺序依次进行开评标</w:t>
      </w:r>
      <w:r>
        <w:rPr>
          <w:rFonts w:hint="eastAsia" w:ascii="仿宋" w:hAnsi="仿宋" w:eastAsia="仿宋" w:cs="宋体"/>
          <w:i/>
          <w:color w:val="auto"/>
          <w:sz w:val="24"/>
          <w:szCs w:val="24"/>
        </w:rPr>
        <w:t>；</w:t>
      </w:r>
    </w:p>
    <w:p w14:paraId="035039CA">
      <w:pPr>
        <w:spacing w:line="300" w:lineRule="auto"/>
        <w:ind w:firstLine="480" w:firstLineChars="200"/>
        <w:rPr>
          <w:rFonts w:hint="eastAsia" w:ascii="仿宋" w:hAnsi="仿宋" w:eastAsia="仿宋" w:cs="宋体"/>
          <w:b/>
          <w:color w:val="auto"/>
          <w:sz w:val="24"/>
          <w:szCs w:val="24"/>
          <w:u w:val="single"/>
        </w:rPr>
        <w:sectPr>
          <w:headerReference r:id="rId3" w:type="default"/>
          <w:footerReference r:id="rId4" w:type="default"/>
          <w:pgSz w:w="11906" w:h="16838"/>
          <w:pgMar w:top="1134" w:right="1418" w:bottom="1021" w:left="1418" w:header="0" w:footer="283" w:gutter="0"/>
          <w:pgNumType w:fmt="numberInDash"/>
          <w:cols w:space="720" w:num="1"/>
          <w:docGrid w:type="linesAndChars" w:linePitch="312" w:charSpace="0"/>
        </w:sectPr>
      </w:pPr>
      <w:r>
        <w:rPr>
          <w:rFonts w:hint="eastAsia" w:ascii="仿宋" w:hAnsi="仿宋" w:eastAsia="仿宋" w:cs="宋体"/>
          <w:bCs/>
          <w:i/>
          <w:color w:val="auto"/>
          <w:sz w:val="24"/>
          <w:szCs w:val="24"/>
        </w:rPr>
        <w:t>2.</w:t>
      </w:r>
      <w:r>
        <w:rPr>
          <w:rFonts w:hint="eastAsia" w:ascii="仿宋" w:hAnsi="仿宋" w:eastAsia="仿宋" w:cs="宋体"/>
          <w:bCs/>
          <w:i/>
          <w:color w:val="auto"/>
          <w:sz w:val="24"/>
          <w:szCs w:val="24"/>
          <w:u w:val="single"/>
        </w:rPr>
        <w:t>投标人可以选择单个或多个标项投标，同一个投标人最多能成为5个标项的第一中标候选人。</w:t>
      </w:r>
    </w:p>
    <w:p w14:paraId="37C5BAE6">
      <w:pPr>
        <w:spacing w:line="360" w:lineRule="auto"/>
        <w:jc w:val="center"/>
        <w:rPr>
          <w:rFonts w:hint="eastAsia" w:ascii="仿宋" w:hAnsi="仿宋" w:eastAsia="仿宋" w:cs="宋体"/>
          <w:b/>
          <w:color w:val="auto"/>
          <w:sz w:val="28"/>
          <w:szCs w:val="28"/>
        </w:rPr>
      </w:pPr>
      <w:r>
        <w:rPr>
          <w:rFonts w:hint="eastAsia" w:ascii="仿宋" w:hAnsi="仿宋" w:eastAsia="仿宋" w:cs="宋体"/>
          <w:b/>
          <w:color w:val="auto"/>
          <w:sz w:val="28"/>
          <w:szCs w:val="28"/>
        </w:rPr>
        <w:t>采购需求</w:t>
      </w:r>
    </w:p>
    <w:p w14:paraId="379FCC18">
      <w:pPr>
        <w:spacing w:line="360" w:lineRule="auto"/>
        <w:ind w:firstLine="482" w:firstLineChars="200"/>
        <w:outlineLvl w:val="1"/>
        <w:rPr>
          <w:rFonts w:hint="eastAsia" w:ascii="仿宋" w:hAnsi="仿宋" w:eastAsia="仿宋" w:cs="仿宋"/>
          <w:b/>
          <w:bCs/>
          <w:color w:val="auto"/>
          <w:sz w:val="24"/>
          <w:szCs w:val="24"/>
        </w:rPr>
      </w:pPr>
      <w:bookmarkStart w:id="2" w:name="_Toc25190"/>
      <w:bookmarkStart w:id="3" w:name="_Toc14231"/>
      <w:r>
        <w:rPr>
          <w:rFonts w:hint="eastAsia" w:ascii="仿宋" w:hAnsi="仿宋" w:eastAsia="仿宋" w:cs="仿宋"/>
          <w:b/>
          <w:bCs/>
          <w:color w:val="auto"/>
          <w:sz w:val="24"/>
          <w:szCs w:val="24"/>
        </w:rPr>
        <w:t>（一）招标内容</w:t>
      </w:r>
      <w:bookmarkEnd w:id="2"/>
      <w:bookmarkEnd w:id="3"/>
      <w:r>
        <w:rPr>
          <w:rFonts w:hint="eastAsia" w:ascii="仿宋" w:hAnsi="仿宋" w:eastAsia="仿宋" w:cs="仿宋"/>
          <w:b/>
          <w:bCs/>
          <w:color w:val="auto"/>
          <w:sz w:val="24"/>
          <w:szCs w:val="24"/>
        </w:rPr>
        <w:t>及路线安排</w:t>
      </w:r>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4840"/>
        <w:gridCol w:w="1565"/>
        <w:gridCol w:w="1216"/>
      </w:tblGrid>
      <w:tr w14:paraId="6F18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17" w:type="dxa"/>
            <w:vAlign w:val="center"/>
          </w:tcPr>
          <w:p w14:paraId="08658A97">
            <w:pPr>
              <w:widowControl/>
              <w:spacing w:line="360"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标项</w:t>
            </w:r>
          </w:p>
        </w:tc>
        <w:tc>
          <w:tcPr>
            <w:tcW w:w="4840" w:type="dxa"/>
            <w:vAlign w:val="center"/>
          </w:tcPr>
          <w:p w14:paraId="3A827C7A">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标项名称</w:t>
            </w:r>
          </w:p>
        </w:tc>
        <w:tc>
          <w:tcPr>
            <w:tcW w:w="1565" w:type="dxa"/>
            <w:vAlign w:val="center"/>
          </w:tcPr>
          <w:p w14:paraId="3AEE21F2">
            <w:pPr>
              <w:widowControl/>
              <w:spacing w:line="360"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数量</w:t>
            </w:r>
          </w:p>
          <w:p w14:paraId="5C9921A5">
            <w:pPr>
              <w:widowControl/>
              <w:spacing w:line="360"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（暂定）</w:t>
            </w:r>
          </w:p>
        </w:tc>
        <w:tc>
          <w:tcPr>
            <w:tcW w:w="1216" w:type="dxa"/>
            <w:vAlign w:val="center"/>
          </w:tcPr>
          <w:p w14:paraId="79ACA3E2">
            <w:pPr>
              <w:widowControl/>
              <w:spacing w:line="360"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备注</w:t>
            </w:r>
          </w:p>
        </w:tc>
      </w:tr>
      <w:tr w14:paraId="7ED0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17" w:type="dxa"/>
            <w:vAlign w:val="center"/>
          </w:tcPr>
          <w:p w14:paraId="0A915C1A">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标的一</w:t>
            </w:r>
          </w:p>
        </w:tc>
        <w:tc>
          <w:tcPr>
            <w:tcW w:w="4840" w:type="dxa"/>
            <w:vAlign w:val="center"/>
          </w:tcPr>
          <w:p w14:paraId="05871329">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泉州开元寺东西双塔、西街观景平台、蟳埔村、泉州非遗博物馆、漳州南门湾、苏峰山、风动石、鱼骨沙洲、潮州湘子桥、牌坊街、开元镇国禅寺、南澳岛、长山尾码头灯塔、青澳岛等</w:t>
            </w:r>
          </w:p>
        </w:tc>
        <w:tc>
          <w:tcPr>
            <w:tcW w:w="1565" w:type="dxa"/>
            <w:vAlign w:val="center"/>
          </w:tcPr>
          <w:p w14:paraId="29F6CAD6">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26人</w:t>
            </w:r>
          </w:p>
        </w:tc>
        <w:tc>
          <w:tcPr>
            <w:tcW w:w="1216" w:type="dxa"/>
            <w:vMerge w:val="restart"/>
            <w:vAlign w:val="center"/>
          </w:tcPr>
          <w:p w14:paraId="7BD03D65">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批数及每批人数以实际成团人数为准</w:t>
            </w:r>
          </w:p>
        </w:tc>
      </w:tr>
      <w:tr w14:paraId="43A8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17" w:type="dxa"/>
            <w:vAlign w:val="center"/>
          </w:tcPr>
          <w:p w14:paraId="156A1FA2">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标的二</w:t>
            </w:r>
          </w:p>
        </w:tc>
        <w:tc>
          <w:tcPr>
            <w:tcW w:w="4840" w:type="dxa"/>
            <w:vAlign w:val="center"/>
          </w:tcPr>
          <w:p w14:paraId="234C3B8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乌鲁木齐、天山天池、喀纳斯卧龙湾、神仙湾、鸭泽湖、贾登峪、禾木、乌尔禾魔鬼城、国际大巴扎等</w:t>
            </w:r>
          </w:p>
        </w:tc>
        <w:tc>
          <w:tcPr>
            <w:tcW w:w="1565" w:type="dxa"/>
            <w:vAlign w:val="center"/>
          </w:tcPr>
          <w:p w14:paraId="3E94944B">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122人</w:t>
            </w:r>
          </w:p>
        </w:tc>
        <w:tc>
          <w:tcPr>
            <w:tcW w:w="1216" w:type="dxa"/>
            <w:vMerge w:val="continue"/>
            <w:vAlign w:val="center"/>
          </w:tcPr>
          <w:p w14:paraId="6509CA73">
            <w:pPr>
              <w:widowControl/>
              <w:spacing w:line="360" w:lineRule="auto"/>
              <w:jc w:val="center"/>
              <w:rPr>
                <w:rFonts w:hint="eastAsia" w:ascii="仿宋" w:hAnsi="仿宋" w:eastAsia="仿宋" w:cs="仿宋"/>
                <w:color w:val="auto"/>
                <w:kern w:val="0"/>
                <w:sz w:val="24"/>
                <w:szCs w:val="24"/>
              </w:rPr>
            </w:pPr>
          </w:p>
        </w:tc>
      </w:tr>
      <w:tr w14:paraId="2A3A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17" w:type="dxa"/>
            <w:vAlign w:val="center"/>
          </w:tcPr>
          <w:p w14:paraId="33AAFB6C">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标的三</w:t>
            </w:r>
          </w:p>
        </w:tc>
        <w:tc>
          <w:tcPr>
            <w:tcW w:w="4840" w:type="dxa"/>
            <w:vAlign w:val="center"/>
          </w:tcPr>
          <w:p w14:paraId="417C260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卢沟桥、四姑娘山、磨石公园、亚拉雪山、打谷冰川、毕棚沟、古尔沟、塔公草原、红海子、格底拉姆、木格措等</w:t>
            </w:r>
          </w:p>
        </w:tc>
        <w:tc>
          <w:tcPr>
            <w:tcW w:w="1565" w:type="dxa"/>
            <w:vAlign w:val="center"/>
          </w:tcPr>
          <w:p w14:paraId="52CB41BE">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44人</w:t>
            </w:r>
          </w:p>
        </w:tc>
        <w:tc>
          <w:tcPr>
            <w:tcW w:w="1216" w:type="dxa"/>
            <w:vMerge w:val="continue"/>
            <w:vAlign w:val="center"/>
          </w:tcPr>
          <w:p w14:paraId="5AA5EB24">
            <w:pPr>
              <w:widowControl/>
              <w:spacing w:line="360" w:lineRule="auto"/>
              <w:jc w:val="center"/>
              <w:rPr>
                <w:rFonts w:hint="eastAsia" w:ascii="仿宋" w:hAnsi="仿宋" w:eastAsia="仿宋" w:cs="仿宋"/>
                <w:color w:val="auto"/>
                <w:kern w:val="0"/>
                <w:sz w:val="24"/>
                <w:szCs w:val="24"/>
              </w:rPr>
            </w:pPr>
          </w:p>
        </w:tc>
      </w:tr>
      <w:tr w14:paraId="48A0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17" w:type="dxa"/>
            <w:vAlign w:val="center"/>
          </w:tcPr>
          <w:p w14:paraId="27C2FB49">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标的四</w:t>
            </w:r>
          </w:p>
        </w:tc>
        <w:tc>
          <w:tcPr>
            <w:tcW w:w="4840" w:type="dxa"/>
            <w:vAlign w:val="center"/>
          </w:tcPr>
          <w:p w14:paraId="7E2ED62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长春电影制片厂、延吉、朝鲜民俗园、延吉水上市场、中朝图们口岸、日光山森林公园、二道白河镇、长白山自然博物馆、长白山景区、老里克湖等</w:t>
            </w:r>
          </w:p>
        </w:tc>
        <w:tc>
          <w:tcPr>
            <w:tcW w:w="1565" w:type="dxa"/>
            <w:vAlign w:val="center"/>
          </w:tcPr>
          <w:p w14:paraId="65DA0CE0">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26人</w:t>
            </w:r>
          </w:p>
        </w:tc>
        <w:tc>
          <w:tcPr>
            <w:tcW w:w="1216" w:type="dxa"/>
            <w:vMerge w:val="continue"/>
            <w:vAlign w:val="center"/>
          </w:tcPr>
          <w:p w14:paraId="792CD97E">
            <w:pPr>
              <w:widowControl/>
              <w:spacing w:line="360" w:lineRule="auto"/>
              <w:jc w:val="center"/>
              <w:rPr>
                <w:rFonts w:hint="eastAsia" w:ascii="仿宋" w:hAnsi="仿宋" w:eastAsia="仿宋" w:cs="仿宋"/>
                <w:color w:val="auto"/>
                <w:kern w:val="0"/>
                <w:sz w:val="24"/>
                <w:szCs w:val="24"/>
              </w:rPr>
            </w:pPr>
          </w:p>
        </w:tc>
      </w:tr>
      <w:tr w14:paraId="13AB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17" w:type="dxa"/>
            <w:vAlign w:val="center"/>
          </w:tcPr>
          <w:p w14:paraId="59367F87">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标的五</w:t>
            </w:r>
          </w:p>
        </w:tc>
        <w:tc>
          <w:tcPr>
            <w:tcW w:w="4840" w:type="dxa"/>
            <w:vAlign w:val="center"/>
          </w:tcPr>
          <w:p w14:paraId="1AC748E5">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兴义（西峰林景区、马岭河峡谷）、黄果树（天星桥水上石林景区、陡坡塘瀑布、黄果树瀑布）、西江千户苗寨、甲秀楼、梵净山等</w:t>
            </w:r>
          </w:p>
        </w:tc>
        <w:tc>
          <w:tcPr>
            <w:tcW w:w="1565" w:type="dxa"/>
            <w:vAlign w:val="center"/>
          </w:tcPr>
          <w:p w14:paraId="6A442D6A">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18人</w:t>
            </w:r>
          </w:p>
        </w:tc>
        <w:tc>
          <w:tcPr>
            <w:tcW w:w="1216" w:type="dxa"/>
            <w:vMerge w:val="continue"/>
            <w:vAlign w:val="center"/>
          </w:tcPr>
          <w:p w14:paraId="548F2C80">
            <w:pPr>
              <w:widowControl/>
              <w:spacing w:line="360" w:lineRule="auto"/>
              <w:jc w:val="center"/>
              <w:rPr>
                <w:rFonts w:hint="eastAsia" w:ascii="仿宋" w:hAnsi="仿宋" w:eastAsia="仿宋" w:cs="仿宋"/>
                <w:color w:val="auto"/>
                <w:kern w:val="0"/>
                <w:sz w:val="24"/>
                <w:szCs w:val="24"/>
              </w:rPr>
            </w:pPr>
          </w:p>
        </w:tc>
      </w:tr>
    </w:tbl>
    <w:p w14:paraId="2253D4F8">
      <w:pPr>
        <w:widowControl/>
        <w:spacing w:line="360" w:lineRule="auto"/>
        <w:ind w:right="6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本次采购项目，主要包括安排中共诸暨市委组织部优秀公务员健康休养活动的组织工作，包括食、宿、行等活动的具体安排。本次项目采购通过竞争性磋商方式确定服务单位，服务期为二年。最终以实际成团人数为准,采购人有权按需求调整单条路线的实际成团人数以及参加活动的总人数。分批次安排，批数及每批人数以实际成团人数为准，中标后不得以时间为由调整价格。</w:t>
      </w:r>
    </w:p>
    <w:p w14:paraId="051DFCFF">
      <w:pPr>
        <w:spacing w:line="360" w:lineRule="auto"/>
        <w:ind w:firstLine="480" w:firstLineChars="200"/>
        <w:rPr>
          <w:rFonts w:hint="eastAsia" w:ascii="仿宋" w:hAnsi="仿宋" w:eastAsia="仿宋" w:cs="仿宋"/>
          <w:color w:val="auto"/>
          <w:sz w:val="24"/>
          <w:szCs w:val="24"/>
        </w:rPr>
      </w:pPr>
      <w:bookmarkStart w:id="4" w:name="_Toc9828"/>
      <w:bookmarkStart w:id="5" w:name="_Toc9518"/>
      <w:bookmarkStart w:id="6" w:name="_Toc7030"/>
      <w:r>
        <w:rPr>
          <w:rFonts w:hint="eastAsia" w:ascii="仿宋" w:hAnsi="仿宋" w:eastAsia="仿宋" w:cs="仿宋"/>
          <w:color w:val="auto"/>
          <w:sz w:val="24"/>
          <w:szCs w:val="24"/>
        </w:rPr>
        <w:t>本项目参与健康休养职工总人数暂定为</w:t>
      </w:r>
      <w:r>
        <w:rPr>
          <w:rFonts w:hint="eastAsia" w:ascii="仿宋" w:hAnsi="仿宋" w:eastAsia="仿宋" w:cs="仿宋"/>
          <w:color w:val="auto"/>
          <w:sz w:val="24"/>
          <w:szCs w:val="24"/>
          <w:u w:val="single"/>
        </w:rPr>
        <w:t xml:space="preserve">  236  </w:t>
      </w:r>
      <w:r>
        <w:rPr>
          <w:rFonts w:hint="eastAsia" w:ascii="仿宋" w:hAnsi="仿宋" w:eastAsia="仿宋" w:cs="仿宋"/>
          <w:color w:val="auto"/>
          <w:sz w:val="24"/>
          <w:szCs w:val="24"/>
        </w:rPr>
        <w:t>人，最终参与健康休养人数以实际成行总人数为准。</w:t>
      </w:r>
    </w:p>
    <w:p w14:paraId="6A7F8060">
      <w:pPr>
        <w:spacing w:line="360" w:lineRule="auto"/>
        <w:ind w:firstLine="482" w:firstLineChars="200"/>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rPr>
        <w:t>★2.健康休养活动费用标准为6500 元/人（6500元/人为健康休养活动人员享受的标准费用，不随中标单价变动），以上费用包括但不限于餐饮、住宿、交通、景点门票、景点交通（游乐）工具（观光车、索道、船等）、导游费、保险费（旅游全程保险费）、固定费用200元/人（为团队线路费用，如加餐、景点自费项目、其他活动等，由采购人自行选择）、税费、代理服务费等一切费用。</w:t>
      </w:r>
    </w:p>
    <w:p w14:paraId="386CD67D">
      <w:pPr>
        <w:spacing w:line="360" w:lineRule="auto"/>
        <w:ind w:firstLine="482" w:firstLineChars="200"/>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（二）具体要求</w:t>
      </w:r>
      <w:bookmarkEnd w:id="4"/>
      <w:bookmarkEnd w:id="5"/>
    </w:p>
    <w:p w14:paraId="426D5DAA">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1.服务保障：除驾驶员外（需具有相应车辆驾驶资质），全程提供全陪导游人员1名以上，负责行程管理，住宿饮食、景点门票、沟通联络等安排，全陪导游须持有导游资格证书，且从事导游工作五年以上。</w:t>
      </w:r>
    </w:p>
    <w:p w14:paraId="78AF1DF1">
      <w:pPr>
        <w:autoSpaceDN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景点线路：包含线路安排的主要景区，至少包括上述所述主要景点，其他沿途景点或周边景点以中标单位编制并获得采购人认可的方案为准，不得强制安排购物点。景点门票包括大门票和景点内必游的小门票，以及索道（如有）、电瓶车（如有）、游船（如有）等，自费的娱乐项目除外（自费项目需明确说明，尽量不占用共用时间，不得影响团队不参加人员的活动及休息）。方案应针对每条线路具体编制，并列出每个参观景点及计划参观时间等。行程安排明细原则上不得更改，如遇特殊情况不得不需要更改的，更改的内容不得低于原标准，且在更改前须经采购人确认，并办妥相关手续，若有违约，采购人有权拒付相关费用，并追究违约责任。</w:t>
      </w:r>
    </w:p>
    <w:p w14:paraId="711CA8E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如碘酒、创可贴、风油精、藿香正气水、过敏常用药等）。根据要求每日行程结束后对车辆进行消杀。出行如安排高铁、动车，须安排二等座以上座位，座位尽量安排在一起。</w:t>
      </w:r>
    </w:p>
    <w:p w14:paraId="73896808">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住宿：集中住宿，四星级以上酒店标房或单间大床房，酒店未评挂星的，应提供相关酒店网站截图、评分资料或其他相关证明资料供评委评审认定，住宿地交通便利、环境相对清静、安全、舒适；有无线网络；确保24小时提供热水等。如果</w:t>
      </w:r>
      <w:r>
        <w:rPr>
          <w:rFonts w:hint="eastAsia" w:ascii="仿宋" w:hAnsi="仿宋" w:eastAsia="仿宋" w:cs="仿宋"/>
          <w:color w:val="auto"/>
          <w:sz w:val="24"/>
          <w:szCs w:val="24"/>
        </w:rPr>
        <w:t>健康</w:t>
      </w:r>
      <w:r>
        <w:rPr>
          <w:rFonts w:hint="eastAsia" w:ascii="仿宋" w:hAnsi="仿宋" w:eastAsia="仿宋" w:cs="仿宋"/>
          <w:color w:val="auto"/>
          <w:kern w:val="0"/>
          <w:sz w:val="24"/>
          <w:szCs w:val="24"/>
        </w:rPr>
        <w:t>休养人员认为酒店住宿环境不满意，有权要求调整酒店。投标人须在投标文件中提供备选酒店信息。另外若团队中出现单男单女，不补住房差价，由中标单位安排并承担。</w:t>
      </w:r>
    </w:p>
    <w:p w14:paraId="7968F64F">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用餐：早餐尽量安排在住宿酒店自助餐；中、晚餐每人每天不低于180元/人。投标人须在投标文件中提供基本的菜单，或备选酒店名称。用餐次数按旅游天数算足，旅游期间，如遇未用餐的情况，结算时须退还相应餐费。中、晚餐菜单与用餐人数须交一份给带队人员方便核对。</w:t>
      </w:r>
    </w:p>
    <w:p w14:paraId="4ABE3B3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6.保险：中标单位提供必要的意外保险额不低于50万元/人(保险额大小作为加分项)，承办健康休养的单位必须办理相关责任险。成交时需要提供相应的证明文件。</w:t>
      </w:r>
    </w:p>
    <w:p w14:paraId="7EF1C8CC">
      <w:pPr>
        <w:autoSpaceDE w:val="0"/>
        <w:autoSpaceDN w:val="0"/>
        <w:adjustRightInd w:val="0"/>
        <w:spacing w:line="360" w:lineRule="auto"/>
        <w:ind w:left="465"/>
        <w:rPr>
          <w:rFonts w:hint="eastAsia" w:ascii="仿宋" w:hAnsi="仿宋" w:eastAsia="仿宋" w:cs="仿宋"/>
          <w:color w:val="auto"/>
          <w:sz w:val="24"/>
          <w:szCs w:val="24"/>
        </w:rPr>
      </w:pPr>
      <w:r>
        <w:rPr>
          <w:rFonts w:hint="eastAsia" w:ascii="仿宋" w:hAnsi="仿宋" w:eastAsia="仿宋" w:cs="仿宋"/>
          <w:color w:val="auto"/>
          <w:sz w:val="24"/>
          <w:szCs w:val="24"/>
        </w:rPr>
        <w:t>7.质量保证：中标单位要按照招标文件、投标文件、合同等履行服务必</w:t>
      </w:r>
    </w:p>
    <w:p w14:paraId="1CB13FEF">
      <w:pPr>
        <w:autoSpaceDE w:val="0"/>
        <w:autoSpaceDN w:val="0"/>
        <w:adjustRightIn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须对采购人要求的全部服务范围进行响应，不得限定采购人活动区域范围，不得进行选择性服务，保证服务质量。本项目招标结束后，采购人如发现中标单位提供不实投标资料，采购人有权上报责任部门并取消资格。每批次健康休养结束后，采购人将对参加休养的人员进行健康休养情况测评调查。实施过程中出现有效投诉3次或以上的，采购人有权终止合同。若首批行程参加休养人员对本次健康休养整体评差评率达到30%的，则采购人有权解除剩余行程及其他中标线路安排，所造成损失由中标单位自行承担。如果参加休养人员对本次健康休养整体评差评率达到50%及以上的，三年内不得参与采购人同类项目的招标。</w:t>
      </w:r>
    </w:p>
    <w:p w14:paraId="56EE772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8.服务期限：自合同签订之日起至2026年12月31日（或采购预算金额满）止（若遇上级健康休养政策调整，服务期限按最新文件执行），具体行程（批次）与人数提前与采购人协商决定，以实际出行为准。</w:t>
      </w:r>
    </w:p>
    <w:p w14:paraId="155F2B3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9.付款方式：</w:t>
      </w:r>
    </w:p>
    <w:p w14:paraId="7F0A322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（1）根据《保障中小企业款项支付条例》、省财政厅《关于进一步发挥政府采购政策功能全力推动经济稳进提质的通知》(浙财采监【2022】3 号) 要求，合同生效及具备实施条件后 7 个工作日内支付合同金额的40%为预付款（须在采购人支付预付款七个工作日前提供预付款保函，采购人凭中标人提供的预付款保函支付合同金额预付款。签订合同时如中标人明确表示无需支付预付款或者主动要求降低支付预付款比例的，采购人可按实际情况不支付预付款或降低支付预付款金额）；</w:t>
      </w:r>
    </w:p>
    <w:p w14:paraId="4532D31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（2）每次活动前，由采购人提供人员名单及健康休养地点，中标供应商制定《服务安排明细表》内容包括详细计划和报价明细上报采购人审核。</w:t>
      </w:r>
    </w:p>
    <w:p w14:paraId="49D8F9C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（3）健康休养活动费用具体包含食、宿、行、导游、保险、税金等所有费用，以活动单位带队人员签字的清单为核算依据。</w:t>
      </w:r>
    </w:p>
    <w:p w14:paraId="23F38B7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（4）采购人未按约定向中标人支付合同款项，应向中标人支付逾期利息，利率为合同签订时一年期货款市场报价利率。</w:t>
      </w:r>
    </w:p>
    <w:p w14:paraId="5139CF8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若中标人自愿放弃预付款项的，中标后中标单位出具自愿放弃预付款函件，双方签订合同时另行约定付款方式和付款时间。中标单位在结算时须开具健康休养专用发票。本项目采用固定综合单价形式招标，服务费用按实结算。合同期间综合单价不予调整。</w:t>
      </w:r>
    </w:p>
    <w:p w14:paraId="31DA9D6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10.退团商定：因特殊情况，中标单位应允许出团前3个工作日除预定的高铁车票退票费用（按国家规定执行，由退团单位自负）外可无条件退团。</w:t>
      </w:r>
    </w:p>
    <w:p w14:paraId="2AD600F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11.其他：</w:t>
      </w:r>
    </w:p>
    <w:p w14:paraId="6EF0D20F">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（1）行程中的相关安全事宜（住宿、交通、饮食等）全部由中标单位负责，如出现任何安全事故，则由中标单位承担相关经济赔偿与法律义务。</w:t>
      </w:r>
    </w:p>
    <w:p w14:paraId="27B775B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（2）本项目不得以任何理由、任何形式进行转、分包，一经发现采购人可单方面解除合同，所造成的任何损失由中标单位自行负责；并将其列入黑名单，不得参加下一次的健康休养定点项目招投标。</w:t>
      </w:r>
    </w:p>
    <w:p w14:paraId="442BFFD1">
      <w:pPr>
        <w:spacing w:line="360" w:lineRule="auto"/>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（3）如中标单位在合同履约过程中有任何被投诉或被行政处罚行为，采购人有权立即终止合同。</w:t>
      </w:r>
    </w:p>
    <w:p w14:paraId="6701C4F2">
      <w:pPr>
        <w:spacing w:line="360" w:lineRule="auto"/>
        <w:ind w:firstLine="482" w:firstLineChars="200"/>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12.最高限价</w:t>
      </w:r>
    </w:p>
    <w:p w14:paraId="49ED77D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本项目采用单价招标，数量按实结算，最高单价限价不超过人民币陆仟伍佰元整（￥6500.00）。任何超过最高限价的报价将被认定为无效报价。包含食、宿、行、导游、保险、税金等所有费用。</w:t>
      </w:r>
    </w:p>
    <w:p w14:paraId="361A6917">
      <w:pPr>
        <w:spacing w:line="360" w:lineRule="auto"/>
        <w:rPr>
          <w:rFonts w:hint="eastAsia" w:ascii="仿宋" w:hAnsi="仿宋" w:eastAsia="仿宋" w:cs="仿宋"/>
          <w:b/>
          <w:bCs/>
          <w:color w:val="auto"/>
          <w:sz w:val="24"/>
          <w:szCs w:val="24"/>
        </w:rPr>
      </w:pPr>
    </w:p>
    <w:p w14:paraId="2E3E5ADE">
      <w:pPr>
        <w:spacing w:line="360" w:lineRule="auto"/>
        <w:rPr>
          <w:rFonts w:hint="eastAsia" w:ascii="仿宋" w:hAnsi="仿宋" w:eastAsia="仿宋" w:cs="仿宋"/>
          <w:b/>
          <w:bCs/>
          <w:color w:val="auto"/>
          <w:sz w:val="24"/>
          <w:szCs w:val="24"/>
        </w:rPr>
      </w:pPr>
    </w:p>
    <w:p w14:paraId="2930C360">
      <w:pPr>
        <w:spacing w:line="360" w:lineRule="auto"/>
        <w:rPr>
          <w:rFonts w:hint="eastAsia" w:ascii="仿宋" w:hAnsi="仿宋" w:eastAsia="仿宋" w:cs="仿宋"/>
          <w:b/>
          <w:bCs/>
          <w:color w:val="auto"/>
          <w:sz w:val="24"/>
          <w:szCs w:val="24"/>
        </w:rPr>
      </w:pPr>
    </w:p>
    <w:p w14:paraId="4EC413B7">
      <w:pPr>
        <w:spacing w:line="360" w:lineRule="auto"/>
        <w:rPr>
          <w:rFonts w:hint="eastAsia" w:ascii="仿宋" w:hAnsi="仿宋" w:eastAsia="仿宋" w:cs="仿宋"/>
          <w:b/>
          <w:bCs/>
          <w:color w:val="auto"/>
          <w:sz w:val="24"/>
          <w:szCs w:val="24"/>
        </w:rPr>
      </w:pPr>
    </w:p>
    <w:p w14:paraId="53352527">
      <w:pPr>
        <w:spacing w:line="360" w:lineRule="auto"/>
        <w:rPr>
          <w:rFonts w:hint="eastAsia" w:ascii="仿宋" w:hAnsi="仿宋" w:eastAsia="仿宋" w:cs="仿宋"/>
          <w:b/>
          <w:bCs/>
          <w:color w:val="auto"/>
          <w:sz w:val="24"/>
          <w:szCs w:val="24"/>
        </w:rPr>
      </w:pPr>
    </w:p>
    <w:p w14:paraId="38DF228F">
      <w:pPr>
        <w:spacing w:line="360" w:lineRule="auto"/>
        <w:rPr>
          <w:rFonts w:hint="eastAsia" w:ascii="仿宋" w:hAnsi="仿宋" w:eastAsia="仿宋" w:cs="仿宋"/>
          <w:b/>
          <w:bCs/>
          <w:color w:val="auto"/>
          <w:sz w:val="24"/>
          <w:szCs w:val="24"/>
        </w:rPr>
      </w:pPr>
    </w:p>
    <w:p w14:paraId="633D962C">
      <w:pPr>
        <w:spacing w:line="360" w:lineRule="auto"/>
        <w:rPr>
          <w:rFonts w:hint="eastAsia" w:ascii="仿宋" w:hAnsi="仿宋" w:eastAsia="仿宋" w:cs="仿宋"/>
          <w:b/>
          <w:bCs/>
          <w:color w:val="auto"/>
          <w:sz w:val="24"/>
          <w:szCs w:val="24"/>
        </w:rPr>
      </w:pPr>
    </w:p>
    <w:p w14:paraId="4CB7081A">
      <w:pPr>
        <w:spacing w:line="360" w:lineRule="auto"/>
        <w:rPr>
          <w:rFonts w:hint="eastAsia" w:ascii="仿宋" w:hAnsi="仿宋" w:eastAsia="仿宋" w:cs="仿宋"/>
          <w:b/>
          <w:bCs/>
          <w:color w:val="auto"/>
          <w:sz w:val="24"/>
          <w:szCs w:val="24"/>
        </w:rPr>
      </w:pPr>
    </w:p>
    <w:p w14:paraId="24BE996D">
      <w:pPr>
        <w:spacing w:line="360" w:lineRule="auto"/>
        <w:rPr>
          <w:rFonts w:hint="eastAsia" w:ascii="仿宋" w:hAnsi="仿宋" w:eastAsia="仿宋" w:cs="仿宋"/>
          <w:b/>
          <w:bCs/>
          <w:color w:val="auto"/>
          <w:sz w:val="24"/>
          <w:szCs w:val="24"/>
        </w:rPr>
      </w:pPr>
    </w:p>
    <w:p w14:paraId="3F10A51E">
      <w:pPr>
        <w:spacing w:line="360" w:lineRule="auto"/>
        <w:rPr>
          <w:rFonts w:hint="eastAsia" w:ascii="仿宋" w:hAnsi="仿宋" w:eastAsia="仿宋" w:cs="仿宋"/>
          <w:b/>
          <w:bCs/>
          <w:color w:val="auto"/>
          <w:sz w:val="24"/>
          <w:szCs w:val="24"/>
        </w:rPr>
      </w:pPr>
    </w:p>
    <w:p w14:paraId="7C9B446A">
      <w:pPr>
        <w:spacing w:line="360" w:lineRule="auto"/>
        <w:rPr>
          <w:rFonts w:hint="eastAsia" w:ascii="仿宋" w:hAnsi="仿宋" w:eastAsia="仿宋" w:cs="仿宋"/>
          <w:b/>
          <w:bCs/>
          <w:color w:val="auto"/>
          <w:sz w:val="24"/>
          <w:szCs w:val="24"/>
        </w:rPr>
      </w:pPr>
    </w:p>
    <w:p w14:paraId="6B9C9283">
      <w:pPr>
        <w:spacing w:line="360" w:lineRule="auto"/>
        <w:rPr>
          <w:rFonts w:hint="eastAsia" w:ascii="仿宋" w:hAnsi="仿宋" w:eastAsia="仿宋" w:cs="仿宋"/>
          <w:b/>
          <w:bCs/>
          <w:color w:val="auto"/>
          <w:sz w:val="24"/>
          <w:szCs w:val="24"/>
        </w:rPr>
      </w:pPr>
    </w:p>
    <w:p w14:paraId="70AD9D1B">
      <w:pPr>
        <w:spacing w:line="360" w:lineRule="auto"/>
        <w:rPr>
          <w:rFonts w:hint="eastAsia" w:ascii="仿宋" w:hAnsi="仿宋" w:eastAsia="仿宋" w:cs="仿宋"/>
          <w:b/>
          <w:bCs/>
          <w:color w:val="auto"/>
          <w:sz w:val="24"/>
          <w:szCs w:val="24"/>
        </w:rPr>
      </w:pPr>
    </w:p>
    <w:p w14:paraId="3BF51096">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附件：健康休养满意度调查表</w:t>
      </w:r>
    </w:p>
    <w:p w14:paraId="438A1233">
      <w:pPr>
        <w:spacing w:line="360" w:lineRule="auto"/>
        <w:ind w:firstLine="2848" w:firstLineChars="1187"/>
        <w:rPr>
          <w:rFonts w:hint="eastAsia" w:ascii="仿宋" w:hAnsi="仿宋" w:eastAsia="仿宋" w:cs="仿宋"/>
          <w:color w:val="auto"/>
          <w:sz w:val="24"/>
          <w:szCs w:val="24"/>
        </w:rPr>
      </w:pPr>
    </w:p>
    <w:tbl>
      <w:tblPr>
        <w:tblStyle w:val="18"/>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750"/>
        <w:gridCol w:w="915"/>
        <w:gridCol w:w="840"/>
        <w:gridCol w:w="900"/>
        <w:gridCol w:w="870"/>
        <w:gridCol w:w="1005"/>
        <w:gridCol w:w="645"/>
        <w:gridCol w:w="895"/>
      </w:tblGrid>
      <w:tr w14:paraId="642D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14:paraId="22E901DA">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休养地点</w:t>
            </w:r>
          </w:p>
        </w:tc>
        <w:tc>
          <w:tcPr>
            <w:tcW w:w="6820" w:type="dxa"/>
            <w:gridSpan w:val="8"/>
          </w:tcPr>
          <w:p w14:paraId="5FF8BB12">
            <w:pPr>
              <w:spacing w:line="360" w:lineRule="auto"/>
              <w:ind w:firstLine="570"/>
              <w:rPr>
                <w:rFonts w:hint="eastAsia" w:ascii="仿宋" w:hAnsi="仿宋" w:eastAsia="仿宋" w:cs="仿宋"/>
                <w:color w:val="auto"/>
                <w:sz w:val="24"/>
                <w:szCs w:val="24"/>
              </w:rPr>
            </w:pPr>
          </w:p>
        </w:tc>
      </w:tr>
      <w:tr w14:paraId="4460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14:paraId="41CE93CC">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休养时间</w:t>
            </w:r>
          </w:p>
        </w:tc>
        <w:tc>
          <w:tcPr>
            <w:tcW w:w="6820" w:type="dxa"/>
            <w:gridSpan w:val="8"/>
          </w:tcPr>
          <w:p w14:paraId="2D08C457">
            <w:pPr>
              <w:spacing w:line="360" w:lineRule="auto"/>
              <w:ind w:firstLine="570"/>
              <w:rPr>
                <w:rFonts w:hint="eastAsia" w:ascii="仿宋" w:hAnsi="仿宋" w:eastAsia="仿宋" w:cs="仿宋"/>
                <w:color w:val="auto"/>
                <w:sz w:val="24"/>
                <w:szCs w:val="24"/>
              </w:rPr>
            </w:pPr>
            <w:r>
              <w:rPr>
                <w:rFonts w:hint="eastAsia" w:ascii="仿宋" w:hAnsi="仿宋" w:eastAsia="仿宋" w:cs="仿宋"/>
                <w:color w:val="auto"/>
                <w:sz w:val="24"/>
                <w:szCs w:val="24"/>
              </w:rPr>
              <w:t xml:space="preserve">       _____ 年___ 月  ____日至 ___ 月  ____日</w:t>
            </w:r>
          </w:p>
        </w:tc>
      </w:tr>
      <w:tr w14:paraId="4838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14:paraId="5829EBFD">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住宿满意度</w:t>
            </w:r>
          </w:p>
        </w:tc>
        <w:tc>
          <w:tcPr>
            <w:tcW w:w="750" w:type="dxa"/>
          </w:tcPr>
          <w:p w14:paraId="5B4F1ACE">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好</w:t>
            </w:r>
          </w:p>
        </w:tc>
        <w:tc>
          <w:tcPr>
            <w:tcW w:w="915" w:type="dxa"/>
          </w:tcPr>
          <w:p w14:paraId="04C43F22">
            <w:pPr>
              <w:spacing w:line="360" w:lineRule="auto"/>
              <w:ind w:firstLine="570"/>
              <w:jc w:val="center"/>
              <w:rPr>
                <w:rFonts w:hint="eastAsia" w:ascii="仿宋" w:hAnsi="仿宋" w:eastAsia="仿宋" w:cs="仿宋"/>
                <w:color w:val="auto"/>
                <w:sz w:val="24"/>
                <w:szCs w:val="24"/>
              </w:rPr>
            </w:pPr>
          </w:p>
        </w:tc>
        <w:tc>
          <w:tcPr>
            <w:tcW w:w="840" w:type="dxa"/>
          </w:tcPr>
          <w:p w14:paraId="77B6BD36">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较好</w:t>
            </w:r>
          </w:p>
        </w:tc>
        <w:tc>
          <w:tcPr>
            <w:tcW w:w="900" w:type="dxa"/>
          </w:tcPr>
          <w:p w14:paraId="3885B3DC">
            <w:pPr>
              <w:spacing w:line="360" w:lineRule="auto"/>
              <w:ind w:firstLine="570"/>
              <w:jc w:val="center"/>
              <w:rPr>
                <w:rFonts w:hint="eastAsia" w:ascii="仿宋" w:hAnsi="仿宋" w:eastAsia="仿宋" w:cs="仿宋"/>
                <w:color w:val="auto"/>
                <w:sz w:val="24"/>
                <w:szCs w:val="24"/>
              </w:rPr>
            </w:pPr>
          </w:p>
        </w:tc>
        <w:tc>
          <w:tcPr>
            <w:tcW w:w="870" w:type="dxa"/>
          </w:tcPr>
          <w:p w14:paraId="7C51C07B">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一般</w:t>
            </w:r>
          </w:p>
        </w:tc>
        <w:tc>
          <w:tcPr>
            <w:tcW w:w="1005" w:type="dxa"/>
          </w:tcPr>
          <w:p w14:paraId="67522C69">
            <w:pPr>
              <w:spacing w:line="360" w:lineRule="auto"/>
              <w:ind w:firstLine="570"/>
              <w:jc w:val="center"/>
              <w:rPr>
                <w:rFonts w:hint="eastAsia" w:ascii="仿宋" w:hAnsi="仿宋" w:eastAsia="仿宋" w:cs="仿宋"/>
                <w:color w:val="auto"/>
                <w:sz w:val="24"/>
                <w:szCs w:val="24"/>
              </w:rPr>
            </w:pPr>
          </w:p>
        </w:tc>
        <w:tc>
          <w:tcPr>
            <w:tcW w:w="645" w:type="dxa"/>
          </w:tcPr>
          <w:p w14:paraId="567EB08E">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差</w:t>
            </w:r>
          </w:p>
        </w:tc>
        <w:tc>
          <w:tcPr>
            <w:tcW w:w="895" w:type="dxa"/>
          </w:tcPr>
          <w:p w14:paraId="55480D74">
            <w:pPr>
              <w:spacing w:line="360" w:lineRule="auto"/>
              <w:ind w:firstLine="570"/>
              <w:jc w:val="center"/>
              <w:rPr>
                <w:rFonts w:hint="eastAsia" w:ascii="仿宋" w:hAnsi="仿宋" w:eastAsia="仿宋" w:cs="仿宋"/>
                <w:color w:val="auto"/>
                <w:sz w:val="24"/>
                <w:szCs w:val="24"/>
              </w:rPr>
            </w:pPr>
          </w:p>
        </w:tc>
      </w:tr>
      <w:tr w14:paraId="456A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14:paraId="4D06C84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餐饮满意度</w:t>
            </w:r>
          </w:p>
        </w:tc>
        <w:tc>
          <w:tcPr>
            <w:tcW w:w="750" w:type="dxa"/>
          </w:tcPr>
          <w:p w14:paraId="183D1FFC">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好</w:t>
            </w:r>
          </w:p>
        </w:tc>
        <w:tc>
          <w:tcPr>
            <w:tcW w:w="915" w:type="dxa"/>
          </w:tcPr>
          <w:p w14:paraId="7C00CD20">
            <w:pPr>
              <w:spacing w:line="360" w:lineRule="auto"/>
              <w:ind w:firstLine="570"/>
              <w:jc w:val="center"/>
              <w:rPr>
                <w:rFonts w:hint="eastAsia" w:ascii="仿宋" w:hAnsi="仿宋" w:eastAsia="仿宋" w:cs="仿宋"/>
                <w:color w:val="auto"/>
                <w:sz w:val="24"/>
                <w:szCs w:val="24"/>
              </w:rPr>
            </w:pPr>
          </w:p>
        </w:tc>
        <w:tc>
          <w:tcPr>
            <w:tcW w:w="840" w:type="dxa"/>
          </w:tcPr>
          <w:p w14:paraId="45CA48E0">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较好</w:t>
            </w:r>
          </w:p>
        </w:tc>
        <w:tc>
          <w:tcPr>
            <w:tcW w:w="900" w:type="dxa"/>
          </w:tcPr>
          <w:p w14:paraId="7C5A83C7">
            <w:pPr>
              <w:spacing w:line="360" w:lineRule="auto"/>
              <w:ind w:firstLine="570"/>
              <w:jc w:val="center"/>
              <w:rPr>
                <w:rFonts w:hint="eastAsia" w:ascii="仿宋" w:hAnsi="仿宋" w:eastAsia="仿宋" w:cs="仿宋"/>
                <w:color w:val="auto"/>
                <w:sz w:val="24"/>
                <w:szCs w:val="24"/>
              </w:rPr>
            </w:pPr>
          </w:p>
        </w:tc>
        <w:tc>
          <w:tcPr>
            <w:tcW w:w="870" w:type="dxa"/>
          </w:tcPr>
          <w:p w14:paraId="377E514B">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一般</w:t>
            </w:r>
          </w:p>
        </w:tc>
        <w:tc>
          <w:tcPr>
            <w:tcW w:w="1005" w:type="dxa"/>
          </w:tcPr>
          <w:p w14:paraId="04018896">
            <w:pPr>
              <w:spacing w:line="360" w:lineRule="auto"/>
              <w:ind w:firstLine="570"/>
              <w:jc w:val="center"/>
              <w:rPr>
                <w:rFonts w:hint="eastAsia" w:ascii="仿宋" w:hAnsi="仿宋" w:eastAsia="仿宋" w:cs="仿宋"/>
                <w:color w:val="auto"/>
                <w:sz w:val="24"/>
                <w:szCs w:val="24"/>
              </w:rPr>
            </w:pPr>
          </w:p>
        </w:tc>
        <w:tc>
          <w:tcPr>
            <w:tcW w:w="645" w:type="dxa"/>
          </w:tcPr>
          <w:p w14:paraId="49E189E7">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差</w:t>
            </w:r>
          </w:p>
        </w:tc>
        <w:tc>
          <w:tcPr>
            <w:tcW w:w="895" w:type="dxa"/>
          </w:tcPr>
          <w:p w14:paraId="6C745196">
            <w:pPr>
              <w:spacing w:line="360" w:lineRule="auto"/>
              <w:ind w:firstLine="570"/>
              <w:jc w:val="center"/>
              <w:rPr>
                <w:rFonts w:hint="eastAsia" w:ascii="仿宋" w:hAnsi="仿宋" w:eastAsia="仿宋" w:cs="仿宋"/>
                <w:color w:val="auto"/>
                <w:sz w:val="24"/>
                <w:szCs w:val="24"/>
              </w:rPr>
            </w:pPr>
          </w:p>
        </w:tc>
      </w:tr>
      <w:tr w14:paraId="6C7D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14:paraId="2D2878CD">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行程满意度</w:t>
            </w:r>
          </w:p>
        </w:tc>
        <w:tc>
          <w:tcPr>
            <w:tcW w:w="750" w:type="dxa"/>
          </w:tcPr>
          <w:p w14:paraId="04AF13C3">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好</w:t>
            </w:r>
          </w:p>
        </w:tc>
        <w:tc>
          <w:tcPr>
            <w:tcW w:w="915" w:type="dxa"/>
          </w:tcPr>
          <w:p w14:paraId="4B95D7A9">
            <w:pPr>
              <w:spacing w:line="360" w:lineRule="auto"/>
              <w:ind w:firstLine="570"/>
              <w:jc w:val="center"/>
              <w:rPr>
                <w:rFonts w:hint="eastAsia" w:ascii="仿宋" w:hAnsi="仿宋" w:eastAsia="仿宋" w:cs="仿宋"/>
                <w:color w:val="auto"/>
                <w:sz w:val="24"/>
                <w:szCs w:val="24"/>
              </w:rPr>
            </w:pPr>
          </w:p>
        </w:tc>
        <w:tc>
          <w:tcPr>
            <w:tcW w:w="840" w:type="dxa"/>
          </w:tcPr>
          <w:p w14:paraId="4E7F549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较好</w:t>
            </w:r>
          </w:p>
        </w:tc>
        <w:tc>
          <w:tcPr>
            <w:tcW w:w="900" w:type="dxa"/>
          </w:tcPr>
          <w:p w14:paraId="05DD4222">
            <w:pPr>
              <w:spacing w:line="360" w:lineRule="auto"/>
              <w:ind w:firstLine="570"/>
              <w:jc w:val="center"/>
              <w:rPr>
                <w:rFonts w:hint="eastAsia" w:ascii="仿宋" w:hAnsi="仿宋" w:eastAsia="仿宋" w:cs="仿宋"/>
                <w:color w:val="auto"/>
                <w:sz w:val="24"/>
                <w:szCs w:val="24"/>
              </w:rPr>
            </w:pPr>
          </w:p>
        </w:tc>
        <w:tc>
          <w:tcPr>
            <w:tcW w:w="870" w:type="dxa"/>
          </w:tcPr>
          <w:p w14:paraId="143ECFF2">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一般</w:t>
            </w:r>
          </w:p>
        </w:tc>
        <w:tc>
          <w:tcPr>
            <w:tcW w:w="1005" w:type="dxa"/>
          </w:tcPr>
          <w:p w14:paraId="48BC363A">
            <w:pPr>
              <w:spacing w:line="360" w:lineRule="auto"/>
              <w:ind w:firstLine="570"/>
              <w:jc w:val="center"/>
              <w:rPr>
                <w:rFonts w:hint="eastAsia" w:ascii="仿宋" w:hAnsi="仿宋" w:eastAsia="仿宋" w:cs="仿宋"/>
                <w:color w:val="auto"/>
                <w:sz w:val="24"/>
                <w:szCs w:val="24"/>
              </w:rPr>
            </w:pPr>
          </w:p>
        </w:tc>
        <w:tc>
          <w:tcPr>
            <w:tcW w:w="645" w:type="dxa"/>
          </w:tcPr>
          <w:p w14:paraId="77793B90">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差</w:t>
            </w:r>
          </w:p>
        </w:tc>
        <w:tc>
          <w:tcPr>
            <w:tcW w:w="895" w:type="dxa"/>
          </w:tcPr>
          <w:p w14:paraId="00EF041E">
            <w:pPr>
              <w:spacing w:line="360" w:lineRule="auto"/>
              <w:ind w:firstLine="570"/>
              <w:jc w:val="center"/>
              <w:rPr>
                <w:rFonts w:hint="eastAsia" w:ascii="仿宋" w:hAnsi="仿宋" w:eastAsia="仿宋" w:cs="仿宋"/>
                <w:color w:val="auto"/>
                <w:sz w:val="24"/>
                <w:szCs w:val="24"/>
              </w:rPr>
            </w:pPr>
          </w:p>
        </w:tc>
      </w:tr>
      <w:tr w14:paraId="2EDDE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14:paraId="2CC8F28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景点满意度</w:t>
            </w:r>
          </w:p>
        </w:tc>
        <w:tc>
          <w:tcPr>
            <w:tcW w:w="750" w:type="dxa"/>
          </w:tcPr>
          <w:p w14:paraId="340C643B">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好</w:t>
            </w:r>
          </w:p>
        </w:tc>
        <w:tc>
          <w:tcPr>
            <w:tcW w:w="915" w:type="dxa"/>
          </w:tcPr>
          <w:p w14:paraId="5A6E00B3">
            <w:pPr>
              <w:spacing w:line="360" w:lineRule="auto"/>
              <w:ind w:firstLine="570"/>
              <w:jc w:val="center"/>
              <w:rPr>
                <w:rFonts w:hint="eastAsia" w:ascii="仿宋" w:hAnsi="仿宋" w:eastAsia="仿宋" w:cs="仿宋"/>
                <w:color w:val="auto"/>
                <w:sz w:val="24"/>
                <w:szCs w:val="24"/>
              </w:rPr>
            </w:pPr>
          </w:p>
        </w:tc>
        <w:tc>
          <w:tcPr>
            <w:tcW w:w="840" w:type="dxa"/>
          </w:tcPr>
          <w:p w14:paraId="491DC7FD">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较好</w:t>
            </w:r>
          </w:p>
        </w:tc>
        <w:tc>
          <w:tcPr>
            <w:tcW w:w="900" w:type="dxa"/>
          </w:tcPr>
          <w:p w14:paraId="168E2382">
            <w:pPr>
              <w:spacing w:line="360" w:lineRule="auto"/>
              <w:ind w:firstLine="570"/>
              <w:jc w:val="center"/>
              <w:rPr>
                <w:rFonts w:hint="eastAsia" w:ascii="仿宋" w:hAnsi="仿宋" w:eastAsia="仿宋" w:cs="仿宋"/>
                <w:color w:val="auto"/>
                <w:sz w:val="24"/>
                <w:szCs w:val="24"/>
              </w:rPr>
            </w:pPr>
          </w:p>
        </w:tc>
        <w:tc>
          <w:tcPr>
            <w:tcW w:w="870" w:type="dxa"/>
          </w:tcPr>
          <w:p w14:paraId="65F4E99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一般</w:t>
            </w:r>
          </w:p>
        </w:tc>
        <w:tc>
          <w:tcPr>
            <w:tcW w:w="1005" w:type="dxa"/>
          </w:tcPr>
          <w:p w14:paraId="7FB27555">
            <w:pPr>
              <w:spacing w:line="360" w:lineRule="auto"/>
              <w:ind w:firstLine="570"/>
              <w:jc w:val="center"/>
              <w:rPr>
                <w:rFonts w:hint="eastAsia" w:ascii="仿宋" w:hAnsi="仿宋" w:eastAsia="仿宋" w:cs="仿宋"/>
                <w:color w:val="auto"/>
                <w:sz w:val="24"/>
                <w:szCs w:val="24"/>
              </w:rPr>
            </w:pPr>
          </w:p>
        </w:tc>
        <w:tc>
          <w:tcPr>
            <w:tcW w:w="645" w:type="dxa"/>
          </w:tcPr>
          <w:p w14:paraId="7C4C4D83">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差</w:t>
            </w:r>
          </w:p>
        </w:tc>
        <w:tc>
          <w:tcPr>
            <w:tcW w:w="895" w:type="dxa"/>
          </w:tcPr>
          <w:p w14:paraId="1646A2BD">
            <w:pPr>
              <w:spacing w:line="360" w:lineRule="auto"/>
              <w:ind w:firstLine="570"/>
              <w:jc w:val="center"/>
              <w:rPr>
                <w:rFonts w:hint="eastAsia" w:ascii="仿宋" w:hAnsi="仿宋" w:eastAsia="仿宋" w:cs="仿宋"/>
                <w:color w:val="auto"/>
                <w:sz w:val="24"/>
                <w:szCs w:val="24"/>
              </w:rPr>
            </w:pPr>
          </w:p>
        </w:tc>
      </w:tr>
      <w:tr w14:paraId="0623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14:paraId="112BAD8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服务质量</w:t>
            </w:r>
          </w:p>
        </w:tc>
        <w:tc>
          <w:tcPr>
            <w:tcW w:w="750" w:type="dxa"/>
          </w:tcPr>
          <w:p w14:paraId="53AD78F3">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好</w:t>
            </w:r>
          </w:p>
        </w:tc>
        <w:tc>
          <w:tcPr>
            <w:tcW w:w="915" w:type="dxa"/>
          </w:tcPr>
          <w:p w14:paraId="4105D8BF">
            <w:pPr>
              <w:spacing w:line="360" w:lineRule="auto"/>
              <w:ind w:firstLine="570"/>
              <w:jc w:val="center"/>
              <w:rPr>
                <w:rFonts w:hint="eastAsia" w:ascii="仿宋" w:hAnsi="仿宋" w:eastAsia="仿宋" w:cs="仿宋"/>
                <w:color w:val="auto"/>
                <w:sz w:val="24"/>
                <w:szCs w:val="24"/>
              </w:rPr>
            </w:pPr>
          </w:p>
        </w:tc>
        <w:tc>
          <w:tcPr>
            <w:tcW w:w="840" w:type="dxa"/>
          </w:tcPr>
          <w:p w14:paraId="1858E265">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较好</w:t>
            </w:r>
          </w:p>
        </w:tc>
        <w:tc>
          <w:tcPr>
            <w:tcW w:w="900" w:type="dxa"/>
          </w:tcPr>
          <w:p w14:paraId="24F1E95A">
            <w:pPr>
              <w:spacing w:line="360" w:lineRule="auto"/>
              <w:ind w:firstLine="570"/>
              <w:jc w:val="center"/>
              <w:rPr>
                <w:rFonts w:hint="eastAsia" w:ascii="仿宋" w:hAnsi="仿宋" w:eastAsia="仿宋" w:cs="仿宋"/>
                <w:color w:val="auto"/>
                <w:sz w:val="24"/>
                <w:szCs w:val="24"/>
              </w:rPr>
            </w:pPr>
          </w:p>
        </w:tc>
        <w:tc>
          <w:tcPr>
            <w:tcW w:w="870" w:type="dxa"/>
          </w:tcPr>
          <w:p w14:paraId="6F91DF0F">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一般</w:t>
            </w:r>
          </w:p>
        </w:tc>
        <w:tc>
          <w:tcPr>
            <w:tcW w:w="1005" w:type="dxa"/>
          </w:tcPr>
          <w:p w14:paraId="4A273996">
            <w:pPr>
              <w:spacing w:line="360" w:lineRule="auto"/>
              <w:ind w:firstLine="570"/>
              <w:jc w:val="center"/>
              <w:rPr>
                <w:rFonts w:hint="eastAsia" w:ascii="仿宋" w:hAnsi="仿宋" w:eastAsia="仿宋" w:cs="仿宋"/>
                <w:color w:val="auto"/>
                <w:sz w:val="24"/>
                <w:szCs w:val="24"/>
              </w:rPr>
            </w:pPr>
          </w:p>
        </w:tc>
        <w:tc>
          <w:tcPr>
            <w:tcW w:w="645" w:type="dxa"/>
          </w:tcPr>
          <w:p w14:paraId="5DD90223">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差</w:t>
            </w:r>
          </w:p>
        </w:tc>
        <w:tc>
          <w:tcPr>
            <w:tcW w:w="895" w:type="dxa"/>
          </w:tcPr>
          <w:p w14:paraId="6933DFF7">
            <w:pPr>
              <w:spacing w:line="360" w:lineRule="auto"/>
              <w:ind w:firstLine="570"/>
              <w:jc w:val="center"/>
              <w:rPr>
                <w:rFonts w:hint="eastAsia" w:ascii="仿宋" w:hAnsi="仿宋" w:eastAsia="仿宋" w:cs="仿宋"/>
                <w:color w:val="auto"/>
                <w:sz w:val="24"/>
                <w:szCs w:val="24"/>
              </w:rPr>
            </w:pPr>
          </w:p>
        </w:tc>
      </w:tr>
      <w:tr w14:paraId="15A5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tcPr>
          <w:p w14:paraId="2B25BECC">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整体评价</w:t>
            </w:r>
          </w:p>
        </w:tc>
        <w:tc>
          <w:tcPr>
            <w:tcW w:w="750" w:type="dxa"/>
          </w:tcPr>
          <w:p w14:paraId="62155CAB">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好</w:t>
            </w:r>
          </w:p>
        </w:tc>
        <w:tc>
          <w:tcPr>
            <w:tcW w:w="915" w:type="dxa"/>
          </w:tcPr>
          <w:p w14:paraId="6890EDAD">
            <w:pPr>
              <w:spacing w:line="360" w:lineRule="auto"/>
              <w:ind w:firstLine="570"/>
              <w:jc w:val="center"/>
              <w:rPr>
                <w:rFonts w:hint="eastAsia" w:ascii="仿宋" w:hAnsi="仿宋" w:eastAsia="仿宋" w:cs="仿宋"/>
                <w:color w:val="auto"/>
                <w:sz w:val="24"/>
                <w:szCs w:val="24"/>
              </w:rPr>
            </w:pPr>
          </w:p>
        </w:tc>
        <w:tc>
          <w:tcPr>
            <w:tcW w:w="840" w:type="dxa"/>
          </w:tcPr>
          <w:p w14:paraId="1AFAF2B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较好</w:t>
            </w:r>
          </w:p>
        </w:tc>
        <w:tc>
          <w:tcPr>
            <w:tcW w:w="900" w:type="dxa"/>
          </w:tcPr>
          <w:p w14:paraId="283E53C3">
            <w:pPr>
              <w:spacing w:line="360" w:lineRule="auto"/>
              <w:ind w:firstLine="570"/>
              <w:jc w:val="center"/>
              <w:rPr>
                <w:rFonts w:hint="eastAsia" w:ascii="仿宋" w:hAnsi="仿宋" w:eastAsia="仿宋" w:cs="仿宋"/>
                <w:color w:val="auto"/>
                <w:sz w:val="24"/>
                <w:szCs w:val="24"/>
              </w:rPr>
            </w:pPr>
          </w:p>
        </w:tc>
        <w:tc>
          <w:tcPr>
            <w:tcW w:w="870" w:type="dxa"/>
          </w:tcPr>
          <w:p w14:paraId="7A202E4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一般</w:t>
            </w:r>
          </w:p>
        </w:tc>
        <w:tc>
          <w:tcPr>
            <w:tcW w:w="1005" w:type="dxa"/>
          </w:tcPr>
          <w:p w14:paraId="3F9CAD8A">
            <w:pPr>
              <w:spacing w:line="360" w:lineRule="auto"/>
              <w:ind w:firstLine="570"/>
              <w:jc w:val="center"/>
              <w:rPr>
                <w:rFonts w:hint="eastAsia" w:ascii="仿宋" w:hAnsi="仿宋" w:eastAsia="仿宋" w:cs="仿宋"/>
                <w:color w:val="auto"/>
                <w:sz w:val="24"/>
                <w:szCs w:val="24"/>
              </w:rPr>
            </w:pPr>
          </w:p>
        </w:tc>
        <w:tc>
          <w:tcPr>
            <w:tcW w:w="645" w:type="dxa"/>
          </w:tcPr>
          <w:p w14:paraId="78BA6D42">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差</w:t>
            </w:r>
          </w:p>
        </w:tc>
        <w:tc>
          <w:tcPr>
            <w:tcW w:w="895" w:type="dxa"/>
          </w:tcPr>
          <w:p w14:paraId="22FE6CEC">
            <w:pPr>
              <w:spacing w:line="360" w:lineRule="auto"/>
              <w:ind w:firstLine="570"/>
              <w:jc w:val="center"/>
              <w:rPr>
                <w:rFonts w:hint="eastAsia" w:ascii="仿宋" w:hAnsi="仿宋" w:eastAsia="仿宋" w:cs="仿宋"/>
                <w:color w:val="auto"/>
                <w:sz w:val="24"/>
                <w:szCs w:val="24"/>
              </w:rPr>
            </w:pPr>
          </w:p>
        </w:tc>
      </w:tr>
      <w:tr w14:paraId="18BA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553" w:type="dxa"/>
            <w:gridSpan w:val="9"/>
          </w:tcPr>
          <w:p w14:paraId="03B7C976">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对本次健康休养的整体评价及建议：</w:t>
            </w:r>
          </w:p>
          <w:p w14:paraId="3CB87548">
            <w:pPr>
              <w:spacing w:line="360" w:lineRule="auto"/>
              <w:ind w:firstLine="570"/>
              <w:rPr>
                <w:rFonts w:hint="eastAsia" w:ascii="仿宋" w:hAnsi="仿宋" w:eastAsia="仿宋" w:cs="仿宋"/>
                <w:color w:val="auto"/>
                <w:sz w:val="24"/>
                <w:szCs w:val="24"/>
              </w:rPr>
            </w:pPr>
          </w:p>
          <w:p w14:paraId="0B781497">
            <w:pPr>
              <w:spacing w:line="360" w:lineRule="auto"/>
              <w:rPr>
                <w:rFonts w:hint="eastAsia" w:ascii="仿宋" w:hAnsi="仿宋" w:eastAsia="仿宋" w:cs="仿宋"/>
                <w:color w:val="auto"/>
                <w:sz w:val="24"/>
                <w:szCs w:val="24"/>
              </w:rPr>
            </w:pPr>
          </w:p>
        </w:tc>
      </w:tr>
      <w:bookmarkEnd w:id="6"/>
    </w:tbl>
    <w:p w14:paraId="497E4608">
      <w:pPr>
        <w:pStyle w:val="5"/>
        <w:rPr>
          <w:color w:val="auto"/>
        </w:rPr>
      </w:pPr>
    </w:p>
    <w:sectPr>
      <w:headerReference r:id="rId5" w:type="default"/>
      <w:footerReference r:id="rId6" w:type="default"/>
      <w:pgSz w:w="11906" w:h="16838"/>
      <w:pgMar w:top="1440" w:right="1417" w:bottom="1440"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1BB5C">
    <w:pPr>
      <w:pStyle w:val="11"/>
      <w:jc w:val="center"/>
      <w:rPr>
        <w:rFonts w:hint="eastAsia"/>
      </w:rPr>
    </w:pPr>
    <w:r>
      <w:fldChar w:fldCharType="begin"/>
    </w:r>
    <w:r>
      <w:instrText xml:space="preserve">PAGE   \* MERGEFORMAT</w:instrText>
    </w:r>
    <w:r>
      <w:fldChar w:fldCharType="separate"/>
    </w:r>
    <w:r>
      <w:rPr>
        <w:lang w:val="zh-CN"/>
      </w:rPr>
      <w:t>-</w:t>
    </w:r>
    <w:r>
      <w:t xml:space="preserve"> 4 -</w:t>
    </w:r>
    <w:r>
      <w:fldChar w:fldCharType="end"/>
    </w:r>
  </w:p>
  <w:p w14:paraId="39FD6707">
    <w:pPr>
      <w:pStyle w:val="1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C4090">
    <w:pPr>
      <w:pStyle w:val="11"/>
      <w:ind w:firstLine="360"/>
      <w:jc w:val="center"/>
      <w:rPr>
        <w:rFonts w:hint="eastAsia"/>
      </w:rPr>
    </w:pPr>
    <w:r>
      <w:rPr>
        <w:rFonts w:hint="eastAsia"/>
      </w:rPr>
      <w:pict>
        <v:shape id="文本框 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sdt>
                <w:sdtPr>
                  <w:id w:val="-65795854"/>
                </w:sdtPr>
                <w:sdtContent>
                  <w:p w14:paraId="6D586448">
                    <w:pPr>
                      <w:pStyle w:val="11"/>
                      <w:ind w:firstLine="360"/>
                      <w:jc w:val="center"/>
                      <w:rPr>
                        <w:rFonts w:hint="eastAsia"/>
                      </w:rPr>
                    </w:pPr>
                    <w:r>
                      <w:fldChar w:fldCharType="begin"/>
                    </w:r>
                    <w:r>
                      <w:instrText xml:space="preserve">PAGE   \* MERGEFORMAT</w:instrText>
                    </w:r>
                    <w:r>
                      <w:fldChar w:fldCharType="separate"/>
                    </w:r>
                    <w:r>
                      <w:rPr>
                        <w:lang w:val="zh-CN"/>
                      </w:rPr>
                      <w:t>-</w:t>
                    </w:r>
                    <w:r>
                      <w:t xml:space="preserve"> 63 -</w:t>
                    </w:r>
                    <w:r>
                      <w:fldChar w:fldCharType="end"/>
                    </w:r>
                  </w:p>
                </w:sdtContent>
              </w:sdt>
              <w:p w14:paraId="730C016F">
                <w:pPr>
                  <w:rPr>
                    <w:rFonts w:hint="eastAsia"/>
                  </w:rPr>
                </w:pPr>
              </w:p>
            </w:txbxContent>
          </v:textbox>
        </v:shape>
      </w:pict>
    </w:r>
  </w:p>
  <w:p w14:paraId="0295A3E4">
    <w:pPr>
      <w:pStyle w:val="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75FEE">
    <w:pPr>
      <w:pStyle w:val="12"/>
      <w:rPr>
        <w:rFonts w:hint="eastAsia"/>
        <w:sz w:val="21"/>
        <w:szCs w:val="21"/>
      </w:rPr>
    </w:pPr>
  </w:p>
  <w:p w14:paraId="6E0826C4">
    <w:pPr>
      <w:pStyle w:val="12"/>
      <w:rPr>
        <w:rFonts w:hint="eastAsia"/>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02F90">
    <w:pPr>
      <w:pStyle w:val="12"/>
      <w:pBdr>
        <w:bottom w:val="none" w:color="auto" w:sz="0" w:space="1"/>
      </w:pBdr>
      <w:tabs>
        <w:tab w:val="left" w:pos="5226"/>
      </w:tabs>
      <w:jc w:val="left"/>
      <w:rPr>
        <w:rFonts w:hint="eastAsia"/>
      </w:rPr>
    </w:pPr>
    <w:r>
      <w:rPr>
        <w:rFonts w:hint="eastAsia"/>
      </w:rPr>
      <w:tab/>
    </w: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2NmViZGVjYWI5MWVlYjJhNzllZjJmZGFkNzNmMzMifQ=="/>
  </w:docVars>
  <w:rsids>
    <w:rsidRoot w:val="00F478FD"/>
    <w:rsid w:val="000014E7"/>
    <w:rsid w:val="00007ADD"/>
    <w:rsid w:val="00010C4A"/>
    <w:rsid w:val="00011BB2"/>
    <w:rsid w:val="00012846"/>
    <w:rsid w:val="00022D91"/>
    <w:rsid w:val="00032800"/>
    <w:rsid w:val="0004393E"/>
    <w:rsid w:val="00044329"/>
    <w:rsid w:val="00046776"/>
    <w:rsid w:val="00050799"/>
    <w:rsid w:val="00060F8D"/>
    <w:rsid w:val="0006171A"/>
    <w:rsid w:val="00065BD0"/>
    <w:rsid w:val="00084124"/>
    <w:rsid w:val="00093EBC"/>
    <w:rsid w:val="000943B0"/>
    <w:rsid w:val="000968BB"/>
    <w:rsid w:val="000A698F"/>
    <w:rsid w:val="000C7722"/>
    <w:rsid w:val="000D797D"/>
    <w:rsid w:val="000E0607"/>
    <w:rsid w:val="000F18D1"/>
    <w:rsid w:val="00100983"/>
    <w:rsid w:val="001013F1"/>
    <w:rsid w:val="00101918"/>
    <w:rsid w:val="0011026A"/>
    <w:rsid w:val="001161A2"/>
    <w:rsid w:val="001165C5"/>
    <w:rsid w:val="001330FC"/>
    <w:rsid w:val="00137674"/>
    <w:rsid w:val="001456C4"/>
    <w:rsid w:val="00150D5E"/>
    <w:rsid w:val="0016013B"/>
    <w:rsid w:val="00161457"/>
    <w:rsid w:val="00163130"/>
    <w:rsid w:val="0016391F"/>
    <w:rsid w:val="001719A2"/>
    <w:rsid w:val="00174077"/>
    <w:rsid w:val="00174B43"/>
    <w:rsid w:val="001761B9"/>
    <w:rsid w:val="00177A6E"/>
    <w:rsid w:val="00180FD1"/>
    <w:rsid w:val="00181AC2"/>
    <w:rsid w:val="00183E05"/>
    <w:rsid w:val="00192203"/>
    <w:rsid w:val="0019345A"/>
    <w:rsid w:val="00195610"/>
    <w:rsid w:val="001A5EC8"/>
    <w:rsid w:val="001B1BC7"/>
    <w:rsid w:val="001B1DD3"/>
    <w:rsid w:val="001C06BA"/>
    <w:rsid w:val="001C2748"/>
    <w:rsid w:val="001E1100"/>
    <w:rsid w:val="001E3021"/>
    <w:rsid w:val="001F07B7"/>
    <w:rsid w:val="001F0A89"/>
    <w:rsid w:val="001F0FC9"/>
    <w:rsid w:val="002042B8"/>
    <w:rsid w:val="00205B00"/>
    <w:rsid w:val="0021337B"/>
    <w:rsid w:val="00220681"/>
    <w:rsid w:val="00251224"/>
    <w:rsid w:val="00272E77"/>
    <w:rsid w:val="00274748"/>
    <w:rsid w:val="00281D5F"/>
    <w:rsid w:val="002828B7"/>
    <w:rsid w:val="00286ABF"/>
    <w:rsid w:val="0029116A"/>
    <w:rsid w:val="002B29B2"/>
    <w:rsid w:val="002D421D"/>
    <w:rsid w:val="00303648"/>
    <w:rsid w:val="00307B06"/>
    <w:rsid w:val="00311300"/>
    <w:rsid w:val="003146BA"/>
    <w:rsid w:val="0032242E"/>
    <w:rsid w:val="00330722"/>
    <w:rsid w:val="0033519A"/>
    <w:rsid w:val="00337956"/>
    <w:rsid w:val="003416A7"/>
    <w:rsid w:val="00352910"/>
    <w:rsid w:val="00355BF2"/>
    <w:rsid w:val="00357C02"/>
    <w:rsid w:val="003715BC"/>
    <w:rsid w:val="00372054"/>
    <w:rsid w:val="00391002"/>
    <w:rsid w:val="00392139"/>
    <w:rsid w:val="003A584C"/>
    <w:rsid w:val="003D2F9F"/>
    <w:rsid w:val="003E05FC"/>
    <w:rsid w:val="003E176F"/>
    <w:rsid w:val="004054E0"/>
    <w:rsid w:val="00410BC2"/>
    <w:rsid w:val="00411187"/>
    <w:rsid w:val="004264AF"/>
    <w:rsid w:val="004267AF"/>
    <w:rsid w:val="00432F5F"/>
    <w:rsid w:val="00440F41"/>
    <w:rsid w:val="004673EB"/>
    <w:rsid w:val="00467B85"/>
    <w:rsid w:val="00471712"/>
    <w:rsid w:val="00471C07"/>
    <w:rsid w:val="00476EF2"/>
    <w:rsid w:val="0048016E"/>
    <w:rsid w:val="004909E3"/>
    <w:rsid w:val="00495CAE"/>
    <w:rsid w:val="00496851"/>
    <w:rsid w:val="004A546A"/>
    <w:rsid w:val="004B4761"/>
    <w:rsid w:val="004B70B5"/>
    <w:rsid w:val="004C0758"/>
    <w:rsid w:val="004C78AC"/>
    <w:rsid w:val="004D2004"/>
    <w:rsid w:val="004D23C1"/>
    <w:rsid w:val="004E2CB0"/>
    <w:rsid w:val="004E6181"/>
    <w:rsid w:val="004F3444"/>
    <w:rsid w:val="004F5F0A"/>
    <w:rsid w:val="00501C4C"/>
    <w:rsid w:val="00502D38"/>
    <w:rsid w:val="00505451"/>
    <w:rsid w:val="00506D6A"/>
    <w:rsid w:val="00524A52"/>
    <w:rsid w:val="00551877"/>
    <w:rsid w:val="0055700E"/>
    <w:rsid w:val="0056563E"/>
    <w:rsid w:val="0057763A"/>
    <w:rsid w:val="00582881"/>
    <w:rsid w:val="005923E0"/>
    <w:rsid w:val="00592F5C"/>
    <w:rsid w:val="00596A91"/>
    <w:rsid w:val="005B5E00"/>
    <w:rsid w:val="005C0610"/>
    <w:rsid w:val="005D101E"/>
    <w:rsid w:val="005D500B"/>
    <w:rsid w:val="005D5E60"/>
    <w:rsid w:val="005E2581"/>
    <w:rsid w:val="005E7595"/>
    <w:rsid w:val="005E7AEC"/>
    <w:rsid w:val="005F5932"/>
    <w:rsid w:val="006000F9"/>
    <w:rsid w:val="00603F7C"/>
    <w:rsid w:val="00606180"/>
    <w:rsid w:val="00607CF1"/>
    <w:rsid w:val="0061308E"/>
    <w:rsid w:val="00617CC7"/>
    <w:rsid w:val="0062381F"/>
    <w:rsid w:val="00635087"/>
    <w:rsid w:val="00645F45"/>
    <w:rsid w:val="00647D85"/>
    <w:rsid w:val="00660245"/>
    <w:rsid w:val="0066672C"/>
    <w:rsid w:val="00675407"/>
    <w:rsid w:val="00680293"/>
    <w:rsid w:val="00687BF1"/>
    <w:rsid w:val="00694D03"/>
    <w:rsid w:val="00697EE9"/>
    <w:rsid w:val="006A1A65"/>
    <w:rsid w:val="006A612B"/>
    <w:rsid w:val="006B2D2C"/>
    <w:rsid w:val="006C19F4"/>
    <w:rsid w:val="006C325E"/>
    <w:rsid w:val="006C596D"/>
    <w:rsid w:val="006D2DC2"/>
    <w:rsid w:val="006F1AC8"/>
    <w:rsid w:val="006F3742"/>
    <w:rsid w:val="00705586"/>
    <w:rsid w:val="00712F59"/>
    <w:rsid w:val="00715CA7"/>
    <w:rsid w:val="0071774F"/>
    <w:rsid w:val="00722AD0"/>
    <w:rsid w:val="00732722"/>
    <w:rsid w:val="007335F8"/>
    <w:rsid w:val="0074135C"/>
    <w:rsid w:val="00742F85"/>
    <w:rsid w:val="00750A37"/>
    <w:rsid w:val="00757C0D"/>
    <w:rsid w:val="00763388"/>
    <w:rsid w:val="00763398"/>
    <w:rsid w:val="0078464B"/>
    <w:rsid w:val="00787EE8"/>
    <w:rsid w:val="00790B0A"/>
    <w:rsid w:val="00794EB5"/>
    <w:rsid w:val="00797562"/>
    <w:rsid w:val="007A52CD"/>
    <w:rsid w:val="007B2370"/>
    <w:rsid w:val="007C40E3"/>
    <w:rsid w:val="007C6E1D"/>
    <w:rsid w:val="007D0055"/>
    <w:rsid w:val="007E2C39"/>
    <w:rsid w:val="007E66DC"/>
    <w:rsid w:val="007F2E04"/>
    <w:rsid w:val="0080430A"/>
    <w:rsid w:val="00805957"/>
    <w:rsid w:val="00807637"/>
    <w:rsid w:val="00815DCE"/>
    <w:rsid w:val="008238AE"/>
    <w:rsid w:val="00826305"/>
    <w:rsid w:val="00831226"/>
    <w:rsid w:val="0083345E"/>
    <w:rsid w:val="008404AE"/>
    <w:rsid w:val="00847738"/>
    <w:rsid w:val="00854C6C"/>
    <w:rsid w:val="00855844"/>
    <w:rsid w:val="00877828"/>
    <w:rsid w:val="00892CD8"/>
    <w:rsid w:val="008A2891"/>
    <w:rsid w:val="008A78E8"/>
    <w:rsid w:val="008B72F5"/>
    <w:rsid w:val="008C0BBB"/>
    <w:rsid w:val="008C2102"/>
    <w:rsid w:val="008C465B"/>
    <w:rsid w:val="008C5476"/>
    <w:rsid w:val="008E08C5"/>
    <w:rsid w:val="008F1CA1"/>
    <w:rsid w:val="00901C01"/>
    <w:rsid w:val="009023D6"/>
    <w:rsid w:val="0090459D"/>
    <w:rsid w:val="00911643"/>
    <w:rsid w:val="009149C5"/>
    <w:rsid w:val="0091662C"/>
    <w:rsid w:val="00917794"/>
    <w:rsid w:val="0093448B"/>
    <w:rsid w:val="009356C3"/>
    <w:rsid w:val="009415CC"/>
    <w:rsid w:val="0095278A"/>
    <w:rsid w:val="00956BCA"/>
    <w:rsid w:val="00961F80"/>
    <w:rsid w:val="00966DA7"/>
    <w:rsid w:val="00970ADC"/>
    <w:rsid w:val="0097375C"/>
    <w:rsid w:val="009775C5"/>
    <w:rsid w:val="00992BB6"/>
    <w:rsid w:val="0099640A"/>
    <w:rsid w:val="009A7104"/>
    <w:rsid w:val="009B2D8A"/>
    <w:rsid w:val="009B495B"/>
    <w:rsid w:val="009B5D17"/>
    <w:rsid w:val="009C2E3C"/>
    <w:rsid w:val="009D0DDB"/>
    <w:rsid w:val="009D7682"/>
    <w:rsid w:val="009E0474"/>
    <w:rsid w:val="00A025CB"/>
    <w:rsid w:val="00A03718"/>
    <w:rsid w:val="00A076FF"/>
    <w:rsid w:val="00A104F9"/>
    <w:rsid w:val="00A2034C"/>
    <w:rsid w:val="00A246E4"/>
    <w:rsid w:val="00A27A7A"/>
    <w:rsid w:val="00A31F84"/>
    <w:rsid w:val="00A40DD1"/>
    <w:rsid w:val="00A5290F"/>
    <w:rsid w:val="00A64C00"/>
    <w:rsid w:val="00A73423"/>
    <w:rsid w:val="00A74050"/>
    <w:rsid w:val="00A76162"/>
    <w:rsid w:val="00A76928"/>
    <w:rsid w:val="00A77424"/>
    <w:rsid w:val="00A85BAA"/>
    <w:rsid w:val="00A9477D"/>
    <w:rsid w:val="00AA37D7"/>
    <w:rsid w:val="00AA5C37"/>
    <w:rsid w:val="00AB05D5"/>
    <w:rsid w:val="00AB0A6B"/>
    <w:rsid w:val="00AD3D7D"/>
    <w:rsid w:val="00AE2CF6"/>
    <w:rsid w:val="00AF446E"/>
    <w:rsid w:val="00AF4DE4"/>
    <w:rsid w:val="00AF5D66"/>
    <w:rsid w:val="00B03BD1"/>
    <w:rsid w:val="00B04A7C"/>
    <w:rsid w:val="00B07C4C"/>
    <w:rsid w:val="00B122DE"/>
    <w:rsid w:val="00B2085B"/>
    <w:rsid w:val="00B2176E"/>
    <w:rsid w:val="00B24C96"/>
    <w:rsid w:val="00B4178C"/>
    <w:rsid w:val="00B51C26"/>
    <w:rsid w:val="00B57167"/>
    <w:rsid w:val="00B57FD8"/>
    <w:rsid w:val="00B654DC"/>
    <w:rsid w:val="00B70A42"/>
    <w:rsid w:val="00B817BA"/>
    <w:rsid w:val="00B93CC1"/>
    <w:rsid w:val="00BA0523"/>
    <w:rsid w:val="00BA2E82"/>
    <w:rsid w:val="00BB4BDE"/>
    <w:rsid w:val="00BC1748"/>
    <w:rsid w:val="00BC3515"/>
    <w:rsid w:val="00BD27F6"/>
    <w:rsid w:val="00BD3B74"/>
    <w:rsid w:val="00BE044B"/>
    <w:rsid w:val="00BE7CDF"/>
    <w:rsid w:val="00BF04F5"/>
    <w:rsid w:val="00BF5BAC"/>
    <w:rsid w:val="00C20F3D"/>
    <w:rsid w:val="00C267C9"/>
    <w:rsid w:val="00C267CA"/>
    <w:rsid w:val="00C30127"/>
    <w:rsid w:val="00C40A03"/>
    <w:rsid w:val="00C4704A"/>
    <w:rsid w:val="00C54D3E"/>
    <w:rsid w:val="00C57D8B"/>
    <w:rsid w:val="00C62B3D"/>
    <w:rsid w:val="00C64D24"/>
    <w:rsid w:val="00C6630A"/>
    <w:rsid w:val="00C665E5"/>
    <w:rsid w:val="00C6797B"/>
    <w:rsid w:val="00C737CE"/>
    <w:rsid w:val="00C7386E"/>
    <w:rsid w:val="00C97788"/>
    <w:rsid w:val="00CA72FC"/>
    <w:rsid w:val="00CB376E"/>
    <w:rsid w:val="00CB687C"/>
    <w:rsid w:val="00CE13A9"/>
    <w:rsid w:val="00CE378E"/>
    <w:rsid w:val="00CE5D33"/>
    <w:rsid w:val="00CF1D3E"/>
    <w:rsid w:val="00CF388E"/>
    <w:rsid w:val="00D13B0F"/>
    <w:rsid w:val="00D16CCA"/>
    <w:rsid w:val="00D22BE2"/>
    <w:rsid w:val="00D4071F"/>
    <w:rsid w:val="00D40BF6"/>
    <w:rsid w:val="00D52F48"/>
    <w:rsid w:val="00D53659"/>
    <w:rsid w:val="00D54973"/>
    <w:rsid w:val="00D55874"/>
    <w:rsid w:val="00D7146F"/>
    <w:rsid w:val="00D72266"/>
    <w:rsid w:val="00D758E3"/>
    <w:rsid w:val="00D832AC"/>
    <w:rsid w:val="00D91B75"/>
    <w:rsid w:val="00DA078D"/>
    <w:rsid w:val="00DA74AF"/>
    <w:rsid w:val="00DB5F70"/>
    <w:rsid w:val="00DB65D6"/>
    <w:rsid w:val="00DB799C"/>
    <w:rsid w:val="00DC4724"/>
    <w:rsid w:val="00DF7534"/>
    <w:rsid w:val="00E01E5E"/>
    <w:rsid w:val="00E045E3"/>
    <w:rsid w:val="00E05A91"/>
    <w:rsid w:val="00E162AA"/>
    <w:rsid w:val="00E17B9C"/>
    <w:rsid w:val="00E26578"/>
    <w:rsid w:val="00E3510D"/>
    <w:rsid w:val="00E42079"/>
    <w:rsid w:val="00E44722"/>
    <w:rsid w:val="00E52E8A"/>
    <w:rsid w:val="00E53E0B"/>
    <w:rsid w:val="00E57AAA"/>
    <w:rsid w:val="00E67DB5"/>
    <w:rsid w:val="00E92581"/>
    <w:rsid w:val="00E93808"/>
    <w:rsid w:val="00EA030E"/>
    <w:rsid w:val="00EA0AE6"/>
    <w:rsid w:val="00EA32EF"/>
    <w:rsid w:val="00EA33AB"/>
    <w:rsid w:val="00EC19B4"/>
    <w:rsid w:val="00EC3FF3"/>
    <w:rsid w:val="00EC656C"/>
    <w:rsid w:val="00ED6634"/>
    <w:rsid w:val="00ED7524"/>
    <w:rsid w:val="00EE3B13"/>
    <w:rsid w:val="00EF7C8A"/>
    <w:rsid w:val="00EF7CBE"/>
    <w:rsid w:val="00F061EB"/>
    <w:rsid w:val="00F06E4F"/>
    <w:rsid w:val="00F31268"/>
    <w:rsid w:val="00F3301E"/>
    <w:rsid w:val="00F33CC9"/>
    <w:rsid w:val="00F346C8"/>
    <w:rsid w:val="00F34737"/>
    <w:rsid w:val="00F368EA"/>
    <w:rsid w:val="00F41F20"/>
    <w:rsid w:val="00F43A72"/>
    <w:rsid w:val="00F445DE"/>
    <w:rsid w:val="00F478FD"/>
    <w:rsid w:val="00F55FA7"/>
    <w:rsid w:val="00F65F53"/>
    <w:rsid w:val="00F66CEB"/>
    <w:rsid w:val="00F80C22"/>
    <w:rsid w:val="00F8586A"/>
    <w:rsid w:val="00F85F44"/>
    <w:rsid w:val="00F90AC5"/>
    <w:rsid w:val="00F935CD"/>
    <w:rsid w:val="00F93F93"/>
    <w:rsid w:val="00F96C5A"/>
    <w:rsid w:val="00FA227B"/>
    <w:rsid w:val="00FA2CE1"/>
    <w:rsid w:val="00FA795D"/>
    <w:rsid w:val="00FB047A"/>
    <w:rsid w:val="00FB052F"/>
    <w:rsid w:val="00FB6209"/>
    <w:rsid w:val="00FB6AD9"/>
    <w:rsid w:val="00FD4549"/>
    <w:rsid w:val="00FD5B53"/>
    <w:rsid w:val="00FE2223"/>
    <w:rsid w:val="00FE6F9A"/>
    <w:rsid w:val="017D6F27"/>
    <w:rsid w:val="0194674A"/>
    <w:rsid w:val="036D482C"/>
    <w:rsid w:val="03B22EB7"/>
    <w:rsid w:val="03C40ABE"/>
    <w:rsid w:val="03CC00C8"/>
    <w:rsid w:val="04102749"/>
    <w:rsid w:val="04C37AC6"/>
    <w:rsid w:val="06307AFB"/>
    <w:rsid w:val="0A922065"/>
    <w:rsid w:val="0B093D05"/>
    <w:rsid w:val="0D290C75"/>
    <w:rsid w:val="0E016F15"/>
    <w:rsid w:val="0E8E3B6F"/>
    <w:rsid w:val="10E55348"/>
    <w:rsid w:val="1176076E"/>
    <w:rsid w:val="13453400"/>
    <w:rsid w:val="13C76F45"/>
    <w:rsid w:val="14150A03"/>
    <w:rsid w:val="1628375A"/>
    <w:rsid w:val="17735680"/>
    <w:rsid w:val="1DA91F7E"/>
    <w:rsid w:val="1F69258F"/>
    <w:rsid w:val="22E713D0"/>
    <w:rsid w:val="22EF2EF9"/>
    <w:rsid w:val="2B9E191F"/>
    <w:rsid w:val="2C104816"/>
    <w:rsid w:val="2C8D0EFA"/>
    <w:rsid w:val="2F30324B"/>
    <w:rsid w:val="32F83B93"/>
    <w:rsid w:val="33915EB8"/>
    <w:rsid w:val="353E0766"/>
    <w:rsid w:val="37357598"/>
    <w:rsid w:val="3B825F5B"/>
    <w:rsid w:val="3BC514BF"/>
    <w:rsid w:val="3C3257D1"/>
    <w:rsid w:val="3ED80F27"/>
    <w:rsid w:val="3F152A08"/>
    <w:rsid w:val="41EA19A7"/>
    <w:rsid w:val="4413596B"/>
    <w:rsid w:val="46D0453B"/>
    <w:rsid w:val="4A5E325A"/>
    <w:rsid w:val="4A9B5A20"/>
    <w:rsid w:val="4B0E73A1"/>
    <w:rsid w:val="4B816DED"/>
    <w:rsid w:val="4CEC603F"/>
    <w:rsid w:val="4CF70F41"/>
    <w:rsid w:val="4E6C4054"/>
    <w:rsid w:val="4E700111"/>
    <w:rsid w:val="54445867"/>
    <w:rsid w:val="54CC48F3"/>
    <w:rsid w:val="55E022E6"/>
    <w:rsid w:val="55F1630D"/>
    <w:rsid w:val="56AF3248"/>
    <w:rsid w:val="56F84B59"/>
    <w:rsid w:val="5838139A"/>
    <w:rsid w:val="59A0634F"/>
    <w:rsid w:val="5A805842"/>
    <w:rsid w:val="5B222633"/>
    <w:rsid w:val="5BC709A1"/>
    <w:rsid w:val="5BE302D1"/>
    <w:rsid w:val="5CB3379A"/>
    <w:rsid w:val="5DC0337C"/>
    <w:rsid w:val="5EB73272"/>
    <w:rsid w:val="60A857E6"/>
    <w:rsid w:val="61C379F2"/>
    <w:rsid w:val="62654FFD"/>
    <w:rsid w:val="62B96C85"/>
    <w:rsid w:val="63CB37F5"/>
    <w:rsid w:val="64C51278"/>
    <w:rsid w:val="659E1859"/>
    <w:rsid w:val="67A727B0"/>
    <w:rsid w:val="67EE31DB"/>
    <w:rsid w:val="690525DD"/>
    <w:rsid w:val="6A9C00F5"/>
    <w:rsid w:val="6AA0237F"/>
    <w:rsid w:val="6C945728"/>
    <w:rsid w:val="6D1F5CC5"/>
    <w:rsid w:val="6E6C6543"/>
    <w:rsid w:val="71D243CC"/>
    <w:rsid w:val="73193D0F"/>
    <w:rsid w:val="742E12AB"/>
    <w:rsid w:val="750B1B93"/>
    <w:rsid w:val="7A0324BE"/>
    <w:rsid w:val="7A7E2EB6"/>
    <w:rsid w:val="7E837D82"/>
    <w:rsid w:val="7EA448D3"/>
    <w:rsid w:val="7F7441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semiHidden="0"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textAlignment w:val="baseline"/>
    </w:pPr>
  </w:style>
  <w:style w:type="paragraph" w:customStyle="1" w:styleId="3">
    <w:name w:val="表格文字（两侧对齐）"/>
    <w:basedOn w:val="1"/>
    <w:qFormat/>
    <w:uiPriority w:val="0"/>
    <w:pPr>
      <w:snapToGrid w:val="0"/>
    </w:pPr>
    <w:rPr>
      <w:sz w:val="20"/>
      <w:szCs w:val="24"/>
    </w:rPr>
  </w:style>
  <w:style w:type="paragraph" w:styleId="4">
    <w:name w:val="Body Text"/>
    <w:basedOn w:val="1"/>
    <w:next w:val="1"/>
    <w:link w:val="31"/>
    <w:semiHidden/>
    <w:unhideWhenUsed/>
    <w:qFormat/>
    <w:uiPriority w:val="99"/>
    <w:pPr>
      <w:spacing w:after="120"/>
    </w:pPr>
  </w:style>
  <w:style w:type="paragraph" w:styleId="6">
    <w:name w:val="Normal Indent"/>
    <w:basedOn w:val="1"/>
    <w:next w:val="7"/>
    <w:qFormat/>
    <w:uiPriority w:val="0"/>
    <w:pPr>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7">
    <w:name w:val="Body Text Indent"/>
    <w:basedOn w:val="1"/>
    <w:next w:val="6"/>
    <w:link w:val="23"/>
    <w:semiHidden/>
    <w:unhideWhenUsed/>
    <w:qFormat/>
    <w:uiPriority w:val="99"/>
    <w:pPr>
      <w:spacing w:after="120"/>
      <w:ind w:left="420" w:leftChars="200"/>
    </w:pPr>
  </w:style>
  <w:style w:type="paragraph" w:styleId="8">
    <w:name w:val="caption"/>
    <w:basedOn w:val="1"/>
    <w:next w:val="1"/>
    <w:qFormat/>
    <w:uiPriority w:val="0"/>
    <w:pPr>
      <w:spacing w:line="360" w:lineRule="auto"/>
      <w:ind w:firstLine="200" w:firstLineChars="200"/>
    </w:pPr>
    <w:rPr>
      <w:rFonts w:ascii="Cambria" w:hAnsi="Cambria" w:eastAsia="黑体" w:cs="Times New Roman"/>
      <w:sz w:val="20"/>
      <w:szCs w:val="20"/>
    </w:rPr>
  </w:style>
  <w:style w:type="paragraph" w:styleId="9">
    <w:name w:val="annotation text"/>
    <w:basedOn w:val="1"/>
    <w:unhideWhenUsed/>
    <w:qFormat/>
    <w:uiPriority w:val="99"/>
    <w:pPr>
      <w:jc w:val="left"/>
    </w:pPr>
    <w:rPr>
      <w:kern w:val="0"/>
      <w:sz w:val="20"/>
    </w:rPr>
  </w:style>
  <w:style w:type="paragraph" w:styleId="10">
    <w:name w:val="Body Text 3"/>
    <w:basedOn w:val="1"/>
    <w:unhideWhenUsed/>
    <w:qFormat/>
    <w:uiPriority w:val="99"/>
    <w:pPr>
      <w:spacing w:after="120"/>
    </w:pPr>
    <w:rPr>
      <w:sz w:val="16"/>
      <w:szCs w:val="16"/>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toc 6"/>
    <w:basedOn w:val="1"/>
    <w:next w:val="1"/>
    <w:qFormat/>
    <w:uiPriority w:val="99"/>
    <w:pPr>
      <w:ind w:left="2100" w:leftChars="1000"/>
    </w:pPr>
  </w:style>
  <w:style w:type="paragraph" w:styleId="14">
    <w:name w:val="toc 2"/>
    <w:basedOn w:val="1"/>
    <w:next w:val="1"/>
    <w:qFormat/>
    <w:uiPriority w:val="99"/>
    <w:pPr>
      <w:ind w:left="420" w:leftChars="200"/>
    </w:pPr>
  </w:style>
  <w:style w:type="paragraph" w:styleId="15">
    <w:name w:val="Normal (Web)"/>
    <w:basedOn w:val="1"/>
    <w:link w:val="29"/>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4"/>
    <w:next w:val="1"/>
    <w:link w:val="32"/>
    <w:unhideWhenUsed/>
    <w:qFormat/>
    <w:uiPriority w:val="99"/>
    <w:pPr>
      <w:ind w:firstLine="420" w:firstLineChars="100"/>
    </w:pPr>
  </w:style>
  <w:style w:type="paragraph" w:styleId="17">
    <w:name w:val="Body Text First Indent 2"/>
    <w:basedOn w:val="7"/>
    <w:next w:val="1"/>
    <w:link w:val="24"/>
    <w:unhideWhenUsed/>
    <w:qFormat/>
    <w:uiPriority w:val="0"/>
    <w:pPr>
      <w:ind w:firstLine="420" w:firstLineChars="200"/>
    </w:pPr>
    <w:rPr>
      <w:rFonts w:ascii="Times New Roman" w:hAnsi="Times New Roman" w:eastAsia="宋体" w:cs="Times New Roman"/>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2">
    <w:name w:val="标题 1 字符"/>
    <w:basedOn w:val="20"/>
    <w:link w:val="5"/>
    <w:qFormat/>
    <w:uiPriority w:val="0"/>
    <w:rPr>
      <w:rFonts w:ascii="Times New Roman" w:hAnsi="Times New Roman" w:eastAsia="宋体" w:cs="Times New Roman"/>
      <w:b/>
      <w:bCs/>
      <w:kern w:val="44"/>
      <w:sz w:val="44"/>
      <w:szCs w:val="44"/>
    </w:rPr>
  </w:style>
  <w:style w:type="character" w:customStyle="1" w:styleId="23">
    <w:name w:val="正文文本缩进 字符"/>
    <w:basedOn w:val="20"/>
    <w:link w:val="7"/>
    <w:semiHidden/>
    <w:qFormat/>
    <w:uiPriority w:val="99"/>
  </w:style>
  <w:style w:type="character" w:customStyle="1" w:styleId="24">
    <w:name w:val="正文文本首行缩进 2 字符"/>
    <w:basedOn w:val="23"/>
    <w:link w:val="17"/>
    <w:qFormat/>
    <w:uiPriority w:val="0"/>
    <w:rPr>
      <w:rFonts w:ascii="Times New Roman" w:hAnsi="Times New Roman" w:eastAsia="宋体" w:cs="Times New Roman"/>
    </w:rPr>
  </w:style>
  <w:style w:type="character" w:customStyle="1" w:styleId="25">
    <w:name w:val="页脚 字符"/>
    <w:link w:val="11"/>
    <w:qFormat/>
    <w:uiPriority w:val="99"/>
    <w:rPr>
      <w:sz w:val="18"/>
      <w:szCs w:val="18"/>
    </w:rPr>
  </w:style>
  <w:style w:type="character" w:customStyle="1" w:styleId="26">
    <w:name w:val="页眉 字符"/>
    <w:link w:val="12"/>
    <w:qFormat/>
    <w:uiPriority w:val="0"/>
    <w:rPr>
      <w:sz w:val="18"/>
      <w:szCs w:val="18"/>
    </w:rPr>
  </w:style>
  <w:style w:type="character" w:customStyle="1" w:styleId="27">
    <w:name w:val="页脚 字符1"/>
    <w:basedOn w:val="20"/>
    <w:semiHidden/>
    <w:qFormat/>
    <w:uiPriority w:val="99"/>
    <w:rPr>
      <w:sz w:val="18"/>
      <w:szCs w:val="18"/>
    </w:rPr>
  </w:style>
  <w:style w:type="character" w:customStyle="1" w:styleId="28">
    <w:name w:val="页眉 字符1"/>
    <w:basedOn w:val="20"/>
    <w:semiHidden/>
    <w:qFormat/>
    <w:uiPriority w:val="99"/>
    <w:rPr>
      <w:sz w:val="18"/>
      <w:szCs w:val="18"/>
    </w:rPr>
  </w:style>
  <w:style w:type="character" w:customStyle="1" w:styleId="29">
    <w:name w:val="普通(网站) 字符"/>
    <w:link w:val="15"/>
    <w:qFormat/>
    <w:uiPriority w:val="0"/>
    <w:rPr>
      <w:rFonts w:ascii="宋体" w:hAnsi="宋体" w:eastAsia="宋体" w:cs="宋体"/>
      <w:kern w:val="0"/>
      <w:sz w:val="24"/>
      <w:szCs w:val="24"/>
    </w:rPr>
  </w:style>
  <w:style w:type="paragraph" w:customStyle="1" w:styleId="30">
    <w:name w:val="Default"/>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character" w:customStyle="1" w:styleId="31">
    <w:name w:val="正文文本 字符"/>
    <w:basedOn w:val="20"/>
    <w:link w:val="4"/>
    <w:semiHidden/>
    <w:qFormat/>
    <w:uiPriority w:val="99"/>
  </w:style>
  <w:style w:type="character" w:customStyle="1" w:styleId="32">
    <w:name w:val="正文文本首行缩进 字符"/>
    <w:basedOn w:val="31"/>
    <w:link w:val="16"/>
    <w:qFormat/>
    <w:uiPriority w:val="99"/>
  </w:style>
  <w:style w:type="paragraph" w:customStyle="1" w:styleId="33">
    <w:name w:val="四级目录 Char Char Char Char Char"/>
    <w:next w:val="1"/>
    <w:qFormat/>
    <w:uiPriority w:val="0"/>
    <w:pPr>
      <w:spacing w:line="360" w:lineRule="auto"/>
      <w:ind w:left="200" w:leftChars="200"/>
    </w:pPr>
    <w:rPr>
      <w:rFonts w:ascii="Calibri" w:hAnsi="Calibri" w:eastAsia="宋体" w:cs="Times New Roman"/>
      <w:lang w:val="en-US" w:eastAsia="zh-CN" w:bidi="ar-SA"/>
    </w:rPr>
  </w:style>
  <w:style w:type="paragraph" w:customStyle="1" w:styleId="34">
    <w:name w:val="正文2"/>
    <w:basedOn w:val="1"/>
    <w:qFormat/>
    <w:uiPriority w:val="0"/>
    <w:pPr>
      <w:spacing w:before="156" w:line="360" w:lineRule="auto"/>
      <w:ind w:firstLine="510" w:firstLineChars="200"/>
    </w:pPr>
    <w:rPr>
      <w:sz w:val="24"/>
    </w:rPr>
  </w:style>
  <w:style w:type="character" w:customStyle="1" w:styleId="35">
    <w:name w:val="font21"/>
    <w:basedOn w:val="20"/>
    <w:qFormat/>
    <w:uiPriority w:val="0"/>
    <w:rPr>
      <w:rFonts w:hint="eastAsia" w:ascii="宋体" w:hAnsi="宋体" w:eastAsia="宋体" w:cs="宋体"/>
      <w:color w:val="000000"/>
      <w:sz w:val="30"/>
      <w:szCs w:val="30"/>
      <w:u w:val="none"/>
    </w:rPr>
  </w:style>
  <w:style w:type="paragraph" w:customStyle="1" w:styleId="36">
    <w:name w:val="纯文本1"/>
    <w:basedOn w:val="1"/>
    <w:qFormat/>
    <w:uiPriority w:val="0"/>
    <w:pPr>
      <w:ind w:firstLine="280" w:firstLineChars="100"/>
    </w:pPr>
    <w:rPr>
      <w:rFonts w:hAnsi="宋体" w:cs="Courier New"/>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300814-9E9B-4EA0-BAC7-3CD9F586EE55}">
  <ds:schemaRefs/>
</ds:datastoreItem>
</file>

<file path=docProps/app.xml><?xml version="1.0" encoding="utf-8"?>
<Properties xmlns="http://schemas.openxmlformats.org/officeDocument/2006/extended-properties" xmlns:vt="http://schemas.openxmlformats.org/officeDocument/2006/docPropsVTypes">
  <Template>Normal</Template>
  <Pages>11</Pages>
  <Words>6416</Words>
  <Characters>6703</Characters>
  <Lines>276</Lines>
  <Paragraphs>227</Paragraphs>
  <TotalTime>61</TotalTime>
  <ScaleCrop>false</ScaleCrop>
  <LinksUpToDate>false</LinksUpToDate>
  <CharactersWithSpaces>6728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2020-07-09T06:16:00Z</dcterms:created>
  <dc:creator>小蛮 吴</dc:creator>
  <cp:lastModifiedBy>zjxs</cp:lastModifiedBy>
  <cp:lastPrinted>2025-07-14T02:04:00Z</cp:lastPrinted>
  <dcterms:modified xsi:type="dcterms:W3CDTF">2025-07-21T08:09:57Z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654DD282D595437E8E8BC7A6E97AFFC5</vt:lpwstr>
  </property>
  <property fmtid="{D5CDD505-2E9C-101B-9397-08002B2CF9AE}" pid="4" name="KSOTemplateDocerSaveRecord">
    <vt:lpwstr>eyJoZGlkIjoiNmE2NmViZGVjYWI5MWVlYjJhNzllZjJmZGFkNzNmMzMiLCJ1c2VySWQiOiIyODY2MDMxNTYifQ==</vt:lpwstr>
  </property>
</Properties>
</file>