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FB07">
      <w:pPr>
        <w:jc w:val="center"/>
        <w:rPr>
          <w:rFonts w:hint="eastAsia" w:ascii="仿宋" w:hAnsi="仿宋" w:eastAsia="仿宋" w:cs="宋体"/>
          <w:b/>
          <w:color w:val="auto"/>
          <w:sz w:val="32"/>
          <w:szCs w:val="32"/>
        </w:rPr>
      </w:pPr>
      <w:bookmarkStart w:id="3" w:name="_GoBack"/>
      <w:r>
        <w:rPr>
          <w:rFonts w:hint="eastAsia" w:ascii="仿宋" w:hAnsi="仿宋" w:eastAsia="仿宋" w:cs="宋体"/>
          <w:b/>
          <w:color w:val="auto"/>
          <w:sz w:val="32"/>
          <w:szCs w:val="32"/>
        </w:rPr>
        <w:t>诸暨市应店街镇2025-2026年400万以下水利监理服务采购项目</w:t>
      </w:r>
    </w:p>
    <w:p w14:paraId="4B39050C">
      <w:pPr>
        <w:jc w:val="center"/>
        <w:rPr>
          <w:rFonts w:hint="eastAsia" w:ascii="仿宋" w:hAnsi="仿宋" w:eastAsia="仿宋" w:cs="宋体"/>
          <w:b/>
          <w:color w:val="auto"/>
          <w:sz w:val="32"/>
          <w:szCs w:val="32"/>
        </w:rPr>
      </w:pPr>
      <w:r>
        <w:rPr>
          <w:rFonts w:hint="eastAsia" w:ascii="仿宋" w:hAnsi="仿宋" w:eastAsia="仿宋" w:cs="宋体"/>
          <w:b/>
          <w:color w:val="auto"/>
          <w:sz w:val="32"/>
          <w:szCs w:val="32"/>
        </w:rPr>
        <w:t>采购要素</w:t>
      </w:r>
    </w:p>
    <w:p w14:paraId="65837E77">
      <w:pPr>
        <w:spacing w:line="360" w:lineRule="auto"/>
        <w:rPr>
          <w:rFonts w:hint="eastAsia" w:ascii="仿宋" w:hAnsi="仿宋" w:eastAsia="仿宋" w:cs="宋体"/>
          <w:b/>
          <w:color w:val="auto"/>
          <w:sz w:val="24"/>
          <w:szCs w:val="24"/>
        </w:rPr>
      </w:pPr>
      <w:r>
        <w:rPr>
          <w:rFonts w:hint="eastAsia" w:ascii="仿宋" w:hAnsi="仿宋" w:eastAsia="仿宋" w:cs="宋体"/>
          <w:b/>
          <w:color w:val="auto"/>
          <w:sz w:val="24"/>
          <w:szCs w:val="24"/>
        </w:rPr>
        <w:t>第一部分：项目基本情况</w:t>
      </w:r>
      <w:bookmarkStart w:id="0" w:name="_Hlk44572922"/>
    </w:p>
    <w:p w14:paraId="009784A9">
      <w:pPr>
        <w:spacing w:line="360" w:lineRule="auto"/>
        <w:ind w:firstLine="480" w:firstLineChars="200"/>
        <w:rPr>
          <w:rFonts w:hint="eastAsia" w:ascii="仿宋" w:hAnsi="仿宋" w:eastAsia="仿宋" w:cs="仿宋"/>
          <w:color w:val="auto"/>
          <w:sz w:val="28"/>
          <w:szCs w:val="28"/>
        </w:rPr>
      </w:pPr>
      <w:r>
        <w:rPr>
          <w:rFonts w:hint="eastAsia" w:ascii="仿宋" w:hAnsi="仿宋" w:eastAsia="仿宋" w:cs="宋体"/>
          <w:color w:val="auto"/>
          <w:sz w:val="24"/>
          <w:szCs w:val="24"/>
        </w:rPr>
        <w:t>项目名称：</w:t>
      </w:r>
      <w:bookmarkEnd w:id="0"/>
      <w:bookmarkStart w:id="1" w:name="_Hlk44574602"/>
      <w:r>
        <w:rPr>
          <w:rFonts w:hint="eastAsia" w:ascii="仿宋" w:hAnsi="仿宋" w:eastAsia="仿宋" w:cs="宋体"/>
          <w:color w:val="auto"/>
          <w:sz w:val="24"/>
          <w:szCs w:val="24"/>
        </w:rPr>
        <w:t>诸暨市应店街镇2025-2026年400万以下水利监理服务采购项目</w:t>
      </w:r>
    </w:p>
    <w:p w14:paraId="4FC8EA4F">
      <w:pPr>
        <w:spacing w:line="36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预算金额（元）：600000</w:t>
      </w:r>
    </w:p>
    <w:p w14:paraId="69D1CB43">
      <w:pPr>
        <w:spacing w:line="36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简要规格描述或项目基本情况介绍、用途：本项目共分两个标项，每个标项的预算金额见下表，具体内容详见采购需求。</w:t>
      </w:r>
    </w:p>
    <w:tbl>
      <w:tblPr>
        <w:tblStyle w:val="51"/>
        <w:tblW w:w="80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9"/>
        <w:gridCol w:w="5024"/>
        <w:gridCol w:w="1780"/>
      </w:tblGrid>
      <w:tr w14:paraId="6D8E2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289" w:type="dxa"/>
            <w:vAlign w:val="center"/>
          </w:tcPr>
          <w:p w14:paraId="306FCA98">
            <w:pPr>
              <w:spacing w:line="276" w:lineRule="auto"/>
              <w:jc w:val="center"/>
              <w:rPr>
                <w:rFonts w:hint="eastAsia" w:ascii="仿宋" w:hAnsi="仿宋" w:eastAsia="仿宋" w:cs="宋体"/>
                <w:bCs/>
                <w:color w:val="auto"/>
                <w:sz w:val="24"/>
              </w:rPr>
            </w:pPr>
            <w:r>
              <w:rPr>
                <w:rFonts w:hint="eastAsia" w:ascii="仿宋" w:hAnsi="仿宋" w:eastAsia="仿宋" w:cs="宋体"/>
                <w:bCs/>
                <w:color w:val="auto"/>
                <w:sz w:val="24"/>
              </w:rPr>
              <w:t>标项</w:t>
            </w:r>
          </w:p>
        </w:tc>
        <w:tc>
          <w:tcPr>
            <w:tcW w:w="5024" w:type="dxa"/>
            <w:vAlign w:val="center"/>
          </w:tcPr>
          <w:p w14:paraId="4BBBE95B">
            <w:pPr>
              <w:spacing w:line="276" w:lineRule="auto"/>
              <w:jc w:val="center"/>
              <w:rPr>
                <w:rFonts w:hint="eastAsia" w:ascii="仿宋" w:hAnsi="仿宋" w:eastAsia="仿宋" w:cs="宋体"/>
                <w:bCs/>
                <w:color w:val="auto"/>
                <w:sz w:val="24"/>
              </w:rPr>
            </w:pPr>
            <w:r>
              <w:rPr>
                <w:rFonts w:hint="eastAsia" w:ascii="仿宋" w:hAnsi="仿宋" w:eastAsia="仿宋" w:cs="宋体"/>
                <w:bCs/>
                <w:color w:val="auto"/>
                <w:sz w:val="24"/>
              </w:rPr>
              <w:t>标项名称</w:t>
            </w:r>
          </w:p>
        </w:tc>
        <w:tc>
          <w:tcPr>
            <w:tcW w:w="1780" w:type="dxa"/>
            <w:vAlign w:val="center"/>
          </w:tcPr>
          <w:p w14:paraId="02F4347C">
            <w:pPr>
              <w:spacing w:line="276" w:lineRule="auto"/>
              <w:jc w:val="center"/>
              <w:rPr>
                <w:rFonts w:hint="eastAsia" w:ascii="仿宋" w:hAnsi="仿宋" w:eastAsia="仿宋" w:cs="宋体"/>
                <w:bCs/>
                <w:color w:val="auto"/>
                <w:sz w:val="24"/>
              </w:rPr>
            </w:pPr>
            <w:r>
              <w:rPr>
                <w:rFonts w:hint="eastAsia" w:ascii="仿宋" w:hAnsi="仿宋" w:eastAsia="仿宋" w:cs="宋体"/>
                <w:bCs/>
                <w:color w:val="auto"/>
                <w:sz w:val="24"/>
              </w:rPr>
              <w:t>预算金额（元）</w:t>
            </w:r>
          </w:p>
        </w:tc>
      </w:tr>
      <w:tr w14:paraId="341A1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89" w:type="dxa"/>
            <w:vAlign w:val="center"/>
          </w:tcPr>
          <w:p w14:paraId="015A8D5A">
            <w:pPr>
              <w:spacing w:line="276" w:lineRule="auto"/>
              <w:jc w:val="center"/>
              <w:rPr>
                <w:rFonts w:hint="eastAsia" w:ascii="仿宋" w:hAnsi="仿宋" w:eastAsia="仿宋" w:cs="宋体"/>
                <w:bCs/>
                <w:color w:val="auto"/>
                <w:sz w:val="24"/>
              </w:rPr>
            </w:pPr>
            <w:r>
              <w:rPr>
                <w:rFonts w:hint="eastAsia" w:ascii="仿宋" w:hAnsi="仿宋" w:eastAsia="仿宋" w:cs="宋体"/>
                <w:bCs/>
                <w:color w:val="auto"/>
                <w:sz w:val="24"/>
              </w:rPr>
              <w:t>标项一</w:t>
            </w:r>
          </w:p>
        </w:tc>
        <w:tc>
          <w:tcPr>
            <w:tcW w:w="5024" w:type="dxa"/>
            <w:vAlign w:val="center"/>
          </w:tcPr>
          <w:p w14:paraId="09ED5E63">
            <w:pPr>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2025-2026年400万以下水利监理服务</w:t>
            </w:r>
            <w:r>
              <w:rPr>
                <w:rFonts w:hint="eastAsia" w:ascii="仿宋" w:hAnsi="仿宋" w:eastAsia="仿宋" w:cs="宋体"/>
                <w:color w:val="auto"/>
                <w:sz w:val="24"/>
                <w:szCs w:val="24"/>
              </w:rPr>
              <w:t>（十二都片区、云石片区）</w:t>
            </w:r>
          </w:p>
        </w:tc>
        <w:tc>
          <w:tcPr>
            <w:tcW w:w="1780" w:type="dxa"/>
            <w:vAlign w:val="center"/>
          </w:tcPr>
          <w:p w14:paraId="724AA147">
            <w:pPr>
              <w:spacing w:line="276" w:lineRule="auto"/>
              <w:jc w:val="center"/>
              <w:rPr>
                <w:rFonts w:hint="eastAsia" w:ascii="仿宋" w:hAnsi="仿宋" w:eastAsia="仿宋" w:cs="宋体"/>
                <w:bCs/>
                <w:color w:val="auto"/>
                <w:sz w:val="24"/>
              </w:rPr>
            </w:pPr>
            <w:r>
              <w:rPr>
                <w:rFonts w:hint="eastAsia" w:ascii="仿宋" w:hAnsi="仿宋" w:eastAsia="仿宋" w:cs="宋体"/>
                <w:bCs/>
                <w:color w:val="auto"/>
                <w:sz w:val="24"/>
              </w:rPr>
              <w:t>300000</w:t>
            </w:r>
          </w:p>
        </w:tc>
      </w:tr>
      <w:tr w14:paraId="40099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89" w:type="dxa"/>
            <w:vAlign w:val="center"/>
          </w:tcPr>
          <w:p w14:paraId="680AC885">
            <w:pPr>
              <w:spacing w:line="276" w:lineRule="auto"/>
              <w:jc w:val="center"/>
              <w:rPr>
                <w:rFonts w:hint="eastAsia" w:ascii="仿宋" w:hAnsi="仿宋" w:eastAsia="仿宋" w:cs="宋体"/>
                <w:bCs/>
                <w:color w:val="auto"/>
                <w:sz w:val="24"/>
              </w:rPr>
            </w:pPr>
            <w:r>
              <w:rPr>
                <w:rFonts w:hint="eastAsia" w:ascii="仿宋" w:hAnsi="仿宋" w:eastAsia="仿宋" w:cs="宋体"/>
                <w:bCs/>
                <w:color w:val="auto"/>
                <w:sz w:val="24"/>
              </w:rPr>
              <w:t>标项二</w:t>
            </w:r>
          </w:p>
        </w:tc>
        <w:tc>
          <w:tcPr>
            <w:tcW w:w="5024" w:type="dxa"/>
            <w:vAlign w:val="center"/>
          </w:tcPr>
          <w:p w14:paraId="00BB8883">
            <w:pPr>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2025-2026年400万以下水利监理服务</w:t>
            </w:r>
            <w:r>
              <w:rPr>
                <w:rFonts w:hint="eastAsia" w:ascii="仿宋" w:hAnsi="仿宋" w:eastAsia="仿宋" w:cs="宋体"/>
                <w:color w:val="auto"/>
                <w:sz w:val="24"/>
                <w:szCs w:val="24"/>
              </w:rPr>
              <w:t>（</w:t>
            </w:r>
            <w:r>
              <w:rPr>
                <w:rFonts w:ascii="仿宋" w:hAnsi="仿宋" w:eastAsia="仿宋" w:cs="宋体"/>
                <w:color w:val="auto"/>
                <w:sz w:val="24"/>
              </w:rPr>
              <w:t>应店街片区、</w:t>
            </w:r>
            <w:r>
              <w:rPr>
                <w:rFonts w:hint="eastAsia" w:ascii="仿宋" w:hAnsi="仿宋" w:eastAsia="仿宋" w:cs="宋体"/>
                <w:color w:val="auto"/>
                <w:sz w:val="24"/>
              </w:rPr>
              <w:t>紫阆片区</w:t>
            </w:r>
            <w:r>
              <w:rPr>
                <w:rFonts w:hint="eastAsia" w:ascii="仿宋" w:hAnsi="仿宋" w:eastAsia="仿宋" w:cs="宋体"/>
                <w:color w:val="auto"/>
                <w:sz w:val="24"/>
                <w:szCs w:val="24"/>
              </w:rPr>
              <w:t>）</w:t>
            </w:r>
          </w:p>
        </w:tc>
        <w:tc>
          <w:tcPr>
            <w:tcW w:w="1780" w:type="dxa"/>
            <w:vAlign w:val="center"/>
          </w:tcPr>
          <w:p w14:paraId="3570B62C">
            <w:pPr>
              <w:spacing w:line="276" w:lineRule="auto"/>
              <w:jc w:val="center"/>
              <w:rPr>
                <w:rFonts w:hint="eastAsia" w:ascii="仿宋" w:hAnsi="仿宋" w:eastAsia="仿宋" w:cs="宋体"/>
                <w:bCs/>
                <w:color w:val="auto"/>
                <w:sz w:val="24"/>
              </w:rPr>
            </w:pPr>
            <w:r>
              <w:rPr>
                <w:rFonts w:hint="eastAsia" w:ascii="仿宋" w:hAnsi="仿宋" w:eastAsia="仿宋" w:cs="宋体"/>
                <w:bCs/>
                <w:color w:val="auto"/>
                <w:sz w:val="24"/>
              </w:rPr>
              <w:t>300000</w:t>
            </w:r>
          </w:p>
        </w:tc>
      </w:tr>
      <w:bookmarkEnd w:id="1"/>
    </w:tbl>
    <w:p w14:paraId="4A4F89BF">
      <w:pPr>
        <w:spacing w:line="36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合同履约期限：详见采购需求。</w:t>
      </w:r>
    </w:p>
    <w:p w14:paraId="68642E7D">
      <w:pPr>
        <w:spacing w:line="360" w:lineRule="auto"/>
        <w:ind w:firstLine="480" w:firstLineChars="200"/>
        <w:rPr>
          <w:rFonts w:hint="eastAsia" w:ascii="仿宋" w:hAnsi="仿宋" w:eastAsia="仿宋" w:cs="宋体"/>
          <w:b/>
          <w:color w:val="auto"/>
          <w:sz w:val="24"/>
        </w:rPr>
      </w:pPr>
      <w:r>
        <w:rPr>
          <w:rFonts w:hint="eastAsia" w:ascii="仿宋" w:hAnsi="仿宋" w:eastAsia="仿宋"/>
          <w:color w:val="auto"/>
          <w:sz w:val="24"/>
          <w:szCs w:val="24"/>
        </w:rPr>
        <w:t>本项目接受联合体：□是；</w:t>
      </w:r>
      <w:r>
        <w:rPr>
          <w:rFonts w:hint="eastAsia" w:ascii="仿宋" w:hAnsi="仿宋" w:eastAsia="仿宋"/>
          <w:color w:val="auto"/>
          <w:sz w:val="24"/>
          <w:szCs w:val="24"/>
        </w:rPr>
        <w:sym w:font="Wingdings" w:char="F0FE"/>
      </w:r>
      <w:r>
        <w:rPr>
          <w:rFonts w:hint="eastAsia" w:ascii="仿宋" w:hAnsi="仿宋" w:eastAsia="仿宋"/>
          <w:color w:val="auto"/>
          <w:sz w:val="24"/>
          <w:szCs w:val="24"/>
        </w:rPr>
        <w:t>否。</w:t>
      </w:r>
    </w:p>
    <w:p w14:paraId="665863E6">
      <w:pPr>
        <w:spacing w:line="360" w:lineRule="auto"/>
        <w:rPr>
          <w:rFonts w:hint="eastAsia" w:ascii="仿宋" w:hAnsi="仿宋" w:eastAsia="仿宋" w:cs="宋体"/>
          <w:b/>
          <w:color w:val="auto"/>
          <w:sz w:val="24"/>
        </w:rPr>
      </w:pPr>
      <w:r>
        <w:rPr>
          <w:rFonts w:hint="eastAsia" w:ascii="仿宋" w:hAnsi="仿宋" w:eastAsia="仿宋" w:cs="宋体"/>
          <w:b/>
          <w:color w:val="auto"/>
          <w:sz w:val="24"/>
        </w:rPr>
        <w:t>第二部分：申请人的资格要求</w:t>
      </w:r>
    </w:p>
    <w:p w14:paraId="67FD5D5F">
      <w:pPr>
        <w:adjustRightInd w:val="0"/>
        <w:snapToGrid w:val="0"/>
        <w:spacing w:line="360" w:lineRule="auto"/>
        <w:ind w:firstLine="480" w:firstLineChars="200"/>
        <w:rPr>
          <w:rFonts w:hint="eastAsia" w:ascii="仿宋" w:hAnsi="仿宋" w:eastAsia="仿宋" w:cs="宋体"/>
          <w:color w:val="auto"/>
          <w:sz w:val="24"/>
          <w:szCs w:val="24"/>
        </w:rPr>
      </w:pPr>
      <w:bookmarkStart w:id="2" w:name="_Hlk44574667"/>
      <w:r>
        <w:rPr>
          <w:rFonts w:hint="eastAsia" w:ascii="仿宋" w:hAnsi="仿宋" w:eastAsia="仿宋" w:cs="宋体"/>
          <w:color w:val="auto"/>
          <w:sz w:val="24"/>
          <w:szCs w:val="24"/>
        </w:rPr>
        <w:t>1.满足《中华人民共和国政府采购法》第二十二条规定；未被“信用中国”（</w:t>
      </w:r>
      <w:r>
        <w:rPr>
          <w:rFonts w:ascii="仿宋" w:hAnsi="仿宋" w:eastAsia="仿宋" w:cs="Times New Roman"/>
          <w:color w:val="auto"/>
          <w:sz w:val="24"/>
          <w:szCs w:val="24"/>
        </w:rPr>
        <w:t>www.creditchina.gov.cn</w:t>
      </w:r>
      <w:r>
        <w:rPr>
          <w:rFonts w:hint="eastAsia" w:ascii="仿宋" w:hAnsi="仿宋" w:eastAsia="仿宋" w:cs="宋体"/>
          <w:color w:val="auto"/>
          <w:sz w:val="24"/>
          <w:szCs w:val="24"/>
        </w:rPr>
        <w:t>）、中国政府采购网（</w:t>
      </w:r>
      <w:r>
        <w:rPr>
          <w:rFonts w:ascii="仿宋" w:hAnsi="仿宋" w:eastAsia="仿宋" w:cs="Times New Roman"/>
          <w:color w:val="auto"/>
          <w:sz w:val="24"/>
          <w:szCs w:val="24"/>
        </w:rPr>
        <w:t>www.ccgp.gov.cn</w:t>
      </w:r>
      <w:r>
        <w:rPr>
          <w:rFonts w:hint="eastAsia" w:ascii="仿宋" w:hAnsi="仿宋" w:eastAsia="仿宋" w:cs="宋体"/>
          <w:color w:val="auto"/>
          <w:sz w:val="24"/>
          <w:szCs w:val="24"/>
        </w:rPr>
        <w:t>）列入失信被执行人、重大税收违法案件当事人名单、政府采购严重违法失信行为记录名单。</w:t>
      </w:r>
    </w:p>
    <w:p w14:paraId="7DF3F826">
      <w:pPr>
        <w:adjustRightInd w:val="0"/>
        <w:snapToGrid w:val="0"/>
        <w:spacing w:line="360" w:lineRule="auto"/>
        <w:ind w:firstLine="480" w:firstLineChars="200"/>
        <w:rPr>
          <w:rFonts w:hint="eastAsia" w:ascii="仿宋" w:hAnsi="仿宋" w:eastAsia="仿宋" w:cs="宋体"/>
          <w:bCs/>
          <w:color w:val="auto"/>
          <w:sz w:val="24"/>
          <w:szCs w:val="24"/>
        </w:rPr>
      </w:pPr>
      <w:r>
        <w:rPr>
          <w:rFonts w:hint="eastAsia" w:ascii="仿宋" w:hAnsi="仿宋" w:eastAsia="仿宋" w:cs="宋体"/>
          <w:bCs/>
          <w:color w:val="auto"/>
          <w:sz w:val="24"/>
          <w:szCs w:val="24"/>
        </w:rPr>
        <w:t>2.</w:t>
      </w:r>
      <w:r>
        <w:rPr>
          <w:rFonts w:ascii="仿宋" w:hAnsi="仿宋" w:eastAsia="仿宋" w:cs="宋体"/>
          <w:bCs/>
          <w:color w:val="auto"/>
          <w:sz w:val="24"/>
          <w:szCs w:val="24"/>
        </w:rPr>
        <w:t>落实政府采购政策需满足的资格要求：</w:t>
      </w:r>
    </w:p>
    <w:p w14:paraId="1383C690">
      <w:pPr>
        <w:adjustRightInd w:val="0"/>
        <w:snapToGrid w:val="0"/>
        <w:spacing w:line="360" w:lineRule="auto"/>
        <w:ind w:firstLine="480" w:firstLineChars="200"/>
        <w:rPr>
          <w:rFonts w:hint="eastAsia" w:ascii="仿宋" w:hAnsi="仿宋" w:eastAsia="仿宋" w:cs="宋体"/>
          <w:bCs/>
          <w:color w:val="auto"/>
          <w:sz w:val="24"/>
          <w:szCs w:val="24"/>
        </w:rPr>
      </w:pPr>
      <w:r>
        <w:rPr>
          <w:rFonts w:ascii="仿宋" w:hAnsi="仿宋" w:eastAsia="仿宋"/>
          <w:color w:val="auto"/>
          <w:sz w:val="24"/>
          <w:szCs w:val="24"/>
        </w:rPr>
        <w:t>【标项1、2】：</w:t>
      </w:r>
    </w:p>
    <w:p w14:paraId="4165466C">
      <w:pPr>
        <w:adjustRightInd w:val="0"/>
        <w:snapToGrid w:val="0"/>
        <w:spacing w:line="360" w:lineRule="auto"/>
        <w:ind w:firstLine="480" w:firstLineChars="200"/>
        <w:rPr>
          <w:rFonts w:hint="eastAsia" w:ascii="仿宋" w:hAnsi="仿宋" w:eastAsia="仿宋" w:cs="宋体"/>
          <w:bCs/>
          <w:color w:val="auto"/>
          <w:sz w:val="24"/>
          <w:szCs w:val="24"/>
        </w:rPr>
      </w:pPr>
      <w:r>
        <w:rPr>
          <w:rFonts w:hint="eastAsia" w:ascii="仿宋" w:hAnsi="仿宋" w:eastAsia="仿宋"/>
          <w:color w:val="auto"/>
          <w:sz w:val="24"/>
        </w:rPr>
        <w:sym w:font="Wingdings" w:char="F0FE"/>
      </w:r>
      <w:r>
        <w:rPr>
          <w:rFonts w:hint="eastAsia" w:ascii="仿宋" w:hAnsi="仿宋" w:eastAsia="仿宋" w:cs="宋体"/>
          <w:color w:val="auto"/>
          <w:kern w:val="0"/>
          <w:sz w:val="24"/>
        </w:rPr>
        <w:t>专</w:t>
      </w:r>
      <w:r>
        <w:rPr>
          <w:rFonts w:hint="eastAsia" w:ascii="仿宋" w:hAnsi="仿宋" w:eastAsia="仿宋" w:cs="宋体"/>
          <w:color w:val="auto"/>
          <w:sz w:val="24"/>
        </w:rPr>
        <w:t>门面向中小企业：服务</w:t>
      </w:r>
      <w:r>
        <w:rPr>
          <w:rFonts w:hint="eastAsia" w:ascii="仿宋" w:hAnsi="仿宋" w:eastAsia="仿宋" w:cs="宋体"/>
          <w:bCs/>
          <w:color w:val="auto"/>
          <w:sz w:val="24"/>
          <w:szCs w:val="24"/>
        </w:rPr>
        <w:t>全部由符合政策要求的中小企业承接，提供中小企业声明函</w:t>
      </w:r>
      <w:r>
        <w:rPr>
          <w:rFonts w:hint="eastAsia" w:ascii="仿宋" w:hAnsi="仿宋" w:eastAsia="仿宋" w:cs="宋体"/>
          <w:color w:val="auto"/>
          <w:sz w:val="24"/>
        </w:rPr>
        <w:t>。</w:t>
      </w:r>
    </w:p>
    <w:p w14:paraId="654B7B58">
      <w:pPr>
        <w:adjustRightInd w:val="0"/>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s="宋体"/>
          <w:bCs/>
          <w:color w:val="auto"/>
          <w:sz w:val="24"/>
          <w:szCs w:val="24"/>
        </w:rPr>
        <w:t>3.</w:t>
      </w:r>
      <w:r>
        <w:rPr>
          <w:rFonts w:ascii="仿宋" w:hAnsi="仿宋" w:eastAsia="仿宋"/>
          <w:color w:val="auto"/>
          <w:sz w:val="24"/>
          <w:szCs w:val="24"/>
        </w:rPr>
        <w:t>本项目的特定资格要求：</w:t>
      </w:r>
    </w:p>
    <w:p w14:paraId="1BC7BE35">
      <w:pPr>
        <w:adjustRightInd w:val="0"/>
        <w:snapToGrid w:val="0"/>
        <w:spacing w:line="360" w:lineRule="auto"/>
        <w:ind w:firstLine="480" w:firstLineChars="200"/>
        <w:rPr>
          <w:rFonts w:hint="eastAsia" w:ascii="仿宋" w:hAnsi="仿宋" w:eastAsia="仿宋" w:cs="宋体"/>
          <w:color w:val="auto"/>
          <w:sz w:val="24"/>
          <w:szCs w:val="24"/>
        </w:rPr>
      </w:pPr>
      <w:r>
        <w:rPr>
          <w:rFonts w:ascii="仿宋" w:hAnsi="仿宋" w:eastAsia="仿宋"/>
          <w:color w:val="auto"/>
          <w:sz w:val="24"/>
          <w:szCs w:val="24"/>
        </w:rPr>
        <w:t>【标项1、2】：</w:t>
      </w:r>
      <w:r>
        <w:rPr>
          <w:rFonts w:hint="eastAsia" w:ascii="仿宋" w:hAnsi="仿宋" w:eastAsia="仿宋" w:cs="宋体"/>
          <w:color w:val="auto"/>
          <w:sz w:val="24"/>
          <w:szCs w:val="24"/>
        </w:rPr>
        <w:t>具有</w:t>
      </w:r>
      <w:r>
        <w:rPr>
          <w:rFonts w:ascii="仿宋" w:hAnsi="仿宋" w:eastAsia="仿宋" w:cs="宋体"/>
          <w:color w:val="auto"/>
          <w:sz w:val="24"/>
          <w:szCs w:val="24"/>
        </w:rPr>
        <w:t>工程监理综合资质或水利工程施工监理</w:t>
      </w:r>
      <w:r>
        <w:rPr>
          <w:rFonts w:hint="eastAsia" w:ascii="仿宋" w:hAnsi="仿宋" w:eastAsia="仿宋" w:cs="宋体"/>
          <w:color w:val="auto"/>
          <w:sz w:val="24"/>
          <w:szCs w:val="24"/>
        </w:rPr>
        <w:t>乙</w:t>
      </w:r>
      <w:r>
        <w:rPr>
          <w:rFonts w:ascii="仿宋" w:hAnsi="仿宋" w:eastAsia="仿宋" w:cs="宋体"/>
          <w:color w:val="auto"/>
          <w:sz w:val="24"/>
          <w:szCs w:val="24"/>
        </w:rPr>
        <w:t>级以上（含</w:t>
      </w:r>
      <w:r>
        <w:rPr>
          <w:rFonts w:hint="eastAsia" w:ascii="仿宋" w:hAnsi="仿宋" w:eastAsia="仿宋" w:cs="宋体"/>
          <w:color w:val="auto"/>
          <w:sz w:val="24"/>
          <w:szCs w:val="24"/>
        </w:rPr>
        <w:t>乙级</w:t>
      </w:r>
      <w:r>
        <w:rPr>
          <w:rFonts w:ascii="仿宋" w:hAnsi="仿宋" w:eastAsia="仿宋" w:cs="宋体"/>
          <w:color w:val="auto"/>
          <w:sz w:val="24"/>
          <w:szCs w:val="24"/>
        </w:rPr>
        <w:t>）资质</w:t>
      </w:r>
      <w:r>
        <w:rPr>
          <w:rStyle w:val="82"/>
          <w:rFonts w:ascii="仿宋" w:hAnsi="仿宋" w:eastAsia="仿宋"/>
          <w:color w:val="auto"/>
          <w:sz w:val="24"/>
          <w:szCs w:val="24"/>
        </w:rPr>
        <w:t>。</w:t>
      </w:r>
    </w:p>
    <w:bookmarkEnd w:id="2"/>
    <w:p w14:paraId="58D8A58F">
      <w:pPr>
        <w:spacing w:line="360" w:lineRule="auto"/>
        <w:rPr>
          <w:rFonts w:hint="eastAsia" w:ascii="仿宋" w:hAnsi="仿宋" w:eastAsia="仿宋" w:cs="宋体"/>
          <w:b/>
          <w:color w:val="auto"/>
          <w:sz w:val="24"/>
        </w:rPr>
      </w:pPr>
      <w:r>
        <w:rPr>
          <w:rFonts w:hint="eastAsia" w:ascii="仿宋" w:hAnsi="仿宋" w:eastAsia="仿宋" w:cs="宋体"/>
          <w:b/>
          <w:color w:val="auto"/>
          <w:sz w:val="24"/>
        </w:rPr>
        <w:t>第三部分：评审办法</w:t>
      </w:r>
    </w:p>
    <w:p w14:paraId="0A544288">
      <w:pPr>
        <w:adjustRightInd w:val="0"/>
        <w:snapToGrid w:val="0"/>
        <w:spacing w:line="30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szCs w:val="24"/>
        </w:rPr>
        <w:t>1.本项目</w:t>
      </w:r>
      <w:r>
        <w:rPr>
          <w:rFonts w:hint="eastAsia" w:ascii="仿宋" w:hAnsi="仿宋" w:eastAsia="仿宋"/>
          <w:color w:val="auto"/>
          <w:sz w:val="24"/>
          <w:szCs w:val="24"/>
        </w:rPr>
        <w:t>采用综合评分法。供应商的综合得分=商务技术得分+报价得分，综合得分满分为100分。</w:t>
      </w:r>
    </w:p>
    <w:p w14:paraId="5D891E3E">
      <w:pPr>
        <w:adjustRightInd w:val="0"/>
        <w:snapToGrid w:val="0"/>
        <w:spacing w:line="300" w:lineRule="auto"/>
        <w:ind w:firstLine="480" w:firstLineChars="200"/>
        <w:rPr>
          <w:rFonts w:hint="eastAsia" w:ascii="仿宋" w:hAnsi="仿宋" w:eastAsia="仿宋" w:cs="宋体"/>
          <w:color w:val="auto"/>
          <w:sz w:val="24"/>
        </w:rPr>
      </w:pPr>
      <w:r>
        <w:rPr>
          <w:rFonts w:hint="eastAsia" w:ascii="仿宋" w:hAnsi="仿宋" w:eastAsia="仿宋"/>
          <w:color w:val="auto"/>
          <w:sz w:val="24"/>
          <w:szCs w:val="24"/>
        </w:rPr>
        <w:t>2.商务技术得分=商务技术评分，商务技术评分=所有评委的有效评分的算术平均数。</w:t>
      </w:r>
    </w:p>
    <w:p w14:paraId="705A0B42">
      <w:pPr>
        <w:adjustRightInd w:val="0"/>
        <w:snapToGrid w:val="0"/>
        <w:spacing w:line="30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szCs w:val="24"/>
        </w:rPr>
        <w:t>3.报价得分统一采用低价优先法计算，即</w:t>
      </w:r>
      <w:r>
        <w:rPr>
          <w:rFonts w:ascii="仿宋" w:hAnsi="仿宋" w:eastAsia="仿宋" w:cs="宋体"/>
          <w:color w:val="auto"/>
          <w:sz w:val="24"/>
          <w:szCs w:val="24"/>
        </w:rPr>
        <w:t>满足采购文件要求且最后报价最低的供应商的价格为基准价，其报价得分为满分。其他供应商的报价得分统一按照下列公式计算：报价得分=（基准价／最后报价）×</w:t>
      </w:r>
      <w:r>
        <w:rPr>
          <w:rFonts w:hint="eastAsia" w:ascii="仿宋" w:hAnsi="仿宋" w:eastAsia="仿宋" w:cs="宋体"/>
          <w:color w:val="auto"/>
          <w:sz w:val="24"/>
          <w:szCs w:val="24"/>
        </w:rPr>
        <w:t>价格权值×100，价格权值=20%。</w:t>
      </w:r>
    </w:p>
    <w:p w14:paraId="496EE1E8">
      <w:pPr>
        <w:adjustRightInd w:val="0"/>
        <w:snapToGrid w:val="0"/>
        <w:spacing w:line="30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4.商务技术分评分细则（80分）</w:t>
      </w:r>
    </w:p>
    <w:tbl>
      <w:tblPr>
        <w:tblStyle w:val="51"/>
        <w:tblW w:w="952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217"/>
        <w:gridCol w:w="6864"/>
        <w:gridCol w:w="733"/>
      </w:tblGrid>
      <w:tr w14:paraId="1D982B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12" w:type="dxa"/>
            <w:vAlign w:val="center"/>
          </w:tcPr>
          <w:p w14:paraId="3DDD4FBB">
            <w:pPr>
              <w:spacing w:line="300" w:lineRule="auto"/>
              <w:jc w:val="center"/>
              <w:rPr>
                <w:rFonts w:hint="eastAsia" w:ascii="仿宋" w:hAnsi="仿宋" w:eastAsia="仿宋" w:cs="宋体"/>
                <w:b/>
                <w:bCs/>
                <w:color w:val="auto"/>
                <w:sz w:val="24"/>
              </w:rPr>
            </w:pPr>
            <w:r>
              <w:rPr>
                <w:rFonts w:ascii="仿宋" w:hAnsi="仿宋" w:eastAsia="仿宋" w:cs="宋体"/>
                <w:b/>
                <w:bCs/>
                <w:color w:val="auto"/>
                <w:sz w:val="24"/>
              </w:rPr>
              <w:t>序号</w:t>
            </w:r>
          </w:p>
        </w:tc>
        <w:tc>
          <w:tcPr>
            <w:tcW w:w="1217" w:type="dxa"/>
            <w:vAlign w:val="center"/>
          </w:tcPr>
          <w:p w14:paraId="6E489997">
            <w:pPr>
              <w:spacing w:line="300" w:lineRule="auto"/>
              <w:jc w:val="center"/>
              <w:rPr>
                <w:rFonts w:hint="eastAsia" w:ascii="仿宋" w:hAnsi="仿宋" w:eastAsia="仿宋" w:cs="宋体"/>
                <w:b/>
                <w:bCs/>
                <w:color w:val="auto"/>
                <w:sz w:val="24"/>
              </w:rPr>
            </w:pPr>
            <w:r>
              <w:rPr>
                <w:rFonts w:ascii="仿宋" w:hAnsi="仿宋" w:eastAsia="仿宋" w:cs="宋体"/>
                <w:b/>
                <w:bCs/>
                <w:color w:val="auto"/>
                <w:sz w:val="24"/>
              </w:rPr>
              <w:t>项目</w:t>
            </w:r>
          </w:p>
        </w:tc>
        <w:tc>
          <w:tcPr>
            <w:tcW w:w="6864" w:type="dxa"/>
            <w:vAlign w:val="center"/>
          </w:tcPr>
          <w:p w14:paraId="72391BD5">
            <w:pPr>
              <w:spacing w:line="300" w:lineRule="auto"/>
              <w:jc w:val="center"/>
              <w:rPr>
                <w:rFonts w:hint="eastAsia" w:ascii="仿宋" w:hAnsi="仿宋" w:eastAsia="仿宋" w:cs="宋体"/>
                <w:b/>
                <w:bCs/>
                <w:color w:val="auto"/>
                <w:sz w:val="24"/>
              </w:rPr>
            </w:pPr>
            <w:r>
              <w:rPr>
                <w:rFonts w:hint="eastAsia" w:ascii="仿宋" w:hAnsi="仿宋" w:eastAsia="仿宋" w:cs="宋体"/>
                <w:b/>
                <w:bCs/>
                <w:color w:val="auto"/>
                <w:sz w:val="24"/>
              </w:rPr>
              <w:t>评分标准</w:t>
            </w:r>
          </w:p>
        </w:tc>
        <w:tc>
          <w:tcPr>
            <w:tcW w:w="733" w:type="dxa"/>
            <w:vAlign w:val="center"/>
          </w:tcPr>
          <w:p w14:paraId="13ED9C77">
            <w:pPr>
              <w:spacing w:line="300" w:lineRule="auto"/>
              <w:jc w:val="center"/>
              <w:rPr>
                <w:rFonts w:hint="eastAsia" w:ascii="仿宋" w:hAnsi="仿宋" w:eastAsia="仿宋" w:cs="宋体"/>
                <w:b/>
                <w:bCs/>
                <w:color w:val="auto"/>
                <w:sz w:val="24"/>
              </w:rPr>
            </w:pPr>
            <w:r>
              <w:rPr>
                <w:rFonts w:hint="eastAsia" w:ascii="仿宋" w:hAnsi="仿宋" w:eastAsia="仿宋" w:cs="宋体"/>
                <w:b/>
                <w:bCs/>
                <w:color w:val="auto"/>
                <w:sz w:val="24"/>
              </w:rPr>
              <w:t>分值</w:t>
            </w:r>
          </w:p>
        </w:tc>
      </w:tr>
      <w:tr w14:paraId="61261F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0" w:hRule="atLeast"/>
          <w:jc w:val="center"/>
        </w:trPr>
        <w:tc>
          <w:tcPr>
            <w:tcW w:w="712" w:type="dxa"/>
            <w:vAlign w:val="center"/>
          </w:tcPr>
          <w:p w14:paraId="71D7A4AF">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1</w:t>
            </w:r>
          </w:p>
        </w:tc>
        <w:tc>
          <w:tcPr>
            <w:tcW w:w="1217" w:type="dxa"/>
            <w:vAlign w:val="center"/>
          </w:tcPr>
          <w:p w14:paraId="78D5C0E3">
            <w:pPr>
              <w:spacing w:line="300" w:lineRule="auto"/>
              <w:jc w:val="center"/>
              <w:rPr>
                <w:rFonts w:hint="eastAsia" w:ascii="仿宋" w:hAnsi="仿宋" w:eastAsia="仿宋" w:cs="宋体"/>
                <w:bCs/>
                <w:color w:val="auto"/>
                <w:sz w:val="24"/>
              </w:rPr>
            </w:pPr>
            <w:r>
              <w:rPr>
                <w:rFonts w:ascii="仿宋" w:hAnsi="仿宋" w:eastAsia="仿宋" w:cs="宋体"/>
                <w:bCs/>
                <w:color w:val="auto"/>
                <w:sz w:val="24"/>
              </w:rPr>
              <w:t>企业资信</w:t>
            </w:r>
          </w:p>
        </w:tc>
        <w:tc>
          <w:tcPr>
            <w:tcW w:w="6864" w:type="dxa"/>
            <w:vAlign w:val="center"/>
          </w:tcPr>
          <w:p w14:paraId="3B55B349">
            <w:pPr>
              <w:pStyle w:val="248"/>
              <w:spacing w:line="276" w:lineRule="auto"/>
              <w:rPr>
                <w:rFonts w:hint="eastAsia" w:ascii="仿宋" w:hAnsi="仿宋" w:eastAsia="仿宋" w:cs="仿宋_GB2312"/>
                <w:color w:val="auto"/>
                <w:sz w:val="24"/>
              </w:rPr>
            </w:pPr>
            <w:r>
              <w:rPr>
                <w:rFonts w:hint="eastAsia" w:ascii="仿宋" w:hAnsi="仿宋" w:eastAsia="仿宋" w:cs="仿宋_GB2312"/>
                <w:color w:val="auto"/>
                <w:sz w:val="24"/>
              </w:rPr>
              <w:t>供应商具有有效的质量管理体系认证证书的，</w:t>
            </w:r>
            <w:r>
              <w:rPr>
                <w:rFonts w:hint="eastAsia" w:ascii="仿宋" w:hAnsi="仿宋" w:eastAsia="仿宋"/>
                <w:bCs/>
                <w:color w:val="auto"/>
                <w:sz w:val="24"/>
              </w:rPr>
              <w:t>得1分。</w:t>
            </w:r>
            <w:r>
              <w:rPr>
                <w:rFonts w:hint="eastAsia" w:ascii="仿宋" w:hAnsi="仿宋" w:eastAsia="仿宋" w:cs="仿宋"/>
                <w:bCs/>
                <w:color w:val="auto"/>
                <w:w w:val="90"/>
                <w:sz w:val="24"/>
              </w:rPr>
              <w:t>（注：提供证书复印件</w:t>
            </w:r>
            <w:r>
              <w:rPr>
                <w:rFonts w:hint="eastAsia" w:ascii="仿宋" w:hAnsi="仿宋" w:eastAsia="仿宋" w:cs="仿宋"/>
                <w:color w:val="auto"/>
                <w:w w:val="90"/>
                <w:sz w:val="24"/>
              </w:rPr>
              <w:t>以及全国认证认可信息公共服务平台证书信息查询截图</w:t>
            </w:r>
            <w:r>
              <w:rPr>
                <w:rFonts w:hint="eastAsia" w:ascii="仿宋" w:hAnsi="仿宋" w:eastAsia="仿宋" w:cs="仿宋"/>
                <w:bCs/>
                <w:color w:val="auto"/>
                <w:w w:val="90"/>
                <w:sz w:val="24"/>
              </w:rPr>
              <w:t>，否则不得分。）</w:t>
            </w:r>
          </w:p>
        </w:tc>
        <w:tc>
          <w:tcPr>
            <w:tcW w:w="733" w:type="dxa"/>
            <w:vAlign w:val="center"/>
          </w:tcPr>
          <w:p w14:paraId="61CBC3DF">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1分</w:t>
            </w:r>
          </w:p>
        </w:tc>
      </w:tr>
      <w:tr w14:paraId="5D0A1E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Align w:val="center"/>
          </w:tcPr>
          <w:p w14:paraId="0E8E65CB">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2</w:t>
            </w:r>
          </w:p>
        </w:tc>
        <w:tc>
          <w:tcPr>
            <w:tcW w:w="1217" w:type="dxa"/>
            <w:vAlign w:val="center"/>
          </w:tcPr>
          <w:p w14:paraId="07E3CDE7">
            <w:pPr>
              <w:spacing w:line="300" w:lineRule="auto"/>
              <w:jc w:val="center"/>
              <w:rPr>
                <w:rFonts w:hint="eastAsia" w:ascii="仿宋" w:hAnsi="仿宋" w:eastAsia="仿宋" w:cs="宋体"/>
                <w:bCs/>
                <w:color w:val="auto"/>
                <w:sz w:val="24"/>
              </w:rPr>
            </w:pPr>
            <w:r>
              <w:rPr>
                <w:rFonts w:ascii="仿宋" w:hAnsi="仿宋" w:eastAsia="仿宋" w:cs="宋体"/>
                <w:bCs/>
                <w:color w:val="auto"/>
                <w:sz w:val="24"/>
              </w:rPr>
              <w:t>项目业绩</w:t>
            </w:r>
          </w:p>
        </w:tc>
        <w:tc>
          <w:tcPr>
            <w:tcW w:w="6864" w:type="dxa"/>
            <w:vAlign w:val="center"/>
          </w:tcPr>
          <w:p w14:paraId="495ED063">
            <w:pPr>
              <w:pStyle w:val="248"/>
              <w:spacing w:line="276" w:lineRule="auto"/>
              <w:rPr>
                <w:rFonts w:hint="eastAsia" w:ascii="仿宋" w:hAnsi="仿宋" w:eastAsia="仿宋" w:cs="仿宋_GB2312"/>
                <w:color w:val="auto"/>
                <w:sz w:val="24"/>
              </w:rPr>
            </w:pPr>
            <w:r>
              <w:rPr>
                <w:rFonts w:hint="eastAsia" w:ascii="仿宋" w:hAnsi="仿宋" w:eastAsia="仿宋" w:cs="宋体"/>
                <w:color w:val="auto"/>
                <w:sz w:val="24"/>
              </w:rPr>
              <w:t>供应商自2021年1月1日以来（以合同签订时间为准），具有承接过类似水利工程监理服务项目业绩的，得2分。</w:t>
            </w:r>
            <w:r>
              <w:rPr>
                <w:rFonts w:hint="eastAsia" w:ascii="仿宋" w:hAnsi="仿宋" w:eastAsia="仿宋" w:cs="仿宋"/>
                <w:color w:val="auto"/>
                <w:w w:val="90"/>
                <w:sz w:val="24"/>
              </w:rPr>
              <w:t>（注：提供合同复印件，不提供不得分；同一合同不重复计分，时间认定以合同签订时间为准。）</w:t>
            </w:r>
          </w:p>
        </w:tc>
        <w:tc>
          <w:tcPr>
            <w:tcW w:w="733" w:type="dxa"/>
            <w:vAlign w:val="center"/>
          </w:tcPr>
          <w:p w14:paraId="556D4C04">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2分</w:t>
            </w:r>
          </w:p>
        </w:tc>
      </w:tr>
      <w:tr w14:paraId="795A06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restart"/>
            <w:vAlign w:val="center"/>
          </w:tcPr>
          <w:p w14:paraId="683E27CB">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3</w:t>
            </w:r>
          </w:p>
        </w:tc>
        <w:tc>
          <w:tcPr>
            <w:tcW w:w="1217" w:type="dxa"/>
            <w:vMerge w:val="restart"/>
            <w:vAlign w:val="center"/>
          </w:tcPr>
          <w:p w14:paraId="33897BAD">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人员配置</w:t>
            </w:r>
          </w:p>
        </w:tc>
        <w:tc>
          <w:tcPr>
            <w:tcW w:w="6864" w:type="dxa"/>
            <w:vAlign w:val="center"/>
          </w:tcPr>
          <w:p w14:paraId="3C5A6906">
            <w:pPr>
              <w:spacing w:line="276" w:lineRule="auto"/>
              <w:rPr>
                <w:rFonts w:hint="eastAsia" w:ascii="仿宋" w:hAnsi="仿宋" w:eastAsia="仿宋" w:cs="宋体"/>
                <w:color w:val="auto"/>
                <w:sz w:val="24"/>
              </w:rPr>
            </w:pPr>
            <w:r>
              <w:rPr>
                <w:rFonts w:hint="eastAsia" w:ascii="仿宋" w:hAnsi="仿宋" w:eastAsia="仿宋" w:cs="宋体"/>
                <w:color w:val="auto"/>
                <w:sz w:val="24"/>
              </w:rPr>
              <w:t>拟派项目负责人1人：</w:t>
            </w:r>
          </w:p>
          <w:p w14:paraId="737BE876">
            <w:pPr>
              <w:spacing w:line="276" w:lineRule="auto"/>
              <w:rPr>
                <w:rFonts w:hint="eastAsia" w:ascii="仿宋" w:hAnsi="仿宋" w:eastAsia="仿宋" w:cs="仿宋"/>
                <w:color w:val="auto"/>
                <w:sz w:val="24"/>
                <w:szCs w:val="24"/>
              </w:rPr>
            </w:pPr>
            <w:r>
              <w:rPr>
                <w:rFonts w:hint="eastAsia" w:ascii="仿宋" w:hAnsi="仿宋" w:eastAsia="仿宋" w:cs="宋体"/>
                <w:color w:val="auto"/>
                <w:sz w:val="24"/>
              </w:rPr>
              <w:t>具有国家注册监理工程师（水利工程）证书的得3分</w:t>
            </w:r>
            <w:r>
              <w:rPr>
                <w:rFonts w:hint="eastAsia" w:ascii="仿宋" w:hAnsi="仿宋" w:eastAsia="仿宋" w:cs="仿宋"/>
                <w:color w:val="auto"/>
                <w:sz w:val="24"/>
                <w:szCs w:val="24"/>
              </w:rPr>
              <w:t>。</w:t>
            </w:r>
          </w:p>
          <w:p w14:paraId="7391FC89">
            <w:pPr>
              <w:spacing w:line="276" w:lineRule="auto"/>
              <w:rPr>
                <w:rFonts w:hint="eastAsia" w:ascii="仿宋" w:hAnsi="仿宋" w:eastAsia="仿宋" w:cs="宋体"/>
                <w:color w:val="auto"/>
                <w:sz w:val="24"/>
              </w:rPr>
            </w:pPr>
            <w:r>
              <w:rPr>
                <w:rFonts w:hint="eastAsia" w:ascii="仿宋" w:hAnsi="仿宋" w:eastAsia="仿宋" w:cs="仿宋"/>
                <w:color w:val="auto"/>
                <w:w w:val="90"/>
                <w:sz w:val="24"/>
              </w:rPr>
              <w:t>【注：提供人员相关资质证书复印件以及供应商为其缴纳的近三个月内任意一个月的社保证明</w:t>
            </w:r>
            <w:r>
              <w:rPr>
                <w:rFonts w:ascii="仿宋" w:hAnsi="仿宋" w:eastAsia="仿宋" w:cs="仿宋"/>
                <w:color w:val="auto"/>
                <w:w w:val="90"/>
                <w:sz w:val="24"/>
              </w:rPr>
              <w:t>（社保缴纳证明以社保机构出具的社保证明为准；</w:t>
            </w:r>
            <w:r>
              <w:rPr>
                <w:rFonts w:ascii="仿宋" w:hAnsi="仿宋" w:eastAsia="仿宋" w:cs="仿宋"/>
                <w:bCs/>
                <w:color w:val="auto"/>
                <w:w w:val="90"/>
                <w:sz w:val="24"/>
                <w:szCs w:val="24"/>
              </w:rPr>
              <w:t>若</w:t>
            </w:r>
            <w:r>
              <w:rPr>
                <w:rFonts w:hint="eastAsia" w:ascii="仿宋" w:hAnsi="仿宋" w:eastAsia="仿宋" w:cs="仿宋"/>
                <w:bCs/>
                <w:color w:val="auto"/>
                <w:w w:val="90"/>
                <w:sz w:val="24"/>
                <w:szCs w:val="24"/>
              </w:rPr>
              <w:t>为退休人员，提供退休证明、供应商与其签订的退休返聘合同复印件以及退休人员身份证件复印件且退休人员身份证件体现的出生日期至投标截止日不得超过65周岁，无需提供社保证明</w:t>
            </w:r>
            <w:r>
              <w:rPr>
                <w:rFonts w:ascii="仿宋" w:hAnsi="仿宋" w:eastAsia="仿宋" w:cs="仿宋"/>
                <w:color w:val="auto"/>
                <w:w w:val="90"/>
                <w:sz w:val="24"/>
              </w:rPr>
              <w:t>）</w:t>
            </w:r>
            <w:r>
              <w:rPr>
                <w:rFonts w:hint="eastAsia" w:ascii="仿宋" w:hAnsi="仿宋" w:eastAsia="仿宋" w:cs="仿宋"/>
                <w:color w:val="auto"/>
                <w:w w:val="90"/>
                <w:sz w:val="24"/>
              </w:rPr>
              <w:t>，不提供或提供不全的不得分。】</w:t>
            </w:r>
          </w:p>
        </w:tc>
        <w:tc>
          <w:tcPr>
            <w:tcW w:w="733" w:type="dxa"/>
            <w:vAlign w:val="center"/>
          </w:tcPr>
          <w:p w14:paraId="429215C5">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3分</w:t>
            </w:r>
          </w:p>
        </w:tc>
      </w:tr>
      <w:tr w14:paraId="16DE21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0DA8DDA1">
            <w:pPr>
              <w:spacing w:line="300" w:lineRule="auto"/>
              <w:jc w:val="center"/>
              <w:rPr>
                <w:rFonts w:hint="eastAsia" w:ascii="仿宋" w:hAnsi="仿宋" w:eastAsia="仿宋" w:cs="宋体"/>
                <w:bCs/>
                <w:color w:val="auto"/>
                <w:sz w:val="24"/>
              </w:rPr>
            </w:pPr>
          </w:p>
        </w:tc>
        <w:tc>
          <w:tcPr>
            <w:tcW w:w="1217" w:type="dxa"/>
            <w:vMerge w:val="continue"/>
            <w:vAlign w:val="center"/>
          </w:tcPr>
          <w:p w14:paraId="224B165F">
            <w:pPr>
              <w:spacing w:line="300" w:lineRule="auto"/>
              <w:jc w:val="center"/>
              <w:rPr>
                <w:rFonts w:hint="eastAsia" w:ascii="仿宋" w:hAnsi="仿宋" w:eastAsia="仿宋" w:cs="宋体"/>
                <w:bCs/>
                <w:color w:val="auto"/>
                <w:sz w:val="24"/>
              </w:rPr>
            </w:pPr>
          </w:p>
        </w:tc>
        <w:tc>
          <w:tcPr>
            <w:tcW w:w="6864" w:type="dxa"/>
            <w:vAlign w:val="center"/>
          </w:tcPr>
          <w:p w14:paraId="35A60CC9">
            <w:pPr>
              <w:spacing w:line="276" w:lineRule="auto"/>
              <w:rPr>
                <w:rFonts w:hint="eastAsia" w:ascii="仿宋" w:hAnsi="仿宋" w:eastAsia="仿宋" w:cs="宋体"/>
                <w:color w:val="auto"/>
                <w:sz w:val="24"/>
              </w:rPr>
            </w:pPr>
            <w:r>
              <w:rPr>
                <w:rFonts w:hint="eastAsia" w:ascii="仿宋" w:hAnsi="仿宋" w:eastAsia="仿宋" w:cs="宋体"/>
                <w:color w:val="auto"/>
                <w:sz w:val="24"/>
              </w:rPr>
              <w:t>拟派项目其他人员（项目负责人除外）：</w:t>
            </w:r>
          </w:p>
          <w:p w14:paraId="3E453F6E">
            <w:pPr>
              <w:spacing w:line="276" w:lineRule="auto"/>
              <w:rPr>
                <w:rFonts w:hint="eastAsia" w:ascii="仿宋" w:hAnsi="仿宋" w:eastAsia="仿宋" w:cs="宋体"/>
                <w:color w:val="auto"/>
                <w:sz w:val="24"/>
              </w:rPr>
            </w:pPr>
            <w:r>
              <w:rPr>
                <w:rFonts w:hint="eastAsia" w:ascii="仿宋" w:hAnsi="仿宋" w:eastAsia="仿宋" w:cs="宋体"/>
                <w:color w:val="auto"/>
                <w:sz w:val="24"/>
              </w:rPr>
              <w:t>（1）具有水利工程类专业监理工程师证书的，得3分；</w:t>
            </w:r>
          </w:p>
          <w:p w14:paraId="019F3296">
            <w:pPr>
              <w:spacing w:line="276" w:lineRule="auto"/>
              <w:rPr>
                <w:rFonts w:hint="eastAsia" w:ascii="仿宋" w:hAnsi="仿宋" w:eastAsia="仿宋" w:cs="宋体"/>
                <w:color w:val="auto"/>
                <w:sz w:val="24"/>
              </w:rPr>
            </w:pPr>
            <w:r>
              <w:rPr>
                <w:rFonts w:hint="eastAsia" w:ascii="仿宋" w:hAnsi="仿宋" w:eastAsia="仿宋" w:cs="宋体"/>
                <w:color w:val="auto"/>
                <w:sz w:val="24"/>
              </w:rPr>
              <w:t>（2）具有水利工程类监理员证书的，得1.5分；</w:t>
            </w:r>
          </w:p>
          <w:p w14:paraId="53644CE1">
            <w:pPr>
              <w:spacing w:line="276" w:lineRule="auto"/>
              <w:rPr>
                <w:rFonts w:hint="eastAsia" w:ascii="仿宋" w:hAnsi="仿宋" w:eastAsia="仿宋" w:cs="仿宋"/>
                <w:color w:val="auto"/>
                <w:sz w:val="24"/>
                <w:szCs w:val="24"/>
              </w:rPr>
            </w:pPr>
            <w:r>
              <w:rPr>
                <w:rFonts w:hint="eastAsia" w:ascii="仿宋" w:hAnsi="仿宋" w:eastAsia="仿宋" w:cs="宋体"/>
                <w:color w:val="auto"/>
                <w:sz w:val="24"/>
              </w:rPr>
              <w:t>（3）具有</w:t>
            </w:r>
            <w:r>
              <w:rPr>
                <w:rFonts w:hint="eastAsia" w:ascii="仿宋" w:hAnsi="仿宋" w:eastAsia="仿宋" w:cs="仿宋"/>
                <w:color w:val="auto"/>
                <w:sz w:val="24"/>
                <w:szCs w:val="24"/>
              </w:rPr>
              <w:t>注册造价工程师（水利工程）资质的，得1.5分。</w:t>
            </w:r>
          </w:p>
          <w:p w14:paraId="49E629E8">
            <w:pPr>
              <w:spacing w:line="276" w:lineRule="auto"/>
              <w:rPr>
                <w:rFonts w:hint="eastAsia"/>
                <w:color w:val="auto"/>
              </w:rPr>
            </w:pPr>
            <w:r>
              <w:rPr>
                <w:rFonts w:hint="eastAsia" w:ascii="仿宋" w:hAnsi="仿宋" w:eastAsia="仿宋" w:cs="仿宋"/>
                <w:color w:val="auto"/>
                <w:w w:val="90"/>
                <w:sz w:val="24"/>
              </w:rPr>
              <w:t>【注：同一人员具有多个证书的不累计得分（按就高原则计分）；提供人员相关资质证书复印件以及供应商为其缴纳的近三个月内任意一个月的社保证明</w:t>
            </w:r>
            <w:r>
              <w:rPr>
                <w:rFonts w:ascii="仿宋" w:hAnsi="仿宋" w:eastAsia="仿宋" w:cs="仿宋"/>
                <w:color w:val="auto"/>
                <w:w w:val="90"/>
                <w:sz w:val="24"/>
              </w:rPr>
              <w:t>（社保缴纳证明以社保机构出具的社保证明为准）</w:t>
            </w:r>
            <w:r>
              <w:rPr>
                <w:rFonts w:hint="eastAsia" w:ascii="仿宋" w:hAnsi="仿宋" w:eastAsia="仿宋" w:cs="仿宋"/>
                <w:color w:val="auto"/>
                <w:w w:val="90"/>
                <w:sz w:val="24"/>
              </w:rPr>
              <w:t>，不提供或提供不全的不得分。】</w:t>
            </w:r>
          </w:p>
        </w:tc>
        <w:tc>
          <w:tcPr>
            <w:tcW w:w="733" w:type="dxa"/>
            <w:vAlign w:val="center"/>
          </w:tcPr>
          <w:p w14:paraId="1DE28A3E">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6分</w:t>
            </w:r>
          </w:p>
        </w:tc>
      </w:tr>
      <w:tr w14:paraId="214955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restart"/>
            <w:vAlign w:val="center"/>
          </w:tcPr>
          <w:p w14:paraId="62BDAED3">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4</w:t>
            </w:r>
          </w:p>
        </w:tc>
        <w:tc>
          <w:tcPr>
            <w:tcW w:w="1217" w:type="dxa"/>
            <w:vMerge w:val="restart"/>
            <w:vAlign w:val="center"/>
          </w:tcPr>
          <w:p w14:paraId="21E8C678">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技术方案</w:t>
            </w:r>
          </w:p>
        </w:tc>
        <w:tc>
          <w:tcPr>
            <w:tcW w:w="6864" w:type="dxa"/>
            <w:vAlign w:val="center"/>
          </w:tcPr>
          <w:p w14:paraId="7A12C00F">
            <w:pPr>
              <w:pStyle w:val="248"/>
              <w:spacing w:line="276" w:lineRule="auto"/>
              <w:rPr>
                <w:rFonts w:hint="eastAsia" w:ascii="仿宋" w:hAnsi="仿宋" w:eastAsia="仿宋" w:cs="仿宋_GB2312"/>
                <w:color w:val="auto"/>
                <w:sz w:val="24"/>
              </w:rPr>
            </w:pPr>
            <w:r>
              <w:rPr>
                <w:rFonts w:hint="eastAsia" w:ascii="仿宋" w:hAnsi="仿宋" w:eastAsia="仿宋" w:cs="宋体"/>
                <w:color w:val="auto"/>
                <w:sz w:val="24"/>
              </w:rPr>
              <w:t>根据供应商结合项目需求及自身经验对项目监理工作的重难点、关键性技术难题和应对措施的分析阐述进行综合打分。（</w:t>
            </w:r>
            <w:r>
              <w:rPr>
                <w:rFonts w:hint="eastAsia" w:ascii="仿宋" w:hAnsi="仿宋" w:eastAsia="仿宋" w:cs="Calibri"/>
                <w:color w:val="auto"/>
                <w:sz w:val="24"/>
              </w:rPr>
              <w:t>内容全面、阐述合理的，得6分；内容较全面、阐述较为合理的，得4分；内容较为粗略或与项目偏离较大、阐述合理性较欠缺的，得2分；</w:t>
            </w:r>
            <w:r>
              <w:rPr>
                <w:rFonts w:hint="eastAsia" w:ascii="仿宋" w:hAnsi="仿宋" w:eastAsia="仿宋" w:cs="仿宋_GB2312"/>
                <w:bCs/>
                <w:color w:val="auto"/>
                <w:sz w:val="24"/>
              </w:rPr>
              <w:t>无相关内容阐述或不符合项目的不得分。</w:t>
            </w:r>
            <w:r>
              <w:rPr>
                <w:rFonts w:hint="eastAsia" w:ascii="仿宋" w:hAnsi="仿宋" w:eastAsia="仿宋" w:cs="宋体"/>
                <w:color w:val="auto"/>
                <w:sz w:val="24"/>
              </w:rPr>
              <w:t>）</w:t>
            </w:r>
          </w:p>
        </w:tc>
        <w:tc>
          <w:tcPr>
            <w:tcW w:w="733" w:type="dxa"/>
            <w:vAlign w:val="center"/>
          </w:tcPr>
          <w:p w14:paraId="3C5EF0D1">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6分</w:t>
            </w:r>
          </w:p>
        </w:tc>
      </w:tr>
      <w:tr w14:paraId="1E1790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154F8B84">
            <w:pPr>
              <w:spacing w:line="300" w:lineRule="auto"/>
              <w:jc w:val="center"/>
              <w:rPr>
                <w:rFonts w:hint="eastAsia" w:ascii="仿宋" w:hAnsi="仿宋" w:eastAsia="仿宋" w:cs="宋体"/>
                <w:bCs/>
                <w:color w:val="auto"/>
                <w:sz w:val="24"/>
              </w:rPr>
            </w:pPr>
          </w:p>
        </w:tc>
        <w:tc>
          <w:tcPr>
            <w:tcW w:w="1217" w:type="dxa"/>
            <w:vMerge w:val="continue"/>
            <w:vAlign w:val="center"/>
          </w:tcPr>
          <w:p w14:paraId="27A8139B">
            <w:pPr>
              <w:spacing w:line="300" w:lineRule="auto"/>
              <w:jc w:val="center"/>
              <w:rPr>
                <w:rFonts w:hint="eastAsia" w:ascii="仿宋" w:hAnsi="仿宋" w:eastAsia="仿宋" w:cs="宋体"/>
                <w:bCs/>
                <w:color w:val="auto"/>
                <w:sz w:val="24"/>
              </w:rPr>
            </w:pPr>
          </w:p>
        </w:tc>
        <w:tc>
          <w:tcPr>
            <w:tcW w:w="6864" w:type="dxa"/>
            <w:vAlign w:val="center"/>
          </w:tcPr>
          <w:p w14:paraId="7604F42D">
            <w:pPr>
              <w:spacing w:line="276" w:lineRule="auto"/>
              <w:jc w:val="left"/>
              <w:rPr>
                <w:rFonts w:hint="eastAsia" w:ascii="仿宋" w:hAnsi="仿宋" w:eastAsia="仿宋" w:cs="宋体"/>
                <w:color w:val="auto"/>
                <w:sz w:val="24"/>
              </w:rPr>
            </w:pPr>
            <w:r>
              <w:rPr>
                <w:rFonts w:hint="eastAsia" w:ascii="仿宋" w:hAnsi="仿宋" w:eastAsia="仿宋" w:cs="宋体"/>
                <w:color w:val="auto"/>
                <w:sz w:val="24"/>
              </w:rPr>
              <w:t>根据供应商提供的监理工作方案（包括监理组织、各阶段监理工作流程、监理日常各项工作制度）的全面性、合理可行性进行综合打分。</w:t>
            </w:r>
          </w:p>
          <w:p w14:paraId="37185E81">
            <w:pPr>
              <w:pStyle w:val="248"/>
              <w:spacing w:line="276" w:lineRule="auto"/>
              <w:rPr>
                <w:rFonts w:hint="eastAsia" w:ascii="仿宋" w:hAnsi="仿宋" w:eastAsia="仿宋" w:cs="仿宋_GB2312"/>
                <w:color w:val="auto"/>
                <w:sz w:val="24"/>
              </w:rPr>
            </w:pP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8</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5</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p>
        </w:tc>
        <w:tc>
          <w:tcPr>
            <w:tcW w:w="733" w:type="dxa"/>
            <w:vAlign w:val="center"/>
          </w:tcPr>
          <w:p w14:paraId="3CEE53F4">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8分</w:t>
            </w:r>
          </w:p>
        </w:tc>
      </w:tr>
      <w:tr w14:paraId="2503EA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2" w:type="dxa"/>
            <w:vMerge w:val="continue"/>
            <w:vAlign w:val="center"/>
          </w:tcPr>
          <w:p w14:paraId="0909CF4D">
            <w:pPr>
              <w:spacing w:line="300" w:lineRule="auto"/>
              <w:jc w:val="center"/>
              <w:rPr>
                <w:rFonts w:hint="eastAsia" w:ascii="仿宋" w:hAnsi="仿宋" w:eastAsia="仿宋" w:cs="宋体"/>
                <w:bCs/>
                <w:color w:val="auto"/>
                <w:sz w:val="24"/>
              </w:rPr>
            </w:pPr>
          </w:p>
        </w:tc>
        <w:tc>
          <w:tcPr>
            <w:tcW w:w="1217" w:type="dxa"/>
            <w:vMerge w:val="continue"/>
            <w:vAlign w:val="center"/>
          </w:tcPr>
          <w:p w14:paraId="58626116">
            <w:pPr>
              <w:spacing w:line="300" w:lineRule="auto"/>
              <w:jc w:val="center"/>
              <w:rPr>
                <w:rFonts w:hint="eastAsia" w:ascii="仿宋" w:hAnsi="仿宋" w:eastAsia="仿宋" w:cs="宋体"/>
                <w:bCs/>
                <w:color w:val="auto"/>
                <w:sz w:val="24"/>
              </w:rPr>
            </w:pPr>
          </w:p>
        </w:tc>
        <w:tc>
          <w:tcPr>
            <w:tcW w:w="6864" w:type="dxa"/>
            <w:vAlign w:val="center"/>
          </w:tcPr>
          <w:p w14:paraId="513377F6">
            <w:pPr>
              <w:spacing w:line="276" w:lineRule="auto"/>
              <w:jc w:val="left"/>
              <w:rPr>
                <w:rFonts w:hint="eastAsia" w:ascii="仿宋" w:hAnsi="仿宋" w:eastAsia="仿宋" w:cs="宋体"/>
                <w:color w:val="auto"/>
                <w:sz w:val="24"/>
              </w:rPr>
            </w:pPr>
            <w:r>
              <w:rPr>
                <w:rFonts w:hint="eastAsia" w:ascii="仿宋" w:hAnsi="仿宋" w:eastAsia="仿宋" w:cs="宋体"/>
                <w:color w:val="auto"/>
                <w:sz w:val="24"/>
              </w:rPr>
              <w:t>根据供应商提供的质量控制方案内容的全面性，以及提出的质量控制方法和措施的合理性和可行性，进行综合打分。</w:t>
            </w:r>
          </w:p>
          <w:p w14:paraId="3E8DF295">
            <w:pPr>
              <w:pStyle w:val="248"/>
              <w:spacing w:line="276" w:lineRule="auto"/>
              <w:rPr>
                <w:rFonts w:hint="eastAsia" w:ascii="仿宋" w:hAnsi="仿宋" w:eastAsia="仿宋" w:cs="仿宋_GB2312"/>
                <w:color w:val="auto"/>
                <w:sz w:val="24"/>
              </w:rPr>
            </w:pP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8</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5</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p>
        </w:tc>
        <w:tc>
          <w:tcPr>
            <w:tcW w:w="733" w:type="dxa"/>
            <w:vAlign w:val="center"/>
          </w:tcPr>
          <w:p w14:paraId="66A00C47">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8分</w:t>
            </w:r>
          </w:p>
        </w:tc>
      </w:tr>
      <w:tr w14:paraId="22EA4C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2258EFA7">
            <w:pPr>
              <w:spacing w:line="300" w:lineRule="auto"/>
              <w:jc w:val="center"/>
              <w:rPr>
                <w:rFonts w:hint="eastAsia" w:ascii="仿宋" w:hAnsi="仿宋" w:eastAsia="仿宋" w:cs="宋体"/>
                <w:bCs/>
                <w:color w:val="auto"/>
                <w:sz w:val="24"/>
              </w:rPr>
            </w:pPr>
          </w:p>
        </w:tc>
        <w:tc>
          <w:tcPr>
            <w:tcW w:w="1217" w:type="dxa"/>
            <w:vMerge w:val="continue"/>
            <w:vAlign w:val="center"/>
          </w:tcPr>
          <w:p w14:paraId="48EE93D0">
            <w:pPr>
              <w:spacing w:line="300" w:lineRule="auto"/>
              <w:jc w:val="center"/>
              <w:rPr>
                <w:rFonts w:hint="eastAsia" w:ascii="仿宋" w:hAnsi="仿宋" w:eastAsia="仿宋" w:cs="宋体"/>
                <w:bCs/>
                <w:color w:val="auto"/>
                <w:sz w:val="24"/>
              </w:rPr>
            </w:pPr>
          </w:p>
        </w:tc>
        <w:tc>
          <w:tcPr>
            <w:tcW w:w="6864" w:type="dxa"/>
            <w:vAlign w:val="center"/>
          </w:tcPr>
          <w:p w14:paraId="03A96A9B">
            <w:pPr>
              <w:spacing w:line="276" w:lineRule="auto"/>
              <w:jc w:val="left"/>
              <w:rPr>
                <w:rFonts w:hint="eastAsia" w:ascii="仿宋" w:hAnsi="仿宋" w:eastAsia="仿宋" w:cs="宋体"/>
                <w:color w:val="auto"/>
                <w:sz w:val="24"/>
              </w:rPr>
            </w:pPr>
            <w:r>
              <w:rPr>
                <w:rFonts w:hint="eastAsia" w:ascii="仿宋" w:hAnsi="仿宋" w:eastAsia="仿宋" w:cs="宋体"/>
                <w:color w:val="auto"/>
                <w:sz w:val="24"/>
              </w:rPr>
              <w:t>根据供应商提供的进度控制方案内容的全面性，以及针对施工进度提供的进度控制措施是否合理可行，进行综合打分。</w:t>
            </w:r>
          </w:p>
          <w:p w14:paraId="156B8032">
            <w:pPr>
              <w:pStyle w:val="248"/>
              <w:spacing w:line="276" w:lineRule="auto"/>
              <w:rPr>
                <w:rFonts w:hint="eastAsia" w:ascii="仿宋" w:hAnsi="仿宋" w:eastAsia="仿宋" w:cs="仿宋_GB2312"/>
                <w:color w:val="auto"/>
                <w:sz w:val="24"/>
              </w:rPr>
            </w:pP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8</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5</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p>
        </w:tc>
        <w:tc>
          <w:tcPr>
            <w:tcW w:w="733" w:type="dxa"/>
            <w:vAlign w:val="center"/>
          </w:tcPr>
          <w:p w14:paraId="5821C75E">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8分</w:t>
            </w:r>
          </w:p>
        </w:tc>
      </w:tr>
      <w:tr w14:paraId="0F284E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118F0EEF">
            <w:pPr>
              <w:spacing w:line="300" w:lineRule="auto"/>
              <w:jc w:val="center"/>
              <w:rPr>
                <w:rFonts w:hint="eastAsia" w:ascii="仿宋" w:hAnsi="仿宋" w:eastAsia="仿宋" w:cs="宋体"/>
                <w:bCs/>
                <w:color w:val="auto"/>
                <w:sz w:val="24"/>
              </w:rPr>
            </w:pPr>
          </w:p>
        </w:tc>
        <w:tc>
          <w:tcPr>
            <w:tcW w:w="1217" w:type="dxa"/>
            <w:vMerge w:val="continue"/>
            <w:vAlign w:val="center"/>
          </w:tcPr>
          <w:p w14:paraId="383CAE9B">
            <w:pPr>
              <w:spacing w:line="300" w:lineRule="auto"/>
              <w:jc w:val="center"/>
              <w:rPr>
                <w:rFonts w:hint="eastAsia" w:ascii="仿宋" w:hAnsi="仿宋" w:eastAsia="仿宋" w:cs="宋体"/>
                <w:bCs/>
                <w:color w:val="auto"/>
                <w:sz w:val="24"/>
              </w:rPr>
            </w:pPr>
          </w:p>
        </w:tc>
        <w:tc>
          <w:tcPr>
            <w:tcW w:w="6864" w:type="dxa"/>
            <w:vAlign w:val="center"/>
          </w:tcPr>
          <w:p w14:paraId="0B034A9A">
            <w:pPr>
              <w:pStyle w:val="248"/>
              <w:spacing w:line="276" w:lineRule="auto"/>
              <w:rPr>
                <w:rFonts w:hint="eastAsia" w:ascii="仿宋" w:hAnsi="仿宋" w:eastAsia="仿宋" w:cs="仿宋_GB2312"/>
                <w:color w:val="auto"/>
                <w:sz w:val="24"/>
              </w:rPr>
            </w:pPr>
            <w:r>
              <w:rPr>
                <w:rFonts w:hint="eastAsia" w:ascii="仿宋" w:hAnsi="仿宋" w:eastAsia="仿宋" w:cs="宋体"/>
                <w:color w:val="auto"/>
                <w:sz w:val="24"/>
              </w:rPr>
              <w:t>根据供应商提供的投资控制方案内容的全面性，以及针对本项目有可能存在的风险分析和制定防范性对策的合理性、可行性，进行综合打分。</w:t>
            </w: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8</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5</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p>
        </w:tc>
        <w:tc>
          <w:tcPr>
            <w:tcW w:w="733" w:type="dxa"/>
            <w:vAlign w:val="center"/>
          </w:tcPr>
          <w:p w14:paraId="1851A4B4">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8分</w:t>
            </w:r>
          </w:p>
        </w:tc>
      </w:tr>
      <w:tr w14:paraId="1737C0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18473F90">
            <w:pPr>
              <w:spacing w:line="300" w:lineRule="auto"/>
              <w:jc w:val="center"/>
              <w:rPr>
                <w:rFonts w:hint="eastAsia" w:ascii="仿宋" w:hAnsi="仿宋" w:eastAsia="仿宋" w:cs="宋体"/>
                <w:bCs/>
                <w:color w:val="auto"/>
                <w:sz w:val="24"/>
              </w:rPr>
            </w:pPr>
          </w:p>
        </w:tc>
        <w:tc>
          <w:tcPr>
            <w:tcW w:w="1217" w:type="dxa"/>
            <w:vMerge w:val="continue"/>
            <w:vAlign w:val="center"/>
          </w:tcPr>
          <w:p w14:paraId="005E2DF0">
            <w:pPr>
              <w:spacing w:line="300" w:lineRule="auto"/>
              <w:jc w:val="center"/>
              <w:rPr>
                <w:rFonts w:hint="eastAsia" w:ascii="仿宋" w:hAnsi="仿宋" w:eastAsia="仿宋" w:cs="宋体"/>
                <w:bCs/>
                <w:color w:val="auto"/>
                <w:sz w:val="24"/>
              </w:rPr>
            </w:pPr>
          </w:p>
        </w:tc>
        <w:tc>
          <w:tcPr>
            <w:tcW w:w="6864" w:type="dxa"/>
            <w:vAlign w:val="center"/>
          </w:tcPr>
          <w:p w14:paraId="381513A0">
            <w:pPr>
              <w:spacing w:line="276" w:lineRule="auto"/>
              <w:jc w:val="left"/>
              <w:rPr>
                <w:rFonts w:hint="eastAsia" w:ascii="仿宋" w:hAnsi="仿宋" w:eastAsia="仿宋" w:cs="宋体"/>
                <w:color w:val="auto"/>
                <w:sz w:val="24"/>
              </w:rPr>
            </w:pPr>
            <w:r>
              <w:rPr>
                <w:rFonts w:hint="eastAsia" w:ascii="仿宋" w:hAnsi="仿宋" w:eastAsia="仿宋" w:cs="宋体"/>
                <w:color w:val="auto"/>
                <w:sz w:val="24"/>
              </w:rPr>
              <w:t>根据供应商提供的现场安全、文明施工控制方案内容的全面性，以及控制手段和措施的合理性和可行性，进行综合打分。</w:t>
            </w:r>
          </w:p>
          <w:p w14:paraId="1B9EA6E3">
            <w:pPr>
              <w:pStyle w:val="248"/>
              <w:spacing w:line="276" w:lineRule="auto"/>
              <w:rPr>
                <w:rFonts w:hint="eastAsia" w:ascii="仿宋" w:hAnsi="仿宋" w:eastAsia="仿宋" w:cs="仿宋_GB2312"/>
                <w:color w:val="auto"/>
                <w:sz w:val="24"/>
              </w:rPr>
            </w:pP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6</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4</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p>
        </w:tc>
        <w:tc>
          <w:tcPr>
            <w:tcW w:w="733" w:type="dxa"/>
            <w:vAlign w:val="center"/>
          </w:tcPr>
          <w:p w14:paraId="30751873">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6分</w:t>
            </w:r>
          </w:p>
        </w:tc>
      </w:tr>
      <w:tr w14:paraId="5F4ED3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50D84F17">
            <w:pPr>
              <w:spacing w:line="300" w:lineRule="auto"/>
              <w:jc w:val="center"/>
              <w:rPr>
                <w:rFonts w:hint="eastAsia" w:ascii="仿宋" w:hAnsi="仿宋" w:eastAsia="仿宋" w:cs="宋体"/>
                <w:bCs/>
                <w:color w:val="auto"/>
                <w:sz w:val="24"/>
              </w:rPr>
            </w:pPr>
          </w:p>
        </w:tc>
        <w:tc>
          <w:tcPr>
            <w:tcW w:w="1217" w:type="dxa"/>
            <w:vMerge w:val="continue"/>
            <w:vAlign w:val="center"/>
          </w:tcPr>
          <w:p w14:paraId="155F0365">
            <w:pPr>
              <w:spacing w:line="300" w:lineRule="auto"/>
              <w:jc w:val="center"/>
              <w:rPr>
                <w:rFonts w:hint="eastAsia" w:ascii="仿宋" w:hAnsi="仿宋" w:eastAsia="仿宋" w:cs="宋体"/>
                <w:bCs/>
                <w:color w:val="auto"/>
                <w:sz w:val="24"/>
              </w:rPr>
            </w:pPr>
          </w:p>
        </w:tc>
        <w:tc>
          <w:tcPr>
            <w:tcW w:w="6864" w:type="dxa"/>
            <w:vAlign w:val="center"/>
          </w:tcPr>
          <w:p w14:paraId="7911EB97">
            <w:pPr>
              <w:pStyle w:val="248"/>
              <w:spacing w:line="276" w:lineRule="auto"/>
              <w:rPr>
                <w:rFonts w:hint="eastAsia" w:ascii="仿宋" w:hAnsi="仿宋" w:eastAsia="仿宋" w:cs="仿宋_GB2312"/>
                <w:color w:val="auto"/>
                <w:sz w:val="24"/>
              </w:rPr>
            </w:pPr>
            <w:r>
              <w:rPr>
                <w:rFonts w:hint="eastAsia" w:ascii="仿宋" w:hAnsi="仿宋" w:eastAsia="仿宋" w:cs="仿宋"/>
                <w:color w:val="auto"/>
                <w:sz w:val="24"/>
              </w:rPr>
              <w:t>根据</w:t>
            </w:r>
            <w:r>
              <w:rPr>
                <w:rFonts w:hint="eastAsia" w:ascii="仿宋" w:hAnsi="仿宋" w:eastAsia="仿宋" w:cs="宋体"/>
                <w:color w:val="auto"/>
                <w:sz w:val="24"/>
              </w:rPr>
              <w:t>供应商</w:t>
            </w:r>
            <w:r>
              <w:rPr>
                <w:rFonts w:hint="eastAsia" w:ascii="仿宋" w:hAnsi="仿宋" w:eastAsia="仿宋" w:cs="仿宋"/>
                <w:color w:val="auto"/>
                <w:sz w:val="24"/>
              </w:rPr>
              <w:t>针对本项目采购单位提出的应急预案，</w:t>
            </w:r>
            <w:r>
              <w:rPr>
                <w:rFonts w:ascii="仿宋" w:hAnsi="仿宋" w:eastAsia="仿宋" w:cs="宋体"/>
                <w:color w:val="auto"/>
                <w:sz w:val="24"/>
              </w:rPr>
              <w:t>包括应急响应时效、人员应急安排等应急保障措施情况的合理程度及完备程度进行综合打分。</w:t>
            </w:r>
            <w:r>
              <w:rPr>
                <w:rFonts w:hint="eastAsia" w:ascii="仿宋" w:hAnsi="仿宋" w:eastAsia="仿宋" w:cs="仿宋"/>
                <w:color w:val="auto"/>
                <w:sz w:val="24"/>
              </w:rPr>
              <w:t>（</w:t>
            </w: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6</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4</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r>
              <w:rPr>
                <w:rFonts w:hint="eastAsia" w:ascii="仿宋" w:hAnsi="仿宋" w:eastAsia="仿宋"/>
                <w:color w:val="auto"/>
                <w:sz w:val="24"/>
              </w:rPr>
              <w:t>）</w:t>
            </w:r>
          </w:p>
        </w:tc>
        <w:tc>
          <w:tcPr>
            <w:tcW w:w="733" w:type="dxa"/>
            <w:vAlign w:val="center"/>
          </w:tcPr>
          <w:p w14:paraId="3F87FF02">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6分</w:t>
            </w:r>
          </w:p>
        </w:tc>
      </w:tr>
      <w:tr w14:paraId="577C64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6E01C10D">
            <w:pPr>
              <w:spacing w:line="300" w:lineRule="auto"/>
              <w:jc w:val="center"/>
              <w:rPr>
                <w:rFonts w:hint="eastAsia" w:ascii="仿宋" w:hAnsi="仿宋" w:eastAsia="仿宋" w:cs="宋体"/>
                <w:bCs/>
                <w:color w:val="auto"/>
                <w:sz w:val="24"/>
              </w:rPr>
            </w:pPr>
          </w:p>
        </w:tc>
        <w:tc>
          <w:tcPr>
            <w:tcW w:w="1217" w:type="dxa"/>
            <w:vMerge w:val="continue"/>
            <w:vAlign w:val="center"/>
          </w:tcPr>
          <w:p w14:paraId="5457FAF2">
            <w:pPr>
              <w:spacing w:line="300" w:lineRule="auto"/>
              <w:jc w:val="center"/>
              <w:rPr>
                <w:rFonts w:hint="eastAsia" w:ascii="仿宋" w:hAnsi="仿宋" w:eastAsia="仿宋" w:cs="宋体"/>
                <w:bCs/>
                <w:color w:val="auto"/>
                <w:sz w:val="24"/>
              </w:rPr>
            </w:pPr>
          </w:p>
        </w:tc>
        <w:tc>
          <w:tcPr>
            <w:tcW w:w="6864" w:type="dxa"/>
            <w:vAlign w:val="center"/>
          </w:tcPr>
          <w:p w14:paraId="4E42ED0E">
            <w:pPr>
              <w:pStyle w:val="248"/>
              <w:spacing w:line="276" w:lineRule="auto"/>
              <w:rPr>
                <w:rFonts w:hint="eastAsia" w:ascii="仿宋" w:hAnsi="仿宋" w:eastAsia="仿宋" w:cs="仿宋_GB2312"/>
                <w:color w:val="auto"/>
                <w:sz w:val="24"/>
              </w:rPr>
            </w:pPr>
            <w:r>
              <w:rPr>
                <w:rFonts w:hint="eastAsia" w:ascii="仿宋" w:hAnsi="仿宋" w:eastAsia="仿宋" w:cs="宋体"/>
                <w:color w:val="auto"/>
                <w:sz w:val="24"/>
              </w:rPr>
              <w:t>根据供应商提供的合同、信息管理方案内容的全面性，以及针对本项目档案、数据信息的安全控制措施的合理性和可行性，由评委进行综合打分。</w:t>
            </w: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6</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4</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p>
        </w:tc>
        <w:tc>
          <w:tcPr>
            <w:tcW w:w="733" w:type="dxa"/>
            <w:vAlign w:val="center"/>
          </w:tcPr>
          <w:p w14:paraId="788D1570">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6分</w:t>
            </w:r>
          </w:p>
        </w:tc>
      </w:tr>
      <w:tr w14:paraId="2F59CD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12" w:type="dxa"/>
            <w:vMerge w:val="continue"/>
            <w:vAlign w:val="center"/>
          </w:tcPr>
          <w:p w14:paraId="5A226B25">
            <w:pPr>
              <w:spacing w:line="300" w:lineRule="auto"/>
              <w:jc w:val="center"/>
              <w:rPr>
                <w:rFonts w:hint="eastAsia" w:ascii="仿宋" w:hAnsi="仿宋" w:eastAsia="仿宋" w:cs="宋体"/>
                <w:bCs/>
                <w:color w:val="auto"/>
                <w:sz w:val="24"/>
              </w:rPr>
            </w:pPr>
          </w:p>
        </w:tc>
        <w:tc>
          <w:tcPr>
            <w:tcW w:w="1217" w:type="dxa"/>
            <w:vMerge w:val="continue"/>
            <w:vAlign w:val="center"/>
          </w:tcPr>
          <w:p w14:paraId="757548D9">
            <w:pPr>
              <w:spacing w:line="300" w:lineRule="auto"/>
              <w:jc w:val="center"/>
              <w:rPr>
                <w:rFonts w:hint="eastAsia" w:ascii="仿宋" w:hAnsi="仿宋" w:eastAsia="仿宋" w:cs="宋体"/>
                <w:bCs/>
                <w:color w:val="auto"/>
                <w:sz w:val="24"/>
              </w:rPr>
            </w:pPr>
          </w:p>
        </w:tc>
        <w:tc>
          <w:tcPr>
            <w:tcW w:w="6864" w:type="dxa"/>
            <w:vAlign w:val="center"/>
          </w:tcPr>
          <w:p w14:paraId="2F78A7F1">
            <w:pPr>
              <w:pStyle w:val="248"/>
              <w:spacing w:line="276" w:lineRule="auto"/>
              <w:rPr>
                <w:rFonts w:hint="eastAsia" w:ascii="仿宋" w:hAnsi="仿宋" w:eastAsia="仿宋" w:cs="仿宋_GB2312"/>
                <w:color w:val="auto"/>
                <w:sz w:val="24"/>
              </w:rPr>
            </w:pPr>
            <w:r>
              <w:rPr>
                <w:rFonts w:ascii="仿宋" w:hAnsi="仿宋" w:eastAsia="仿宋" w:cs="宋体"/>
                <w:color w:val="auto"/>
                <w:sz w:val="24"/>
              </w:rPr>
              <w:t>根据</w:t>
            </w:r>
            <w:r>
              <w:rPr>
                <w:rFonts w:hint="eastAsia" w:ascii="仿宋" w:hAnsi="仿宋" w:eastAsia="仿宋" w:cs="宋体"/>
                <w:color w:val="auto"/>
                <w:sz w:val="24"/>
              </w:rPr>
              <w:t>供应商</w:t>
            </w:r>
            <w:r>
              <w:rPr>
                <w:rFonts w:ascii="仿宋" w:hAnsi="仿宋" w:eastAsia="仿宋" w:cs="宋体"/>
                <w:color w:val="auto"/>
                <w:sz w:val="24"/>
              </w:rPr>
              <w:t>提供的针对本项目的人员廉洁从业管理措施是否详细明确、合理可行，由评委进行综合打分。</w:t>
            </w:r>
            <w:r>
              <w:rPr>
                <w:rFonts w:hint="eastAsia" w:ascii="仿宋" w:hAnsi="仿宋" w:eastAsia="仿宋" w:cs="宋体"/>
                <w:color w:val="auto"/>
                <w:sz w:val="24"/>
              </w:rPr>
              <w:t>（内容</w:t>
            </w:r>
            <w:r>
              <w:rPr>
                <w:rFonts w:hint="eastAsia" w:ascii="仿宋" w:hAnsi="仿宋" w:eastAsia="仿宋"/>
                <w:color w:val="auto"/>
                <w:sz w:val="24"/>
              </w:rPr>
              <w:t>阐述详细，措施合理明确，可行性强的得</w:t>
            </w:r>
            <w:r>
              <w:rPr>
                <w:rFonts w:hint="eastAsia" w:ascii="仿宋" w:hAnsi="仿宋" w:eastAsia="仿宋" w:cs="宋体"/>
                <w:color w:val="auto"/>
                <w:sz w:val="24"/>
              </w:rPr>
              <w:t>6</w:t>
            </w:r>
            <w:r>
              <w:rPr>
                <w:rFonts w:hint="eastAsia" w:ascii="仿宋" w:hAnsi="仿宋" w:eastAsia="仿宋"/>
                <w:color w:val="auto"/>
                <w:sz w:val="24"/>
              </w:rPr>
              <w:t>分</w:t>
            </w:r>
            <w:r>
              <w:rPr>
                <w:rFonts w:hint="eastAsia" w:ascii="仿宋" w:hAnsi="仿宋" w:eastAsia="仿宋" w:cs="宋体"/>
                <w:color w:val="auto"/>
                <w:sz w:val="24"/>
              </w:rPr>
              <w:t>；内容阐述较为详细，</w:t>
            </w:r>
            <w:r>
              <w:rPr>
                <w:rFonts w:hint="eastAsia" w:ascii="仿宋" w:hAnsi="仿宋" w:eastAsia="仿宋"/>
                <w:color w:val="auto"/>
                <w:sz w:val="24"/>
              </w:rPr>
              <w:t>措施较为合理，</w:t>
            </w:r>
            <w:r>
              <w:rPr>
                <w:rFonts w:hint="eastAsia" w:ascii="仿宋" w:hAnsi="仿宋" w:eastAsia="仿宋" w:cs="宋体"/>
                <w:color w:val="auto"/>
                <w:sz w:val="24"/>
              </w:rPr>
              <w:t>具有一定可行性的得4分；内容阐述较为粗略，措施欠缺合理性，可行性较弱的得2分；无相关内容阐述或不符合项目的不得分。）</w:t>
            </w:r>
          </w:p>
        </w:tc>
        <w:tc>
          <w:tcPr>
            <w:tcW w:w="733" w:type="dxa"/>
            <w:vAlign w:val="center"/>
          </w:tcPr>
          <w:p w14:paraId="42CF8CD0">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6分</w:t>
            </w:r>
          </w:p>
        </w:tc>
      </w:tr>
      <w:tr w14:paraId="7CA6F7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Align w:val="center"/>
          </w:tcPr>
          <w:p w14:paraId="2323C0E1">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5</w:t>
            </w:r>
          </w:p>
        </w:tc>
        <w:tc>
          <w:tcPr>
            <w:tcW w:w="1217" w:type="dxa"/>
            <w:vAlign w:val="center"/>
          </w:tcPr>
          <w:p w14:paraId="2DAB4D28">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服务响应</w:t>
            </w:r>
          </w:p>
        </w:tc>
        <w:tc>
          <w:tcPr>
            <w:tcW w:w="6864" w:type="dxa"/>
            <w:vAlign w:val="center"/>
          </w:tcPr>
          <w:p w14:paraId="1FBBD412">
            <w:pPr>
              <w:pStyle w:val="248"/>
              <w:spacing w:line="276" w:lineRule="auto"/>
              <w:rPr>
                <w:rFonts w:hint="eastAsia" w:ascii="仿宋" w:hAnsi="仿宋" w:eastAsia="仿宋" w:cs="仿宋_GB2312"/>
                <w:color w:val="auto"/>
                <w:sz w:val="24"/>
              </w:rPr>
            </w:pPr>
            <w:r>
              <w:rPr>
                <w:rFonts w:hint="eastAsia" w:ascii="仿宋" w:hAnsi="仿宋" w:eastAsia="仿宋" w:cs="宋体"/>
                <w:color w:val="auto"/>
                <w:sz w:val="24"/>
              </w:rPr>
              <w:t>根据供应商提供的服务响应措施（包括对拟投入的技术人员制定具体服务工作计划、确保技术人员到位以及提供快速服务响应的保障措施）进行综合打分。</w:t>
            </w:r>
            <w:r>
              <w:rPr>
                <w:rFonts w:hint="eastAsia" w:ascii="仿宋" w:hAnsi="仿宋" w:eastAsia="仿宋" w:cs="宋体"/>
                <w:bCs/>
                <w:color w:val="auto"/>
                <w:sz w:val="24"/>
              </w:rPr>
              <w:t>（内容阐述</w:t>
            </w:r>
            <w:r>
              <w:rPr>
                <w:rFonts w:hint="eastAsia" w:ascii="仿宋" w:hAnsi="仿宋" w:eastAsia="仿宋"/>
                <w:color w:val="auto"/>
                <w:sz w:val="24"/>
              </w:rPr>
              <w:t>详细明确、合理可行，总体能够充分保障及时有效服务响应的得</w:t>
            </w:r>
            <w:r>
              <w:rPr>
                <w:rFonts w:hint="eastAsia" w:ascii="仿宋" w:hAnsi="仿宋" w:eastAsia="仿宋" w:cs="宋体"/>
                <w:color w:val="auto"/>
                <w:sz w:val="24"/>
              </w:rPr>
              <w:t>6</w:t>
            </w:r>
            <w:r>
              <w:rPr>
                <w:rFonts w:hint="eastAsia" w:ascii="仿宋" w:hAnsi="仿宋" w:eastAsia="仿宋"/>
                <w:color w:val="auto"/>
                <w:sz w:val="24"/>
              </w:rPr>
              <w:t>分；内容阐述较为详细、较合理可行，总体能较好的保障及时有效服务响应的得</w:t>
            </w:r>
            <w:r>
              <w:rPr>
                <w:rFonts w:hint="eastAsia" w:ascii="仿宋" w:hAnsi="仿宋" w:eastAsia="仿宋" w:cs="宋体"/>
                <w:color w:val="auto"/>
                <w:sz w:val="24"/>
              </w:rPr>
              <w:t>4</w:t>
            </w:r>
            <w:r>
              <w:rPr>
                <w:rFonts w:hint="eastAsia" w:ascii="仿宋" w:hAnsi="仿宋" w:eastAsia="仿宋"/>
                <w:color w:val="auto"/>
                <w:sz w:val="24"/>
              </w:rPr>
              <w:t>分；内容阐述粗略、缺陷较多</w:t>
            </w:r>
            <w:r>
              <w:rPr>
                <w:rFonts w:hint="eastAsia" w:ascii="仿宋" w:hAnsi="仿宋" w:eastAsia="仿宋" w:cs="仿宋_GB2312"/>
                <w:bCs/>
                <w:color w:val="auto"/>
                <w:sz w:val="24"/>
              </w:rPr>
              <w:t>，措施合理可行性欠缺</w:t>
            </w:r>
            <w:r>
              <w:rPr>
                <w:rFonts w:hint="eastAsia" w:ascii="仿宋" w:hAnsi="仿宋" w:eastAsia="仿宋"/>
                <w:color w:val="auto"/>
                <w:sz w:val="24"/>
              </w:rPr>
              <w:t>，总体服务响应保障较为一般的得</w:t>
            </w:r>
            <w:r>
              <w:rPr>
                <w:rFonts w:hint="eastAsia" w:ascii="仿宋" w:hAnsi="仿宋" w:eastAsia="仿宋" w:cs="宋体"/>
                <w:color w:val="auto"/>
                <w:sz w:val="24"/>
              </w:rPr>
              <w:t>2</w:t>
            </w:r>
            <w:r>
              <w:rPr>
                <w:rFonts w:hint="eastAsia" w:ascii="仿宋" w:hAnsi="仿宋" w:eastAsia="仿宋"/>
                <w:color w:val="auto"/>
                <w:sz w:val="24"/>
              </w:rPr>
              <w:t>分；</w:t>
            </w:r>
            <w:r>
              <w:rPr>
                <w:rFonts w:hint="eastAsia" w:ascii="仿宋" w:hAnsi="仿宋" w:eastAsia="仿宋" w:cs="宋体"/>
                <w:color w:val="auto"/>
                <w:sz w:val="24"/>
              </w:rPr>
              <w:t>无相关内容阐述或不符合项目的不得分。）</w:t>
            </w:r>
          </w:p>
        </w:tc>
        <w:tc>
          <w:tcPr>
            <w:tcW w:w="733" w:type="dxa"/>
            <w:vAlign w:val="center"/>
          </w:tcPr>
          <w:p w14:paraId="03C37688">
            <w:pPr>
              <w:spacing w:line="300" w:lineRule="auto"/>
              <w:jc w:val="center"/>
              <w:rPr>
                <w:rFonts w:hint="eastAsia" w:ascii="仿宋" w:hAnsi="仿宋" w:eastAsia="仿宋" w:cs="宋体"/>
                <w:bCs/>
                <w:color w:val="auto"/>
                <w:sz w:val="24"/>
              </w:rPr>
            </w:pPr>
            <w:r>
              <w:rPr>
                <w:rFonts w:hint="eastAsia" w:ascii="仿宋" w:hAnsi="仿宋" w:eastAsia="仿宋" w:cs="宋体"/>
                <w:bCs/>
                <w:color w:val="auto"/>
                <w:sz w:val="24"/>
              </w:rPr>
              <w:t>6分</w:t>
            </w:r>
          </w:p>
        </w:tc>
      </w:tr>
    </w:tbl>
    <w:p w14:paraId="2C72D1C2">
      <w:pPr>
        <w:spacing w:line="30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备注：供应商编制响应文件（商务技术文件部分）时，建议按上述评审细则的顺序提供评分标准中相对应的商务技术资料。</w:t>
      </w:r>
    </w:p>
    <w:p w14:paraId="4BE5BF8A">
      <w:pPr>
        <w:spacing w:line="30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5.特别注明：</w:t>
      </w:r>
    </w:p>
    <w:p w14:paraId="47F1F696">
      <w:pPr>
        <w:spacing w:line="300" w:lineRule="auto"/>
        <w:ind w:firstLine="480" w:firstLineChars="200"/>
        <w:rPr>
          <w:rFonts w:hint="eastAsia" w:ascii="仿宋" w:hAnsi="仿宋" w:eastAsia="仿宋" w:cs="宋体"/>
          <w:iCs/>
          <w:color w:val="auto"/>
          <w:sz w:val="24"/>
          <w:szCs w:val="24"/>
        </w:rPr>
      </w:pPr>
      <w:r>
        <w:rPr>
          <w:rFonts w:hint="eastAsia" w:ascii="仿宋" w:hAnsi="仿宋" w:eastAsia="仿宋" w:cs="宋体"/>
          <w:iCs/>
          <w:color w:val="auto"/>
          <w:sz w:val="24"/>
          <w:szCs w:val="24"/>
        </w:rPr>
        <w:t>（1）本项目两个标项均采用同一商务技术评分细则，按标项1到标项2的先后顺序依次进行评审；</w:t>
      </w:r>
    </w:p>
    <w:p w14:paraId="288DB016">
      <w:pPr>
        <w:spacing w:line="300" w:lineRule="auto"/>
        <w:ind w:firstLine="480" w:firstLineChars="200"/>
        <w:rPr>
          <w:rFonts w:hint="eastAsia" w:ascii="仿宋" w:hAnsi="仿宋" w:eastAsia="仿宋" w:cs="宋体"/>
          <w:b/>
          <w:iCs/>
          <w:color w:val="auto"/>
          <w:sz w:val="24"/>
          <w:szCs w:val="24"/>
        </w:rPr>
      </w:pPr>
      <w:r>
        <w:rPr>
          <w:rFonts w:hint="eastAsia" w:ascii="仿宋" w:hAnsi="仿宋" w:eastAsia="仿宋" w:cs="宋体"/>
          <w:iCs/>
          <w:color w:val="auto"/>
          <w:sz w:val="24"/>
          <w:szCs w:val="24"/>
        </w:rPr>
        <w:t>（2）供应商</w:t>
      </w:r>
      <w:r>
        <w:rPr>
          <w:rFonts w:hint="eastAsia" w:ascii="仿宋" w:hAnsi="仿宋" w:eastAsia="仿宋" w:cs="宋体"/>
          <w:bCs/>
          <w:iCs/>
          <w:color w:val="auto"/>
          <w:sz w:val="24"/>
          <w:szCs w:val="24"/>
        </w:rPr>
        <w:t>可以选择单个或多个标项参与响应，但同一个</w:t>
      </w:r>
      <w:r>
        <w:rPr>
          <w:rFonts w:hint="eastAsia" w:ascii="仿宋" w:hAnsi="仿宋" w:eastAsia="仿宋" w:cs="宋体"/>
          <w:iCs/>
          <w:color w:val="auto"/>
          <w:sz w:val="24"/>
          <w:szCs w:val="24"/>
        </w:rPr>
        <w:t>供应商</w:t>
      </w:r>
      <w:r>
        <w:rPr>
          <w:rFonts w:hint="eastAsia" w:ascii="仿宋" w:hAnsi="仿宋" w:eastAsia="仿宋" w:cs="宋体"/>
          <w:bCs/>
          <w:iCs/>
          <w:color w:val="auto"/>
          <w:sz w:val="24"/>
          <w:szCs w:val="24"/>
        </w:rPr>
        <w:t>最多只能成为其中一个标项的第一成交候选供应商；已在之前任一标项中被推荐为排名第一的成交候选供应商不再进入后续标项的评审。</w:t>
      </w:r>
    </w:p>
    <w:p w14:paraId="5EA8FC6E">
      <w:pPr>
        <w:spacing w:before="312" w:beforeLines="100" w:line="360" w:lineRule="auto"/>
        <w:rPr>
          <w:rFonts w:hint="eastAsia" w:ascii="仿宋" w:hAnsi="仿宋" w:eastAsia="仿宋" w:cs="宋体"/>
          <w:color w:val="auto"/>
          <w:sz w:val="24"/>
          <w:szCs w:val="24"/>
        </w:rPr>
      </w:pPr>
      <w:r>
        <w:rPr>
          <w:rFonts w:hint="eastAsia" w:ascii="仿宋" w:hAnsi="仿宋" w:eastAsia="仿宋" w:cs="宋体"/>
          <w:b/>
          <w:color w:val="auto"/>
          <w:sz w:val="24"/>
          <w:szCs w:val="24"/>
        </w:rPr>
        <w:t>第四部分：采购需求</w:t>
      </w:r>
    </w:p>
    <w:p w14:paraId="13E8E9E5">
      <w:pPr>
        <w:spacing w:line="360" w:lineRule="auto"/>
        <w:ind w:firstLine="480" w:firstLineChars="200"/>
        <w:rPr>
          <w:rFonts w:hint="eastAsia" w:ascii="仿宋" w:hAnsi="仿宋" w:eastAsia="仿宋"/>
          <w:b/>
          <w:color w:val="auto"/>
          <w:sz w:val="24"/>
        </w:rPr>
      </w:pPr>
      <w:r>
        <w:rPr>
          <w:rFonts w:ascii="仿宋" w:hAnsi="仿宋" w:eastAsia="仿宋"/>
          <w:b/>
          <w:color w:val="auto"/>
          <w:sz w:val="24"/>
        </w:rPr>
        <w:t>一、项目概况</w:t>
      </w:r>
    </w:p>
    <w:p w14:paraId="6961B92D">
      <w:pPr>
        <w:spacing w:line="360" w:lineRule="auto"/>
        <w:ind w:firstLine="480"/>
        <w:rPr>
          <w:rFonts w:hint="eastAsia" w:ascii="仿宋" w:hAnsi="仿宋" w:eastAsia="仿宋"/>
          <w:color w:val="auto"/>
          <w:sz w:val="24"/>
        </w:rPr>
      </w:pPr>
      <w:r>
        <w:rPr>
          <w:rFonts w:hint="eastAsia" w:ascii="仿宋" w:hAnsi="仿宋" w:eastAsia="仿宋"/>
          <w:color w:val="auto"/>
          <w:sz w:val="24"/>
        </w:rPr>
        <w:t>1.服务范围</w:t>
      </w:r>
    </w:p>
    <w:p w14:paraId="6509DC05">
      <w:pPr>
        <w:spacing w:line="360" w:lineRule="auto"/>
        <w:ind w:firstLine="480"/>
        <w:rPr>
          <w:rFonts w:hint="eastAsia" w:ascii="仿宋" w:hAnsi="仿宋" w:eastAsia="仿宋"/>
          <w:color w:val="auto"/>
          <w:sz w:val="24"/>
          <w:szCs w:val="24"/>
        </w:rPr>
      </w:pPr>
      <w:r>
        <w:rPr>
          <w:rFonts w:hint="eastAsia" w:ascii="仿宋" w:hAnsi="仿宋" w:eastAsia="仿宋" w:cs="宋体"/>
          <w:color w:val="auto"/>
          <w:sz w:val="24"/>
          <w:szCs w:val="24"/>
        </w:rPr>
        <w:t>诸暨市应店街镇2025-2026年400万以下水利监理服务。</w:t>
      </w:r>
    </w:p>
    <w:p w14:paraId="464AA281">
      <w:pPr>
        <w:spacing w:line="360" w:lineRule="auto"/>
        <w:ind w:firstLine="480"/>
        <w:rPr>
          <w:rFonts w:hint="eastAsia" w:ascii="仿宋" w:hAnsi="仿宋" w:eastAsia="仿宋" w:cs="宋体"/>
          <w:bCs/>
          <w:color w:val="auto"/>
          <w:sz w:val="24"/>
        </w:rPr>
      </w:pPr>
      <w:r>
        <w:rPr>
          <w:rFonts w:hint="eastAsia" w:ascii="仿宋" w:hAnsi="仿宋" w:eastAsia="仿宋" w:cs="宋体"/>
          <w:bCs/>
          <w:color w:val="auto"/>
          <w:sz w:val="24"/>
        </w:rPr>
        <w:t>2.标项划分</w:t>
      </w:r>
    </w:p>
    <w:p w14:paraId="3848FDEA">
      <w:pPr>
        <w:spacing w:line="360" w:lineRule="auto"/>
        <w:ind w:firstLine="360" w:firstLineChars="150"/>
        <w:rPr>
          <w:rFonts w:hint="eastAsia" w:ascii="仿宋" w:hAnsi="仿宋" w:eastAsia="仿宋"/>
          <w:color w:val="auto"/>
          <w:sz w:val="24"/>
          <w:szCs w:val="24"/>
        </w:rPr>
      </w:pPr>
      <w:r>
        <w:rPr>
          <w:rFonts w:hint="eastAsia" w:ascii="仿宋" w:hAnsi="仿宋" w:eastAsia="仿宋"/>
          <w:bCs/>
          <w:color w:val="auto"/>
          <w:sz w:val="24"/>
          <w:szCs w:val="24"/>
        </w:rPr>
        <w:t>（1）</w:t>
      </w:r>
      <w:r>
        <w:rPr>
          <w:rFonts w:ascii="仿宋" w:hAnsi="仿宋" w:eastAsia="仿宋"/>
          <w:color w:val="auto"/>
          <w:sz w:val="24"/>
          <w:szCs w:val="24"/>
        </w:rPr>
        <w:t>【标项一】：</w:t>
      </w:r>
    </w:p>
    <w:p w14:paraId="6341C5AF">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采购预算金额（元）：</w:t>
      </w:r>
      <w:r>
        <w:rPr>
          <w:rFonts w:hint="eastAsia" w:ascii="仿宋" w:hAnsi="仿宋" w:eastAsia="仿宋" w:cs="宋体"/>
          <w:bCs/>
          <w:color w:val="auto"/>
          <w:sz w:val="24"/>
        </w:rPr>
        <w:t>300000。</w:t>
      </w:r>
    </w:p>
    <w:p w14:paraId="6D49B5F2">
      <w:pPr>
        <w:spacing w:line="360" w:lineRule="auto"/>
        <w:ind w:firstLine="480" w:firstLineChars="200"/>
        <w:rPr>
          <w:rFonts w:hint="eastAsia" w:ascii="仿宋" w:hAnsi="仿宋" w:eastAsia="仿宋"/>
          <w:bCs/>
          <w:color w:val="auto"/>
          <w:sz w:val="24"/>
          <w:szCs w:val="24"/>
        </w:rPr>
      </w:pPr>
      <w:r>
        <w:rPr>
          <w:rFonts w:ascii="仿宋" w:hAnsi="仿宋" w:eastAsia="仿宋"/>
          <w:bCs/>
          <w:color w:val="auto"/>
          <w:sz w:val="24"/>
          <w:szCs w:val="24"/>
        </w:rPr>
        <w:t>备注：数量</w:t>
      </w:r>
      <w:r>
        <w:rPr>
          <w:rFonts w:hint="eastAsia" w:ascii="仿宋" w:hAnsi="仿宋" w:eastAsia="仿宋"/>
          <w:color w:val="auto"/>
          <w:sz w:val="24"/>
        </w:rPr>
        <w:t>按实结算；年度服务期限内，成交供应商监理费累计结算金额最高不超过采购预算金额。</w:t>
      </w:r>
    </w:p>
    <w:p w14:paraId="3FD5E9EB">
      <w:pPr>
        <w:spacing w:line="360" w:lineRule="auto"/>
        <w:ind w:firstLine="480" w:firstLineChars="200"/>
        <w:rPr>
          <w:rFonts w:hint="eastAsia" w:ascii="仿宋" w:hAnsi="仿宋" w:eastAsia="仿宋" w:cs="宋体"/>
          <w:color w:val="auto"/>
          <w:sz w:val="24"/>
          <w:szCs w:val="24"/>
        </w:rPr>
      </w:pPr>
      <w:r>
        <w:rPr>
          <w:rFonts w:hint="eastAsia" w:ascii="仿宋" w:hAnsi="仿宋" w:eastAsia="仿宋"/>
          <w:bCs/>
          <w:color w:val="auto"/>
          <w:sz w:val="24"/>
          <w:szCs w:val="24"/>
        </w:rPr>
        <w:t>实施区域：</w:t>
      </w:r>
      <w:r>
        <w:rPr>
          <w:rFonts w:hint="eastAsia" w:ascii="仿宋" w:hAnsi="仿宋" w:eastAsia="仿宋" w:cs="宋体"/>
          <w:i/>
          <w:color w:val="auto"/>
          <w:sz w:val="24"/>
          <w:szCs w:val="24"/>
          <w:u w:val="single"/>
        </w:rPr>
        <w:t>十二都片区、云石片区</w:t>
      </w:r>
      <w:r>
        <w:rPr>
          <w:rFonts w:hint="eastAsia" w:ascii="仿宋" w:hAnsi="仿宋" w:eastAsia="仿宋" w:cs="宋体"/>
          <w:color w:val="auto"/>
          <w:sz w:val="24"/>
          <w:szCs w:val="24"/>
        </w:rPr>
        <w:t>。</w:t>
      </w:r>
    </w:p>
    <w:p w14:paraId="0C7BB085">
      <w:pPr>
        <w:spacing w:line="360" w:lineRule="auto"/>
        <w:ind w:firstLine="360" w:firstLineChars="150"/>
        <w:rPr>
          <w:rFonts w:hint="eastAsia" w:ascii="仿宋" w:hAnsi="仿宋" w:eastAsia="仿宋"/>
          <w:color w:val="auto"/>
          <w:sz w:val="24"/>
          <w:szCs w:val="24"/>
        </w:rPr>
      </w:pPr>
      <w:r>
        <w:rPr>
          <w:rFonts w:hint="eastAsia" w:ascii="仿宋" w:hAnsi="仿宋" w:eastAsia="仿宋" w:cs="宋体"/>
          <w:color w:val="auto"/>
          <w:sz w:val="24"/>
          <w:szCs w:val="24"/>
        </w:rPr>
        <w:t>（2）</w:t>
      </w:r>
      <w:r>
        <w:rPr>
          <w:rFonts w:ascii="仿宋" w:hAnsi="仿宋" w:eastAsia="仿宋"/>
          <w:color w:val="auto"/>
          <w:sz w:val="24"/>
          <w:szCs w:val="24"/>
        </w:rPr>
        <w:t>【标项二】：</w:t>
      </w:r>
    </w:p>
    <w:p w14:paraId="002F911F">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采购预算金额（元）：</w:t>
      </w:r>
      <w:r>
        <w:rPr>
          <w:rFonts w:hint="eastAsia" w:ascii="仿宋" w:hAnsi="仿宋" w:eastAsia="仿宋" w:cs="宋体"/>
          <w:bCs/>
          <w:color w:val="auto"/>
          <w:sz w:val="24"/>
        </w:rPr>
        <w:t>300000。</w:t>
      </w:r>
    </w:p>
    <w:p w14:paraId="3BDF0B95">
      <w:pPr>
        <w:spacing w:line="360" w:lineRule="auto"/>
        <w:ind w:firstLine="480" w:firstLineChars="200"/>
        <w:rPr>
          <w:rFonts w:hint="eastAsia" w:ascii="仿宋" w:hAnsi="仿宋" w:eastAsia="仿宋"/>
          <w:bCs/>
          <w:color w:val="auto"/>
          <w:sz w:val="24"/>
          <w:szCs w:val="24"/>
        </w:rPr>
      </w:pPr>
      <w:r>
        <w:rPr>
          <w:rFonts w:ascii="仿宋" w:hAnsi="仿宋" w:eastAsia="仿宋"/>
          <w:bCs/>
          <w:color w:val="auto"/>
          <w:sz w:val="24"/>
          <w:szCs w:val="24"/>
        </w:rPr>
        <w:t>备注：数量</w:t>
      </w:r>
      <w:r>
        <w:rPr>
          <w:rFonts w:hint="eastAsia" w:ascii="仿宋" w:hAnsi="仿宋" w:eastAsia="仿宋"/>
          <w:color w:val="auto"/>
          <w:sz w:val="24"/>
        </w:rPr>
        <w:t>按实结算；年度服务期限内，成交供应商监理费累计结算金额最高不超过采购预算金额。</w:t>
      </w:r>
    </w:p>
    <w:p w14:paraId="76CC2B3E">
      <w:pPr>
        <w:spacing w:line="360" w:lineRule="auto"/>
        <w:ind w:firstLine="480"/>
        <w:rPr>
          <w:rFonts w:hint="eastAsia" w:ascii="仿宋" w:hAnsi="仿宋" w:eastAsia="仿宋" w:cs="宋体"/>
          <w:bCs/>
          <w:color w:val="auto"/>
          <w:sz w:val="24"/>
        </w:rPr>
      </w:pPr>
      <w:r>
        <w:rPr>
          <w:rFonts w:hint="eastAsia" w:ascii="仿宋" w:hAnsi="仿宋" w:eastAsia="仿宋"/>
          <w:bCs/>
          <w:color w:val="auto"/>
          <w:sz w:val="24"/>
          <w:szCs w:val="24"/>
        </w:rPr>
        <w:t>实施区域：</w:t>
      </w:r>
      <w:r>
        <w:rPr>
          <w:rFonts w:ascii="仿宋" w:hAnsi="仿宋" w:eastAsia="仿宋" w:cs="宋体"/>
          <w:i/>
          <w:color w:val="auto"/>
          <w:sz w:val="24"/>
          <w:u w:val="single"/>
        </w:rPr>
        <w:t>应店街片区、</w:t>
      </w:r>
      <w:r>
        <w:rPr>
          <w:rFonts w:hint="eastAsia" w:ascii="仿宋" w:hAnsi="仿宋" w:eastAsia="仿宋" w:cs="宋体"/>
          <w:i/>
          <w:color w:val="auto"/>
          <w:sz w:val="24"/>
          <w:u w:val="single"/>
        </w:rPr>
        <w:t>紫阆片区</w:t>
      </w:r>
      <w:r>
        <w:rPr>
          <w:rFonts w:hint="eastAsia" w:ascii="仿宋" w:hAnsi="仿宋" w:eastAsia="仿宋" w:cs="宋体"/>
          <w:color w:val="auto"/>
          <w:sz w:val="24"/>
          <w:szCs w:val="24"/>
        </w:rPr>
        <w:t>。</w:t>
      </w:r>
    </w:p>
    <w:p w14:paraId="11A3E921">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3.服务期限</w:t>
      </w:r>
    </w:p>
    <w:p w14:paraId="5833575A">
      <w:pPr>
        <w:spacing w:line="360" w:lineRule="auto"/>
        <w:ind w:firstLine="480"/>
        <w:rPr>
          <w:rFonts w:hint="eastAsia" w:ascii="仿宋" w:hAnsi="仿宋" w:eastAsia="仿宋" w:cs="宋体"/>
          <w:color w:val="auto"/>
          <w:sz w:val="24"/>
          <w:szCs w:val="24"/>
        </w:rPr>
      </w:pPr>
      <w:r>
        <w:rPr>
          <w:rFonts w:hint="eastAsia" w:ascii="仿宋" w:hAnsi="仿宋" w:eastAsia="仿宋" w:cs="仿宋"/>
          <w:color w:val="auto"/>
          <w:sz w:val="24"/>
          <w:szCs w:val="24"/>
        </w:rPr>
        <w:t>服务期限（以先到为准）：自合同签订之日起1年或监理费累计结算金额</w:t>
      </w:r>
      <w:r>
        <w:rPr>
          <w:rFonts w:hint="eastAsia" w:ascii="仿宋" w:hAnsi="仿宋" w:eastAsia="仿宋" w:cs="宋体"/>
          <w:color w:val="auto"/>
          <w:sz w:val="24"/>
          <w:szCs w:val="24"/>
        </w:rPr>
        <w:t>达到采购预算金额满止。</w:t>
      </w:r>
    </w:p>
    <w:p w14:paraId="44AAF2A9">
      <w:pPr>
        <w:spacing w:line="360" w:lineRule="auto"/>
        <w:ind w:firstLine="480"/>
        <w:rPr>
          <w:rFonts w:hint="eastAsia" w:ascii="仿宋" w:hAnsi="仿宋" w:eastAsia="仿宋" w:cs="宋体"/>
          <w:color w:val="auto"/>
          <w:sz w:val="24"/>
          <w:szCs w:val="24"/>
        </w:rPr>
      </w:pPr>
      <w:r>
        <w:rPr>
          <w:rFonts w:hint="eastAsia" w:ascii="仿宋" w:hAnsi="仿宋" w:eastAsia="仿宋" w:cs="仿宋"/>
          <w:color w:val="auto"/>
          <w:sz w:val="24"/>
          <w:szCs w:val="24"/>
        </w:rPr>
        <w:t>注：如在服务期内已委托的监理项目，在服务期满时未结束的，监理单位必须服务至该项目质量保修期满。服务期内，如监理不到位出现工程质量不符合法律法规等相关规定及工程事故的，采购方有权单方面解除合同，监理单位必须承担由此给采购方造成的损失。</w:t>
      </w:r>
    </w:p>
    <w:p w14:paraId="6D2C0480">
      <w:pPr>
        <w:spacing w:line="360" w:lineRule="auto"/>
        <w:ind w:firstLine="480" w:firstLineChars="200"/>
        <w:rPr>
          <w:rFonts w:hint="eastAsia" w:ascii="仿宋" w:hAnsi="仿宋" w:eastAsia="仿宋"/>
          <w:b/>
          <w:color w:val="auto"/>
          <w:sz w:val="24"/>
        </w:rPr>
      </w:pPr>
      <w:r>
        <w:rPr>
          <w:rFonts w:ascii="仿宋" w:hAnsi="仿宋" w:eastAsia="仿宋"/>
          <w:b/>
          <w:color w:val="auto"/>
          <w:sz w:val="24"/>
        </w:rPr>
        <w:t>二、服务内容及要求</w:t>
      </w:r>
    </w:p>
    <w:p w14:paraId="4CB58ACD">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1.工程监理工作范围（包含但不限于）：</w:t>
      </w:r>
    </w:p>
    <w:p w14:paraId="6B9AAE51">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工程实施过程中的质量控制、进度控制、投资控制、变更控制、组织协调、合同管理、信息管理、安全管理，协调工程项目建设单位与工程建设有关各方的工作关系，以及工作缺陷责任期内等所有的建设内容的全过程施工监理工作。具体监理工作应严格按《建设工程监理规范》</w:t>
      </w:r>
      <w:r>
        <w:rPr>
          <w:rFonts w:hint="eastAsia" w:ascii="仿宋" w:hAnsi="仿宋" w:eastAsia="仿宋"/>
          <w:bCs/>
          <w:color w:val="auto"/>
        </w:rPr>
        <w:t>(GB/T50319-2013)、</w:t>
      </w:r>
      <w:r>
        <w:rPr>
          <w:rFonts w:hint="eastAsia" w:ascii="仿宋" w:hAnsi="仿宋" w:eastAsia="仿宋"/>
          <w:bCs/>
          <w:color w:val="auto"/>
          <w:sz w:val="24"/>
          <w:szCs w:val="24"/>
        </w:rPr>
        <w:t>本采购需求的专用监理要求及相关法律、法规要求</w:t>
      </w:r>
      <w:r>
        <w:rPr>
          <w:rFonts w:hint="eastAsia" w:ascii="仿宋" w:hAnsi="仿宋" w:eastAsia="仿宋" w:cs="仿宋"/>
          <w:color w:val="auto"/>
          <w:sz w:val="24"/>
          <w:szCs w:val="24"/>
        </w:rPr>
        <w:t>组织实施。具体监理项目根据采购人委托确认。</w:t>
      </w:r>
    </w:p>
    <w:p w14:paraId="281E3D15">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2.工程监理服务内容（包含但不限于）：</w:t>
      </w:r>
    </w:p>
    <w:p w14:paraId="2B1A1896">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2.1监理人派出与工程规模相适应的监理班子，做好工程的监理工作。监理人必须按照国家和有关建设工程监理规定进行监理，代表建设单位对工程建设进行全过程、全方位监理,监理人按自行职责对工程质量终身负责。</w:t>
      </w:r>
    </w:p>
    <w:p w14:paraId="232DF0AF">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2.2监理工作人员不得与承包工程的有关承包人及其施工管理人员及材料设备供应商发生经济利益关系。</w:t>
      </w:r>
    </w:p>
    <w:p w14:paraId="34773A46">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2.3监理人应配备经验丰富的专业技术人员审核施工图纸的设计质量，对设计存在的不合理、不完整、不准确、不安全等情况应及时书面向建设单位和设计单位提出修正意见。</w:t>
      </w:r>
    </w:p>
    <w:p w14:paraId="5D035AF5">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2.4严把施工质量关。监理人应按施工进度编制监理规划和各专业及分部施工实施细则。掌握好各个施工环节，在整个施工过程中要认真检查、督促施工单位严格执行国家和省颁布的有关建筑工程施工验收规范和工程技术标准，并根据施工工序进行全程旁站监理、拍照存档，杜绝偷工减料和粗制滥造。</w:t>
      </w:r>
    </w:p>
    <w:p w14:paraId="64C54670">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2.5协助建设单位审核施工图的设计和概(预)算,参与主持组织图纸会审,做好记录,写出会审纪要。</w:t>
      </w:r>
    </w:p>
    <w:p w14:paraId="7F2C23EE">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2.6参与建设单位与施工承包商签订施工承包合同,审核施工进度计划，并在实施过程中检查、督促承包商严格按合同和施工规范、工程技术标准、设计要求进行施工，监督承包商现场施工管理。</w:t>
      </w:r>
    </w:p>
    <w:p w14:paraId="5B6B5B38">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2.7协助建设单位做好开工前准备，审批开工报告，复核灰线，经业主同意下达开工令。</w:t>
      </w:r>
    </w:p>
    <w:p w14:paraId="409753A0">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2.8审查承包商采购清单及样品的品牌、质量和价格，检查工程使用材料、构件、设备的规格、质量与数量。督促承包商编制材料的供需计划，协助业主安排甲供材料的供应计划。</w:t>
      </w:r>
    </w:p>
    <w:p w14:paraId="08700AA1">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2.9按建设单位意见，办理设计与施工变更联系单，把好监理关，并负责对施工变更的签证、复核，主持施工图交底，参与设计变更的签证。工程变更的签证须经监理人拟派的注册造价师审核，并由总监签字确认。</w:t>
      </w:r>
    </w:p>
    <w:p w14:paraId="4D546C5F">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2.10主持召开工程协调会议，并做好会议纪要，调解有关工程建设各种合同争议，处理索赔事项。</w:t>
      </w:r>
    </w:p>
    <w:p w14:paraId="3ACE66F5">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2.11检查安全防护措施和文明施工,检查督促工程进度、施工质量。</w:t>
      </w:r>
    </w:p>
    <w:p w14:paraId="1B5094CE">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2.12督促施工方及时整理技术资料及竣工验收资料。</w:t>
      </w:r>
    </w:p>
    <w:p w14:paraId="7D696778">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2.13协助建设单位对工程投资进行控制，对施工单位提出的付款申请进行审核签发，参加审核工程结算，协助建设单位审核工程造价，努力降低工程费用。</w:t>
      </w:r>
    </w:p>
    <w:p w14:paraId="4FB34F1E">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2.14做好工程项目监理总结，及时提供完整的监理资料（一式二份原件），定期编制监理简报。</w:t>
      </w:r>
    </w:p>
    <w:p w14:paraId="2CEF1AB9">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2.15负责隐蔽工程、分部、分项工程和工程计量工作，协助建设单位组织竣工初验和竣工验收，提交竣工验收报告。</w:t>
      </w:r>
    </w:p>
    <w:p w14:paraId="6BE10977">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2.16负责各种技术资料的收集、整理工作，及时提供完整的施工技术档案资料一式三份原件。</w:t>
      </w:r>
    </w:p>
    <w:p w14:paraId="33350767">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2.17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14:paraId="1469C6EC">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2.18完成监理规范要求的其他工作内容。</w:t>
      </w:r>
    </w:p>
    <w:p w14:paraId="390110A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3.项目成果</w:t>
      </w:r>
    </w:p>
    <w:p w14:paraId="78E94E27">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3.1成果报告：质量评估报告、监理合同、监理会议纪要、监理日志、采购人及建设单位要求提供的有关文件及资料。</w:t>
      </w:r>
    </w:p>
    <w:p w14:paraId="29682CCC">
      <w:pPr>
        <w:spacing w:line="360" w:lineRule="auto"/>
        <w:ind w:firstLine="480"/>
        <w:rPr>
          <w:rFonts w:hint="eastAsia" w:ascii="仿宋" w:hAnsi="仿宋" w:eastAsia="仿宋" w:cs="仿宋"/>
          <w:b/>
          <w:color w:val="auto"/>
          <w:sz w:val="24"/>
          <w:szCs w:val="24"/>
        </w:rPr>
      </w:pPr>
      <w:r>
        <w:rPr>
          <w:rFonts w:hint="eastAsia" w:ascii="仿宋" w:hAnsi="仿宋" w:eastAsia="仿宋" w:cs="仿宋"/>
          <w:color w:val="auto"/>
          <w:sz w:val="24"/>
          <w:szCs w:val="24"/>
        </w:rPr>
        <w:t>3.2成果报告份数：具体文件、资料、份数等成果及数量以采购人及建设单位实际要求为准。</w:t>
      </w:r>
    </w:p>
    <w:p w14:paraId="1C8B670D">
      <w:pPr>
        <w:spacing w:line="360" w:lineRule="auto"/>
        <w:ind w:firstLine="480" w:firstLineChars="200"/>
        <w:rPr>
          <w:rFonts w:hint="eastAsia" w:ascii="仿宋" w:hAnsi="仿宋" w:eastAsia="仿宋" w:cs="仿宋"/>
          <w:b/>
          <w:color w:val="auto"/>
          <w:sz w:val="24"/>
          <w:szCs w:val="24"/>
        </w:rPr>
      </w:pPr>
      <w:r>
        <w:rPr>
          <w:rFonts w:ascii="仿宋" w:hAnsi="仿宋" w:eastAsia="仿宋" w:cs="仿宋"/>
          <w:b/>
          <w:color w:val="auto"/>
          <w:sz w:val="24"/>
          <w:szCs w:val="24"/>
        </w:rPr>
        <w:t>三、其它要求</w:t>
      </w:r>
    </w:p>
    <w:p w14:paraId="2AFD288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1.监理单位应组建满足工作需要的项目监理机构，配备必要的检测设备。项目监理机构的主要人员应具有相应的资格条件。</w:t>
      </w:r>
    </w:p>
    <w:p w14:paraId="4D079AF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总监理工程师及重要岗位监理人员应保持相对稳定，以保证监理工作正常进行，未经采购人书面同意，不得更换前述工作人员；监理单位可根据工程进展和工作需要调整项目监理机构人员，监理单位更换项目监理机构其他监理人员，并先书面通知采购人，经采购人书面确认同意后方可更换或调整，并且更换或调整人员的资格与能力应当满足该阶段项目监理工作的要求。</w:t>
      </w:r>
    </w:p>
    <w:p w14:paraId="37D158E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3.因工程项目进展需要，采购人提出增加管理人员时，监理方必须保证及时补充符合要求的监理人员。</w:t>
      </w:r>
    </w:p>
    <w:p w14:paraId="754CD8A7">
      <w:pPr>
        <w:spacing w:line="360" w:lineRule="auto"/>
        <w:ind w:firstLine="480" w:firstLineChars="200"/>
        <w:rPr>
          <w:rFonts w:hint="eastAsia" w:ascii="宋体" w:hAnsi="宋体" w:cs="宋体"/>
          <w:color w:val="auto"/>
          <w:sz w:val="24"/>
        </w:rPr>
      </w:pPr>
      <w:r>
        <w:rPr>
          <w:rFonts w:hint="eastAsia" w:ascii="仿宋" w:hAnsi="仿宋" w:eastAsia="仿宋" w:cs="仿宋"/>
          <w:color w:val="auto"/>
          <w:sz w:val="24"/>
          <w:szCs w:val="24"/>
        </w:rPr>
        <w:t>4.监理单位在监理过程中应独立地进行检测、检验、试验工作，即施工单位须做的检测、检验、试验项目，经过监理单位的旁站见证或独立检测、检验、试验后，能足以客观反映施工单位所做的检测、检验、试验项目数据及工程质量的真实情况。</w:t>
      </w:r>
    </w:p>
    <w:p w14:paraId="2020821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监理单位在监理过程中不得使用施工单位的任何仪器、设备，不得使用施工单位的任何技术资料，不得与施工单位送到同一检测中心（站）进行检测。施工过程中的各类测量复核、设备安装等检测测试工作，均应按国家相关规定组织实施，监理单位与施工单位的测试数据不得相互套用。</w:t>
      </w:r>
    </w:p>
    <w:p w14:paraId="1A2B9D4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6.监理单位提供的资料应符合《建设工程监理规范》</w:t>
      </w:r>
      <w:r>
        <w:rPr>
          <w:rFonts w:hint="eastAsia" w:ascii="仿宋" w:hAnsi="仿宋" w:eastAsia="仿宋"/>
          <w:bCs/>
          <w:color w:val="auto"/>
        </w:rPr>
        <w:t>(GB/T50319-2013)</w:t>
      </w:r>
      <w:r>
        <w:rPr>
          <w:rFonts w:hint="eastAsia" w:ascii="仿宋" w:hAnsi="仿宋" w:eastAsia="仿宋" w:cs="仿宋"/>
          <w:color w:val="auto"/>
          <w:sz w:val="24"/>
          <w:szCs w:val="24"/>
        </w:rPr>
        <w:t>之规定，同时需满足采购人针对工程档案资料提交的相关要求与规定。</w:t>
      </w:r>
    </w:p>
    <w:p w14:paraId="163D560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7.如因监理单位过失而造成采购人的经济损失，应当向采购人进行赔偿。</w:t>
      </w:r>
    </w:p>
    <w:p w14:paraId="4A193A7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8.如监理单位对施工单位上报的已完工作量未能准确复核，并签署了与实际不符的工作量的工程进度付款凭证，采购人将追究其责任，对由此造成的损失应当向采购人进行赔偿。</w:t>
      </w:r>
    </w:p>
    <w:p w14:paraId="44E4690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派驻现场的监理有关人员如需变更的，在建设单位同意的基础上，需符合诸暨市住建局发布的《关于加强全市房屋建筑与市政基础设施工程施工现场关键岗位人员管理的通知》第二大点“严格施工现场关键岗位人员变更管理”中关于关键岗位人员可予变更的条件，并向主管部门完成审批备案等手续，在变更手续完成前，原岗位人员不得擅自离岗。</w:t>
      </w:r>
    </w:p>
    <w:p w14:paraId="099E192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四、监理人管理要求：</w:t>
      </w:r>
    </w:p>
    <w:p w14:paraId="1138687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监理单位在工程监理中存在以下情况的，除扣除相应监理费外（监理费不足部分在履约保证金中扣除），建设单位有权终止合同，并把不良行为上报主管部门：</w:t>
      </w:r>
    </w:p>
    <w:p w14:paraId="3C0CF2B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1.在工程中对工程质量、造价、进度等监理时弄虚作假损害业主利益的，一经查实，每发现一例，视情节严重程度扣除该工程监理费的15%-30%。</w:t>
      </w:r>
    </w:p>
    <w:p w14:paraId="57C7A9D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根据监理规范必须旁站的关键部位及关键工序须有专业监理工程师或总监进行旁站，并做好旁站、隐蔽工程记录及监理日记，记录可用文字及影像的形式。专业监理工程师除了每天必须进行巡查外，须督促施工单位严格按图施工，发现问题及时处理，并报总监及发包人现场管理人员。如没有做好相关记录的视情扣除监理费500-2000元，如监理工程师没有按要求进行旁站的每查到一次：第一次扣除500元；第二次扣除1000元；第三次扣除2000元；三次（不含）以上采购人有权解除监理合同，并由监理人承担一切责任。</w:t>
      </w:r>
    </w:p>
    <w:p w14:paraId="21CAD39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加强对施工中安全问题的监督，如施工中发现安全隐患，应及时向采购人报告，并及时要求施工单位整改。因监理工作不到位引起施工安全问题的，每起扣除监理费1000—5000元不等；如造成施工安全事故的，除扣除全部监理费外将提请建设行政主管部门依法处理。</w:t>
      </w:r>
    </w:p>
    <w:p w14:paraId="7D248D8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4.监理人员在审核工程洽商、设计变更单、工程变更单时应及时认真核对招标文件、施工合同、施工图纸、现场监理记录、预算及市场价格等，确保工程量属实</w:t>
      </w:r>
      <w:r>
        <w:rPr>
          <w:rFonts w:hint="eastAsia" w:ascii="仿宋" w:hAnsi="仿宋" w:eastAsia="仿宋" w:cs="仿宋"/>
          <w:b/>
          <w:bCs/>
          <w:color w:val="auto"/>
          <w:sz w:val="24"/>
          <w:szCs w:val="24"/>
        </w:rPr>
        <w:t>、</w:t>
      </w:r>
      <w:r>
        <w:rPr>
          <w:rFonts w:hint="eastAsia" w:ascii="仿宋" w:hAnsi="仿宋" w:eastAsia="仿宋" w:cs="仿宋"/>
          <w:color w:val="auto"/>
          <w:sz w:val="24"/>
          <w:szCs w:val="24"/>
        </w:rPr>
        <w:t>工程费用合理合规。监理人必须督促施工单位及时上报工程洽商、工程变更单，一般的洽商、变更必须在施工单位上报后7天内签署或提出意见，否则每发生一次扣除监理费500元。若由于监理人员工作疏忽导致核定的变更明显有误或不合理的，一经认定，每发生一例，即扣除监理费500元。扣罚款累计超过监理项目合同价的50%的，采购人有权解除合同，并且由此造成的损失由监理人承担一切责任。</w:t>
      </w:r>
    </w:p>
    <w:p w14:paraId="7E55E13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项目监理机构人员必须严格按照国家、行业及有关要求履行职责，必须严格实行指纹考勤制度，保证人员到岗到位。施工期间，专业监理人员必须到岗，实行指纹考勤与抽查相结合的办法，出勤率不得低于采购单位要求。</w:t>
      </w:r>
      <w:r>
        <w:rPr>
          <w:rFonts w:ascii="仿宋" w:hAnsi="仿宋" w:eastAsia="仿宋" w:cs="仿宋"/>
          <w:color w:val="auto"/>
          <w:sz w:val="24"/>
          <w:szCs w:val="24"/>
        </w:rPr>
        <w:t>监理机构人员出勤天数未达到规定的每缺勤1天或虽已按指纹但经抽查不在岗</w:t>
      </w:r>
      <w:r>
        <w:rPr>
          <w:rFonts w:hint="eastAsia" w:ascii="仿宋" w:hAnsi="仿宋" w:eastAsia="仿宋" w:cs="仿宋"/>
          <w:color w:val="auto"/>
          <w:sz w:val="24"/>
          <w:szCs w:val="24"/>
        </w:rPr>
        <w:t>，按以下方式扣除监理费：总监理工程师每次扣除3000元、专业监理工程师和监理员每次扣除1000元。监理企业项目部所有专业监理人员在项目监理期内缺勤或脱岗累计达5人次（含）以上的</w:t>
      </w:r>
      <w:r>
        <w:rPr>
          <w:rFonts w:ascii="仿宋" w:hAnsi="仿宋" w:eastAsia="仿宋" w:cs="仿宋"/>
          <w:color w:val="auto"/>
          <w:spacing w:val="-3"/>
          <w:sz w:val="24"/>
          <w:szCs w:val="24"/>
        </w:rPr>
        <w:t>，</w:t>
      </w:r>
      <w:r>
        <w:rPr>
          <w:rFonts w:ascii="仿宋" w:hAnsi="仿宋" w:eastAsia="仿宋" w:cs="仿宋"/>
          <w:color w:val="auto"/>
          <w:sz w:val="24"/>
          <w:szCs w:val="24"/>
        </w:rPr>
        <w:t>采购人有权解除监理合同，所造成的损失由监理方承担。（请假必须办理书面请假手续，其它请假方式一律视为缺勤或脱岗处理）</w:t>
      </w:r>
    </w:p>
    <w:p w14:paraId="3FAEA45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6.以下情况一经证实，采购人有权解除监理合同（没收履约保证金）并向上级主管部门通报：</w:t>
      </w:r>
    </w:p>
    <w:p w14:paraId="29E4A7C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（1）监理人员向施工单位索贿的，包括要求报销发票、索要财物等。</w:t>
      </w:r>
    </w:p>
    <w:p w14:paraId="440654C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（2）监理人员向施工单位强行推销施工材料的。</w:t>
      </w:r>
    </w:p>
    <w:p w14:paraId="41EEAF4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（3）如出现监理单位签证联系单与实际发生工程量不符的。</w:t>
      </w:r>
    </w:p>
    <w:p w14:paraId="7CC6387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7.工程通过验收后，监理单位必须先向采购人提交监理资料，再申请监理费。如监理单位未能及时提交的，采购人有权不支付监理费，并作出相应处罚措施。</w:t>
      </w:r>
    </w:p>
    <w:p w14:paraId="5B70FDA1">
      <w:pPr>
        <w:spacing w:line="360" w:lineRule="auto"/>
        <w:ind w:firstLine="480" w:firstLineChars="200"/>
        <w:rPr>
          <w:rFonts w:hint="eastAsia" w:ascii="仿宋" w:hAnsi="仿宋" w:eastAsia="仿宋" w:cs="仿宋"/>
          <w:b/>
          <w:color w:val="auto"/>
          <w:sz w:val="24"/>
          <w:szCs w:val="24"/>
        </w:rPr>
      </w:pPr>
      <w:r>
        <w:rPr>
          <w:rFonts w:ascii="仿宋" w:hAnsi="仿宋" w:eastAsia="仿宋" w:cs="仿宋"/>
          <w:b/>
          <w:color w:val="auto"/>
          <w:sz w:val="24"/>
          <w:szCs w:val="24"/>
        </w:rPr>
        <w:t>五、验收</w:t>
      </w:r>
    </w:p>
    <w:p w14:paraId="18BEDF9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严格遵循国家和行业质量验收相关规范、标准执行。</w:t>
      </w:r>
    </w:p>
    <w:p w14:paraId="6D9425A7">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w:t>
      </w:r>
      <w:r>
        <w:rPr>
          <w:rFonts w:ascii="仿宋" w:hAnsi="仿宋" w:eastAsia="仿宋" w:cs="仿宋"/>
          <w:b/>
          <w:color w:val="auto"/>
          <w:sz w:val="24"/>
          <w:szCs w:val="24"/>
        </w:rPr>
        <w:t>、履约保证金</w:t>
      </w:r>
      <w:r>
        <w:rPr>
          <w:rFonts w:hint="eastAsia" w:ascii="仿宋" w:hAnsi="仿宋" w:eastAsia="仿宋" w:cs="仿宋"/>
          <w:b/>
          <w:color w:val="auto"/>
          <w:sz w:val="24"/>
          <w:szCs w:val="24"/>
        </w:rPr>
        <w:t>及</w:t>
      </w:r>
      <w:r>
        <w:rPr>
          <w:rFonts w:ascii="仿宋" w:hAnsi="仿宋" w:eastAsia="仿宋" w:cs="仿宋"/>
          <w:b/>
          <w:color w:val="auto"/>
          <w:sz w:val="24"/>
          <w:szCs w:val="24"/>
        </w:rPr>
        <w:t>付款方式</w:t>
      </w:r>
    </w:p>
    <w:p w14:paraId="67755F4B">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1.履约保证金：</w:t>
      </w:r>
      <w:r>
        <w:rPr>
          <w:rFonts w:hint="eastAsia" w:ascii="仿宋" w:hAnsi="仿宋" w:eastAsia="仿宋"/>
          <w:color w:val="auto"/>
          <w:sz w:val="24"/>
          <w:szCs w:val="24"/>
        </w:rPr>
        <w:t>合同签订之日起7个工作日内，成交供应商须向采购人缴纳履约保证金：</w:t>
      </w:r>
      <w:r>
        <w:rPr>
          <w:rFonts w:hint="eastAsia" w:ascii="仿宋" w:hAnsi="仿宋" w:eastAsia="仿宋"/>
          <w:i/>
          <w:color w:val="auto"/>
          <w:sz w:val="24"/>
          <w:szCs w:val="24"/>
          <w:u w:val="single"/>
        </w:rPr>
        <w:t>【标项1】</w:t>
      </w:r>
      <w:r>
        <w:rPr>
          <w:rFonts w:hint="eastAsia" w:ascii="仿宋" w:hAnsi="仿宋" w:eastAsia="仿宋" w:cs="宋体"/>
          <w:bCs/>
          <w:i/>
          <w:color w:val="auto"/>
          <w:sz w:val="24"/>
          <w:szCs w:val="24"/>
          <w:u w:val="single"/>
        </w:rPr>
        <w:t>为人民币叁仟元整；</w:t>
      </w:r>
      <w:r>
        <w:rPr>
          <w:rFonts w:hint="eastAsia" w:ascii="仿宋" w:hAnsi="仿宋" w:eastAsia="仿宋"/>
          <w:i/>
          <w:color w:val="auto"/>
          <w:sz w:val="24"/>
          <w:szCs w:val="24"/>
          <w:u w:val="single"/>
        </w:rPr>
        <w:t>【标项2】</w:t>
      </w:r>
      <w:r>
        <w:rPr>
          <w:rFonts w:hint="eastAsia" w:ascii="仿宋" w:hAnsi="仿宋" w:eastAsia="仿宋" w:cs="宋体"/>
          <w:bCs/>
          <w:i/>
          <w:color w:val="auto"/>
          <w:sz w:val="24"/>
          <w:szCs w:val="24"/>
          <w:u w:val="single"/>
        </w:rPr>
        <w:t>为人民币叁仟元整</w:t>
      </w:r>
      <w:r>
        <w:rPr>
          <w:rFonts w:hint="eastAsia" w:ascii="仿宋" w:hAnsi="仿宋" w:eastAsia="仿宋"/>
          <w:color w:val="auto"/>
          <w:sz w:val="24"/>
          <w:szCs w:val="24"/>
        </w:rPr>
        <w:t>；成交供应商</w:t>
      </w:r>
      <w:r>
        <w:rPr>
          <w:rFonts w:hint="eastAsia" w:ascii="仿宋" w:hAnsi="仿宋" w:eastAsia="仿宋" w:cs="宋体"/>
          <w:color w:val="auto"/>
          <w:sz w:val="24"/>
          <w:szCs w:val="24"/>
        </w:rPr>
        <w:t>能够正确履行合同所规定的全部义务，待</w:t>
      </w:r>
      <w:r>
        <w:rPr>
          <w:rFonts w:hint="eastAsia" w:ascii="仿宋" w:hAnsi="仿宋" w:eastAsia="仿宋" w:cs="仿宋"/>
          <w:bCs/>
          <w:color w:val="auto"/>
          <w:sz w:val="24"/>
          <w:szCs w:val="24"/>
        </w:rPr>
        <w:t>合同期满后</w:t>
      </w:r>
      <w:r>
        <w:rPr>
          <w:rFonts w:ascii="仿宋" w:hAnsi="仿宋" w:eastAsia="仿宋" w:cs="仿宋"/>
          <w:bCs/>
          <w:color w:val="auto"/>
          <w:sz w:val="24"/>
          <w:szCs w:val="24"/>
        </w:rPr>
        <w:t>7</w:t>
      </w:r>
      <w:r>
        <w:rPr>
          <w:rFonts w:hint="eastAsia" w:ascii="仿宋" w:hAnsi="仿宋" w:eastAsia="仿宋" w:cs="仿宋"/>
          <w:bCs/>
          <w:color w:val="auto"/>
          <w:sz w:val="24"/>
          <w:szCs w:val="24"/>
        </w:rPr>
        <w:t>个工作日内无息退还；</w:t>
      </w:r>
      <w:r>
        <w:rPr>
          <w:rFonts w:hint="eastAsia" w:ascii="仿宋" w:hAnsi="仿宋" w:eastAsia="仿宋" w:cs="宋体"/>
          <w:color w:val="auto"/>
          <w:sz w:val="24"/>
          <w:szCs w:val="24"/>
        </w:rPr>
        <w:t>如果</w:t>
      </w:r>
      <w:r>
        <w:rPr>
          <w:rFonts w:hint="eastAsia" w:ascii="仿宋" w:hAnsi="仿宋" w:eastAsia="仿宋"/>
          <w:color w:val="auto"/>
          <w:sz w:val="24"/>
          <w:szCs w:val="24"/>
        </w:rPr>
        <w:t>成交供应商</w:t>
      </w:r>
      <w:r>
        <w:rPr>
          <w:rFonts w:hint="eastAsia" w:ascii="仿宋" w:hAnsi="仿宋" w:eastAsia="仿宋" w:cs="宋体"/>
          <w:color w:val="auto"/>
          <w:sz w:val="24"/>
          <w:szCs w:val="24"/>
        </w:rPr>
        <w:t>未能按合同约定全面履行义务，那么采购人有权从履约保证金中取得补偿或赔偿，同时不影响采购人要求</w:t>
      </w:r>
      <w:r>
        <w:rPr>
          <w:rFonts w:hint="eastAsia" w:ascii="仿宋" w:hAnsi="仿宋" w:eastAsia="仿宋"/>
          <w:color w:val="auto"/>
          <w:sz w:val="24"/>
          <w:szCs w:val="24"/>
        </w:rPr>
        <w:t>成交供应商</w:t>
      </w:r>
      <w:r>
        <w:rPr>
          <w:rFonts w:hint="eastAsia" w:ascii="仿宋" w:hAnsi="仿宋" w:eastAsia="仿宋" w:cs="宋体"/>
          <w:color w:val="auto"/>
          <w:sz w:val="24"/>
          <w:szCs w:val="24"/>
        </w:rPr>
        <w:t>承担合同约定的超过履约保证金的违约责任的权利。</w:t>
      </w:r>
    </w:p>
    <w:p w14:paraId="1CD5A22E">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2.付款方式：</w:t>
      </w:r>
    </w:p>
    <w:p w14:paraId="4ABB81B2">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（1）计费方式</w:t>
      </w:r>
    </w:p>
    <w:p w14:paraId="166B7257">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监理费按</w:t>
      </w:r>
      <w:r>
        <w:rPr>
          <w:rFonts w:ascii="仿宋" w:hAnsi="仿宋" w:eastAsia="仿宋" w:cs="仿宋"/>
          <w:color w:val="auto"/>
          <w:sz w:val="24"/>
          <w:szCs w:val="24"/>
        </w:rPr>
        <w:t>“</w:t>
      </w:r>
      <w:r>
        <w:rPr>
          <w:rFonts w:hint="eastAsia" w:ascii="仿宋" w:hAnsi="仿宋" w:eastAsia="仿宋" w:cs="仿宋"/>
          <w:color w:val="auto"/>
          <w:sz w:val="24"/>
          <w:szCs w:val="24"/>
        </w:rPr>
        <w:t>国家发改委、建设部发布的《建设工程监理与相关服务收费管理规定》（发改价格〔2007〕670号）”</w:t>
      </w:r>
      <w:r>
        <w:rPr>
          <w:rFonts w:hint="eastAsia" w:ascii="仿宋" w:hAnsi="仿宋" w:eastAsia="仿宋"/>
          <w:color w:val="auto"/>
          <w:sz w:val="24"/>
          <w:szCs w:val="24"/>
        </w:rPr>
        <w:t>收费标准计算，监理费=施工监理收费基价×专业调整系数×工程复杂程度调整系数×高程调整系数×</w:t>
      </w:r>
      <w:r>
        <w:rPr>
          <w:rFonts w:hint="eastAsia" w:ascii="仿宋" w:hAnsi="仿宋" w:eastAsia="仿宋"/>
          <w:color w:val="auto"/>
          <w:sz w:val="24"/>
          <w:szCs w:val="24"/>
          <w:u w:val="single"/>
        </w:rPr>
        <w:t>成交折扣</w:t>
      </w:r>
      <w:r>
        <w:rPr>
          <w:rFonts w:hint="eastAsia" w:ascii="仿宋" w:hAnsi="仿宋" w:eastAsia="仿宋"/>
          <w:color w:val="auto"/>
          <w:sz w:val="24"/>
          <w:szCs w:val="24"/>
        </w:rPr>
        <w:t>(专业调整系数、工程复杂程度调整系数、高程调整系数均以单个监理项目为准)。施工监理收费基价按《施工监理收费基价表》（附表二）中确定，</w:t>
      </w:r>
      <w:r>
        <w:rPr>
          <w:rFonts w:hint="eastAsia" w:ascii="仿宋" w:hAnsi="仿宋" w:eastAsia="仿宋"/>
          <w:color w:val="auto"/>
          <w:sz w:val="24"/>
          <w:szCs w:val="24"/>
        </w:rPr>
        <w:t>计费额以施工中标价为准</w:t>
      </w:r>
      <w:r>
        <w:rPr>
          <w:rFonts w:hint="eastAsia" w:ascii="仿宋" w:hAnsi="仿宋" w:eastAsia="仿宋"/>
          <w:color w:val="auto"/>
          <w:sz w:val="24"/>
          <w:szCs w:val="24"/>
        </w:rPr>
        <w:t>，计费额处于两个数值区间的，采用直线内插入法确定施工监理收费基价。</w:t>
      </w:r>
    </w:p>
    <w:p w14:paraId="330E43EE">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（2）支付方式</w:t>
      </w:r>
    </w:p>
    <w:p w14:paraId="4550D083">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合同生效以及具备实施条件后7个工作日内，采购人向中标人支付预算金额40%的预付款；工程竣工验收合格后支付至监理费用的70%，剩余部分监理费用待工程结算审计完成后一次性付清。</w:t>
      </w:r>
    </w:p>
    <w:p w14:paraId="485BFD44">
      <w:pPr>
        <w:spacing w:line="360" w:lineRule="auto"/>
        <w:ind w:firstLine="480" w:firstLineChars="200"/>
        <w:rPr>
          <w:rFonts w:hint="eastAsia" w:ascii="仿宋" w:hAnsi="仿宋" w:eastAsia="仿宋"/>
          <w:bCs/>
          <w:color w:val="auto"/>
          <w:sz w:val="24"/>
          <w:szCs w:val="24"/>
        </w:rPr>
      </w:pPr>
      <w:r>
        <w:rPr>
          <w:rFonts w:ascii="仿宋" w:hAnsi="仿宋" w:eastAsia="仿宋"/>
          <w:bCs/>
          <w:color w:val="auto"/>
          <w:sz w:val="24"/>
          <w:szCs w:val="24"/>
        </w:rPr>
        <w:t>备注：</w:t>
      </w:r>
      <w:r>
        <w:rPr>
          <w:rFonts w:hint="eastAsia" w:ascii="仿宋" w:hAnsi="仿宋" w:eastAsia="仿宋"/>
          <w:bCs/>
          <w:color w:val="auto"/>
          <w:sz w:val="24"/>
          <w:szCs w:val="24"/>
        </w:rPr>
        <w:t>在签订合同时，中标人明确表示无需预付款或者主动要求降低预付款比例的，采购人可不适用前述规定；如合同约定预付款的，中标人需向采购人提交银行、保险公司等金融机构出具的预付款保函。</w:t>
      </w:r>
    </w:p>
    <w:p w14:paraId="0C100514">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w:t>
      </w:r>
      <w:r>
        <w:rPr>
          <w:rFonts w:ascii="仿宋" w:hAnsi="仿宋" w:eastAsia="仿宋" w:cs="仿宋"/>
          <w:b/>
          <w:color w:val="auto"/>
          <w:sz w:val="24"/>
          <w:szCs w:val="24"/>
        </w:rPr>
        <w:t>、</w:t>
      </w:r>
      <w:r>
        <w:rPr>
          <w:rFonts w:hint="eastAsia" w:ascii="仿宋" w:hAnsi="仿宋" w:eastAsia="仿宋" w:cs="仿宋"/>
          <w:b/>
          <w:color w:val="auto"/>
          <w:sz w:val="24"/>
          <w:szCs w:val="24"/>
        </w:rPr>
        <w:t>最高限价及</w:t>
      </w:r>
      <w:r>
        <w:rPr>
          <w:rFonts w:ascii="仿宋" w:hAnsi="仿宋" w:eastAsia="仿宋" w:cs="仿宋"/>
          <w:b/>
          <w:color w:val="auto"/>
          <w:sz w:val="24"/>
          <w:szCs w:val="24"/>
        </w:rPr>
        <w:t>报价要求</w:t>
      </w:r>
    </w:p>
    <w:p w14:paraId="5D9F8EE7">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本项目报价采用折扣方式报价，</w:t>
      </w:r>
      <w:r>
        <w:rPr>
          <w:rFonts w:hint="eastAsia" w:ascii="仿宋" w:hAnsi="仿宋" w:eastAsia="仿宋"/>
          <w:color w:val="auto"/>
          <w:sz w:val="24"/>
          <w:szCs w:val="24"/>
        </w:rPr>
        <w:t>折扣以百分比（%）进行表述（如折扣报价七折，则填写为70%），折扣百分比数值越小则报价越低</w:t>
      </w:r>
      <w:r>
        <w:rPr>
          <w:rFonts w:hint="eastAsia" w:ascii="仿宋" w:hAnsi="仿宋" w:eastAsia="仿宋" w:cs="仿宋"/>
          <w:color w:val="auto"/>
          <w:sz w:val="24"/>
          <w:szCs w:val="24"/>
        </w:rPr>
        <w:t>；以“国家发改委、建设部发布的《建设工程监理与相关服务收费管理规定》（发改价格〔2007〕670号）”为监理计费标准；监理费用按“监理计费标准×成交折扣”计取（例如：成交供应商的折扣报价为60.00%[即成交折扣]，则监理费用按“国家发改委、建设部发布的《建设工程监理与相关服务收费管理规定》（发改价格〔2007〕670号）计取的标准费用×60.00%”计取）；折扣报价上限为80%，任何高于80%的最后报价将被认定为无效报价，作无效响应处理。</w:t>
      </w:r>
    </w:p>
    <w:p w14:paraId="4D3A2E6D">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报价折扣</w:t>
      </w:r>
      <w:r>
        <w:rPr>
          <w:rFonts w:hint="eastAsia" w:ascii="仿宋" w:hAnsi="仿宋" w:eastAsia="仿宋"/>
          <w:color w:val="auto"/>
          <w:sz w:val="24"/>
          <w:szCs w:val="24"/>
        </w:rPr>
        <w:t>在合同实施期间保持不变，</w:t>
      </w:r>
      <w:r>
        <w:rPr>
          <w:rFonts w:hint="eastAsia" w:ascii="仿宋" w:hAnsi="仿宋" w:eastAsia="仿宋" w:cs="仿宋"/>
          <w:color w:val="auto"/>
          <w:sz w:val="24"/>
          <w:szCs w:val="24"/>
        </w:rPr>
        <w:t>不受实际施工项目多少、施工工期延长导致的监理服务期延长、监理人员增加、监理项目工程施工金额的调整而调整。</w:t>
      </w:r>
    </w:p>
    <w:p w14:paraId="4C13E4C3">
      <w:pPr>
        <w:spacing w:line="360" w:lineRule="auto"/>
        <w:ind w:firstLine="456" w:firstLineChars="200"/>
        <w:rPr>
          <w:rFonts w:hint="eastAsia" w:ascii="仿宋" w:hAnsi="仿宋" w:eastAsia="仿宋" w:cs="仿宋"/>
          <w:b/>
          <w:color w:val="auto"/>
          <w:sz w:val="24"/>
          <w:szCs w:val="24"/>
        </w:rPr>
      </w:pPr>
      <w:r>
        <w:rPr>
          <w:rFonts w:hint="eastAsia" w:ascii="仿宋" w:hAnsi="仿宋" w:eastAsia="仿宋"/>
          <w:color w:val="auto"/>
          <w:spacing w:val="-6"/>
          <w:sz w:val="24"/>
          <w:szCs w:val="24"/>
        </w:rPr>
        <w:t>报价包括履行本项目所有规定服务所产生的全部</w:t>
      </w:r>
      <w:r>
        <w:rPr>
          <w:rFonts w:hint="eastAsia" w:ascii="仿宋" w:hAnsi="仿宋" w:eastAsia="仿宋"/>
          <w:color w:val="auto"/>
          <w:sz w:val="24"/>
          <w:szCs w:val="24"/>
        </w:rPr>
        <w:t>税金、利润和费用</w:t>
      </w:r>
      <w:r>
        <w:rPr>
          <w:rFonts w:hint="eastAsia" w:ascii="仿宋" w:hAnsi="仿宋" w:eastAsia="仿宋"/>
          <w:color w:val="auto"/>
          <w:spacing w:val="-6"/>
          <w:sz w:val="24"/>
          <w:szCs w:val="24"/>
        </w:rPr>
        <w:t>，</w:t>
      </w:r>
      <w:r>
        <w:rPr>
          <w:rFonts w:hint="eastAsia" w:ascii="仿宋" w:hAnsi="仿宋" w:eastAsia="仿宋" w:cs="宋体"/>
          <w:color w:val="auto"/>
          <w:sz w:val="24"/>
          <w:szCs w:val="24"/>
        </w:rPr>
        <w:t>供应商应充分考虑并将</w:t>
      </w:r>
      <w:r>
        <w:rPr>
          <w:rFonts w:hint="eastAsia" w:ascii="仿宋" w:hAnsi="仿宋" w:eastAsia="仿宋" w:cs="仿宋_GB2312"/>
          <w:color w:val="auto"/>
          <w:sz w:val="24"/>
          <w:lang w:val="zh-CN"/>
        </w:rPr>
        <w:t>有关本项目实施所涉及的一切费用均计入报价。</w:t>
      </w:r>
    </w:p>
    <w:p w14:paraId="323BEC86">
      <w:pPr>
        <w:spacing w:line="360" w:lineRule="auto"/>
        <w:ind w:firstLine="480" w:firstLineChars="200"/>
        <w:rPr>
          <w:rFonts w:hint="eastAsia" w:ascii="仿宋" w:hAnsi="仿宋" w:eastAsia="仿宋" w:cs="仿宋"/>
          <w:b/>
          <w:color w:val="auto"/>
          <w:sz w:val="24"/>
          <w:szCs w:val="24"/>
        </w:rPr>
      </w:pPr>
      <w:r>
        <w:rPr>
          <w:rFonts w:ascii="仿宋" w:hAnsi="仿宋" w:eastAsia="仿宋" w:cs="仿宋"/>
          <w:b/>
          <w:color w:val="auto"/>
          <w:sz w:val="24"/>
          <w:szCs w:val="24"/>
        </w:rPr>
        <w:t>八、特别说明</w:t>
      </w:r>
    </w:p>
    <w:p w14:paraId="3FEDA8CC">
      <w:pPr>
        <w:spacing w:line="3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本项目两个标项均采用同一“采购需求”，“采购需求”（除已明确区分</w:t>
      </w:r>
      <w:r>
        <w:rPr>
          <w:rFonts w:hint="eastAsia" w:ascii="仿宋" w:hAnsi="仿宋" w:eastAsia="仿宋" w:cs="仿宋"/>
          <w:color w:val="auto"/>
          <w:sz w:val="24"/>
          <w:szCs w:val="24"/>
          <w:u w:val="single"/>
        </w:rPr>
        <w:t>标项1</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标项2</w:t>
      </w:r>
      <w:r>
        <w:rPr>
          <w:rFonts w:hint="eastAsia" w:ascii="仿宋" w:hAnsi="仿宋" w:eastAsia="仿宋" w:cs="仿宋"/>
          <w:color w:val="auto"/>
          <w:sz w:val="24"/>
          <w:szCs w:val="24"/>
        </w:rPr>
        <w:t>的情况外）所涉及的所有技术服务、商务等条款要求均适用于每个标项。供应商应当充分考虑并对上述所有要求发起完整的投标响应。</w:t>
      </w:r>
    </w:p>
    <w:bookmarkEnd w:id="3"/>
    <w:sectPr>
      <w:footerReference r:id="rId3" w:type="default"/>
      <w:pgSz w:w="11906" w:h="16838"/>
      <w:pgMar w:top="1134" w:right="1418" w:bottom="1021" w:left="1418" w:header="0" w:footer="283"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Lucida Sans">
    <w:altName w:val="Lucida Sans Unicode"/>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5F947">
    <w:pPr>
      <w:pStyle w:val="30"/>
      <w:jc w:val="center"/>
      <w:rPr>
        <w:rFonts w:hint="eastAsia"/>
      </w:rPr>
    </w:pPr>
    <w:r>
      <w:fldChar w:fldCharType="begin"/>
    </w:r>
    <w:r>
      <w:instrText xml:space="preserve">PAGE   \* MERGEFORMAT</w:instrText>
    </w:r>
    <w:r>
      <w:fldChar w:fldCharType="separate"/>
    </w:r>
    <w:r>
      <w:rPr>
        <w:lang w:val="zh-CN"/>
      </w:rPr>
      <w:t>-</w:t>
    </w:r>
    <w:r>
      <w:t xml:space="preserve"> 2 -</w:t>
    </w:r>
    <w:r>
      <w:fldChar w:fldCharType="end"/>
    </w:r>
  </w:p>
  <w:p w14:paraId="2F18E718">
    <w:pPr>
      <w:pStyle w:val="3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60F1C"/>
    <w:multiLevelType w:val="multilevel"/>
    <w:tmpl w:val="0A760F1C"/>
    <w:lvl w:ilvl="0" w:tentative="0">
      <w:start w:val="1"/>
      <w:numFmt w:val="decimal"/>
      <w:pStyle w:val="220"/>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2NWFkMTBmNWJiNmJjZDRhZDVjNmU0MjZjM2U0OTkifQ=="/>
  </w:docVars>
  <w:rsids>
    <w:rsidRoot w:val="00F478FD"/>
    <w:rsid w:val="00003617"/>
    <w:rsid w:val="00003728"/>
    <w:rsid w:val="00006852"/>
    <w:rsid w:val="00006913"/>
    <w:rsid w:val="0000717E"/>
    <w:rsid w:val="00007ADD"/>
    <w:rsid w:val="00011BB2"/>
    <w:rsid w:val="00011C1C"/>
    <w:rsid w:val="00012167"/>
    <w:rsid w:val="00012846"/>
    <w:rsid w:val="00015133"/>
    <w:rsid w:val="000164CB"/>
    <w:rsid w:val="00020D76"/>
    <w:rsid w:val="00024690"/>
    <w:rsid w:val="00027742"/>
    <w:rsid w:val="0003009B"/>
    <w:rsid w:val="00030A74"/>
    <w:rsid w:val="0003110A"/>
    <w:rsid w:val="00031950"/>
    <w:rsid w:val="00031DD5"/>
    <w:rsid w:val="00031E3A"/>
    <w:rsid w:val="000334E0"/>
    <w:rsid w:val="00035AC8"/>
    <w:rsid w:val="00035C79"/>
    <w:rsid w:val="00036CD5"/>
    <w:rsid w:val="00036D96"/>
    <w:rsid w:val="00037D36"/>
    <w:rsid w:val="00040AB8"/>
    <w:rsid w:val="00044329"/>
    <w:rsid w:val="000446D8"/>
    <w:rsid w:val="00044960"/>
    <w:rsid w:val="00046634"/>
    <w:rsid w:val="00046776"/>
    <w:rsid w:val="00050799"/>
    <w:rsid w:val="000521A7"/>
    <w:rsid w:val="00055603"/>
    <w:rsid w:val="0005683B"/>
    <w:rsid w:val="00060F31"/>
    <w:rsid w:val="00060F8D"/>
    <w:rsid w:val="0006171A"/>
    <w:rsid w:val="00061888"/>
    <w:rsid w:val="00063DE9"/>
    <w:rsid w:val="00063E51"/>
    <w:rsid w:val="00063FA5"/>
    <w:rsid w:val="00065BD0"/>
    <w:rsid w:val="00066AA5"/>
    <w:rsid w:val="00071791"/>
    <w:rsid w:val="00071BB7"/>
    <w:rsid w:val="00072EF7"/>
    <w:rsid w:val="000731FA"/>
    <w:rsid w:val="000744CD"/>
    <w:rsid w:val="00074BC2"/>
    <w:rsid w:val="00075092"/>
    <w:rsid w:val="00077524"/>
    <w:rsid w:val="0008044E"/>
    <w:rsid w:val="0008107B"/>
    <w:rsid w:val="0008172B"/>
    <w:rsid w:val="00082FA0"/>
    <w:rsid w:val="00084124"/>
    <w:rsid w:val="00084751"/>
    <w:rsid w:val="00086777"/>
    <w:rsid w:val="00092C57"/>
    <w:rsid w:val="000943B0"/>
    <w:rsid w:val="00094873"/>
    <w:rsid w:val="000965A2"/>
    <w:rsid w:val="000968BB"/>
    <w:rsid w:val="000A10C7"/>
    <w:rsid w:val="000A481C"/>
    <w:rsid w:val="000A5EC6"/>
    <w:rsid w:val="000A62C1"/>
    <w:rsid w:val="000A673E"/>
    <w:rsid w:val="000A7DED"/>
    <w:rsid w:val="000B3EFF"/>
    <w:rsid w:val="000B4FE2"/>
    <w:rsid w:val="000B5814"/>
    <w:rsid w:val="000B6D44"/>
    <w:rsid w:val="000B70D6"/>
    <w:rsid w:val="000B74D5"/>
    <w:rsid w:val="000B7622"/>
    <w:rsid w:val="000C0A61"/>
    <w:rsid w:val="000C0D98"/>
    <w:rsid w:val="000C18ED"/>
    <w:rsid w:val="000C2FB8"/>
    <w:rsid w:val="000C3498"/>
    <w:rsid w:val="000C3DDE"/>
    <w:rsid w:val="000C4FC5"/>
    <w:rsid w:val="000C51BB"/>
    <w:rsid w:val="000C5ACE"/>
    <w:rsid w:val="000C6ABB"/>
    <w:rsid w:val="000C6DC6"/>
    <w:rsid w:val="000D1471"/>
    <w:rsid w:val="000D19D5"/>
    <w:rsid w:val="000D1A9B"/>
    <w:rsid w:val="000D1DD1"/>
    <w:rsid w:val="000D1F31"/>
    <w:rsid w:val="000D25EC"/>
    <w:rsid w:val="000D3F9A"/>
    <w:rsid w:val="000D4197"/>
    <w:rsid w:val="000D6621"/>
    <w:rsid w:val="000D7238"/>
    <w:rsid w:val="000D7371"/>
    <w:rsid w:val="000D797D"/>
    <w:rsid w:val="000E0607"/>
    <w:rsid w:val="000E094F"/>
    <w:rsid w:val="000E1BD3"/>
    <w:rsid w:val="000E29A1"/>
    <w:rsid w:val="000E43A3"/>
    <w:rsid w:val="000E4ACB"/>
    <w:rsid w:val="000E4B32"/>
    <w:rsid w:val="000E510E"/>
    <w:rsid w:val="000E6DBC"/>
    <w:rsid w:val="000E746E"/>
    <w:rsid w:val="000F0BBF"/>
    <w:rsid w:val="000F1162"/>
    <w:rsid w:val="000F1A8E"/>
    <w:rsid w:val="000F4668"/>
    <w:rsid w:val="000F52B2"/>
    <w:rsid w:val="000F5AB3"/>
    <w:rsid w:val="000F5E0E"/>
    <w:rsid w:val="000F70A4"/>
    <w:rsid w:val="00100703"/>
    <w:rsid w:val="00100983"/>
    <w:rsid w:val="00101019"/>
    <w:rsid w:val="001013F1"/>
    <w:rsid w:val="00101918"/>
    <w:rsid w:val="001036AD"/>
    <w:rsid w:val="0011026A"/>
    <w:rsid w:val="0011400E"/>
    <w:rsid w:val="00115089"/>
    <w:rsid w:val="001161A2"/>
    <w:rsid w:val="001165C5"/>
    <w:rsid w:val="00120A8D"/>
    <w:rsid w:val="001219DB"/>
    <w:rsid w:val="00122CC2"/>
    <w:rsid w:val="001239B0"/>
    <w:rsid w:val="00124311"/>
    <w:rsid w:val="001251BA"/>
    <w:rsid w:val="00127665"/>
    <w:rsid w:val="00130C41"/>
    <w:rsid w:val="00131EC3"/>
    <w:rsid w:val="001329F7"/>
    <w:rsid w:val="00132C99"/>
    <w:rsid w:val="00134422"/>
    <w:rsid w:val="00134EDD"/>
    <w:rsid w:val="001351D3"/>
    <w:rsid w:val="00137674"/>
    <w:rsid w:val="001376FA"/>
    <w:rsid w:val="001424F9"/>
    <w:rsid w:val="0014264A"/>
    <w:rsid w:val="001429E9"/>
    <w:rsid w:val="0014489F"/>
    <w:rsid w:val="001456C4"/>
    <w:rsid w:val="00147443"/>
    <w:rsid w:val="00147449"/>
    <w:rsid w:val="001500A5"/>
    <w:rsid w:val="001509B2"/>
    <w:rsid w:val="00150D5E"/>
    <w:rsid w:val="00152BD6"/>
    <w:rsid w:val="00152C08"/>
    <w:rsid w:val="00153434"/>
    <w:rsid w:val="00155CA2"/>
    <w:rsid w:val="001573D4"/>
    <w:rsid w:val="001579B8"/>
    <w:rsid w:val="0016013B"/>
    <w:rsid w:val="0016021E"/>
    <w:rsid w:val="0016066B"/>
    <w:rsid w:val="00160CEF"/>
    <w:rsid w:val="00162F4B"/>
    <w:rsid w:val="00163130"/>
    <w:rsid w:val="00163531"/>
    <w:rsid w:val="0016391F"/>
    <w:rsid w:val="00166F36"/>
    <w:rsid w:val="00170E24"/>
    <w:rsid w:val="00171955"/>
    <w:rsid w:val="001719A2"/>
    <w:rsid w:val="00171EE8"/>
    <w:rsid w:val="00173C4E"/>
    <w:rsid w:val="00173C6B"/>
    <w:rsid w:val="00173CCE"/>
    <w:rsid w:val="0017477F"/>
    <w:rsid w:val="00175FE6"/>
    <w:rsid w:val="001761B9"/>
    <w:rsid w:val="0017775F"/>
    <w:rsid w:val="00177D97"/>
    <w:rsid w:val="00180D57"/>
    <w:rsid w:val="0018192B"/>
    <w:rsid w:val="00181AC2"/>
    <w:rsid w:val="00182E8E"/>
    <w:rsid w:val="001835D5"/>
    <w:rsid w:val="00183E05"/>
    <w:rsid w:val="001855A8"/>
    <w:rsid w:val="00185F71"/>
    <w:rsid w:val="0018730C"/>
    <w:rsid w:val="001875A1"/>
    <w:rsid w:val="00187D71"/>
    <w:rsid w:val="001908B3"/>
    <w:rsid w:val="001912B8"/>
    <w:rsid w:val="00191700"/>
    <w:rsid w:val="00191811"/>
    <w:rsid w:val="0019311A"/>
    <w:rsid w:val="0019345A"/>
    <w:rsid w:val="0019346C"/>
    <w:rsid w:val="00195610"/>
    <w:rsid w:val="001970C6"/>
    <w:rsid w:val="00197272"/>
    <w:rsid w:val="00197832"/>
    <w:rsid w:val="00197B60"/>
    <w:rsid w:val="001A387E"/>
    <w:rsid w:val="001A4869"/>
    <w:rsid w:val="001A4B09"/>
    <w:rsid w:val="001A557F"/>
    <w:rsid w:val="001A594B"/>
    <w:rsid w:val="001A5EC8"/>
    <w:rsid w:val="001A7EE6"/>
    <w:rsid w:val="001B06FE"/>
    <w:rsid w:val="001B1BC7"/>
    <w:rsid w:val="001B4E46"/>
    <w:rsid w:val="001B5815"/>
    <w:rsid w:val="001B72B1"/>
    <w:rsid w:val="001B7694"/>
    <w:rsid w:val="001C06BA"/>
    <w:rsid w:val="001C1A90"/>
    <w:rsid w:val="001C2748"/>
    <w:rsid w:val="001C3447"/>
    <w:rsid w:val="001C66D9"/>
    <w:rsid w:val="001C6F3D"/>
    <w:rsid w:val="001C7147"/>
    <w:rsid w:val="001C73A0"/>
    <w:rsid w:val="001C7B2F"/>
    <w:rsid w:val="001D26A4"/>
    <w:rsid w:val="001D27E8"/>
    <w:rsid w:val="001D2B5F"/>
    <w:rsid w:val="001E09A8"/>
    <w:rsid w:val="001E3021"/>
    <w:rsid w:val="001E4C8C"/>
    <w:rsid w:val="001E5534"/>
    <w:rsid w:val="001E5ABF"/>
    <w:rsid w:val="001E5BBE"/>
    <w:rsid w:val="001E7257"/>
    <w:rsid w:val="001F0A89"/>
    <w:rsid w:val="001F0FC9"/>
    <w:rsid w:val="001F222F"/>
    <w:rsid w:val="001F2AAA"/>
    <w:rsid w:val="001F5542"/>
    <w:rsid w:val="001F619A"/>
    <w:rsid w:val="001F74F5"/>
    <w:rsid w:val="0020006C"/>
    <w:rsid w:val="002000C5"/>
    <w:rsid w:val="0020192B"/>
    <w:rsid w:val="00203E27"/>
    <w:rsid w:val="002048E1"/>
    <w:rsid w:val="00205B00"/>
    <w:rsid w:val="00206397"/>
    <w:rsid w:val="00206D0D"/>
    <w:rsid w:val="00206E2F"/>
    <w:rsid w:val="00210332"/>
    <w:rsid w:val="0021039C"/>
    <w:rsid w:val="00210C89"/>
    <w:rsid w:val="00210D33"/>
    <w:rsid w:val="00211A44"/>
    <w:rsid w:val="0021337B"/>
    <w:rsid w:val="0021494A"/>
    <w:rsid w:val="00214BDD"/>
    <w:rsid w:val="002157BB"/>
    <w:rsid w:val="00216D52"/>
    <w:rsid w:val="00217A43"/>
    <w:rsid w:val="00217AA0"/>
    <w:rsid w:val="00217AB3"/>
    <w:rsid w:val="00220681"/>
    <w:rsid w:val="002237CF"/>
    <w:rsid w:val="00223D7D"/>
    <w:rsid w:val="002245D5"/>
    <w:rsid w:val="00225162"/>
    <w:rsid w:val="00225834"/>
    <w:rsid w:val="0022693F"/>
    <w:rsid w:val="0022724E"/>
    <w:rsid w:val="00227F7A"/>
    <w:rsid w:val="00230174"/>
    <w:rsid w:val="0023082E"/>
    <w:rsid w:val="00233AB8"/>
    <w:rsid w:val="002343E9"/>
    <w:rsid w:val="002366FC"/>
    <w:rsid w:val="002373A3"/>
    <w:rsid w:val="00241567"/>
    <w:rsid w:val="00243C2D"/>
    <w:rsid w:val="002442E5"/>
    <w:rsid w:val="002460E4"/>
    <w:rsid w:val="002460FB"/>
    <w:rsid w:val="00250F82"/>
    <w:rsid w:val="00251224"/>
    <w:rsid w:val="0025375B"/>
    <w:rsid w:val="00253ECE"/>
    <w:rsid w:val="00254454"/>
    <w:rsid w:val="00261773"/>
    <w:rsid w:val="002635E5"/>
    <w:rsid w:val="0026444E"/>
    <w:rsid w:val="002651DF"/>
    <w:rsid w:val="0026762D"/>
    <w:rsid w:val="00271371"/>
    <w:rsid w:val="002728EA"/>
    <w:rsid w:val="00272E77"/>
    <w:rsid w:val="00273274"/>
    <w:rsid w:val="00274748"/>
    <w:rsid w:val="00274E90"/>
    <w:rsid w:val="0027543D"/>
    <w:rsid w:val="00275E9C"/>
    <w:rsid w:val="00277C19"/>
    <w:rsid w:val="00280BA2"/>
    <w:rsid w:val="00281D5F"/>
    <w:rsid w:val="00282606"/>
    <w:rsid w:val="002828B7"/>
    <w:rsid w:val="002833C5"/>
    <w:rsid w:val="00286918"/>
    <w:rsid w:val="00286ABF"/>
    <w:rsid w:val="00287454"/>
    <w:rsid w:val="00287813"/>
    <w:rsid w:val="0029116A"/>
    <w:rsid w:val="0029147F"/>
    <w:rsid w:val="002918B5"/>
    <w:rsid w:val="00291D6D"/>
    <w:rsid w:val="00293F5F"/>
    <w:rsid w:val="00294122"/>
    <w:rsid w:val="002969F0"/>
    <w:rsid w:val="002A1C24"/>
    <w:rsid w:val="002A2641"/>
    <w:rsid w:val="002A26F9"/>
    <w:rsid w:val="002A56B5"/>
    <w:rsid w:val="002A5985"/>
    <w:rsid w:val="002A602C"/>
    <w:rsid w:val="002A7479"/>
    <w:rsid w:val="002B110D"/>
    <w:rsid w:val="002B29B2"/>
    <w:rsid w:val="002B3486"/>
    <w:rsid w:val="002B3DC7"/>
    <w:rsid w:val="002B4390"/>
    <w:rsid w:val="002B5028"/>
    <w:rsid w:val="002B5C17"/>
    <w:rsid w:val="002B652C"/>
    <w:rsid w:val="002B65A9"/>
    <w:rsid w:val="002B6772"/>
    <w:rsid w:val="002B67FB"/>
    <w:rsid w:val="002B6BC2"/>
    <w:rsid w:val="002C181F"/>
    <w:rsid w:val="002C24F8"/>
    <w:rsid w:val="002C24FC"/>
    <w:rsid w:val="002C58BE"/>
    <w:rsid w:val="002C6C42"/>
    <w:rsid w:val="002D09C0"/>
    <w:rsid w:val="002D0BFE"/>
    <w:rsid w:val="002D291D"/>
    <w:rsid w:val="002D3853"/>
    <w:rsid w:val="002D421D"/>
    <w:rsid w:val="002D648F"/>
    <w:rsid w:val="002D6F0E"/>
    <w:rsid w:val="002D73C2"/>
    <w:rsid w:val="002D7E00"/>
    <w:rsid w:val="002E3F09"/>
    <w:rsid w:val="002E73A8"/>
    <w:rsid w:val="002E7833"/>
    <w:rsid w:val="002F1146"/>
    <w:rsid w:val="002F3199"/>
    <w:rsid w:val="002F366A"/>
    <w:rsid w:val="002F755E"/>
    <w:rsid w:val="00302273"/>
    <w:rsid w:val="00302367"/>
    <w:rsid w:val="0030347D"/>
    <w:rsid w:val="00303648"/>
    <w:rsid w:val="00303989"/>
    <w:rsid w:val="00304525"/>
    <w:rsid w:val="0030580D"/>
    <w:rsid w:val="00307B06"/>
    <w:rsid w:val="00307CB4"/>
    <w:rsid w:val="00310016"/>
    <w:rsid w:val="00311300"/>
    <w:rsid w:val="003126A7"/>
    <w:rsid w:val="00312729"/>
    <w:rsid w:val="00313F8C"/>
    <w:rsid w:val="003146BA"/>
    <w:rsid w:val="00315B63"/>
    <w:rsid w:val="0031736B"/>
    <w:rsid w:val="00320077"/>
    <w:rsid w:val="00321F1C"/>
    <w:rsid w:val="0032242E"/>
    <w:rsid w:val="00323770"/>
    <w:rsid w:val="0032392E"/>
    <w:rsid w:val="00325D51"/>
    <w:rsid w:val="003306B9"/>
    <w:rsid w:val="00330722"/>
    <w:rsid w:val="003312A8"/>
    <w:rsid w:val="00333346"/>
    <w:rsid w:val="00337956"/>
    <w:rsid w:val="003401C6"/>
    <w:rsid w:val="0034127C"/>
    <w:rsid w:val="003416A7"/>
    <w:rsid w:val="003422CB"/>
    <w:rsid w:val="003428D9"/>
    <w:rsid w:val="00343574"/>
    <w:rsid w:val="00344D0F"/>
    <w:rsid w:val="00345A64"/>
    <w:rsid w:val="00346265"/>
    <w:rsid w:val="003500C4"/>
    <w:rsid w:val="00352910"/>
    <w:rsid w:val="00354BB5"/>
    <w:rsid w:val="00355945"/>
    <w:rsid w:val="00355BF2"/>
    <w:rsid w:val="0035725B"/>
    <w:rsid w:val="00357C02"/>
    <w:rsid w:val="00360A8F"/>
    <w:rsid w:val="00360BE3"/>
    <w:rsid w:val="0036334B"/>
    <w:rsid w:val="00363D48"/>
    <w:rsid w:val="00364631"/>
    <w:rsid w:val="00364B48"/>
    <w:rsid w:val="003654D3"/>
    <w:rsid w:val="003657C1"/>
    <w:rsid w:val="003715BC"/>
    <w:rsid w:val="0037370D"/>
    <w:rsid w:val="00373C60"/>
    <w:rsid w:val="003769A2"/>
    <w:rsid w:val="00384210"/>
    <w:rsid w:val="00385346"/>
    <w:rsid w:val="003859C5"/>
    <w:rsid w:val="00386474"/>
    <w:rsid w:val="003869CD"/>
    <w:rsid w:val="00386AB5"/>
    <w:rsid w:val="003874AF"/>
    <w:rsid w:val="003905D3"/>
    <w:rsid w:val="00390809"/>
    <w:rsid w:val="00391002"/>
    <w:rsid w:val="00391292"/>
    <w:rsid w:val="00392139"/>
    <w:rsid w:val="003926B0"/>
    <w:rsid w:val="00394674"/>
    <w:rsid w:val="00395DCE"/>
    <w:rsid w:val="00397016"/>
    <w:rsid w:val="003A0652"/>
    <w:rsid w:val="003A092C"/>
    <w:rsid w:val="003A2038"/>
    <w:rsid w:val="003A3982"/>
    <w:rsid w:val="003A4593"/>
    <w:rsid w:val="003A5287"/>
    <w:rsid w:val="003A7608"/>
    <w:rsid w:val="003B0571"/>
    <w:rsid w:val="003B05EA"/>
    <w:rsid w:val="003B0E01"/>
    <w:rsid w:val="003B1337"/>
    <w:rsid w:val="003B2E96"/>
    <w:rsid w:val="003B3F8A"/>
    <w:rsid w:val="003B4341"/>
    <w:rsid w:val="003B4F5C"/>
    <w:rsid w:val="003B52B0"/>
    <w:rsid w:val="003B6116"/>
    <w:rsid w:val="003B647D"/>
    <w:rsid w:val="003B7D6F"/>
    <w:rsid w:val="003C0FAF"/>
    <w:rsid w:val="003C1AC0"/>
    <w:rsid w:val="003C2AC3"/>
    <w:rsid w:val="003C4AB8"/>
    <w:rsid w:val="003C4CE5"/>
    <w:rsid w:val="003C4D82"/>
    <w:rsid w:val="003C6672"/>
    <w:rsid w:val="003C7060"/>
    <w:rsid w:val="003D03D4"/>
    <w:rsid w:val="003D0A2E"/>
    <w:rsid w:val="003D1FE8"/>
    <w:rsid w:val="003D2F9F"/>
    <w:rsid w:val="003D438F"/>
    <w:rsid w:val="003D4C6D"/>
    <w:rsid w:val="003D5379"/>
    <w:rsid w:val="003D614D"/>
    <w:rsid w:val="003E0886"/>
    <w:rsid w:val="003E0DDA"/>
    <w:rsid w:val="003E13FF"/>
    <w:rsid w:val="003E176F"/>
    <w:rsid w:val="003E2290"/>
    <w:rsid w:val="003E33B7"/>
    <w:rsid w:val="003E35A7"/>
    <w:rsid w:val="003E6CA9"/>
    <w:rsid w:val="003E7403"/>
    <w:rsid w:val="003E749A"/>
    <w:rsid w:val="003F00BE"/>
    <w:rsid w:val="003F16EC"/>
    <w:rsid w:val="003F2D10"/>
    <w:rsid w:val="003F50F4"/>
    <w:rsid w:val="003F5B7B"/>
    <w:rsid w:val="003F5EBE"/>
    <w:rsid w:val="003F65A8"/>
    <w:rsid w:val="00401ECD"/>
    <w:rsid w:val="004026FC"/>
    <w:rsid w:val="0040364C"/>
    <w:rsid w:val="00404834"/>
    <w:rsid w:val="0040497C"/>
    <w:rsid w:val="0040657F"/>
    <w:rsid w:val="004074B1"/>
    <w:rsid w:val="00410BC2"/>
    <w:rsid w:val="004110C4"/>
    <w:rsid w:val="00411187"/>
    <w:rsid w:val="00412017"/>
    <w:rsid w:val="00412729"/>
    <w:rsid w:val="00415FB1"/>
    <w:rsid w:val="0042046B"/>
    <w:rsid w:val="004209C9"/>
    <w:rsid w:val="004264AF"/>
    <w:rsid w:val="004266B7"/>
    <w:rsid w:val="004278CC"/>
    <w:rsid w:val="00430D86"/>
    <w:rsid w:val="00431B20"/>
    <w:rsid w:val="00432F5F"/>
    <w:rsid w:val="00434E48"/>
    <w:rsid w:val="0043736B"/>
    <w:rsid w:val="00440F41"/>
    <w:rsid w:val="0044199C"/>
    <w:rsid w:val="00445451"/>
    <w:rsid w:val="00445B1F"/>
    <w:rsid w:val="00446147"/>
    <w:rsid w:val="00446CF4"/>
    <w:rsid w:val="004478E1"/>
    <w:rsid w:val="00447B3A"/>
    <w:rsid w:val="0045078E"/>
    <w:rsid w:val="00453E30"/>
    <w:rsid w:val="0045411D"/>
    <w:rsid w:val="00454676"/>
    <w:rsid w:val="00454C94"/>
    <w:rsid w:val="0045525B"/>
    <w:rsid w:val="00457ED2"/>
    <w:rsid w:val="004603BF"/>
    <w:rsid w:val="0046114C"/>
    <w:rsid w:val="00461699"/>
    <w:rsid w:val="0046206C"/>
    <w:rsid w:val="00462265"/>
    <w:rsid w:val="00462F55"/>
    <w:rsid w:val="00464A23"/>
    <w:rsid w:val="00464CFC"/>
    <w:rsid w:val="004673EB"/>
    <w:rsid w:val="00467B85"/>
    <w:rsid w:val="00471712"/>
    <w:rsid w:val="00471C07"/>
    <w:rsid w:val="00473797"/>
    <w:rsid w:val="00476EF2"/>
    <w:rsid w:val="00477D7A"/>
    <w:rsid w:val="0048016E"/>
    <w:rsid w:val="00481802"/>
    <w:rsid w:val="004834ED"/>
    <w:rsid w:val="00485A09"/>
    <w:rsid w:val="00485FA7"/>
    <w:rsid w:val="00487505"/>
    <w:rsid w:val="004875AE"/>
    <w:rsid w:val="00490971"/>
    <w:rsid w:val="004909E3"/>
    <w:rsid w:val="00492A0E"/>
    <w:rsid w:val="00492E36"/>
    <w:rsid w:val="00493D0F"/>
    <w:rsid w:val="00494B02"/>
    <w:rsid w:val="0049538E"/>
    <w:rsid w:val="00495CAE"/>
    <w:rsid w:val="00496115"/>
    <w:rsid w:val="00496851"/>
    <w:rsid w:val="00496F65"/>
    <w:rsid w:val="004A0911"/>
    <w:rsid w:val="004A12FA"/>
    <w:rsid w:val="004A546A"/>
    <w:rsid w:val="004A58D7"/>
    <w:rsid w:val="004A614D"/>
    <w:rsid w:val="004A6170"/>
    <w:rsid w:val="004A6498"/>
    <w:rsid w:val="004A736D"/>
    <w:rsid w:val="004A7C11"/>
    <w:rsid w:val="004B0341"/>
    <w:rsid w:val="004B1CB3"/>
    <w:rsid w:val="004B4761"/>
    <w:rsid w:val="004B4ADF"/>
    <w:rsid w:val="004B50ED"/>
    <w:rsid w:val="004B5640"/>
    <w:rsid w:val="004B70B5"/>
    <w:rsid w:val="004C2F04"/>
    <w:rsid w:val="004C34EB"/>
    <w:rsid w:val="004C47A4"/>
    <w:rsid w:val="004C4BAA"/>
    <w:rsid w:val="004C78AC"/>
    <w:rsid w:val="004D130F"/>
    <w:rsid w:val="004D1ACF"/>
    <w:rsid w:val="004D1B2B"/>
    <w:rsid w:val="004D2004"/>
    <w:rsid w:val="004D250F"/>
    <w:rsid w:val="004D36FC"/>
    <w:rsid w:val="004D4490"/>
    <w:rsid w:val="004D5681"/>
    <w:rsid w:val="004E11C7"/>
    <w:rsid w:val="004E244E"/>
    <w:rsid w:val="004E54EA"/>
    <w:rsid w:val="004E6B3B"/>
    <w:rsid w:val="004F0882"/>
    <w:rsid w:val="004F1926"/>
    <w:rsid w:val="004F21B6"/>
    <w:rsid w:val="004F4926"/>
    <w:rsid w:val="004F49CB"/>
    <w:rsid w:val="004F5F0A"/>
    <w:rsid w:val="004F685D"/>
    <w:rsid w:val="00501A8A"/>
    <w:rsid w:val="00501C4C"/>
    <w:rsid w:val="00502D38"/>
    <w:rsid w:val="00503672"/>
    <w:rsid w:val="00505451"/>
    <w:rsid w:val="0050554F"/>
    <w:rsid w:val="00505CB0"/>
    <w:rsid w:val="00506825"/>
    <w:rsid w:val="005075A3"/>
    <w:rsid w:val="00510A16"/>
    <w:rsid w:val="00510C0F"/>
    <w:rsid w:val="00511581"/>
    <w:rsid w:val="00512427"/>
    <w:rsid w:val="00513CC4"/>
    <w:rsid w:val="00515576"/>
    <w:rsid w:val="00516F96"/>
    <w:rsid w:val="00522710"/>
    <w:rsid w:val="005245A8"/>
    <w:rsid w:val="00524A52"/>
    <w:rsid w:val="00525CD8"/>
    <w:rsid w:val="005268AA"/>
    <w:rsid w:val="00527C2A"/>
    <w:rsid w:val="005305D6"/>
    <w:rsid w:val="00532984"/>
    <w:rsid w:val="005331C0"/>
    <w:rsid w:val="005363BF"/>
    <w:rsid w:val="0053716A"/>
    <w:rsid w:val="0053777E"/>
    <w:rsid w:val="00537A43"/>
    <w:rsid w:val="005407DD"/>
    <w:rsid w:val="00542EEE"/>
    <w:rsid w:val="00544216"/>
    <w:rsid w:val="00545450"/>
    <w:rsid w:val="00545562"/>
    <w:rsid w:val="005472B6"/>
    <w:rsid w:val="00547C4E"/>
    <w:rsid w:val="00547E85"/>
    <w:rsid w:val="00547F46"/>
    <w:rsid w:val="005509C2"/>
    <w:rsid w:val="00550DC7"/>
    <w:rsid w:val="00551877"/>
    <w:rsid w:val="00552ECD"/>
    <w:rsid w:val="00552EF5"/>
    <w:rsid w:val="005531D7"/>
    <w:rsid w:val="00554575"/>
    <w:rsid w:val="005547DB"/>
    <w:rsid w:val="0055539F"/>
    <w:rsid w:val="00556AB4"/>
    <w:rsid w:val="005571BE"/>
    <w:rsid w:val="005575AC"/>
    <w:rsid w:val="00557929"/>
    <w:rsid w:val="005610F9"/>
    <w:rsid w:val="005636F0"/>
    <w:rsid w:val="0056587E"/>
    <w:rsid w:val="005658A5"/>
    <w:rsid w:val="0056604C"/>
    <w:rsid w:val="00570352"/>
    <w:rsid w:val="00570CC0"/>
    <w:rsid w:val="00573F65"/>
    <w:rsid w:val="00574556"/>
    <w:rsid w:val="005765F0"/>
    <w:rsid w:val="0057763A"/>
    <w:rsid w:val="00581368"/>
    <w:rsid w:val="00587CF4"/>
    <w:rsid w:val="00590FD6"/>
    <w:rsid w:val="00591DBF"/>
    <w:rsid w:val="00594AD5"/>
    <w:rsid w:val="00595DF3"/>
    <w:rsid w:val="00597565"/>
    <w:rsid w:val="00597901"/>
    <w:rsid w:val="005A4F03"/>
    <w:rsid w:val="005A62E1"/>
    <w:rsid w:val="005A6E21"/>
    <w:rsid w:val="005B01E6"/>
    <w:rsid w:val="005B0321"/>
    <w:rsid w:val="005B1048"/>
    <w:rsid w:val="005B5732"/>
    <w:rsid w:val="005B5E00"/>
    <w:rsid w:val="005B6135"/>
    <w:rsid w:val="005C33D3"/>
    <w:rsid w:val="005C362D"/>
    <w:rsid w:val="005C433C"/>
    <w:rsid w:val="005C4F10"/>
    <w:rsid w:val="005D101E"/>
    <w:rsid w:val="005D3034"/>
    <w:rsid w:val="005D4CF7"/>
    <w:rsid w:val="005D500B"/>
    <w:rsid w:val="005D5E60"/>
    <w:rsid w:val="005E3710"/>
    <w:rsid w:val="005E37F5"/>
    <w:rsid w:val="005E42CC"/>
    <w:rsid w:val="005E4F1C"/>
    <w:rsid w:val="005E7595"/>
    <w:rsid w:val="005F41AA"/>
    <w:rsid w:val="005F4416"/>
    <w:rsid w:val="005F5542"/>
    <w:rsid w:val="005F5932"/>
    <w:rsid w:val="005F5EE7"/>
    <w:rsid w:val="005F7864"/>
    <w:rsid w:val="006000F9"/>
    <w:rsid w:val="00601252"/>
    <w:rsid w:val="00601BF3"/>
    <w:rsid w:val="00602DAB"/>
    <w:rsid w:val="00603C09"/>
    <w:rsid w:val="00603F7C"/>
    <w:rsid w:val="006049F3"/>
    <w:rsid w:val="006053C9"/>
    <w:rsid w:val="006056CD"/>
    <w:rsid w:val="00607CF1"/>
    <w:rsid w:val="00610D01"/>
    <w:rsid w:val="00611F4B"/>
    <w:rsid w:val="0061308E"/>
    <w:rsid w:val="00613603"/>
    <w:rsid w:val="00613750"/>
    <w:rsid w:val="00615AD7"/>
    <w:rsid w:val="00615FAD"/>
    <w:rsid w:val="00616FC9"/>
    <w:rsid w:val="00617306"/>
    <w:rsid w:val="00617CC7"/>
    <w:rsid w:val="006210F3"/>
    <w:rsid w:val="00623345"/>
    <w:rsid w:val="0062381F"/>
    <w:rsid w:val="00624FAC"/>
    <w:rsid w:val="00626833"/>
    <w:rsid w:val="00630B92"/>
    <w:rsid w:val="00632F64"/>
    <w:rsid w:val="00633630"/>
    <w:rsid w:val="00634185"/>
    <w:rsid w:val="00635087"/>
    <w:rsid w:val="00635EDB"/>
    <w:rsid w:val="00637A87"/>
    <w:rsid w:val="00641BCC"/>
    <w:rsid w:val="006430D3"/>
    <w:rsid w:val="006435A8"/>
    <w:rsid w:val="00644C2B"/>
    <w:rsid w:val="00646B8D"/>
    <w:rsid w:val="00647B70"/>
    <w:rsid w:val="00647D85"/>
    <w:rsid w:val="00650DF5"/>
    <w:rsid w:val="00651CF1"/>
    <w:rsid w:val="006521F3"/>
    <w:rsid w:val="00652DCD"/>
    <w:rsid w:val="00653DEF"/>
    <w:rsid w:val="006548EA"/>
    <w:rsid w:val="006554CE"/>
    <w:rsid w:val="00655589"/>
    <w:rsid w:val="00656B93"/>
    <w:rsid w:val="006570AE"/>
    <w:rsid w:val="00657D4A"/>
    <w:rsid w:val="00660245"/>
    <w:rsid w:val="0066068E"/>
    <w:rsid w:val="00661356"/>
    <w:rsid w:val="00662628"/>
    <w:rsid w:val="00662CA3"/>
    <w:rsid w:val="00664614"/>
    <w:rsid w:val="00665103"/>
    <w:rsid w:val="006653A3"/>
    <w:rsid w:val="00665477"/>
    <w:rsid w:val="00666509"/>
    <w:rsid w:val="0066672C"/>
    <w:rsid w:val="006669BC"/>
    <w:rsid w:val="006674A9"/>
    <w:rsid w:val="006714F9"/>
    <w:rsid w:val="0067160A"/>
    <w:rsid w:val="0067167F"/>
    <w:rsid w:val="00673778"/>
    <w:rsid w:val="00675407"/>
    <w:rsid w:val="00675CA3"/>
    <w:rsid w:val="00680293"/>
    <w:rsid w:val="006803AA"/>
    <w:rsid w:val="00681025"/>
    <w:rsid w:val="00681436"/>
    <w:rsid w:val="006837E2"/>
    <w:rsid w:val="00684955"/>
    <w:rsid w:val="00684978"/>
    <w:rsid w:val="0068655B"/>
    <w:rsid w:val="006874DB"/>
    <w:rsid w:val="00687C45"/>
    <w:rsid w:val="006911CD"/>
    <w:rsid w:val="006918CD"/>
    <w:rsid w:val="00692435"/>
    <w:rsid w:val="00692F2F"/>
    <w:rsid w:val="00693432"/>
    <w:rsid w:val="00693861"/>
    <w:rsid w:val="00694675"/>
    <w:rsid w:val="00694D03"/>
    <w:rsid w:val="006952B2"/>
    <w:rsid w:val="0069550F"/>
    <w:rsid w:val="0069653B"/>
    <w:rsid w:val="00696AC9"/>
    <w:rsid w:val="006970A1"/>
    <w:rsid w:val="0069713F"/>
    <w:rsid w:val="00697820"/>
    <w:rsid w:val="00697EE9"/>
    <w:rsid w:val="006A1A65"/>
    <w:rsid w:val="006A3501"/>
    <w:rsid w:val="006A473E"/>
    <w:rsid w:val="006A612B"/>
    <w:rsid w:val="006B0999"/>
    <w:rsid w:val="006B0A27"/>
    <w:rsid w:val="006B0D55"/>
    <w:rsid w:val="006B17ED"/>
    <w:rsid w:val="006B1991"/>
    <w:rsid w:val="006B2D2C"/>
    <w:rsid w:val="006B4024"/>
    <w:rsid w:val="006B40AC"/>
    <w:rsid w:val="006B7E0B"/>
    <w:rsid w:val="006C168B"/>
    <w:rsid w:val="006C19F4"/>
    <w:rsid w:val="006C1E3B"/>
    <w:rsid w:val="006C1EE5"/>
    <w:rsid w:val="006C2048"/>
    <w:rsid w:val="006C2EA4"/>
    <w:rsid w:val="006C48EC"/>
    <w:rsid w:val="006C596D"/>
    <w:rsid w:val="006C5D39"/>
    <w:rsid w:val="006C6644"/>
    <w:rsid w:val="006C6944"/>
    <w:rsid w:val="006D00E7"/>
    <w:rsid w:val="006D0404"/>
    <w:rsid w:val="006D17F1"/>
    <w:rsid w:val="006D3AC6"/>
    <w:rsid w:val="006D3DC0"/>
    <w:rsid w:val="006D4B75"/>
    <w:rsid w:val="006D5C9F"/>
    <w:rsid w:val="006E1243"/>
    <w:rsid w:val="006E1EA5"/>
    <w:rsid w:val="006E36A1"/>
    <w:rsid w:val="006E3C9E"/>
    <w:rsid w:val="006E4632"/>
    <w:rsid w:val="006E6CBE"/>
    <w:rsid w:val="006E773C"/>
    <w:rsid w:val="006E782F"/>
    <w:rsid w:val="006E7C22"/>
    <w:rsid w:val="006E7E37"/>
    <w:rsid w:val="006F0A18"/>
    <w:rsid w:val="006F0C08"/>
    <w:rsid w:val="006F0F63"/>
    <w:rsid w:val="006F1AC8"/>
    <w:rsid w:val="006F3742"/>
    <w:rsid w:val="006F4816"/>
    <w:rsid w:val="006F4EA9"/>
    <w:rsid w:val="006F609F"/>
    <w:rsid w:val="006F6CE5"/>
    <w:rsid w:val="0070102F"/>
    <w:rsid w:val="00701481"/>
    <w:rsid w:val="007021D0"/>
    <w:rsid w:val="00705586"/>
    <w:rsid w:val="00710708"/>
    <w:rsid w:val="00712121"/>
    <w:rsid w:val="00712F59"/>
    <w:rsid w:val="00713A79"/>
    <w:rsid w:val="007142E6"/>
    <w:rsid w:val="00715CA7"/>
    <w:rsid w:val="007166A2"/>
    <w:rsid w:val="0071774F"/>
    <w:rsid w:val="00717E0D"/>
    <w:rsid w:val="007201A9"/>
    <w:rsid w:val="00722AD0"/>
    <w:rsid w:val="0072372B"/>
    <w:rsid w:val="007304E8"/>
    <w:rsid w:val="00730ED4"/>
    <w:rsid w:val="00732722"/>
    <w:rsid w:val="00732D37"/>
    <w:rsid w:val="00732D95"/>
    <w:rsid w:val="00732FE2"/>
    <w:rsid w:val="007335F8"/>
    <w:rsid w:val="007337AF"/>
    <w:rsid w:val="00733DDB"/>
    <w:rsid w:val="007343C0"/>
    <w:rsid w:val="00735337"/>
    <w:rsid w:val="00735892"/>
    <w:rsid w:val="007360D1"/>
    <w:rsid w:val="0073628E"/>
    <w:rsid w:val="007365F5"/>
    <w:rsid w:val="007378C0"/>
    <w:rsid w:val="007401F0"/>
    <w:rsid w:val="007404B3"/>
    <w:rsid w:val="007420E2"/>
    <w:rsid w:val="00742F85"/>
    <w:rsid w:val="0074506F"/>
    <w:rsid w:val="00745BDD"/>
    <w:rsid w:val="00746084"/>
    <w:rsid w:val="007468DA"/>
    <w:rsid w:val="007473B3"/>
    <w:rsid w:val="007476D1"/>
    <w:rsid w:val="00747E50"/>
    <w:rsid w:val="00750A37"/>
    <w:rsid w:val="007510E7"/>
    <w:rsid w:val="00753030"/>
    <w:rsid w:val="007539AC"/>
    <w:rsid w:val="00754833"/>
    <w:rsid w:val="00757C0D"/>
    <w:rsid w:val="00760D87"/>
    <w:rsid w:val="00766CC3"/>
    <w:rsid w:val="00766DF9"/>
    <w:rsid w:val="00767962"/>
    <w:rsid w:val="0077052F"/>
    <w:rsid w:val="00771618"/>
    <w:rsid w:val="007735FB"/>
    <w:rsid w:val="007755B0"/>
    <w:rsid w:val="00775829"/>
    <w:rsid w:val="00776442"/>
    <w:rsid w:val="00781824"/>
    <w:rsid w:val="00781C6E"/>
    <w:rsid w:val="00783808"/>
    <w:rsid w:val="0078464B"/>
    <w:rsid w:val="00785294"/>
    <w:rsid w:val="007863DC"/>
    <w:rsid w:val="00786AD2"/>
    <w:rsid w:val="007875AA"/>
    <w:rsid w:val="00787ABC"/>
    <w:rsid w:val="00787EE8"/>
    <w:rsid w:val="0079092A"/>
    <w:rsid w:val="007909B4"/>
    <w:rsid w:val="00790B0A"/>
    <w:rsid w:val="00794EB5"/>
    <w:rsid w:val="00797562"/>
    <w:rsid w:val="007A1AF9"/>
    <w:rsid w:val="007A4636"/>
    <w:rsid w:val="007A4EE5"/>
    <w:rsid w:val="007A52CD"/>
    <w:rsid w:val="007A52FE"/>
    <w:rsid w:val="007A6786"/>
    <w:rsid w:val="007B2370"/>
    <w:rsid w:val="007B2E15"/>
    <w:rsid w:val="007B634E"/>
    <w:rsid w:val="007B78F0"/>
    <w:rsid w:val="007C1859"/>
    <w:rsid w:val="007C2CF0"/>
    <w:rsid w:val="007C3422"/>
    <w:rsid w:val="007C40E3"/>
    <w:rsid w:val="007C44CC"/>
    <w:rsid w:val="007C624C"/>
    <w:rsid w:val="007C6E1D"/>
    <w:rsid w:val="007D0055"/>
    <w:rsid w:val="007D3638"/>
    <w:rsid w:val="007D599F"/>
    <w:rsid w:val="007D67AB"/>
    <w:rsid w:val="007D7E37"/>
    <w:rsid w:val="007E189E"/>
    <w:rsid w:val="007E2C39"/>
    <w:rsid w:val="007E3ACE"/>
    <w:rsid w:val="007E66DC"/>
    <w:rsid w:val="007F03B8"/>
    <w:rsid w:val="007F2B6A"/>
    <w:rsid w:val="007F2E04"/>
    <w:rsid w:val="007F2E50"/>
    <w:rsid w:val="007F4886"/>
    <w:rsid w:val="007F52B9"/>
    <w:rsid w:val="007F605F"/>
    <w:rsid w:val="007F7620"/>
    <w:rsid w:val="007F7B8D"/>
    <w:rsid w:val="007F7DE4"/>
    <w:rsid w:val="00801F1D"/>
    <w:rsid w:val="00802747"/>
    <w:rsid w:val="00803639"/>
    <w:rsid w:val="00803FC7"/>
    <w:rsid w:val="008042EC"/>
    <w:rsid w:val="008044B9"/>
    <w:rsid w:val="008049FA"/>
    <w:rsid w:val="00805957"/>
    <w:rsid w:val="008065B9"/>
    <w:rsid w:val="00806A9A"/>
    <w:rsid w:val="00807728"/>
    <w:rsid w:val="00807CF0"/>
    <w:rsid w:val="00807F3A"/>
    <w:rsid w:val="008104DF"/>
    <w:rsid w:val="008105E9"/>
    <w:rsid w:val="00811349"/>
    <w:rsid w:val="00812D93"/>
    <w:rsid w:val="008132D8"/>
    <w:rsid w:val="00815DCE"/>
    <w:rsid w:val="00821342"/>
    <w:rsid w:val="008213CA"/>
    <w:rsid w:val="0082346B"/>
    <w:rsid w:val="008234FB"/>
    <w:rsid w:val="008238AE"/>
    <w:rsid w:val="00824B13"/>
    <w:rsid w:val="00826305"/>
    <w:rsid w:val="00826689"/>
    <w:rsid w:val="00831226"/>
    <w:rsid w:val="0083345E"/>
    <w:rsid w:val="00836A6E"/>
    <w:rsid w:val="008404AE"/>
    <w:rsid w:val="00841450"/>
    <w:rsid w:val="00841648"/>
    <w:rsid w:val="00841E0B"/>
    <w:rsid w:val="0084283A"/>
    <w:rsid w:val="0084323A"/>
    <w:rsid w:val="008437DE"/>
    <w:rsid w:val="0084465E"/>
    <w:rsid w:val="00845D7F"/>
    <w:rsid w:val="00847828"/>
    <w:rsid w:val="00847F59"/>
    <w:rsid w:val="0085590E"/>
    <w:rsid w:val="008573BD"/>
    <w:rsid w:val="0086215E"/>
    <w:rsid w:val="00862700"/>
    <w:rsid w:val="00863624"/>
    <w:rsid w:val="00865AD3"/>
    <w:rsid w:val="0086635E"/>
    <w:rsid w:val="00867DF0"/>
    <w:rsid w:val="008713E8"/>
    <w:rsid w:val="008716E8"/>
    <w:rsid w:val="00873C46"/>
    <w:rsid w:val="00876C80"/>
    <w:rsid w:val="00881BB8"/>
    <w:rsid w:val="008831B3"/>
    <w:rsid w:val="00884031"/>
    <w:rsid w:val="0088488D"/>
    <w:rsid w:val="008872B5"/>
    <w:rsid w:val="0088764A"/>
    <w:rsid w:val="0088773B"/>
    <w:rsid w:val="0089068B"/>
    <w:rsid w:val="00892464"/>
    <w:rsid w:val="00892CD8"/>
    <w:rsid w:val="00892EFF"/>
    <w:rsid w:val="00895959"/>
    <w:rsid w:val="00896FBD"/>
    <w:rsid w:val="008A23B6"/>
    <w:rsid w:val="008A2891"/>
    <w:rsid w:val="008A35E3"/>
    <w:rsid w:val="008A44D4"/>
    <w:rsid w:val="008A7737"/>
    <w:rsid w:val="008A77DB"/>
    <w:rsid w:val="008A78E8"/>
    <w:rsid w:val="008B2CE9"/>
    <w:rsid w:val="008B3FB5"/>
    <w:rsid w:val="008B441B"/>
    <w:rsid w:val="008B6814"/>
    <w:rsid w:val="008B72F5"/>
    <w:rsid w:val="008B7E7F"/>
    <w:rsid w:val="008C014F"/>
    <w:rsid w:val="008C0622"/>
    <w:rsid w:val="008C0BBB"/>
    <w:rsid w:val="008C2102"/>
    <w:rsid w:val="008C2625"/>
    <w:rsid w:val="008C2BD6"/>
    <w:rsid w:val="008C3936"/>
    <w:rsid w:val="008C40BF"/>
    <w:rsid w:val="008C465B"/>
    <w:rsid w:val="008C5476"/>
    <w:rsid w:val="008C5F35"/>
    <w:rsid w:val="008C6193"/>
    <w:rsid w:val="008C62D0"/>
    <w:rsid w:val="008C65FB"/>
    <w:rsid w:val="008C780F"/>
    <w:rsid w:val="008D0E20"/>
    <w:rsid w:val="008D15FF"/>
    <w:rsid w:val="008D23C5"/>
    <w:rsid w:val="008D36C5"/>
    <w:rsid w:val="008D4147"/>
    <w:rsid w:val="008E08C5"/>
    <w:rsid w:val="008E1AE7"/>
    <w:rsid w:val="008E24B0"/>
    <w:rsid w:val="008E539C"/>
    <w:rsid w:val="008E7A22"/>
    <w:rsid w:val="008E7D86"/>
    <w:rsid w:val="008F1CA1"/>
    <w:rsid w:val="008F3A5D"/>
    <w:rsid w:val="008F3EE3"/>
    <w:rsid w:val="008F678D"/>
    <w:rsid w:val="008F7D11"/>
    <w:rsid w:val="00900EC3"/>
    <w:rsid w:val="0090153D"/>
    <w:rsid w:val="00901616"/>
    <w:rsid w:val="009017AB"/>
    <w:rsid w:val="00901C01"/>
    <w:rsid w:val="009023D6"/>
    <w:rsid w:val="00903D84"/>
    <w:rsid w:val="0090459D"/>
    <w:rsid w:val="00904CFA"/>
    <w:rsid w:val="0090588D"/>
    <w:rsid w:val="00906E28"/>
    <w:rsid w:val="009076D9"/>
    <w:rsid w:val="00907A52"/>
    <w:rsid w:val="00907B74"/>
    <w:rsid w:val="00911643"/>
    <w:rsid w:val="009149C5"/>
    <w:rsid w:val="0091539A"/>
    <w:rsid w:val="0091662C"/>
    <w:rsid w:val="00916B6D"/>
    <w:rsid w:val="00917794"/>
    <w:rsid w:val="009203E1"/>
    <w:rsid w:val="009216A4"/>
    <w:rsid w:val="00921C9B"/>
    <w:rsid w:val="009232A3"/>
    <w:rsid w:val="00924DDE"/>
    <w:rsid w:val="009303D7"/>
    <w:rsid w:val="009305F1"/>
    <w:rsid w:val="00933041"/>
    <w:rsid w:val="0093448B"/>
    <w:rsid w:val="00934BC2"/>
    <w:rsid w:val="00934E04"/>
    <w:rsid w:val="009356C3"/>
    <w:rsid w:val="00936E9F"/>
    <w:rsid w:val="00945535"/>
    <w:rsid w:val="00945B0D"/>
    <w:rsid w:val="00951170"/>
    <w:rsid w:val="00951AF1"/>
    <w:rsid w:val="00952239"/>
    <w:rsid w:val="0095278A"/>
    <w:rsid w:val="00952A6F"/>
    <w:rsid w:val="00954166"/>
    <w:rsid w:val="00954335"/>
    <w:rsid w:val="009558DA"/>
    <w:rsid w:val="009566B0"/>
    <w:rsid w:val="00956BCA"/>
    <w:rsid w:val="00957CDA"/>
    <w:rsid w:val="0096016D"/>
    <w:rsid w:val="009603CA"/>
    <w:rsid w:val="00961655"/>
    <w:rsid w:val="00961F80"/>
    <w:rsid w:val="009657B1"/>
    <w:rsid w:val="00965B66"/>
    <w:rsid w:val="00966DA7"/>
    <w:rsid w:val="009679D9"/>
    <w:rsid w:val="00970355"/>
    <w:rsid w:val="0097036C"/>
    <w:rsid w:val="00970978"/>
    <w:rsid w:val="00970ADC"/>
    <w:rsid w:val="00970BE2"/>
    <w:rsid w:val="00970BF4"/>
    <w:rsid w:val="009718F5"/>
    <w:rsid w:val="00971A15"/>
    <w:rsid w:val="00971EB6"/>
    <w:rsid w:val="0097375C"/>
    <w:rsid w:val="0097481F"/>
    <w:rsid w:val="00975600"/>
    <w:rsid w:val="009775C5"/>
    <w:rsid w:val="0097776B"/>
    <w:rsid w:val="00981E59"/>
    <w:rsid w:val="00984981"/>
    <w:rsid w:val="009867C9"/>
    <w:rsid w:val="00986D7F"/>
    <w:rsid w:val="009870CA"/>
    <w:rsid w:val="00990AF2"/>
    <w:rsid w:val="00991C86"/>
    <w:rsid w:val="00992BB6"/>
    <w:rsid w:val="00995B5E"/>
    <w:rsid w:val="0099640A"/>
    <w:rsid w:val="009A0426"/>
    <w:rsid w:val="009A0D26"/>
    <w:rsid w:val="009A25A8"/>
    <w:rsid w:val="009A2EE7"/>
    <w:rsid w:val="009A3492"/>
    <w:rsid w:val="009A44A0"/>
    <w:rsid w:val="009A455B"/>
    <w:rsid w:val="009A7104"/>
    <w:rsid w:val="009A7D1D"/>
    <w:rsid w:val="009B256A"/>
    <w:rsid w:val="009B2ABD"/>
    <w:rsid w:val="009B3FA8"/>
    <w:rsid w:val="009B4578"/>
    <w:rsid w:val="009B495B"/>
    <w:rsid w:val="009B4AB2"/>
    <w:rsid w:val="009B59EC"/>
    <w:rsid w:val="009B5D17"/>
    <w:rsid w:val="009C00DB"/>
    <w:rsid w:val="009C0644"/>
    <w:rsid w:val="009C18A6"/>
    <w:rsid w:val="009C2ED7"/>
    <w:rsid w:val="009C4FDA"/>
    <w:rsid w:val="009C5119"/>
    <w:rsid w:val="009C72F6"/>
    <w:rsid w:val="009C75BA"/>
    <w:rsid w:val="009D080D"/>
    <w:rsid w:val="009D242C"/>
    <w:rsid w:val="009D2ED6"/>
    <w:rsid w:val="009D4271"/>
    <w:rsid w:val="009D5C55"/>
    <w:rsid w:val="009D669F"/>
    <w:rsid w:val="009D6D9A"/>
    <w:rsid w:val="009E087A"/>
    <w:rsid w:val="009E1895"/>
    <w:rsid w:val="009E20B2"/>
    <w:rsid w:val="009E29FA"/>
    <w:rsid w:val="009E4315"/>
    <w:rsid w:val="009F0EEF"/>
    <w:rsid w:val="009F124A"/>
    <w:rsid w:val="009F2846"/>
    <w:rsid w:val="00A015C2"/>
    <w:rsid w:val="00A01EA4"/>
    <w:rsid w:val="00A025CB"/>
    <w:rsid w:val="00A03718"/>
    <w:rsid w:val="00A0672A"/>
    <w:rsid w:val="00A06B7C"/>
    <w:rsid w:val="00A06CE0"/>
    <w:rsid w:val="00A10372"/>
    <w:rsid w:val="00A104F9"/>
    <w:rsid w:val="00A11D02"/>
    <w:rsid w:val="00A14889"/>
    <w:rsid w:val="00A157C8"/>
    <w:rsid w:val="00A17DAA"/>
    <w:rsid w:val="00A2034C"/>
    <w:rsid w:val="00A20F55"/>
    <w:rsid w:val="00A22D7E"/>
    <w:rsid w:val="00A24426"/>
    <w:rsid w:val="00A24B05"/>
    <w:rsid w:val="00A25069"/>
    <w:rsid w:val="00A2692D"/>
    <w:rsid w:val="00A30948"/>
    <w:rsid w:val="00A30BC9"/>
    <w:rsid w:val="00A31F84"/>
    <w:rsid w:val="00A32497"/>
    <w:rsid w:val="00A324D9"/>
    <w:rsid w:val="00A3326A"/>
    <w:rsid w:val="00A33B61"/>
    <w:rsid w:val="00A3555B"/>
    <w:rsid w:val="00A3698B"/>
    <w:rsid w:val="00A37218"/>
    <w:rsid w:val="00A375CC"/>
    <w:rsid w:val="00A40458"/>
    <w:rsid w:val="00A40DD1"/>
    <w:rsid w:val="00A40E6C"/>
    <w:rsid w:val="00A42235"/>
    <w:rsid w:val="00A42250"/>
    <w:rsid w:val="00A436C2"/>
    <w:rsid w:val="00A4550E"/>
    <w:rsid w:val="00A45844"/>
    <w:rsid w:val="00A46988"/>
    <w:rsid w:val="00A50C14"/>
    <w:rsid w:val="00A514B9"/>
    <w:rsid w:val="00A51E99"/>
    <w:rsid w:val="00A5290F"/>
    <w:rsid w:val="00A55E13"/>
    <w:rsid w:val="00A5694C"/>
    <w:rsid w:val="00A5747C"/>
    <w:rsid w:val="00A6058D"/>
    <w:rsid w:val="00A605E9"/>
    <w:rsid w:val="00A607E9"/>
    <w:rsid w:val="00A6082E"/>
    <w:rsid w:val="00A61609"/>
    <w:rsid w:val="00A633DA"/>
    <w:rsid w:val="00A64C00"/>
    <w:rsid w:val="00A65574"/>
    <w:rsid w:val="00A65869"/>
    <w:rsid w:val="00A67ECA"/>
    <w:rsid w:val="00A73423"/>
    <w:rsid w:val="00A73E95"/>
    <w:rsid w:val="00A74050"/>
    <w:rsid w:val="00A7454A"/>
    <w:rsid w:val="00A754D2"/>
    <w:rsid w:val="00A754EC"/>
    <w:rsid w:val="00A75D82"/>
    <w:rsid w:val="00A76141"/>
    <w:rsid w:val="00A76966"/>
    <w:rsid w:val="00A81BD4"/>
    <w:rsid w:val="00A833C1"/>
    <w:rsid w:val="00A83911"/>
    <w:rsid w:val="00A85BAA"/>
    <w:rsid w:val="00A86F59"/>
    <w:rsid w:val="00A900F3"/>
    <w:rsid w:val="00A9076B"/>
    <w:rsid w:val="00A93D62"/>
    <w:rsid w:val="00A93D9C"/>
    <w:rsid w:val="00A943C3"/>
    <w:rsid w:val="00A944D3"/>
    <w:rsid w:val="00A9477D"/>
    <w:rsid w:val="00A952F0"/>
    <w:rsid w:val="00A95452"/>
    <w:rsid w:val="00A95F2A"/>
    <w:rsid w:val="00A96614"/>
    <w:rsid w:val="00A96677"/>
    <w:rsid w:val="00A96801"/>
    <w:rsid w:val="00A96FBF"/>
    <w:rsid w:val="00AA079D"/>
    <w:rsid w:val="00AA0A28"/>
    <w:rsid w:val="00AA0D3A"/>
    <w:rsid w:val="00AA0F9D"/>
    <w:rsid w:val="00AA12E0"/>
    <w:rsid w:val="00AA34C1"/>
    <w:rsid w:val="00AA5C37"/>
    <w:rsid w:val="00AA6013"/>
    <w:rsid w:val="00AA74CD"/>
    <w:rsid w:val="00AB03F5"/>
    <w:rsid w:val="00AB05D5"/>
    <w:rsid w:val="00AB0A6B"/>
    <w:rsid w:val="00AB1866"/>
    <w:rsid w:val="00AB3CC7"/>
    <w:rsid w:val="00AB5398"/>
    <w:rsid w:val="00AB62D9"/>
    <w:rsid w:val="00AB7D32"/>
    <w:rsid w:val="00AC1E7B"/>
    <w:rsid w:val="00AC2798"/>
    <w:rsid w:val="00AC2D88"/>
    <w:rsid w:val="00AC2E18"/>
    <w:rsid w:val="00AC2F63"/>
    <w:rsid w:val="00AC33E9"/>
    <w:rsid w:val="00AC374D"/>
    <w:rsid w:val="00AC38F7"/>
    <w:rsid w:val="00AC46A9"/>
    <w:rsid w:val="00AC63FF"/>
    <w:rsid w:val="00AD00CB"/>
    <w:rsid w:val="00AD0ADA"/>
    <w:rsid w:val="00AD1C1E"/>
    <w:rsid w:val="00AD3D7D"/>
    <w:rsid w:val="00AD4ABB"/>
    <w:rsid w:val="00AD70E7"/>
    <w:rsid w:val="00AE0C03"/>
    <w:rsid w:val="00AE1D0B"/>
    <w:rsid w:val="00AE2C15"/>
    <w:rsid w:val="00AE2CF6"/>
    <w:rsid w:val="00AE3BC4"/>
    <w:rsid w:val="00AE6164"/>
    <w:rsid w:val="00AE7E42"/>
    <w:rsid w:val="00AF0B98"/>
    <w:rsid w:val="00AF31FB"/>
    <w:rsid w:val="00AF4AA4"/>
    <w:rsid w:val="00AF57AE"/>
    <w:rsid w:val="00AF60F8"/>
    <w:rsid w:val="00AF6300"/>
    <w:rsid w:val="00AF683C"/>
    <w:rsid w:val="00AF6ADF"/>
    <w:rsid w:val="00B007B9"/>
    <w:rsid w:val="00B00A25"/>
    <w:rsid w:val="00B00C53"/>
    <w:rsid w:val="00B01ADA"/>
    <w:rsid w:val="00B0228B"/>
    <w:rsid w:val="00B03A23"/>
    <w:rsid w:val="00B03BD1"/>
    <w:rsid w:val="00B03D4B"/>
    <w:rsid w:val="00B03EC5"/>
    <w:rsid w:val="00B04820"/>
    <w:rsid w:val="00B0709F"/>
    <w:rsid w:val="00B07C4C"/>
    <w:rsid w:val="00B12561"/>
    <w:rsid w:val="00B137E7"/>
    <w:rsid w:val="00B13814"/>
    <w:rsid w:val="00B13CA9"/>
    <w:rsid w:val="00B14A14"/>
    <w:rsid w:val="00B15B78"/>
    <w:rsid w:val="00B2176E"/>
    <w:rsid w:val="00B22B9A"/>
    <w:rsid w:val="00B241A2"/>
    <w:rsid w:val="00B26C2B"/>
    <w:rsid w:val="00B33709"/>
    <w:rsid w:val="00B33EA9"/>
    <w:rsid w:val="00B3557B"/>
    <w:rsid w:val="00B3746A"/>
    <w:rsid w:val="00B4178C"/>
    <w:rsid w:val="00B436F8"/>
    <w:rsid w:val="00B51465"/>
    <w:rsid w:val="00B5163E"/>
    <w:rsid w:val="00B57167"/>
    <w:rsid w:val="00B60D19"/>
    <w:rsid w:val="00B63729"/>
    <w:rsid w:val="00B651A6"/>
    <w:rsid w:val="00B6535B"/>
    <w:rsid w:val="00B65607"/>
    <w:rsid w:val="00B657AB"/>
    <w:rsid w:val="00B67EB0"/>
    <w:rsid w:val="00B67EFF"/>
    <w:rsid w:val="00B70A42"/>
    <w:rsid w:val="00B7335F"/>
    <w:rsid w:val="00B756A2"/>
    <w:rsid w:val="00B8003C"/>
    <w:rsid w:val="00B80C02"/>
    <w:rsid w:val="00B817BA"/>
    <w:rsid w:val="00B82708"/>
    <w:rsid w:val="00B84888"/>
    <w:rsid w:val="00B8592F"/>
    <w:rsid w:val="00B85C4E"/>
    <w:rsid w:val="00B86430"/>
    <w:rsid w:val="00B87176"/>
    <w:rsid w:val="00B92096"/>
    <w:rsid w:val="00B92215"/>
    <w:rsid w:val="00B934D9"/>
    <w:rsid w:val="00B93582"/>
    <w:rsid w:val="00B93CC1"/>
    <w:rsid w:val="00B94310"/>
    <w:rsid w:val="00B94FE4"/>
    <w:rsid w:val="00B95792"/>
    <w:rsid w:val="00B95F71"/>
    <w:rsid w:val="00BA0523"/>
    <w:rsid w:val="00BA4565"/>
    <w:rsid w:val="00BA4D9A"/>
    <w:rsid w:val="00BB3232"/>
    <w:rsid w:val="00BB355A"/>
    <w:rsid w:val="00BB7DB2"/>
    <w:rsid w:val="00BC1A6B"/>
    <w:rsid w:val="00BC26EA"/>
    <w:rsid w:val="00BC344C"/>
    <w:rsid w:val="00BC3515"/>
    <w:rsid w:val="00BC41D4"/>
    <w:rsid w:val="00BC45CB"/>
    <w:rsid w:val="00BC6196"/>
    <w:rsid w:val="00BC6E96"/>
    <w:rsid w:val="00BC724F"/>
    <w:rsid w:val="00BD05B0"/>
    <w:rsid w:val="00BD27F6"/>
    <w:rsid w:val="00BD3B74"/>
    <w:rsid w:val="00BD3D27"/>
    <w:rsid w:val="00BD483D"/>
    <w:rsid w:val="00BD4C2A"/>
    <w:rsid w:val="00BD7ADA"/>
    <w:rsid w:val="00BE044B"/>
    <w:rsid w:val="00BE0856"/>
    <w:rsid w:val="00BE0B55"/>
    <w:rsid w:val="00BE1BBC"/>
    <w:rsid w:val="00BE3384"/>
    <w:rsid w:val="00BE7CDF"/>
    <w:rsid w:val="00BF18A7"/>
    <w:rsid w:val="00BF2301"/>
    <w:rsid w:val="00BF38C2"/>
    <w:rsid w:val="00BF3F7E"/>
    <w:rsid w:val="00BF4AA4"/>
    <w:rsid w:val="00BF52D7"/>
    <w:rsid w:val="00BF61EB"/>
    <w:rsid w:val="00BF6C1B"/>
    <w:rsid w:val="00C046DA"/>
    <w:rsid w:val="00C06CDB"/>
    <w:rsid w:val="00C07B30"/>
    <w:rsid w:val="00C10523"/>
    <w:rsid w:val="00C10C07"/>
    <w:rsid w:val="00C11DC8"/>
    <w:rsid w:val="00C13019"/>
    <w:rsid w:val="00C138E6"/>
    <w:rsid w:val="00C13DAA"/>
    <w:rsid w:val="00C15A58"/>
    <w:rsid w:val="00C15AA0"/>
    <w:rsid w:val="00C17ABA"/>
    <w:rsid w:val="00C20580"/>
    <w:rsid w:val="00C209F1"/>
    <w:rsid w:val="00C21A2F"/>
    <w:rsid w:val="00C25031"/>
    <w:rsid w:val="00C25510"/>
    <w:rsid w:val="00C267C9"/>
    <w:rsid w:val="00C267CA"/>
    <w:rsid w:val="00C267F3"/>
    <w:rsid w:val="00C31A55"/>
    <w:rsid w:val="00C323D8"/>
    <w:rsid w:val="00C32DC4"/>
    <w:rsid w:val="00C33116"/>
    <w:rsid w:val="00C3461C"/>
    <w:rsid w:val="00C35398"/>
    <w:rsid w:val="00C37C82"/>
    <w:rsid w:val="00C40A03"/>
    <w:rsid w:val="00C41511"/>
    <w:rsid w:val="00C41F60"/>
    <w:rsid w:val="00C41F70"/>
    <w:rsid w:val="00C42342"/>
    <w:rsid w:val="00C42D6E"/>
    <w:rsid w:val="00C43A47"/>
    <w:rsid w:val="00C4418D"/>
    <w:rsid w:val="00C45B95"/>
    <w:rsid w:val="00C46A10"/>
    <w:rsid w:val="00C4704A"/>
    <w:rsid w:val="00C50329"/>
    <w:rsid w:val="00C53172"/>
    <w:rsid w:val="00C536C3"/>
    <w:rsid w:val="00C555DB"/>
    <w:rsid w:val="00C559F2"/>
    <w:rsid w:val="00C576F2"/>
    <w:rsid w:val="00C57981"/>
    <w:rsid w:val="00C6001D"/>
    <w:rsid w:val="00C619DC"/>
    <w:rsid w:val="00C62327"/>
    <w:rsid w:val="00C62B3D"/>
    <w:rsid w:val="00C641E7"/>
    <w:rsid w:val="00C64947"/>
    <w:rsid w:val="00C65552"/>
    <w:rsid w:val="00C65CBF"/>
    <w:rsid w:val="00C6630A"/>
    <w:rsid w:val="00C665E5"/>
    <w:rsid w:val="00C676F9"/>
    <w:rsid w:val="00C6797B"/>
    <w:rsid w:val="00C7086D"/>
    <w:rsid w:val="00C718C7"/>
    <w:rsid w:val="00C71BC4"/>
    <w:rsid w:val="00C737CE"/>
    <w:rsid w:val="00C7386E"/>
    <w:rsid w:val="00C75170"/>
    <w:rsid w:val="00C75B33"/>
    <w:rsid w:val="00C77F46"/>
    <w:rsid w:val="00C8587B"/>
    <w:rsid w:val="00C85BC1"/>
    <w:rsid w:val="00C87491"/>
    <w:rsid w:val="00C92B34"/>
    <w:rsid w:val="00C92C51"/>
    <w:rsid w:val="00C92D72"/>
    <w:rsid w:val="00C92E37"/>
    <w:rsid w:val="00C97788"/>
    <w:rsid w:val="00CA0AAC"/>
    <w:rsid w:val="00CA2489"/>
    <w:rsid w:val="00CA2692"/>
    <w:rsid w:val="00CA3E94"/>
    <w:rsid w:val="00CA445E"/>
    <w:rsid w:val="00CA4F91"/>
    <w:rsid w:val="00CA5F72"/>
    <w:rsid w:val="00CA7111"/>
    <w:rsid w:val="00CA72FC"/>
    <w:rsid w:val="00CA762C"/>
    <w:rsid w:val="00CB07F8"/>
    <w:rsid w:val="00CB376E"/>
    <w:rsid w:val="00CB51D9"/>
    <w:rsid w:val="00CB687C"/>
    <w:rsid w:val="00CC0029"/>
    <w:rsid w:val="00CC1036"/>
    <w:rsid w:val="00CC13D8"/>
    <w:rsid w:val="00CC3271"/>
    <w:rsid w:val="00CC3A8B"/>
    <w:rsid w:val="00CC40BF"/>
    <w:rsid w:val="00CC4266"/>
    <w:rsid w:val="00CC6261"/>
    <w:rsid w:val="00CC6C52"/>
    <w:rsid w:val="00CC7E6F"/>
    <w:rsid w:val="00CD0B01"/>
    <w:rsid w:val="00CD0E60"/>
    <w:rsid w:val="00CD11C0"/>
    <w:rsid w:val="00CD3C4E"/>
    <w:rsid w:val="00CD4A9F"/>
    <w:rsid w:val="00CD689E"/>
    <w:rsid w:val="00CD6EC2"/>
    <w:rsid w:val="00CE0A9D"/>
    <w:rsid w:val="00CE13A9"/>
    <w:rsid w:val="00CE35E7"/>
    <w:rsid w:val="00CE378E"/>
    <w:rsid w:val="00CE3E4B"/>
    <w:rsid w:val="00CE4575"/>
    <w:rsid w:val="00CE5611"/>
    <w:rsid w:val="00CE5D33"/>
    <w:rsid w:val="00CE6B44"/>
    <w:rsid w:val="00CF1B5D"/>
    <w:rsid w:val="00CF1D3E"/>
    <w:rsid w:val="00CF2000"/>
    <w:rsid w:val="00CF4259"/>
    <w:rsid w:val="00CF5008"/>
    <w:rsid w:val="00CF7287"/>
    <w:rsid w:val="00D01E70"/>
    <w:rsid w:val="00D039C7"/>
    <w:rsid w:val="00D114AB"/>
    <w:rsid w:val="00D1189E"/>
    <w:rsid w:val="00D11FBB"/>
    <w:rsid w:val="00D1355B"/>
    <w:rsid w:val="00D13945"/>
    <w:rsid w:val="00D13B0F"/>
    <w:rsid w:val="00D16CCA"/>
    <w:rsid w:val="00D22B5C"/>
    <w:rsid w:val="00D22BE2"/>
    <w:rsid w:val="00D2617B"/>
    <w:rsid w:val="00D31420"/>
    <w:rsid w:val="00D316CB"/>
    <w:rsid w:val="00D33F72"/>
    <w:rsid w:val="00D34685"/>
    <w:rsid w:val="00D36692"/>
    <w:rsid w:val="00D37559"/>
    <w:rsid w:val="00D37F78"/>
    <w:rsid w:val="00D40692"/>
    <w:rsid w:val="00D4071F"/>
    <w:rsid w:val="00D40BF6"/>
    <w:rsid w:val="00D41080"/>
    <w:rsid w:val="00D4283D"/>
    <w:rsid w:val="00D42F2E"/>
    <w:rsid w:val="00D43771"/>
    <w:rsid w:val="00D44DA8"/>
    <w:rsid w:val="00D47AEF"/>
    <w:rsid w:val="00D50547"/>
    <w:rsid w:val="00D51CDC"/>
    <w:rsid w:val="00D52F48"/>
    <w:rsid w:val="00D53659"/>
    <w:rsid w:val="00D54973"/>
    <w:rsid w:val="00D55874"/>
    <w:rsid w:val="00D56025"/>
    <w:rsid w:val="00D56A4C"/>
    <w:rsid w:val="00D5768E"/>
    <w:rsid w:val="00D612A3"/>
    <w:rsid w:val="00D63BC2"/>
    <w:rsid w:val="00D6410F"/>
    <w:rsid w:val="00D64EB6"/>
    <w:rsid w:val="00D66861"/>
    <w:rsid w:val="00D7146F"/>
    <w:rsid w:val="00D72478"/>
    <w:rsid w:val="00D72B99"/>
    <w:rsid w:val="00D72FBB"/>
    <w:rsid w:val="00D731C7"/>
    <w:rsid w:val="00D758E3"/>
    <w:rsid w:val="00D77737"/>
    <w:rsid w:val="00D82130"/>
    <w:rsid w:val="00D83538"/>
    <w:rsid w:val="00D83587"/>
    <w:rsid w:val="00D83A11"/>
    <w:rsid w:val="00D83C4B"/>
    <w:rsid w:val="00D83D16"/>
    <w:rsid w:val="00D84386"/>
    <w:rsid w:val="00D855D0"/>
    <w:rsid w:val="00D85625"/>
    <w:rsid w:val="00D9079B"/>
    <w:rsid w:val="00D91984"/>
    <w:rsid w:val="00D91B75"/>
    <w:rsid w:val="00D92AC1"/>
    <w:rsid w:val="00D92BA0"/>
    <w:rsid w:val="00D93CF9"/>
    <w:rsid w:val="00D94526"/>
    <w:rsid w:val="00D94DFE"/>
    <w:rsid w:val="00D95201"/>
    <w:rsid w:val="00D9680F"/>
    <w:rsid w:val="00D9776F"/>
    <w:rsid w:val="00D97EE0"/>
    <w:rsid w:val="00DA06F6"/>
    <w:rsid w:val="00DA2047"/>
    <w:rsid w:val="00DA4337"/>
    <w:rsid w:val="00DA6320"/>
    <w:rsid w:val="00DA6E1B"/>
    <w:rsid w:val="00DA74AF"/>
    <w:rsid w:val="00DA7CEB"/>
    <w:rsid w:val="00DB2FEF"/>
    <w:rsid w:val="00DB3297"/>
    <w:rsid w:val="00DB3B0F"/>
    <w:rsid w:val="00DB3F03"/>
    <w:rsid w:val="00DB5116"/>
    <w:rsid w:val="00DB5B35"/>
    <w:rsid w:val="00DB5F70"/>
    <w:rsid w:val="00DB799C"/>
    <w:rsid w:val="00DC1272"/>
    <w:rsid w:val="00DC2063"/>
    <w:rsid w:val="00DC22A1"/>
    <w:rsid w:val="00DC3971"/>
    <w:rsid w:val="00DC4A3E"/>
    <w:rsid w:val="00DC5FE1"/>
    <w:rsid w:val="00DC68BD"/>
    <w:rsid w:val="00DC69B6"/>
    <w:rsid w:val="00DC7670"/>
    <w:rsid w:val="00DD0A0D"/>
    <w:rsid w:val="00DD2518"/>
    <w:rsid w:val="00DD2EDF"/>
    <w:rsid w:val="00DD35FE"/>
    <w:rsid w:val="00DD5716"/>
    <w:rsid w:val="00DD582B"/>
    <w:rsid w:val="00DE4123"/>
    <w:rsid w:val="00DE7222"/>
    <w:rsid w:val="00DF0443"/>
    <w:rsid w:val="00DF0B97"/>
    <w:rsid w:val="00DF56C7"/>
    <w:rsid w:val="00DF5C90"/>
    <w:rsid w:val="00DF7128"/>
    <w:rsid w:val="00DF7534"/>
    <w:rsid w:val="00DF7C58"/>
    <w:rsid w:val="00E002A9"/>
    <w:rsid w:val="00E0171D"/>
    <w:rsid w:val="00E01E5E"/>
    <w:rsid w:val="00E045E3"/>
    <w:rsid w:val="00E05A14"/>
    <w:rsid w:val="00E05A91"/>
    <w:rsid w:val="00E05C47"/>
    <w:rsid w:val="00E067A0"/>
    <w:rsid w:val="00E07537"/>
    <w:rsid w:val="00E07F3A"/>
    <w:rsid w:val="00E1119D"/>
    <w:rsid w:val="00E124EE"/>
    <w:rsid w:val="00E172E8"/>
    <w:rsid w:val="00E17B9C"/>
    <w:rsid w:val="00E202E4"/>
    <w:rsid w:val="00E21FCC"/>
    <w:rsid w:val="00E232E0"/>
    <w:rsid w:val="00E25213"/>
    <w:rsid w:val="00E2673C"/>
    <w:rsid w:val="00E269AF"/>
    <w:rsid w:val="00E26F73"/>
    <w:rsid w:val="00E3039D"/>
    <w:rsid w:val="00E30E37"/>
    <w:rsid w:val="00E32478"/>
    <w:rsid w:val="00E33559"/>
    <w:rsid w:val="00E34397"/>
    <w:rsid w:val="00E3510D"/>
    <w:rsid w:val="00E35430"/>
    <w:rsid w:val="00E41EE1"/>
    <w:rsid w:val="00E42831"/>
    <w:rsid w:val="00E435CE"/>
    <w:rsid w:val="00E43C52"/>
    <w:rsid w:val="00E44722"/>
    <w:rsid w:val="00E44E46"/>
    <w:rsid w:val="00E51F05"/>
    <w:rsid w:val="00E52E8A"/>
    <w:rsid w:val="00E53E0B"/>
    <w:rsid w:val="00E550EF"/>
    <w:rsid w:val="00E5569C"/>
    <w:rsid w:val="00E55C88"/>
    <w:rsid w:val="00E57AAA"/>
    <w:rsid w:val="00E57F97"/>
    <w:rsid w:val="00E61E47"/>
    <w:rsid w:val="00E625D6"/>
    <w:rsid w:val="00E6351C"/>
    <w:rsid w:val="00E650CA"/>
    <w:rsid w:val="00E65420"/>
    <w:rsid w:val="00E65ECD"/>
    <w:rsid w:val="00E66CF9"/>
    <w:rsid w:val="00E67AB9"/>
    <w:rsid w:val="00E67DB5"/>
    <w:rsid w:val="00E70BE6"/>
    <w:rsid w:val="00E724FD"/>
    <w:rsid w:val="00E72DBE"/>
    <w:rsid w:val="00E731CA"/>
    <w:rsid w:val="00E7344E"/>
    <w:rsid w:val="00E7400F"/>
    <w:rsid w:val="00E74DB0"/>
    <w:rsid w:val="00E75E38"/>
    <w:rsid w:val="00E80100"/>
    <w:rsid w:val="00E82A2A"/>
    <w:rsid w:val="00E8351C"/>
    <w:rsid w:val="00E838AD"/>
    <w:rsid w:val="00E86373"/>
    <w:rsid w:val="00E93808"/>
    <w:rsid w:val="00E94E26"/>
    <w:rsid w:val="00E956F8"/>
    <w:rsid w:val="00E962E7"/>
    <w:rsid w:val="00E96935"/>
    <w:rsid w:val="00E9761C"/>
    <w:rsid w:val="00E97D30"/>
    <w:rsid w:val="00EA030E"/>
    <w:rsid w:val="00EA0AE6"/>
    <w:rsid w:val="00EA1AF5"/>
    <w:rsid w:val="00EA32EF"/>
    <w:rsid w:val="00EA33AB"/>
    <w:rsid w:val="00EB39DA"/>
    <w:rsid w:val="00EC1277"/>
    <w:rsid w:val="00EC34CE"/>
    <w:rsid w:val="00EC35DF"/>
    <w:rsid w:val="00EC3FF3"/>
    <w:rsid w:val="00EC5466"/>
    <w:rsid w:val="00EC615A"/>
    <w:rsid w:val="00ED01D7"/>
    <w:rsid w:val="00ED2725"/>
    <w:rsid w:val="00ED2F82"/>
    <w:rsid w:val="00ED34A1"/>
    <w:rsid w:val="00ED4664"/>
    <w:rsid w:val="00ED46AD"/>
    <w:rsid w:val="00ED563C"/>
    <w:rsid w:val="00ED6634"/>
    <w:rsid w:val="00ED6705"/>
    <w:rsid w:val="00ED7524"/>
    <w:rsid w:val="00ED7D73"/>
    <w:rsid w:val="00EE032D"/>
    <w:rsid w:val="00EE16E4"/>
    <w:rsid w:val="00EE3428"/>
    <w:rsid w:val="00EE3B13"/>
    <w:rsid w:val="00EE51AF"/>
    <w:rsid w:val="00EE64B6"/>
    <w:rsid w:val="00EE65C8"/>
    <w:rsid w:val="00EE7421"/>
    <w:rsid w:val="00EE77EA"/>
    <w:rsid w:val="00EE78E1"/>
    <w:rsid w:val="00EE7EE9"/>
    <w:rsid w:val="00EF1B19"/>
    <w:rsid w:val="00EF1F44"/>
    <w:rsid w:val="00EF4548"/>
    <w:rsid w:val="00EF454C"/>
    <w:rsid w:val="00EF4720"/>
    <w:rsid w:val="00EF584C"/>
    <w:rsid w:val="00EF602E"/>
    <w:rsid w:val="00EF7CBE"/>
    <w:rsid w:val="00F00758"/>
    <w:rsid w:val="00F02FE7"/>
    <w:rsid w:val="00F03800"/>
    <w:rsid w:val="00F05B02"/>
    <w:rsid w:val="00F061EB"/>
    <w:rsid w:val="00F0670A"/>
    <w:rsid w:val="00F06E4F"/>
    <w:rsid w:val="00F116FA"/>
    <w:rsid w:val="00F11C80"/>
    <w:rsid w:val="00F12FDD"/>
    <w:rsid w:val="00F14758"/>
    <w:rsid w:val="00F14A32"/>
    <w:rsid w:val="00F17CBB"/>
    <w:rsid w:val="00F2074A"/>
    <w:rsid w:val="00F219CE"/>
    <w:rsid w:val="00F2567C"/>
    <w:rsid w:val="00F27E42"/>
    <w:rsid w:val="00F30336"/>
    <w:rsid w:val="00F30D6A"/>
    <w:rsid w:val="00F31268"/>
    <w:rsid w:val="00F32FB5"/>
    <w:rsid w:val="00F33CC9"/>
    <w:rsid w:val="00F33DB2"/>
    <w:rsid w:val="00F346C8"/>
    <w:rsid w:val="00F34737"/>
    <w:rsid w:val="00F3569C"/>
    <w:rsid w:val="00F368EA"/>
    <w:rsid w:val="00F37092"/>
    <w:rsid w:val="00F409D5"/>
    <w:rsid w:val="00F410B3"/>
    <w:rsid w:val="00F41F20"/>
    <w:rsid w:val="00F4299B"/>
    <w:rsid w:val="00F43A72"/>
    <w:rsid w:val="00F4466F"/>
    <w:rsid w:val="00F46263"/>
    <w:rsid w:val="00F478FD"/>
    <w:rsid w:val="00F5305C"/>
    <w:rsid w:val="00F53962"/>
    <w:rsid w:val="00F549B8"/>
    <w:rsid w:val="00F5554A"/>
    <w:rsid w:val="00F55A17"/>
    <w:rsid w:val="00F55FA7"/>
    <w:rsid w:val="00F55FC1"/>
    <w:rsid w:val="00F60259"/>
    <w:rsid w:val="00F63395"/>
    <w:rsid w:val="00F64DEF"/>
    <w:rsid w:val="00F65F53"/>
    <w:rsid w:val="00F66CEB"/>
    <w:rsid w:val="00F679B4"/>
    <w:rsid w:val="00F720BF"/>
    <w:rsid w:val="00F720E5"/>
    <w:rsid w:val="00F723E1"/>
    <w:rsid w:val="00F752B2"/>
    <w:rsid w:val="00F77969"/>
    <w:rsid w:val="00F807B6"/>
    <w:rsid w:val="00F80C22"/>
    <w:rsid w:val="00F82237"/>
    <w:rsid w:val="00F8322C"/>
    <w:rsid w:val="00F8336B"/>
    <w:rsid w:val="00F844FE"/>
    <w:rsid w:val="00F84B68"/>
    <w:rsid w:val="00F8714C"/>
    <w:rsid w:val="00F90AC5"/>
    <w:rsid w:val="00F92278"/>
    <w:rsid w:val="00F92C55"/>
    <w:rsid w:val="00F935CD"/>
    <w:rsid w:val="00F94859"/>
    <w:rsid w:val="00F9519E"/>
    <w:rsid w:val="00F955B4"/>
    <w:rsid w:val="00F96C5A"/>
    <w:rsid w:val="00FA0EC9"/>
    <w:rsid w:val="00FA20E9"/>
    <w:rsid w:val="00FA227B"/>
    <w:rsid w:val="00FA2CE1"/>
    <w:rsid w:val="00FA4640"/>
    <w:rsid w:val="00FA4D2B"/>
    <w:rsid w:val="00FA6EAA"/>
    <w:rsid w:val="00FA70F4"/>
    <w:rsid w:val="00FA795D"/>
    <w:rsid w:val="00FB047A"/>
    <w:rsid w:val="00FB51BE"/>
    <w:rsid w:val="00FB66CA"/>
    <w:rsid w:val="00FB6AD9"/>
    <w:rsid w:val="00FC09D8"/>
    <w:rsid w:val="00FC0DF6"/>
    <w:rsid w:val="00FC2C65"/>
    <w:rsid w:val="00FC34DA"/>
    <w:rsid w:val="00FC4146"/>
    <w:rsid w:val="00FC72A2"/>
    <w:rsid w:val="00FD07B4"/>
    <w:rsid w:val="00FD0F4E"/>
    <w:rsid w:val="00FD2B02"/>
    <w:rsid w:val="00FD2B27"/>
    <w:rsid w:val="00FD30E0"/>
    <w:rsid w:val="00FD3EDF"/>
    <w:rsid w:val="00FD4549"/>
    <w:rsid w:val="00FD4914"/>
    <w:rsid w:val="00FD4A81"/>
    <w:rsid w:val="00FD5322"/>
    <w:rsid w:val="00FD7A5A"/>
    <w:rsid w:val="00FE033B"/>
    <w:rsid w:val="00FE2223"/>
    <w:rsid w:val="00FE2A52"/>
    <w:rsid w:val="00FE2BD8"/>
    <w:rsid w:val="00FE34C8"/>
    <w:rsid w:val="00FE3FC4"/>
    <w:rsid w:val="00FE411B"/>
    <w:rsid w:val="00FE4C7B"/>
    <w:rsid w:val="00FE57B3"/>
    <w:rsid w:val="00FE626E"/>
    <w:rsid w:val="00FE6F9A"/>
    <w:rsid w:val="00FF24CF"/>
    <w:rsid w:val="00FF2F31"/>
    <w:rsid w:val="00FF3185"/>
    <w:rsid w:val="00FF3C46"/>
    <w:rsid w:val="00FF779F"/>
    <w:rsid w:val="00FF7CED"/>
    <w:rsid w:val="0C085526"/>
    <w:rsid w:val="102D3FF1"/>
    <w:rsid w:val="17F376D9"/>
    <w:rsid w:val="1EF9465E"/>
    <w:rsid w:val="2AF12700"/>
    <w:rsid w:val="2C905638"/>
    <w:rsid w:val="31327CC7"/>
    <w:rsid w:val="33A34CBA"/>
    <w:rsid w:val="4C30370D"/>
    <w:rsid w:val="526C59CC"/>
    <w:rsid w:val="55097B26"/>
    <w:rsid w:val="68E61D28"/>
    <w:rsid w:val="6CA16A6E"/>
    <w:rsid w:val="751A43AC"/>
    <w:rsid w:val="7F4526DA"/>
    <w:rsid w:val="7FC55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0"/>
    <w:qFormat/>
    <w:uiPriority w:val="0"/>
    <w:pPr>
      <w:keepNext/>
      <w:keepLines/>
      <w:spacing w:before="260" w:after="260" w:line="413" w:lineRule="auto"/>
      <w:outlineLvl w:val="1"/>
    </w:pPr>
    <w:rPr>
      <w:rFonts w:ascii="Arial" w:hAnsi="Arial" w:eastAsia="黑体" w:cs="Times New Roman"/>
      <w:b/>
      <w:bCs/>
      <w:color w:val="000000"/>
      <w:sz w:val="32"/>
      <w:szCs w:val="32"/>
    </w:rPr>
  </w:style>
  <w:style w:type="paragraph" w:styleId="4">
    <w:name w:val="heading 3"/>
    <w:basedOn w:val="1"/>
    <w:next w:val="1"/>
    <w:link w:val="61"/>
    <w:qFormat/>
    <w:uiPriority w:val="0"/>
    <w:pPr>
      <w:keepNext/>
      <w:keepLines/>
      <w:autoSpaceDE w:val="0"/>
      <w:autoSpaceDN w:val="0"/>
      <w:adjustRightInd w:val="0"/>
      <w:spacing w:before="260" w:after="260" w:line="413" w:lineRule="auto"/>
      <w:outlineLvl w:val="2"/>
    </w:pPr>
    <w:rPr>
      <w:rFonts w:ascii="Times New Roman" w:hAnsi="Times New Roman" w:eastAsia="宋体" w:cs="Times New Roman"/>
      <w:b/>
      <w:bCs/>
      <w:color w:val="000000"/>
      <w:kern w:val="0"/>
      <w:sz w:val="32"/>
      <w:szCs w:val="32"/>
    </w:rPr>
  </w:style>
  <w:style w:type="paragraph" w:styleId="5">
    <w:name w:val="heading 4"/>
    <w:next w:val="1"/>
    <w:link w:val="62"/>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63"/>
    <w:qFormat/>
    <w:uiPriority w:val="0"/>
    <w:pPr>
      <w:keepNext/>
      <w:keepLines/>
      <w:spacing w:before="280" w:after="290" w:line="372" w:lineRule="auto"/>
      <w:outlineLvl w:val="4"/>
    </w:pPr>
    <w:rPr>
      <w:rFonts w:ascii="Times New Roman" w:hAnsi="Times New Roman" w:eastAsia="宋体" w:cs="Times New Roman"/>
      <w:b/>
      <w:bCs/>
      <w:color w:val="000000"/>
      <w:sz w:val="28"/>
      <w:szCs w:val="28"/>
    </w:rPr>
  </w:style>
  <w:style w:type="paragraph" w:styleId="7">
    <w:name w:val="heading 6"/>
    <w:basedOn w:val="1"/>
    <w:next w:val="8"/>
    <w:link w:val="65"/>
    <w:qFormat/>
    <w:uiPriority w:val="0"/>
    <w:pPr>
      <w:keepNext/>
      <w:keepLines/>
      <w:widowControl/>
      <w:tabs>
        <w:tab w:val="left" w:pos="1152"/>
      </w:tabs>
      <w:overflowPunct w:val="0"/>
      <w:adjustRightInd w:val="0"/>
      <w:snapToGrid w:val="0"/>
      <w:spacing w:before="120" w:after="120" w:line="360" w:lineRule="auto"/>
      <w:ind w:left="1152" w:hanging="1152"/>
      <w:textAlignment w:val="baseline"/>
      <w:outlineLvl w:val="5"/>
    </w:pPr>
    <w:rPr>
      <w:rFonts w:ascii="Times New Roman" w:hAnsi="Times New Roman" w:eastAsia="宋体" w:cs="Times New Roman"/>
      <w:color w:val="000000"/>
      <w:kern w:val="24"/>
      <w:sz w:val="24"/>
      <w:szCs w:val="24"/>
    </w:rPr>
  </w:style>
  <w:style w:type="paragraph" w:styleId="9">
    <w:name w:val="heading 7"/>
    <w:basedOn w:val="1"/>
    <w:next w:val="1"/>
    <w:link w:val="66"/>
    <w:qFormat/>
    <w:uiPriority w:val="0"/>
    <w:pPr>
      <w:keepNext/>
      <w:keepLines/>
      <w:widowControl/>
      <w:tabs>
        <w:tab w:val="left" w:pos="1296"/>
      </w:tabs>
      <w:overflowPunct w:val="0"/>
      <w:adjustRightInd w:val="0"/>
      <w:snapToGrid w:val="0"/>
      <w:spacing w:before="120" w:after="120" w:line="360" w:lineRule="auto"/>
      <w:ind w:left="1296" w:hanging="1296"/>
      <w:jc w:val="left"/>
      <w:textAlignment w:val="baseline"/>
      <w:outlineLvl w:val="6"/>
    </w:pPr>
    <w:rPr>
      <w:rFonts w:ascii="Times New Roman" w:hAnsi="Times New Roman" w:eastAsia="宋体" w:cs="Times New Roman"/>
      <w:color w:val="000000"/>
      <w:spacing w:val="2"/>
      <w:kern w:val="24"/>
      <w:sz w:val="24"/>
      <w:szCs w:val="24"/>
    </w:rPr>
  </w:style>
  <w:style w:type="paragraph" w:styleId="10">
    <w:name w:val="heading 8"/>
    <w:basedOn w:val="1"/>
    <w:next w:val="1"/>
    <w:link w:val="67"/>
    <w:qFormat/>
    <w:uiPriority w:val="0"/>
    <w:pPr>
      <w:keepNext/>
      <w:keepLines/>
      <w:widowControl/>
      <w:tabs>
        <w:tab w:val="left" w:pos="1440"/>
      </w:tabs>
      <w:overflowPunct w:val="0"/>
      <w:adjustRightInd w:val="0"/>
      <w:snapToGrid w:val="0"/>
      <w:spacing w:before="120" w:after="120" w:line="360" w:lineRule="auto"/>
      <w:ind w:left="1440" w:hanging="1440"/>
      <w:jc w:val="left"/>
      <w:textAlignment w:val="baseline"/>
      <w:outlineLvl w:val="7"/>
    </w:pPr>
    <w:rPr>
      <w:rFonts w:ascii="Times New Roman" w:hAnsi="Times New Roman" w:eastAsia="宋体" w:cs="Times New Roman"/>
      <w:color w:val="000000"/>
      <w:kern w:val="24"/>
      <w:sz w:val="24"/>
      <w:szCs w:val="24"/>
    </w:rPr>
  </w:style>
  <w:style w:type="paragraph" w:styleId="11">
    <w:name w:val="heading 9"/>
    <w:basedOn w:val="1"/>
    <w:next w:val="1"/>
    <w:link w:val="68"/>
    <w:qFormat/>
    <w:uiPriority w:val="0"/>
    <w:pPr>
      <w:keepNext/>
      <w:keepLines/>
      <w:spacing w:before="240" w:after="64" w:line="317" w:lineRule="auto"/>
      <w:outlineLvl w:val="8"/>
    </w:pPr>
    <w:rPr>
      <w:rFonts w:ascii="Arial" w:hAnsi="Arial" w:eastAsia="黑体" w:cs="Times New Roman"/>
      <w:szCs w:val="24"/>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4"/>
    <w:qFormat/>
    <w:uiPriority w:val="0"/>
    <w:pPr>
      <w:ind w:firstLine="420"/>
    </w:pPr>
  </w:style>
  <w:style w:type="paragraph" w:styleId="12">
    <w:name w:val="toc 7"/>
    <w:basedOn w:val="1"/>
    <w:next w:val="1"/>
    <w:qFormat/>
    <w:uiPriority w:val="0"/>
    <w:pPr>
      <w:spacing w:line="360" w:lineRule="auto"/>
      <w:ind w:left="1440" w:firstLine="200" w:firstLineChars="200"/>
      <w:jc w:val="left"/>
    </w:pPr>
    <w:rPr>
      <w:rFonts w:ascii="Calibri" w:hAnsi="Calibri" w:eastAsia="宋体" w:cs="Times New Roman"/>
      <w:sz w:val="18"/>
      <w:szCs w:val="18"/>
    </w:rPr>
  </w:style>
  <w:style w:type="paragraph" w:styleId="13">
    <w:name w:val="List Number 2"/>
    <w:basedOn w:val="1"/>
    <w:qFormat/>
    <w:uiPriority w:val="0"/>
    <w:pPr>
      <w:widowControl/>
      <w:tabs>
        <w:tab w:val="left" w:pos="820"/>
      </w:tabs>
      <w:spacing w:afterLines="50"/>
      <w:ind w:left="988" w:hanging="420"/>
      <w:jc w:val="left"/>
    </w:pPr>
    <w:rPr>
      <w:rFonts w:ascii="Times New Roman" w:hAnsi="Times New Roman" w:eastAsia="宋体" w:cs="Times New Roman"/>
      <w:kern w:val="0"/>
      <w:sz w:val="24"/>
      <w:szCs w:val="20"/>
    </w:rPr>
  </w:style>
  <w:style w:type="paragraph" w:styleId="14">
    <w:name w:val="List Number"/>
    <w:basedOn w:val="1"/>
    <w:qFormat/>
    <w:uiPriority w:val="0"/>
    <w:pPr>
      <w:widowControl/>
      <w:tabs>
        <w:tab w:val="left" w:pos="720"/>
      </w:tabs>
      <w:spacing w:afterLines="50"/>
      <w:ind w:left="360" w:hanging="360"/>
      <w:jc w:val="left"/>
    </w:pPr>
    <w:rPr>
      <w:rFonts w:ascii="Times New Roman" w:hAnsi="Times New Roman" w:eastAsia="宋体" w:cs="Times New Roman"/>
      <w:kern w:val="0"/>
      <w:sz w:val="24"/>
      <w:szCs w:val="20"/>
    </w:rPr>
  </w:style>
  <w:style w:type="paragraph" w:styleId="15">
    <w:name w:val="caption"/>
    <w:basedOn w:val="1"/>
    <w:next w:val="1"/>
    <w:qFormat/>
    <w:uiPriority w:val="0"/>
    <w:pPr>
      <w:spacing w:line="360" w:lineRule="auto"/>
      <w:ind w:firstLine="200" w:firstLineChars="200"/>
    </w:pPr>
    <w:rPr>
      <w:rFonts w:ascii="Cambria" w:hAnsi="Cambria" w:eastAsia="黑体" w:cs="Times New Roman"/>
      <w:sz w:val="20"/>
      <w:szCs w:val="20"/>
    </w:rPr>
  </w:style>
  <w:style w:type="paragraph" w:styleId="16">
    <w:name w:val="index 5"/>
    <w:basedOn w:val="1"/>
    <w:next w:val="1"/>
    <w:qFormat/>
    <w:uiPriority w:val="0"/>
    <w:pPr>
      <w:autoSpaceDE w:val="0"/>
      <w:autoSpaceDN w:val="0"/>
      <w:adjustRightInd w:val="0"/>
      <w:ind w:left="800" w:leftChars="800"/>
    </w:pPr>
    <w:rPr>
      <w:rFonts w:ascii="Times New Roman" w:hAnsi="Times New Roman" w:eastAsia="宋体" w:cs="Times New Roman"/>
      <w:color w:val="000000"/>
      <w:kern w:val="0"/>
      <w:szCs w:val="21"/>
    </w:rPr>
  </w:style>
  <w:style w:type="paragraph" w:styleId="17">
    <w:name w:val="Document Map"/>
    <w:basedOn w:val="1"/>
    <w:link w:val="83"/>
    <w:qFormat/>
    <w:uiPriority w:val="0"/>
    <w:pPr>
      <w:shd w:val="clear" w:color="auto" w:fill="000080"/>
    </w:pPr>
    <w:rPr>
      <w:rFonts w:ascii="Times New Roman" w:hAnsi="Times New Roman" w:eastAsia="宋体" w:cs="Times New Roman"/>
      <w:szCs w:val="24"/>
    </w:rPr>
  </w:style>
  <w:style w:type="paragraph" w:styleId="18">
    <w:name w:val="annotation text"/>
    <w:basedOn w:val="1"/>
    <w:link w:val="85"/>
    <w:unhideWhenUsed/>
    <w:qFormat/>
    <w:uiPriority w:val="0"/>
    <w:pPr>
      <w:autoSpaceDE w:val="0"/>
      <w:autoSpaceDN w:val="0"/>
      <w:adjustRightInd w:val="0"/>
      <w:jc w:val="left"/>
    </w:pPr>
    <w:rPr>
      <w:rFonts w:ascii="Times New Roman" w:hAnsi="Times New Roman" w:eastAsia="宋体" w:cs="Times New Roman"/>
      <w:color w:val="000000"/>
      <w:kern w:val="0"/>
      <w:szCs w:val="21"/>
    </w:rPr>
  </w:style>
  <w:style w:type="paragraph" w:styleId="19">
    <w:name w:val="Body Text 3"/>
    <w:basedOn w:val="1"/>
    <w:link w:val="86"/>
    <w:unhideWhenUsed/>
    <w:qFormat/>
    <w:uiPriority w:val="0"/>
    <w:pPr>
      <w:autoSpaceDE w:val="0"/>
      <w:autoSpaceDN w:val="0"/>
      <w:adjustRightInd w:val="0"/>
      <w:spacing w:after="120"/>
    </w:pPr>
    <w:rPr>
      <w:rFonts w:ascii="Times New Roman" w:hAnsi="Times New Roman" w:eastAsia="宋体" w:cs="Times New Roman"/>
      <w:color w:val="000000"/>
      <w:kern w:val="0"/>
      <w:sz w:val="16"/>
      <w:szCs w:val="16"/>
    </w:rPr>
  </w:style>
  <w:style w:type="paragraph" w:styleId="20">
    <w:name w:val="Body Text"/>
    <w:basedOn w:val="1"/>
    <w:link w:val="77"/>
    <w:unhideWhenUsed/>
    <w:qFormat/>
    <w:uiPriority w:val="0"/>
    <w:pPr>
      <w:spacing w:after="120"/>
    </w:pPr>
  </w:style>
  <w:style w:type="paragraph" w:styleId="21">
    <w:name w:val="Body Text Indent"/>
    <w:basedOn w:val="1"/>
    <w:link w:val="69"/>
    <w:unhideWhenUsed/>
    <w:qFormat/>
    <w:uiPriority w:val="0"/>
    <w:pPr>
      <w:spacing w:after="120"/>
      <w:ind w:left="420" w:leftChars="200"/>
    </w:pPr>
  </w:style>
  <w:style w:type="paragraph" w:styleId="22">
    <w:name w:val="List Number 3"/>
    <w:basedOn w:val="1"/>
    <w:qFormat/>
    <w:uiPriority w:val="0"/>
    <w:pPr>
      <w:tabs>
        <w:tab w:val="left" w:pos="1200"/>
      </w:tabs>
      <w:autoSpaceDE w:val="0"/>
      <w:autoSpaceDN w:val="0"/>
      <w:adjustRightInd w:val="0"/>
      <w:ind w:left="1200" w:hanging="360"/>
    </w:pPr>
    <w:rPr>
      <w:rFonts w:ascii="Times New Roman" w:hAnsi="Times New Roman" w:eastAsia="宋体" w:cs="Times New Roman"/>
      <w:color w:val="000000"/>
      <w:kern w:val="0"/>
      <w:szCs w:val="21"/>
    </w:rPr>
  </w:style>
  <w:style w:type="paragraph" w:styleId="23">
    <w:name w:val="toc 5"/>
    <w:basedOn w:val="1"/>
    <w:next w:val="1"/>
    <w:qFormat/>
    <w:uiPriority w:val="0"/>
    <w:pPr>
      <w:spacing w:line="360" w:lineRule="auto"/>
      <w:ind w:left="960" w:firstLine="200" w:firstLineChars="200"/>
      <w:jc w:val="left"/>
    </w:pPr>
    <w:rPr>
      <w:rFonts w:ascii="Calibri" w:hAnsi="Calibri" w:eastAsia="宋体" w:cs="Times New Roman"/>
      <w:sz w:val="18"/>
      <w:szCs w:val="18"/>
    </w:rPr>
  </w:style>
  <w:style w:type="paragraph" w:styleId="24">
    <w:name w:val="toc 3"/>
    <w:basedOn w:val="1"/>
    <w:next w:val="1"/>
    <w:qFormat/>
    <w:uiPriority w:val="0"/>
    <w:pPr>
      <w:spacing w:line="360" w:lineRule="auto"/>
      <w:ind w:left="480" w:firstLine="200" w:firstLineChars="200"/>
      <w:jc w:val="left"/>
    </w:pPr>
    <w:rPr>
      <w:rFonts w:ascii="Calibri" w:hAnsi="Calibri" w:eastAsia="宋体" w:cs="Times New Roman"/>
      <w:i/>
      <w:iCs/>
      <w:sz w:val="20"/>
      <w:szCs w:val="20"/>
    </w:rPr>
  </w:style>
  <w:style w:type="paragraph" w:styleId="25">
    <w:name w:val="Plain Text"/>
    <w:basedOn w:val="1"/>
    <w:link w:val="87"/>
    <w:qFormat/>
    <w:uiPriority w:val="0"/>
    <w:rPr>
      <w:sz w:val="24"/>
    </w:rPr>
  </w:style>
  <w:style w:type="paragraph" w:styleId="26">
    <w:name w:val="toc 8"/>
    <w:basedOn w:val="1"/>
    <w:next w:val="1"/>
    <w:qFormat/>
    <w:uiPriority w:val="0"/>
    <w:pPr>
      <w:spacing w:line="360" w:lineRule="auto"/>
      <w:ind w:left="1680" w:firstLine="200" w:firstLineChars="200"/>
      <w:jc w:val="left"/>
    </w:pPr>
    <w:rPr>
      <w:rFonts w:ascii="Calibri" w:hAnsi="Calibri" w:eastAsia="宋体" w:cs="Times New Roman"/>
      <w:sz w:val="18"/>
      <w:szCs w:val="18"/>
    </w:rPr>
  </w:style>
  <w:style w:type="paragraph" w:styleId="27">
    <w:name w:val="Date"/>
    <w:basedOn w:val="1"/>
    <w:next w:val="1"/>
    <w:link w:val="89"/>
    <w:qFormat/>
    <w:uiPriority w:val="0"/>
    <w:pPr>
      <w:autoSpaceDE w:val="0"/>
      <w:autoSpaceDN w:val="0"/>
      <w:adjustRightInd w:val="0"/>
      <w:ind w:left="100" w:leftChars="2500"/>
    </w:pPr>
    <w:rPr>
      <w:color w:val="000000"/>
      <w:szCs w:val="21"/>
    </w:rPr>
  </w:style>
  <w:style w:type="paragraph" w:styleId="28">
    <w:name w:val="Body Text Indent 2"/>
    <w:basedOn w:val="1"/>
    <w:link w:val="90"/>
    <w:qFormat/>
    <w:uiPriority w:val="0"/>
    <w:pPr>
      <w:spacing w:after="120" w:line="480" w:lineRule="auto"/>
      <w:ind w:left="420" w:leftChars="200" w:firstLine="200" w:firstLineChars="200"/>
    </w:pPr>
    <w:rPr>
      <w:rFonts w:ascii="仿宋_GB2312" w:hAnsi="Times New Roman" w:eastAsia="仿宋_GB2312" w:cs="Times New Roman"/>
      <w:sz w:val="28"/>
      <w:szCs w:val="28"/>
    </w:rPr>
  </w:style>
  <w:style w:type="paragraph" w:styleId="29">
    <w:name w:val="Balloon Text"/>
    <w:basedOn w:val="1"/>
    <w:link w:val="91"/>
    <w:qFormat/>
    <w:uiPriority w:val="0"/>
    <w:rPr>
      <w:rFonts w:ascii="Times New Roman" w:hAnsi="Times New Roman" w:eastAsia="宋体" w:cs="Times New Roman"/>
      <w:sz w:val="18"/>
      <w:szCs w:val="18"/>
    </w:rPr>
  </w:style>
  <w:style w:type="paragraph" w:styleId="30">
    <w:name w:val="footer"/>
    <w:basedOn w:val="1"/>
    <w:link w:val="71"/>
    <w:qFormat/>
    <w:uiPriority w:val="0"/>
    <w:pPr>
      <w:tabs>
        <w:tab w:val="center" w:pos="4153"/>
        <w:tab w:val="right" w:pos="8306"/>
      </w:tabs>
      <w:snapToGrid w:val="0"/>
      <w:jc w:val="left"/>
    </w:pPr>
    <w:rPr>
      <w:sz w:val="18"/>
      <w:szCs w:val="18"/>
    </w:rPr>
  </w:style>
  <w:style w:type="paragraph" w:styleId="31">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2">
    <w:name w:val="Signature"/>
    <w:basedOn w:val="1"/>
    <w:next w:val="1"/>
    <w:link w:val="92"/>
    <w:qFormat/>
    <w:uiPriority w:val="0"/>
    <w:pPr>
      <w:keepNext/>
      <w:widowControl/>
      <w:tabs>
        <w:tab w:val="left" w:pos="1620"/>
      </w:tabs>
      <w:adjustRightInd w:val="0"/>
      <w:spacing w:line="220" w:lineRule="atLeast"/>
      <w:ind w:left="1620" w:hanging="1200"/>
      <w:jc w:val="right"/>
      <w:textAlignment w:val="baseline"/>
    </w:pPr>
    <w:rPr>
      <w:rFonts w:ascii="Arial" w:hAnsi="Arial"/>
      <w:spacing w:val="-5"/>
      <w:sz w:val="24"/>
    </w:rPr>
  </w:style>
  <w:style w:type="paragraph" w:styleId="33">
    <w:name w:val="toc 1"/>
    <w:basedOn w:val="1"/>
    <w:next w:val="1"/>
    <w:qFormat/>
    <w:uiPriority w:val="0"/>
    <w:pPr>
      <w:autoSpaceDE w:val="0"/>
      <w:autoSpaceDN w:val="0"/>
      <w:adjustRightInd w:val="0"/>
      <w:spacing w:line="360" w:lineRule="auto"/>
    </w:pPr>
    <w:rPr>
      <w:rFonts w:ascii="Times New Roman" w:hAnsi="Times New Roman" w:eastAsia="黑体" w:cs="Times New Roman"/>
      <w:color w:val="000000"/>
      <w:kern w:val="0"/>
      <w:sz w:val="24"/>
      <w:szCs w:val="21"/>
    </w:rPr>
  </w:style>
  <w:style w:type="paragraph" w:styleId="34">
    <w:name w:val="toc 4"/>
    <w:basedOn w:val="1"/>
    <w:next w:val="1"/>
    <w:qFormat/>
    <w:uiPriority w:val="0"/>
    <w:pPr>
      <w:spacing w:line="360" w:lineRule="auto"/>
      <w:ind w:left="720" w:firstLine="200" w:firstLineChars="200"/>
      <w:jc w:val="left"/>
    </w:pPr>
    <w:rPr>
      <w:rFonts w:ascii="Calibri" w:hAnsi="Calibri" w:eastAsia="宋体" w:cs="Times New Roman"/>
      <w:sz w:val="18"/>
      <w:szCs w:val="18"/>
    </w:rPr>
  </w:style>
  <w:style w:type="paragraph" w:styleId="35">
    <w:name w:val="Subtitle"/>
    <w:basedOn w:val="1"/>
    <w:next w:val="1"/>
    <w:link w:val="242"/>
    <w:qFormat/>
    <w:uiPriority w:val="0"/>
    <w:pPr>
      <w:autoSpaceDE w:val="0"/>
      <w:autoSpaceDN w:val="0"/>
      <w:adjustRightInd w:val="0"/>
      <w:spacing w:before="240" w:after="60" w:line="312" w:lineRule="auto"/>
      <w:jc w:val="center"/>
      <w:outlineLvl w:val="1"/>
    </w:pPr>
    <w:rPr>
      <w:rFonts w:ascii="Cambria" w:hAnsi="Cambria" w:eastAsia="宋体" w:cs="Times New Roman"/>
      <w:b/>
      <w:bCs/>
      <w:color w:val="000000"/>
      <w:kern w:val="28"/>
      <w:sz w:val="32"/>
      <w:szCs w:val="32"/>
    </w:rPr>
  </w:style>
  <w:style w:type="paragraph" w:styleId="36">
    <w:name w:val="List"/>
    <w:basedOn w:val="1"/>
    <w:qFormat/>
    <w:uiPriority w:val="0"/>
    <w:pPr>
      <w:autoSpaceDE w:val="0"/>
      <w:autoSpaceDN w:val="0"/>
      <w:adjustRightInd w:val="0"/>
      <w:ind w:left="200" w:hanging="200" w:hangingChars="200"/>
      <w:contextualSpacing/>
    </w:pPr>
    <w:rPr>
      <w:rFonts w:ascii="Times New Roman" w:hAnsi="Times New Roman" w:eastAsia="宋体" w:cs="Times New Roman"/>
      <w:color w:val="000000"/>
      <w:kern w:val="0"/>
      <w:szCs w:val="21"/>
    </w:rPr>
  </w:style>
  <w:style w:type="paragraph" w:styleId="37">
    <w:name w:val="footnote text"/>
    <w:basedOn w:val="1"/>
    <w:link w:val="259"/>
    <w:qFormat/>
    <w:uiPriority w:val="99"/>
    <w:pPr>
      <w:autoSpaceDE w:val="0"/>
      <w:autoSpaceDN w:val="0"/>
      <w:adjustRightInd w:val="0"/>
      <w:spacing w:line="440" w:lineRule="exact"/>
      <w:jc w:val="left"/>
    </w:pPr>
    <w:rPr>
      <w:rFonts w:ascii="Times New Roman" w:hAnsi="Times New Roman" w:eastAsia="等线" w:cs="Times New Roman"/>
      <w:color w:val="000000"/>
      <w:kern w:val="1"/>
      <w:sz w:val="18"/>
      <w:szCs w:val="21"/>
    </w:rPr>
  </w:style>
  <w:style w:type="paragraph" w:styleId="38">
    <w:name w:val="toc 6"/>
    <w:basedOn w:val="1"/>
    <w:next w:val="1"/>
    <w:qFormat/>
    <w:uiPriority w:val="0"/>
    <w:pPr>
      <w:spacing w:line="360" w:lineRule="auto"/>
      <w:ind w:left="1200" w:firstLine="200" w:firstLineChars="200"/>
      <w:jc w:val="left"/>
    </w:pPr>
    <w:rPr>
      <w:rFonts w:ascii="Calibri" w:hAnsi="Calibri" w:eastAsia="宋体" w:cs="Times New Roman"/>
      <w:sz w:val="18"/>
      <w:szCs w:val="18"/>
    </w:rPr>
  </w:style>
  <w:style w:type="paragraph" w:styleId="39">
    <w:name w:val="Body Text Indent 3"/>
    <w:basedOn w:val="1"/>
    <w:link w:val="93"/>
    <w:qFormat/>
    <w:uiPriority w:val="0"/>
    <w:pPr>
      <w:ind w:firstLine="435"/>
    </w:pPr>
    <w:rPr>
      <w:szCs w:val="24"/>
    </w:rPr>
  </w:style>
  <w:style w:type="paragraph" w:styleId="40">
    <w:name w:val="index 7"/>
    <w:basedOn w:val="1"/>
    <w:next w:val="1"/>
    <w:qFormat/>
    <w:uiPriority w:val="0"/>
    <w:pPr>
      <w:ind w:left="1200" w:leftChars="1200"/>
    </w:pPr>
    <w:rPr>
      <w:rFonts w:ascii="Times New Roman" w:hAnsi="Times New Roman" w:eastAsia="宋体" w:cs="Times New Roman"/>
      <w:szCs w:val="24"/>
    </w:rPr>
  </w:style>
  <w:style w:type="paragraph" w:styleId="41">
    <w:name w:val="toc 2"/>
    <w:basedOn w:val="1"/>
    <w:next w:val="1"/>
    <w:qFormat/>
    <w:uiPriority w:val="0"/>
    <w:pPr>
      <w:tabs>
        <w:tab w:val="right" w:leader="dot" w:pos="8296"/>
      </w:tabs>
      <w:spacing w:line="360" w:lineRule="auto"/>
      <w:ind w:left="240" w:firstLine="44" w:firstLineChars="22"/>
      <w:jc w:val="left"/>
    </w:pPr>
    <w:rPr>
      <w:rFonts w:ascii="Calibri" w:hAnsi="Calibri" w:eastAsia="宋体" w:cs="Times New Roman"/>
      <w:smallCaps/>
      <w:sz w:val="20"/>
      <w:szCs w:val="20"/>
    </w:rPr>
  </w:style>
  <w:style w:type="paragraph" w:styleId="42">
    <w:name w:val="toc 9"/>
    <w:basedOn w:val="1"/>
    <w:next w:val="1"/>
    <w:qFormat/>
    <w:uiPriority w:val="0"/>
    <w:pPr>
      <w:spacing w:line="360" w:lineRule="auto"/>
      <w:ind w:left="1920" w:firstLine="200" w:firstLineChars="200"/>
      <w:jc w:val="left"/>
    </w:pPr>
    <w:rPr>
      <w:rFonts w:ascii="Calibri" w:hAnsi="Calibri" w:eastAsia="宋体" w:cs="Times New Roman"/>
      <w:sz w:val="18"/>
      <w:szCs w:val="18"/>
    </w:rPr>
  </w:style>
  <w:style w:type="paragraph" w:styleId="43">
    <w:name w:val="Body Text 2"/>
    <w:basedOn w:val="1"/>
    <w:link w:val="194"/>
    <w:qFormat/>
    <w:uiPriority w:val="0"/>
    <w:pPr>
      <w:spacing w:after="120" w:line="480" w:lineRule="auto"/>
      <w:ind w:left="425" w:hanging="425"/>
    </w:pPr>
    <w:rPr>
      <w:rFonts w:ascii="Times New Roman" w:hAnsi="Times New Roman" w:eastAsia="宋体" w:cs="Times New Roman"/>
      <w:color w:val="000000"/>
    </w:rPr>
  </w:style>
  <w:style w:type="paragraph" w:styleId="44">
    <w:name w:val="HTML Preformatted"/>
    <w:basedOn w:val="1"/>
    <w:link w:val="94"/>
    <w:qFormat/>
    <w:uiPriority w:val="0"/>
    <w:rPr>
      <w:rFonts w:ascii="Arial Unicode MS" w:hAnsi="Arial Unicode MS" w:eastAsia="Arial Unicode MS"/>
    </w:rPr>
  </w:style>
  <w:style w:type="paragraph" w:styleId="45">
    <w:name w:val="Normal (Web)"/>
    <w:basedOn w:val="1"/>
    <w:link w:val="75"/>
    <w:qFormat/>
    <w:uiPriority w:val="0"/>
    <w:pPr>
      <w:widowControl/>
      <w:spacing w:before="100" w:beforeAutospacing="1" w:after="100" w:afterAutospacing="1"/>
      <w:jc w:val="left"/>
    </w:pPr>
    <w:rPr>
      <w:rFonts w:ascii="宋体" w:hAnsi="宋体" w:eastAsia="宋体" w:cs="宋体"/>
      <w:kern w:val="0"/>
      <w:sz w:val="24"/>
      <w:szCs w:val="24"/>
    </w:rPr>
  </w:style>
  <w:style w:type="paragraph" w:styleId="46">
    <w:name w:val="index 1"/>
    <w:basedOn w:val="1"/>
    <w:next w:val="1"/>
    <w:qFormat/>
    <w:uiPriority w:val="0"/>
    <w:pPr>
      <w:adjustRightInd w:val="0"/>
      <w:spacing w:line="360" w:lineRule="atLeast"/>
      <w:jc w:val="center"/>
      <w:textAlignment w:val="baseline"/>
    </w:pPr>
    <w:rPr>
      <w:rFonts w:ascii="Arial" w:hAnsi="Arial" w:eastAsia="宋体" w:cs="Times New Roman"/>
      <w:szCs w:val="21"/>
    </w:rPr>
  </w:style>
  <w:style w:type="paragraph" w:styleId="47">
    <w:name w:val="Title"/>
    <w:basedOn w:val="1"/>
    <w:link w:val="193"/>
    <w:qFormat/>
    <w:uiPriority w:val="0"/>
    <w:pPr>
      <w:spacing w:before="240" w:after="60"/>
      <w:jc w:val="center"/>
      <w:outlineLvl w:val="0"/>
    </w:pPr>
    <w:rPr>
      <w:rFonts w:ascii="Arial" w:hAnsi="Arial" w:eastAsia="宋体" w:cs="Times New Roman"/>
      <w:b/>
      <w:bCs/>
      <w:color w:val="000000"/>
      <w:sz w:val="32"/>
      <w:szCs w:val="32"/>
    </w:rPr>
  </w:style>
  <w:style w:type="paragraph" w:styleId="48">
    <w:name w:val="annotation subject"/>
    <w:basedOn w:val="18"/>
    <w:next w:val="18"/>
    <w:link w:val="95"/>
    <w:qFormat/>
    <w:uiPriority w:val="0"/>
    <w:pPr>
      <w:autoSpaceDE/>
      <w:autoSpaceDN/>
      <w:adjustRightInd/>
    </w:pPr>
    <w:rPr>
      <w:b/>
      <w:bCs/>
      <w:color w:val="auto"/>
      <w:kern w:val="2"/>
      <w:szCs w:val="24"/>
    </w:rPr>
  </w:style>
  <w:style w:type="paragraph" w:styleId="49">
    <w:name w:val="Body Text First Indent"/>
    <w:basedOn w:val="20"/>
    <w:link w:val="78"/>
    <w:unhideWhenUsed/>
    <w:qFormat/>
    <w:uiPriority w:val="0"/>
    <w:pPr>
      <w:ind w:firstLine="420" w:firstLineChars="100"/>
    </w:pPr>
  </w:style>
  <w:style w:type="paragraph" w:styleId="50">
    <w:name w:val="Body Text First Indent 2"/>
    <w:basedOn w:val="21"/>
    <w:link w:val="70"/>
    <w:unhideWhenUsed/>
    <w:qFormat/>
    <w:uiPriority w:val="0"/>
    <w:pPr>
      <w:ind w:firstLine="420" w:firstLineChars="200"/>
    </w:pPr>
    <w:rPr>
      <w:rFonts w:ascii="Times New Roman" w:hAnsi="Times New Roman" w:eastAsia="宋体" w:cs="Times New Roman"/>
    </w:r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99"/>
    <w:rPr>
      <w:b/>
      <w:bCs/>
    </w:rPr>
  </w:style>
  <w:style w:type="character" w:styleId="55">
    <w:name w:val="page number"/>
    <w:basedOn w:val="53"/>
    <w:qFormat/>
    <w:uiPriority w:val="0"/>
  </w:style>
  <w:style w:type="character" w:styleId="56">
    <w:name w:val="Emphasis"/>
    <w:qFormat/>
    <w:uiPriority w:val="0"/>
    <w:rPr>
      <w:color w:val="CC0000"/>
    </w:rPr>
  </w:style>
  <w:style w:type="character" w:styleId="57">
    <w:name w:val="Hyperlink"/>
    <w:basedOn w:val="53"/>
    <w:qFormat/>
    <w:uiPriority w:val="0"/>
    <w:rPr>
      <w:color w:val="0000FF"/>
      <w:u w:val="single"/>
    </w:rPr>
  </w:style>
  <w:style w:type="character" w:styleId="58">
    <w:name w:val="annotation reference"/>
    <w:qFormat/>
    <w:uiPriority w:val="0"/>
    <w:rPr>
      <w:sz w:val="21"/>
      <w:szCs w:val="21"/>
    </w:rPr>
  </w:style>
  <w:style w:type="character" w:customStyle="1" w:styleId="59">
    <w:name w:val="标题 1 字符"/>
    <w:basedOn w:val="53"/>
    <w:link w:val="2"/>
    <w:qFormat/>
    <w:uiPriority w:val="0"/>
    <w:rPr>
      <w:rFonts w:ascii="Times New Roman" w:hAnsi="Times New Roman" w:eastAsia="宋体" w:cs="Times New Roman"/>
      <w:b/>
      <w:bCs/>
      <w:kern w:val="44"/>
      <w:sz w:val="44"/>
      <w:szCs w:val="44"/>
    </w:rPr>
  </w:style>
  <w:style w:type="character" w:customStyle="1" w:styleId="60">
    <w:name w:val="标题 2 字符"/>
    <w:basedOn w:val="53"/>
    <w:link w:val="3"/>
    <w:qFormat/>
    <w:uiPriority w:val="0"/>
    <w:rPr>
      <w:rFonts w:ascii="Arial" w:hAnsi="Arial" w:eastAsia="黑体" w:cs="Times New Roman"/>
      <w:b/>
      <w:bCs/>
      <w:color w:val="000000"/>
      <w:sz w:val="32"/>
      <w:szCs w:val="32"/>
    </w:rPr>
  </w:style>
  <w:style w:type="character" w:customStyle="1" w:styleId="61">
    <w:name w:val="标题 3 字符"/>
    <w:basedOn w:val="53"/>
    <w:link w:val="4"/>
    <w:qFormat/>
    <w:uiPriority w:val="0"/>
    <w:rPr>
      <w:rFonts w:ascii="Times New Roman" w:hAnsi="Times New Roman" w:eastAsia="宋体" w:cs="Times New Roman"/>
      <w:b/>
      <w:bCs/>
      <w:color w:val="000000"/>
      <w:kern w:val="0"/>
      <w:sz w:val="32"/>
      <w:szCs w:val="32"/>
    </w:rPr>
  </w:style>
  <w:style w:type="character" w:customStyle="1" w:styleId="62">
    <w:name w:val="标题 4 字符"/>
    <w:basedOn w:val="53"/>
    <w:link w:val="5"/>
    <w:qFormat/>
    <w:uiPriority w:val="0"/>
    <w:rPr>
      <w:rFonts w:ascii="Cambria" w:hAnsi="Cambria" w:eastAsia="黑体" w:cs="Times New Roman"/>
      <w:b/>
      <w:bCs/>
      <w:sz w:val="24"/>
      <w:szCs w:val="28"/>
    </w:rPr>
  </w:style>
  <w:style w:type="character" w:customStyle="1" w:styleId="63">
    <w:name w:val="标题 5 字符"/>
    <w:basedOn w:val="53"/>
    <w:link w:val="6"/>
    <w:qFormat/>
    <w:uiPriority w:val="0"/>
    <w:rPr>
      <w:rFonts w:ascii="Times New Roman" w:hAnsi="Times New Roman" w:eastAsia="宋体" w:cs="Times New Roman"/>
      <w:b/>
      <w:bCs/>
      <w:color w:val="000000"/>
      <w:sz w:val="28"/>
      <w:szCs w:val="28"/>
    </w:rPr>
  </w:style>
  <w:style w:type="character" w:customStyle="1" w:styleId="64">
    <w:name w:val="正文缩进 字符"/>
    <w:basedOn w:val="53"/>
    <w:link w:val="8"/>
    <w:qFormat/>
    <w:uiPriority w:val="0"/>
  </w:style>
  <w:style w:type="character" w:customStyle="1" w:styleId="65">
    <w:name w:val="标题 6 字符"/>
    <w:basedOn w:val="53"/>
    <w:link w:val="7"/>
    <w:qFormat/>
    <w:uiPriority w:val="0"/>
    <w:rPr>
      <w:rFonts w:ascii="Times New Roman" w:hAnsi="Times New Roman" w:eastAsia="宋体" w:cs="Times New Roman"/>
      <w:color w:val="000000"/>
      <w:kern w:val="24"/>
      <w:sz w:val="24"/>
      <w:szCs w:val="24"/>
    </w:rPr>
  </w:style>
  <w:style w:type="character" w:customStyle="1" w:styleId="66">
    <w:name w:val="标题 7 字符"/>
    <w:basedOn w:val="53"/>
    <w:link w:val="9"/>
    <w:qFormat/>
    <w:uiPriority w:val="0"/>
    <w:rPr>
      <w:rFonts w:ascii="Times New Roman" w:hAnsi="Times New Roman" w:eastAsia="宋体" w:cs="Times New Roman"/>
      <w:color w:val="000000"/>
      <w:spacing w:val="2"/>
      <w:kern w:val="24"/>
      <w:sz w:val="24"/>
      <w:szCs w:val="24"/>
    </w:rPr>
  </w:style>
  <w:style w:type="character" w:customStyle="1" w:styleId="67">
    <w:name w:val="标题 8 字符"/>
    <w:basedOn w:val="53"/>
    <w:link w:val="10"/>
    <w:qFormat/>
    <w:uiPriority w:val="0"/>
    <w:rPr>
      <w:rFonts w:ascii="Times New Roman" w:hAnsi="Times New Roman" w:eastAsia="宋体" w:cs="Times New Roman"/>
      <w:color w:val="000000"/>
      <w:kern w:val="24"/>
      <w:sz w:val="24"/>
      <w:szCs w:val="24"/>
    </w:rPr>
  </w:style>
  <w:style w:type="character" w:customStyle="1" w:styleId="68">
    <w:name w:val="标题 9 字符"/>
    <w:basedOn w:val="53"/>
    <w:link w:val="11"/>
    <w:qFormat/>
    <w:uiPriority w:val="0"/>
    <w:rPr>
      <w:rFonts w:ascii="Arial" w:hAnsi="Arial" w:eastAsia="黑体" w:cs="Times New Roman"/>
      <w:szCs w:val="24"/>
    </w:rPr>
  </w:style>
  <w:style w:type="character" w:customStyle="1" w:styleId="69">
    <w:name w:val="正文文本缩进 字符2"/>
    <w:basedOn w:val="53"/>
    <w:link w:val="21"/>
    <w:qFormat/>
    <w:uiPriority w:val="0"/>
  </w:style>
  <w:style w:type="character" w:customStyle="1" w:styleId="70">
    <w:name w:val="正文文本首行缩进 2 字符"/>
    <w:basedOn w:val="69"/>
    <w:link w:val="50"/>
    <w:qFormat/>
    <w:uiPriority w:val="0"/>
    <w:rPr>
      <w:rFonts w:ascii="Times New Roman" w:hAnsi="Times New Roman" w:eastAsia="宋体" w:cs="Times New Roman"/>
    </w:rPr>
  </w:style>
  <w:style w:type="character" w:customStyle="1" w:styleId="71">
    <w:name w:val="页脚 字符"/>
    <w:link w:val="30"/>
    <w:qFormat/>
    <w:uiPriority w:val="0"/>
    <w:rPr>
      <w:sz w:val="18"/>
      <w:szCs w:val="18"/>
    </w:rPr>
  </w:style>
  <w:style w:type="character" w:customStyle="1" w:styleId="72">
    <w:name w:val="页眉 字符"/>
    <w:link w:val="31"/>
    <w:qFormat/>
    <w:uiPriority w:val="99"/>
    <w:rPr>
      <w:sz w:val="18"/>
      <w:szCs w:val="18"/>
    </w:rPr>
  </w:style>
  <w:style w:type="character" w:customStyle="1" w:styleId="73">
    <w:name w:val="页脚 字符1"/>
    <w:basedOn w:val="53"/>
    <w:semiHidden/>
    <w:qFormat/>
    <w:uiPriority w:val="99"/>
    <w:rPr>
      <w:sz w:val="18"/>
      <w:szCs w:val="18"/>
    </w:rPr>
  </w:style>
  <w:style w:type="character" w:customStyle="1" w:styleId="74">
    <w:name w:val="页眉 字符1"/>
    <w:basedOn w:val="53"/>
    <w:semiHidden/>
    <w:qFormat/>
    <w:uiPriority w:val="99"/>
    <w:rPr>
      <w:sz w:val="18"/>
      <w:szCs w:val="18"/>
    </w:rPr>
  </w:style>
  <w:style w:type="character" w:customStyle="1" w:styleId="75">
    <w:name w:val="普通(网站) 字符"/>
    <w:link w:val="45"/>
    <w:qFormat/>
    <w:uiPriority w:val="0"/>
    <w:rPr>
      <w:rFonts w:ascii="宋体" w:hAnsi="宋体" w:eastAsia="宋体" w:cs="宋体"/>
      <w:kern w:val="0"/>
      <w:sz w:val="24"/>
      <w:szCs w:val="24"/>
    </w:rPr>
  </w:style>
  <w:style w:type="paragraph" w:customStyle="1" w:styleId="76">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character" w:customStyle="1" w:styleId="77">
    <w:name w:val="正文文本 字符"/>
    <w:basedOn w:val="53"/>
    <w:link w:val="20"/>
    <w:qFormat/>
    <w:uiPriority w:val="0"/>
  </w:style>
  <w:style w:type="character" w:customStyle="1" w:styleId="78">
    <w:name w:val="正文文本首行缩进 字符"/>
    <w:basedOn w:val="77"/>
    <w:link w:val="49"/>
    <w:qFormat/>
    <w:uiPriority w:val="0"/>
  </w:style>
  <w:style w:type="paragraph" w:customStyle="1" w:styleId="79">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styleId="80">
    <w:name w:val="List Paragraph"/>
    <w:basedOn w:val="1"/>
    <w:link w:val="81"/>
    <w:qFormat/>
    <w:uiPriority w:val="0"/>
    <w:pPr>
      <w:ind w:firstLine="420" w:firstLineChars="200"/>
    </w:pPr>
  </w:style>
  <w:style w:type="character" w:customStyle="1" w:styleId="81">
    <w:name w:val="列表段落 字符"/>
    <w:link w:val="80"/>
    <w:qFormat/>
    <w:uiPriority w:val="0"/>
  </w:style>
  <w:style w:type="character" w:customStyle="1" w:styleId="82">
    <w:name w:val="bookmark-item"/>
    <w:basedOn w:val="53"/>
    <w:qFormat/>
    <w:uiPriority w:val="0"/>
  </w:style>
  <w:style w:type="character" w:customStyle="1" w:styleId="83">
    <w:name w:val="文档结构图 字符"/>
    <w:basedOn w:val="53"/>
    <w:link w:val="17"/>
    <w:qFormat/>
    <w:uiPriority w:val="0"/>
    <w:rPr>
      <w:rFonts w:ascii="Times New Roman" w:hAnsi="Times New Roman" w:eastAsia="宋体" w:cs="Times New Roman"/>
      <w:szCs w:val="24"/>
      <w:shd w:val="clear" w:color="auto" w:fill="000080"/>
    </w:rPr>
  </w:style>
  <w:style w:type="character" w:customStyle="1" w:styleId="84">
    <w:name w:val="文档结构图 Char"/>
    <w:basedOn w:val="53"/>
    <w:qFormat/>
    <w:uiPriority w:val="0"/>
    <w:rPr>
      <w:rFonts w:ascii="宋体" w:eastAsia="宋体"/>
      <w:sz w:val="18"/>
      <w:szCs w:val="18"/>
    </w:rPr>
  </w:style>
  <w:style w:type="character" w:customStyle="1" w:styleId="85">
    <w:name w:val="批注文字 字符"/>
    <w:basedOn w:val="53"/>
    <w:link w:val="18"/>
    <w:qFormat/>
    <w:uiPriority w:val="0"/>
    <w:rPr>
      <w:rFonts w:ascii="Times New Roman" w:hAnsi="Times New Roman" w:eastAsia="宋体" w:cs="Times New Roman"/>
      <w:color w:val="000000"/>
      <w:kern w:val="0"/>
      <w:szCs w:val="21"/>
    </w:rPr>
  </w:style>
  <w:style w:type="character" w:customStyle="1" w:styleId="86">
    <w:name w:val="正文文本 3 字符"/>
    <w:basedOn w:val="53"/>
    <w:link w:val="19"/>
    <w:qFormat/>
    <w:uiPriority w:val="0"/>
    <w:rPr>
      <w:rFonts w:ascii="Times New Roman" w:hAnsi="Times New Roman" w:eastAsia="宋体" w:cs="Times New Roman"/>
      <w:color w:val="000000"/>
      <w:kern w:val="0"/>
      <w:sz w:val="16"/>
      <w:szCs w:val="16"/>
    </w:rPr>
  </w:style>
  <w:style w:type="character" w:customStyle="1" w:styleId="87">
    <w:name w:val="纯文本 字符"/>
    <w:basedOn w:val="53"/>
    <w:link w:val="25"/>
    <w:qFormat/>
    <w:uiPriority w:val="0"/>
    <w:rPr>
      <w:sz w:val="24"/>
    </w:rPr>
  </w:style>
  <w:style w:type="character" w:customStyle="1" w:styleId="88">
    <w:name w:val="纯文本 Char"/>
    <w:basedOn w:val="53"/>
    <w:qFormat/>
    <w:uiPriority w:val="0"/>
    <w:rPr>
      <w:rFonts w:ascii="宋体" w:hAnsi="Courier New" w:eastAsia="宋体" w:cs="Courier New"/>
      <w:szCs w:val="21"/>
    </w:rPr>
  </w:style>
  <w:style w:type="character" w:customStyle="1" w:styleId="89">
    <w:name w:val="日期 字符"/>
    <w:basedOn w:val="53"/>
    <w:link w:val="27"/>
    <w:qFormat/>
    <w:uiPriority w:val="0"/>
    <w:rPr>
      <w:color w:val="000000"/>
      <w:szCs w:val="21"/>
    </w:rPr>
  </w:style>
  <w:style w:type="character" w:customStyle="1" w:styleId="90">
    <w:name w:val="正文文本缩进 2 字符"/>
    <w:basedOn w:val="53"/>
    <w:link w:val="28"/>
    <w:qFormat/>
    <w:uiPriority w:val="0"/>
    <w:rPr>
      <w:rFonts w:ascii="仿宋_GB2312" w:hAnsi="Times New Roman" w:eastAsia="仿宋_GB2312" w:cs="Times New Roman"/>
      <w:sz w:val="28"/>
      <w:szCs w:val="28"/>
    </w:rPr>
  </w:style>
  <w:style w:type="character" w:customStyle="1" w:styleId="91">
    <w:name w:val="批注框文本 字符"/>
    <w:basedOn w:val="53"/>
    <w:link w:val="29"/>
    <w:qFormat/>
    <w:uiPriority w:val="0"/>
    <w:rPr>
      <w:rFonts w:ascii="Times New Roman" w:hAnsi="Times New Roman" w:eastAsia="宋体" w:cs="Times New Roman"/>
      <w:sz w:val="18"/>
      <w:szCs w:val="18"/>
    </w:rPr>
  </w:style>
  <w:style w:type="character" w:customStyle="1" w:styleId="92">
    <w:name w:val="签名 字符"/>
    <w:basedOn w:val="53"/>
    <w:link w:val="32"/>
    <w:qFormat/>
    <w:uiPriority w:val="0"/>
    <w:rPr>
      <w:rFonts w:ascii="Arial" w:hAnsi="Arial"/>
      <w:spacing w:val="-5"/>
      <w:sz w:val="24"/>
    </w:rPr>
  </w:style>
  <w:style w:type="character" w:customStyle="1" w:styleId="93">
    <w:name w:val="正文文本缩进 3 字符"/>
    <w:basedOn w:val="53"/>
    <w:link w:val="39"/>
    <w:qFormat/>
    <w:uiPriority w:val="0"/>
    <w:rPr>
      <w:szCs w:val="24"/>
    </w:rPr>
  </w:style>
  <w:style w:type="character" w:customStyle="1" w:styleId="94">
    <w:name w:val="HTML 预设格式 字符"/>
    <w:basedOn w:val="53"/>
    <w:link w:val="44"/>
    <w:qFormat/>
    <w:uiPriority w:val="0"/>
    <w:rPr>
      <w:rFonts w:ascii="Arial Unicode MS" w:hAnsi="Arial Unicode MS" w:eastAsia="Arial Unicode MS"/>
    </w:rPr>
  </w:style>
  <w:style w:type="character" w:customStyle="1" w:styleId="95">
    <w:name w:val="批注主题 字符"/>
    <w:basedOn w:val="85"/>
    <w:link w:val="48"/>
    <w:qFormat/>
    <w:uiPriority w:val="0"/>
    <w:rPr>
      <w:rFonts w:ascii="Times New Roman" w:hAnsi="Times New Roman" w:eastAsia="宋体" w:cs="Times New Roman"/>
      <w:b/>
      <w:bCs/>
      <w:color w:val="000000"/>
      <w:kern w:val="0"/>
      <w:szCs w:val="24"/>
    </w:rPr>
  </w:style>
  <w:style w:type="character" w:customStyle="1" w:styleId="96">
    <w:name w:val="正文文字2 Char"/>
    <w:link w:val="97"/>
    <w:qFormat/>
    <w:uiPriority w:val="0"/>
    <w:rPr>
      <w:rFonts w:ascii="Arial" w:eastAsia="黑体"/>
    </w:rPr>
  </w:style>
  <w:style w:type="paragraph" w:customStyle="1" w:styleId="97">
    <w:name w:val="正文文字2"/>
    <w:basedOn w:val="20"/>
    <w:link w:val="96"/>
    <w:qFormat/>
    <w:uiPriority w:val="0"/>
    <w:pPr>
      <w:adjustRightInd w:val="0"/>
      <w:spacing w:after="60" w:line="360" w:lineRule="atLeast"/>
      <w:ind w:left="72" w:right="72"/>
      <w:jc w:val="center"/>
      <w:textAlignment w:val="baseline"/>
    </w:pPr>
    <w:rPr>
      <w:rFonts w:ascii="Arial" w:eastAsia="黑体"/>
    </w:rPr>
  </w:style>
  <w:style w:type="character" w:customStyle="1" w:styleId="98">
    <w:name w:val="列出段落 Char Char"/>
    <w:link w:val="99"/>
    <w:qFormat/>
    <w:uiPriority w:val="0"/>
    <w:rPr>
      <w:rFonts w:ascii="Calibri" w:hAnsi="Calibri"/>
    </w:rPr>
  </w:style>
  <w:style w:type="paragraph" w:customStyle="1" w:styleId="99">
    <w:name w:val="列表段落1"/>
    <w:basedOn w:val="1"/>
    <w:link w:val="98"/>
    <w:qFormat/>
    <w:uiPriority w:val="0"/>
    <w:pPr>
      <w:ind w:firstLine="420" w:firstLineChars="200"/>
    </w:pPr>
    <w:rPr>
      <w:rFonts w:ascii="Calibri" w:hAnsi="Calibri"/>
    </w:rPr>
  </w:style>
  <w:style w:type="character" w:customStyle="1" w:styleId="100">
    <w:name w:val="日期 Char1"/>
    <w:qFormat/>
    <w:uiPriority w:val="0"/>
    <w:rPr>
      <w:kern w:val="2"/>
      <w:sz w:val="21"/>
      <w:szCs w:val="24"/>
    </w:rPr>
  </w:style>
  <w:style w:type="character" w:customStyle="1" w:styleId="101">
    <w:name w:val="Char Char3"/>
    <w:basedOn w:val="53"/>
    <w:qFormat/>
    <w:uiPriority w:val="0"/>
    <w:rPr>
      <w:rFonts w:ascii="宋体" w:hAnsi="Courier New" w:eastAsia="宋体"/>
      <w:sz w:val="24"/>
      <w:szCs w:val="24"/>
      <w:lang w:bidi="ar-SA"/>
    </w:rPr>
  </w:style>
  <w:style w:type="character" w:customStyle="1" w:styleId="102">
    <w:name w:val="正文文本缩进 字符"/>
    <w:basedOn w:val="53"/>
    <w:qFormat/>
    <w:uiPriority w:val="0"/>
    <w:rPr>
      <w:rFonts w:eastAsia="宋体"/>
      <w:color w:val="000000"/>
      <w:sz w:val="21"/>
      <w:szCs w:val="21"/>
      <w:lang w:val="en-US" w:eastAsia="zh-CN" w:bidi="ar-SA"/>
    </w:rPr>
  </w:style>
  <w:style w:type="character" w:customStyle="1" w:styleId="103">
    <w:name w:val="15"/>
    <w:basedOn w:val="53"/>
    <w:qFormat/>
    <w:uiPriority w:val="0"/>
    <w:rPr>
      <w:rFonts w:hint="default" w:ascii="Lucida Sans" w:hAnsi="Lucida Sans"/>
    </w:rPr>
  </w:style>
  <w:style w:type="character" w:customStyle="1" w:styleId="104">
    <w:name w:val="jtz3 Char"/>
    <w:qFormat/>
    <w:uiPriority w:val="0"/>
    <w:rPr>
      <w:rFonts w:eastAsia="宋体"/>
      <w:b/>
      <w:bCs/>
      <w:kern w:val="2"/>
      <w:sz w:val="28"/>
      <w:szCs w:val="32"/>
      <w:lang w:val="en-US" w:eastAsia="zh-CN" w:bidi="ar-SA"/>
    </w:rPr>
  </w:style>
  <w:style w:type="character" w:customStyle="1" w:styleId="105">
    <w:name w:val="页脚 Char1"/>
    <w:basedOn w:val="53"/>
    <w:qFormat/>
    <w:uiPriority w:val="99"/>
    <w:rPr>
      <w:color w:val="000000"/>
      <w:sz w:val="18"/>
      <w:szCs w:val="18"/>
    </w:rPr>
  </w:style>
  <w:style w:type="character" w:customStyle="1" w:styleId="106">
    <w:name w:val="页眉 Char1"/>
    <w:basedOn w:val="53"/>
    <w:qFormat/>
    <w:uiPriority w:val="99"/>
    <w:rPr>
      <w:color w:val="000000"/>
      <w:sz w:val="18"/>
      <w:szCs w:val="18"/>
    </w:rPr>
  </w:style>
  <w:style w:type="character" w:customStyle="1" w:styleId="107">
    <w:name w:val="jtz2 Char1"/>
    <w:qFormat/>
    <w:uiPriority w:val="0"/>
    <w:rPr>
      <w:rFonts w:ascii="Cambria" w:hAnsi="Cambria" w:eastAsia="宋体"/>
      <w:b/>
      <w:bCs/>
      <w:kern w:val="2"/>
      <w:sz w:val="30"/>
      <w:szCs w:val="32"/>
      <w:lang w:val="en-US" w:eastAsia="zh-CN" w:bidi="ar-SA"/>
    </w:rPr>
  </w:style>
  <w:style w:type="character" w:customStyle="1" w:styleId="108">
    <w:name w:val="Char Char13"/>
    <w:qFormat/>
    <w:uiPriority w:val="0"/>
    <w:rPr>
      <w:rFonts w:eastAsia="宋体"/>
      <w:b/>
      <w:bCs/>
      <w:kern w:val="44"/>
      <w:sz w:val="44"/>
      <w:szCs w:val="44"/>
      <w:lang w:val="en-US" w:eastAsia="zh-CN" w:bidi="ar-SA"/>
    </w:rPr>
  </w:style>
  <w:style w:type="character" w:customStyle="1" w:styleId="109">
    <w:name w:val="Char Char17"/>
    <w:qFormat/>
    <w:uiPriority w:val="0"/>
    <w:rPr>
      <w:rFonts w:ascii="Calibri" w:hAnsi="Calibri" w:eastAsia="宋体" w:cs="Times New Roman"/>
    </w:rPr>
  </w:style>
  <w:style w:type="character" w:customStyle="1" w:styleId="110">
    <w:name w:val="正文文本缩进 2 Char1"/>
    <w:qFormat/>
    <w:uiPriority w:val="0"/>
    <w:rPr>
      <w:kern w:val="2"/>
      <w:sz w:val="21"/>
      <w:szCs w:val="24"/>
    </w:rPr>
  </w:style>
  <w:style w:type="character" w:customStyle="1" w:styleId="111">
    <w:name w:val="param-name"/>
    <w:qFormat/>
    <w:uiPriority w:val="0"/>
  </w:style>
  <w:style w:type="character" w:customStyle="1" w:styleId="112">
    <w:name w:val="01 正文样式 Char"/>
    <w:link w:val="113"/>
    <w:qFormat/>
    <w:uiPriority w:val="0"/>
    <w:rPr>
      <w:sz w:val="24"/>
    </w:rPr>
  </w:style>
  <w:style w:type="paragraph" w:customStyle="1" w:styleId="113">
    <w:name w:val="01 正文样式"/>
    <w:basedOn w:val="1"/>
    <w:link w:val="112"/>
    <w:qFormat/>
    <w:uiPriority w:val="0"/>
    <w:pPr>
      <w:spacing w:line="560" w:lineRule="exact"/>
      <w:ind w:firstLine="480" w:firstLineChars="200"/>
    </w:pPr>
    <w:rPr>
      <w:sz w:val="24"/>
    </w:rPr>
  </w:style>
  <w:style w:type="character" w:customStyle="1" w:styleId="114">
    <w:name w:val="jtz2 Char"/>
    <w:qFormat/>
    <w:uiPriority w:val="0"/>
    <w:rPr>
      <w:rFonts w:ascii="Arial" w:hAnsi="Arial" w:eastAsia="宋体"/>
      <w:b/>
      <w:bCs/>
      <w:kern w:val="2"/>
      <w:sz w:val="30"/>
      <w:szCs w:val="32"/>
      <w:lang w:val="en-US" w:eastAsia="zh-CN" w:bidi="ar-SA"/>
    </w:rPr>
  </w:style>
  <w:style w:type="character" w:customStyle="1" w:styleId="115">
    <w:name w:val="01正文样式 Char"/>
    <w:link w:val="116"/>
    <w:qFormat/>
    <w:uiPriority w:val="0"/>
    <w:rPr>
      <w:rFonts w:ascii="Tahoma" w:hAnsi="Tahoma" w:eastAsia="仿宋_GB2312"/>
      <w:sz w:val="28"/>
    </w:rPr>
  </w:style>
  <w:style w:type="paragraph" w:customStyle="1" w:styleId="116">
    <w:name w:val="01正文样式"/>
    <w:basedOn w:val="1"/>
    <w:link w:val="115"/>
    <w:qFormat/>
    <w:uiPriority w:val="0"/>
    <w:pPr>
      <w:ind w:firstLine="480"/>
    </w:pPr>
    <w:rPr>
      <w:rFonts w:ascii="Tahoma" w:hAnsi="Tahoma" w:eastAsia="仿宋_GB2312"/>
      <w:sz w:val="28"/>
    </w:rPr>
  </w:style>
  <w:style w:type="character" w:customStyle="1" w:styleId="117">
    <w:name w:val="Char Char11"/>
    <w:basedOn w:val="53"/>
    <w:qFormat/>
    <w:uiPriority w:val="0"/>
    <w:rPr>
      <w:rFonts w:ascii="Arial" w:hAnsi="Arial" w:eastAsia="黑体"/>
      <w:b/>
      <w:kern w:val="2"/>
      <w:sz w:val="32"/>
      <w:szCs w:val="32"/>
      <w:lang w:val="en-US" w:eastAsia="zh-CN" w:bidi="ar-SA"/>
    </w:rPr>
  </w:style>
  <w:style w:type="character" w:customStyle="1" w:styleId="118">
    <w:name w:val="font01"/>
    <w:basedOn w:val="53"/>
    <w:qFormat/>
    <w:uiPriority w:val="0"/>
    <w:rPr>
      <w:rFonts w:hint="eastAsia" w:ascii="宋体" w:hAnsi="宋体" w:eastAsia="宋体" w:cs="宋体"/>
      <w:color w:val="000000"/>
      <w:sz w:val="24"/>
      <w:szCs w:val="24"/>
    </w:rPr>
  </w:style>
  <w:style w:type="character" w:customStyle="1" w:styleId="119">
    <w:name w:val="p0 Char"/>
    <w:link w:val="120"/>
    <w:qFormat/>
    <w:uiPriority w:val="0"/>
    <w:rPr>
      <w:szCs w:val="21"/>
    </w:rPr>
  </w:style>
  <w:style w:type="paragraph" w:customStyle="1" w:styleId="120">
    <w:name w:val="p0"/>
    <w:next w:val="40"/>
    <w:link w:val="119"/>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21">
    <w:name w:val="Font Style15"/>
    <w:qFormat/>
    <w:uiPriority w:val="0"/>
    <w:rPr>
      <w:rFonts w:ascii="MingLiU" w:eastAsia="MingLiU"/>
      <w:sz w:val="58"/>
    </w:rPr>
  </w:style>
  <w:style w:type="character" w:customStyle="1" w:styleId="122">
    <w:name w:val="正文 1.5 倍行距 Char"/>
    <w:link w:val="123"/>
    <w:qFormat/>
    <w:uiPriority w:val="0"/>
    <w:rPr>
      <w:sz w:val="24"/>
    </w:rPr>
  </w:style>
  <w:style w:type="paragraph" w:customStyle="1" w:styleId="123">
    <w:name w:val="正文 1.5 倍行距"/>
    <w:basedOn w:val="1"/>
    <w:link w:val="122"/>
    <w:qFormat/>
    <w:uiPriority w:val="0"/>
    <w:pPr>
      <w:autoSpaceDE w:val="0"/>
      <w:autoSpaceDN w:val="0"/>
      <w:adjustRightInd w:val="0"/>
      <w:spacing w:line="360" w:lineRule="auto"/>
      <w:ind w:firstLine="480" w:firstLineChars="200"/>
      <w:textAlignment w:val="baseline"/>
    </w:pPr>
    <w:rPr>
      <w:sz w:val="24"/>
    </w:rPr>
  </w:style>
  <w:style w:type="paragraph" w:customStyle="1" w:styleId="124">
    <w:name w:val="正文段"/>
    <w:basedOn w:val="1"/>
    <w:next w:val="16"/>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25">
    <w:name w:val="Char Char Char Char Char Char Char Char Char Char Char Char 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4"/>
    </w:rPr>
  </w:style>
  <w:style w:type="paragraph" w:customStyle="1" w:styleId="126">
    <w:name w:val="p20"/>
    <w:basedOn w:val="1"/>
    <w:qFormat/>
    <w:uiPriority w:val="0"/>
    <w:pPr>
      <w:widowControl/>
      <w:ind w:left="425" w:firstLine="420"/>
    </w:pPr>
    <w:rPr>
      <w:rFonts w:ascii="Calibri" w:hAnsi="Calibri" w:eastAsia="宋体" w:cs="宋体"/>
      <w:kern w:val="0"/>
      <w:szCs w:val="21"/>
    </w:rPr>
  </w:style>
  <w:style w:type="paragraph" w:customStyle="1" w:styleId="127">
    <w:name w:val="p22"/>
    <w:basedOn w:val="1"/>
    <w:qFormat/>
    <w:uiPriority w:val="0"/>
    <w:pPr>
      <w:widowControl/>
      <w:jc w:val="left"/>
    </w:pPr>
    <w:rPr>
      <w:rFonts w:ascii="Times New Roman" w:hAnsi="Times New Roman" w:eastAsia="宋体" w:cs="Times New Roman"/>
      <w:kern w:val="0"/>
      <w:sz w:val="18"/>
      <w:szCs w:val="18"/>
    </w:rPr>
  </w:style>
  <w:style w:type="paragraph" w:customStyle="1" w:styleId="128">
    <w:name w:val="列出段落1"/>
    <w:basedOn w:val="1"/>
    <w:qFormat/>
    <w:uiPriority w:val="0"/>
    <w:pPr>
      <w:ind w:firstLine="420" w:firstLineChars="200"/>
    </w:pPr>
    <w:rPr>
      <w:rFonts w:ascii="Times New Roman" w:hAnsi="Times New Roman" w:eastAsia="宋体" w:cs="Times New Roman"/>
      <w:szCs w:val="24"/>
    </w:rPr>
  </w:style>
  <w:style w:type="paragraph" w:customStyle="1" w:styleId="129">
    <w:name w:val="p15"/>
    <w:basedOn w:val="1"/>
    <w:qFormat/>
    <w:uiPriority w:val="0"/>
    <w:pPr>
      <w:widowControl/>
      <w:snapToGrid w:val="0"/>
    </w:pPr>
    <w:rPr>
      <w:rFonts w:ascii="Times New Roman" w:hAnsi="Times New Roman" w:eastAsia="宋体" w:cs="Times New Roman"/>
      <w:color w:val="000000"/>
      <w:kern w:val="0"/>
      <w:szCs w:val="21"/>
    </w:rPr>
  </w:style>
  <w:style w:type="paragraph" w:customStyle="1" w:styleId="130">
    <w:name w:val="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31">
    <w:name w:val="列项"/>
    <w:basedOn w:val="1"/>
    <w:next w:val="1"/>
    <w:qFormat/>
    <w:uiPriority w:val="0"/>
    <w:pPr>
      <w:spacing w:line="360" w:lineRule="auto"/>
      <w:ind w:left="840" w:hanging="420"/>
    </w:pPr>
    <w:rPr>
      <w:rFonts w:ascii="宋体" w:hAnsi="宋体" w:eastAsia="宋体" w:cs="Times New Roman"/>
      <w:sz w:val="24"/>
    </w:rPr>
  </w:style>
  <w:style w:type="paragraph" w:customStyle="1" w:styleId="132">
    <w:name w:val="p16"/>
    <w:basedOn w:val="1"/>
    <w:qFormat/>
    <w:uiPriority w:val="0"/>
    <w:pPr>
      <w:widowControl/>
    </w:pPr>
    <w:rPr>
      <w:rFonts w:ascii="Times New Roman" w:hAnsi="Times New Roman" w:eastAsia="宋体" w:cs="Times New Roman"/>
      <w:kern w:val="0"/>
      <w:sz w:val="24"/>
      <w:szCs w:val="24"/>
    </w:rPr>
  </w:style>
  <w:style w:type="paragraph" w:customStyle="1" w:styleId="133">
    <w:name w:val="样式4"/>
    <w:basedOn w:val="2"/>
    <w:qFormat/>
    <w:uiPriority w:val="0"/>
    <w:pPr>
      <w:spacing w:line="480" w:lineRule="auto"/>
    </w:pPr>
    <w:rPr>
      <w:sz w:val="32"/>
    </w:rPr>
  </w:style>
  <w:style w:type="paragraph" w:customStyle="1" w:styleId="134">
    <w:name w:val="正文文本首行缩进 21"/>
    <w:basedOn w:val="135"/>
    <w:qFormat/>
    <w:uiPriority w:val="0"/>
    <w:pPr>
      <w:ind w:firstLine="420"/>
    </w:pPr>
    <w:rPr>
      <w:rFonts w:cs="宋体"/>
    </w:rPr>
  </w:style>
  <w:style w:type="paragraph" w:customStyle="1" w:styleId="135">
    <w:name w:val="正文文本缩进1"/>
    <w:basedOn w:val="1"/>
    <w:next w:val="1"/>
    <w:qFormat/>
    <w:uiPriority w:val="0"/>
    <w:pPr>
      <w:autoSpaceDE w:val="0"/>
      <w:autoSpaceDN w:val="0"/>
      <w:adjustRightInd w:val="0"/>
      <w:spacing w:after="120"/>
      <w:ind w:left="420" w:leftChars="200"/>
    </w:pPr>
    <w:rPr>
      <w:rFonts w:ascii="Times New Roman" w:hAnsi="Times New Roman" w:eastAsia="宋体" w:cs="Times New Roman"/>
      <w:color w:val="000000"/>
      <w:kern w:val="0"/>
      <w:szCs w:val="21"/>
    </w:rPr>
  </w:style>
  <w:style w:type="paragraph" w:customStyle="1" w:styleId="136">
    <w:name w:val="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137">
    <w:name w:val="p23"/>
    <w:basedOn w:val="1"/>
    <w:qFormat/>
    <w:uiPriority w:val="0"/>
    <w:pPr>
      <w:widowControl/>
      <w:pBdr>
        <w:bottom w:val="single" w:color="000000" w:sz="6" w:space="1"/>
      </w:pBdr>
      <w:jc w:val="center"/>
    </w:pPr>
    <w:rPr>
      <w:rFonts w:ascii="Times New Roman" w:hAnsi="Times New Roman" w:eastAsia="宋体" w:cs="Times New Roman"/>
      <w:kern w:val="0"/>
      <w:sz w:val="18"/>
      <w:szCs w:val="18"/>
    </w:rPr>
  </w:style>
  <w:style w:type="paragraph" w:customStyle="1" w:styleId="138">
    <w:name w:val="p21"/>
    <w:basedOn w:val="1"/>
    <w:qFormat/>
    <w:uiPriority w:val="0"/>
    <w:pPr>
      <w:widowControl/>
      <w:jc w:val="left"/>
    </w:pPr>
    <w:rPr>
      <w:rFonts w:ascii="Times New Roman" w:hAnsi="Times New Roman" w:eastAsia="宋体" w:cs="Times New Roman"/>
      <w:kern w:val="0"/>
      <w:szCs w:val="21"/>
    </w:rPr>
  </w:style>
  <w:style w:type="paragraph" w:customStyle="1" w:styleId="13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题注居中"/>
    <w:basedOn w:val="15"/>
    <w:next w:val="1"/>
    <w:qFormat/>
    <w:uiPriority w:val="0"/>
    <w:pPr>
      <w:spacing w:after="120" w:line="240" w:lineRule="exact"/>
      <w:ind w:firstLine="0" w:firstLineChars="0"/>
      <w:jc w:val="center"/>
    </w:pPr>
    <w:rPr>
      <w:rFonts w:ascii="宋体" w:hAnsi="宋体" w:eastAsia="宋体" w:cs="宋体"/>
      <w:b/>
      <w:sz w:val="21"/>
    </w:rPr>
  </w:style>
  <w:style w:type="paragraph" w:customStyle="1" w:styleId="141">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42">
    <w:name w:val="Char Char Char Char1"/>
    <w:basedOn w:val="1"/>
    <w:qFormat/>
    <w:uiPriority w:val="0"/>
    <w:rPr>
      <w:rFonts w:ascii="Tahoma" w:hAnsi="Tahoma" w:eastAsia="宋体" w:cs="Times New Roman"/>
      <w:sz w:val="24"/>
      <w:szCs w:val="20"/>
    </w:rPr>
  </w:style>
  <w:style w:type="paragraph" w:customStyle="1" w:styleId="143">
    <w:name w:val="p17"/>
    <w:basedOn w:val="1"/>
    <w:qFormat/>
    <w:uiPriority w:val="0"/>
    <w:pPr>
      <w:widowControl/>
      <w:ind w:left="2520"/>
    </w:pPr>
    <w:rPr>
      <w:rFonts w:ascii="Times New Roman" w:hAnsi="Times New Roman" w:eastAsia="宋体" w:cs="Times New Roman"/>
      <w:kern w:val="0"/>
      <w:szCs w:val="21"/>
    </w:rPr>
  </w:style>
  <w:style w:type="paragraph" w:customStyle="1" w:styleId="144">
    <w:name w:val="表格内"/>
    <w:basedOn w:val="1"/>
    <w:qFormat/>
    <w:uiPriority w:val="0"/>
    <w:pPr>
      <w:autoSpaceDE w:val="0"/>
      <w:autoSpaceDN w:val="0"/>
      <w:adjustRightInd w:val="0"/>
    </w:pPr>
    <w:rPr>
      <w:rFonts w:ascii="Times New Roman" w:hAnsi="Times New Roman" w:eastAsia="宋体" w:cs="宋体"/>
      <w:color w:val="000000"/>
      <w:kern w:val="0"/>
      <w:szCs w:val="20"/>
    </w:rPr>
  </w:style>
  <w:style w:type="paragraph" w:customStyle="1" w:styleId="14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6">
    <w:name w:val="p19"/>
    <w:basedOn w:val="1"/>
    <w:qFormat/>
    <w:uiPriority w:val="0"/>
    <w:pPr>
      <w:widowControl/>
      <w:spacing w:before="156" w:after="156" w:line="360" w:lineRule="auto"/>
      <w:ind w:firstLine="420"/>
    </w:pPr>
    <w:rPr>
      <w:rFonts w:ascii="Times New Roman" w:hAnsi="Times New Roman" w:eastAsia="宋体" w:cs="Times New Roman"/>
      <w:kern w:val="0"/>
      <w:sz w:val="24"/>
      <w:szCs w:val="24"/>
    </w:rPr>
  </w:style>
  <w:style w:type="paragraph" w:customStyle="1" w:styleId="147">
    <w:name w:val="Char Char"/>
    <w:basedOn w:val="1"/>
    <w:qFormat/>
    <w:uiPriority w:val="0"/>
    <w:rPr>
      <w:rFonts w:ascii="仿宋_GB2312" w:hAnsi="Times New Roman" w:eastAsia="仿宋_GB2312" w:cs="Times New Roman"/>
      <w:b/>
      <w:sz w:val="32"/>
      <w:szCs w:val="32"/>
    </w:rPr>
  </w:style>
  <w:style w:type="paragraph" w:customStyle="1" w:styleId="148">
    <w:name w:val="p18"/>
    <w:basedOn w:val="1"/>
    <w:qFormat/>
    <w:uiPriority w:val="0"/>
    <w:pPr>
      <w:widowControl/>
      <w:snapToGrid w:val="0"/>
      <w:jc w:val="left"/>
    </w:pPr>
    <w:rPr>
      <w:rFonts w:ascii="Times New Roman" w:hAnsi="Times New Roman" w:eastAsia="宋体" w:cs="Times New Roman"/>
      <w:color w:val="000000"/>
      <w:kern w:val="0"/>
      <w:sz w:val="24"/>
      <w:szCs w:val="24"/>
    </w:rPr>
  </w:style>
  <w:style w:type="paragraph" w:customStyle="1" w:styleId="149">
    <w:name w:val="标题1"/>
    <w:basedOn w:val="1"/>
    <w:qFormat/>
    <w:uiPriority w:val="0"/>
    <w:pPr>
      <w:tabs>
        <w:tab w:val="left" w:pos="1442"/>
      </w:tabs>
      <w:spacing w:line="360" w:lineRule="auto"/>
      <w:jc w:val="center"/>
    </w:pPr>
    <w:rPr>
      <w:rFonts w:ascii="黑体" w:hAnsi="宋体" w:eastAsia="黑体" w:cs="Times New Roman"/>
      <w:b/>
      <w:sz w:val="32"/>
      <w:szCs w:val="24"/>
    </w:rPr>
  </w:style>
  <w:style w:type="paragraph" w:customStyle="1" w:styleId="150">
    <w:name w:val="文档正文"/>
    <w:basedOn w:val="1"/>
    <w:qFormat/>
    <w:uiPriority w:val="0"/>
    <w:pPr>
      <w:adjustRightInd w:val="0"/>
      <w:spacing w:line="440" w:lineRule="atLeast"/>
      <w:ind w:firstLine="200" w:firstLineChars="200"/>
      <w:textAlignment w:val="baseline"/>
    </w:pPr>
    <w:rPr>
      <w:rFonts w:ascii="宋体" w:hAnsi="Times New Roman" w:eastAsia="宋体" w:cs="Times New Roman"/>
      <w:spacing w:val="4"/>
      <w:kern w:val="0"/>
      <w:sz w:val="24"/>
      <w:szCs w:val="20"/>
    </w:rPr>
  </w:style>
  <w:style w:type="paragraph" w:customStyle="1" w:styleId="151">
    <w:name w:val="样式 正文缩进首行缩进两字 + 小四 首行缩进:  2 字符"/>
    <w:basedOn w:val="8"/>
    <w:qFormat/>
    <w:uiPriority w:val="0"/>
    <w:pPr>
      <w:spacing w:line="360" w:lineRule="auto"/>
      <w:ind w:firstLine="200" w:firstLineChars="200"/>
    </w:pPr>
    <w:rPr>
      <w:rFonts w:cs="宋体"/>
      <w:sz w:val="24"/>
    </w:rPr>
  </w:style>
  <w:style w:type="character" w:customStyle="1" w:styleId="152">
    <w:name w:val="font91"/>
    <w:qFormat/>
    <w:uiPriority w:val="0"/>
    <w:rPr>
      <w:rFonts w:hint="eastAsia" w:ascii="宋体" w:hAnsi="宋体" w:eastAsia="宋体" w:cs="宋体"/>
      <w:color w:val="auto"/>
      <w:sz w:val="18"/>
      <w:szCs w:val="18"/>
      <w:u w:val="none"/>
    </w:rPr>
  </w:style>
  <w:style w:type="paragraph" w:styleId="153">
    <w:name w:val="No Spacing"/>
    <w:link w:val="154"/>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4">
    <w:name w:val="无间隔 字符"/>
    <w:link w:val="153"/>
    <w:qFormat/>
    <w:uiPriority w:val="0"/>
    <w:rPr>
      <w:rFonts w:ascii="Times New Roman" w:hAnsi="Times New Roman" w:eastAsia="宋体" w:cs="Times New Roman"/>
      <w:color w:val="000000"/>
      <w:kern w:val="0"/>
      <w:szCs w:val="21"/>
    </w:rPr>
  </w:style>
  <w:style w:type="paragraph" w:customStyle="1" w:styleId="15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纯文本1"/>
    <w:basedOn w:val="1"/>
    <w:qFormat/>
    <w:uiPriority w:val="0"/>
    <w:pPr>
      <w:ind w:firstLine="280" w:firstLineChars="100"/>
    </w:pPr>
    <w:rPr>
      <w:rFonts w:ascii="Times New Roman" w:hAnsi="宋体" w:eastAsia="宋体" w:cs="Courier New"/>
      <w:szCs w:val="20"/>
    </w:rPr>
  </w:style>
  <w:style w:type="character" w:customStyle="1" w:styleId="157">
    <w:name w:val="apple-converted-space"/>
    <w:basedOn w:val="53"/>
    <w:qFormat/>
    <w:uiPriority w:val="0"/>
  </w:style>
  <w:style w:type="character" w:customStyle="1" w:styleId="158">
    <w:name w:val="!我的正文 Ctr+Q Char"/>
    <w:link w:val="159"/>
    <w:qFormat/>
    <w:uiPriority w:val="0"/>
    <w:rPr>
      <w:rFonts w:ascii="Arial" w:hAnsi="Arial"/>
      <w:sz w:val="24"/>
      <w:szCs w:val="21"/>
    </w:rPr>
  </w:style>
  <w:style w:type="paragraph" w:customStyle="1" w:styleId="159">
    <w:name w:val="!我的正文 Ctr+Q"/>
    <w:basedOn w:val="1"/>
    <w:link w:val="158"/>
    <w:qFormat/>
    <w:uiPriority w:val="0"/>
    <w:pPr>
      <w:adjustRightInd w:val="0"/>
      <w:snapToGrid w:val="0"/>
      <w:spacing w:line="360" w:lineRule="auto"/>
      <w:ind w:firstLine="480" w:firstLineChars="200"/>
    </w:pPr>
    <w:rPr>
      <w:rFonts w:ascii="Arial" w:hAnsi="Arial"/>
      <w:sz w:val="24"/>
      <w:szCs w:val="21"/>
    </w:rPr>
  </w:style>
  <w:style w:type="character" w:customStyle="1" w:styleId="160">
    <w:name w:val="Char Char14"/>
    <w:qFormat/>
    <w:uiPriority w:val="0"/>
    <w:rPr>
      <w:rFonts w:eastAsia="宋体"/>
      <w:kern w:val="2"/>
      <w:sz w:val="24"/>
      <w:lang w:val="en-US" w:eastAsia="zh-CN" w:bidi="ar-SA"/>
    </w:rPr>
  </w:style>
  <w:style w:type="character" w:customStyle="1" w:styleId="161">
    <w:name w:val="小点说明 Char Char"/>
    <w:link w:val="162"/>
    <w:qFormat/>
    <w:uiPriority w:val="0"/>
    <w:rPr>
      <w:rFonts w:eastAsia="宋体"/>
      <w:szCs w:val="24"/>
    </w:rPr>
  </w:style>
  <w:style w:type="paragraph" w:customStyle="1" w:styleId="162">
    <w:name w:val="小点说明"/>
    <w:basedOn w:val="1"/>
    <w:link w:val="161"/>
    <w:qFormat/>
    <w:uiPriority w:val="0"/>
    <w:pPr>
      <w:adjustRightInd w:val="0"/>
      <w:snapToGrid w:val="0"/>
      <w:spacing w:line="360" w:lineRule="auto"/>
    </w:pPr>
    <w:rPr>
      <w:rFonts w:eastAsia="宋体"/>
      <w:szCs w:val="24"/>
    </w:rPr>
  </w:style>
  <w:style w:type="character" w:customStyle="1" w:styleId="163">
    <w:name w:val="Char Char9"/>
    <w:qFormat/>
    <w:uiPriority w:val="0"/>
    <w:rPr>
      <w:rFonts w:eastAsia="宋体"/>
      <w:color w:val="000000"/>
      <w:sz w:val="21"/>
      <w:szCs w:val="21"/>
      <w:lang w:val="en-US" w:eastAsia="zh-CN" w:bidi="ar-SA"/>
    </w:rPr>
  </w:style>
  <w:style w:type="character" w:customStyle="1" w:styleId="164">
    <w:name w:val="Char Char24"/>
    <w:qFormat/>
    <w:uiPriority w:val="0"/>
    <w:rPr>
      <w:rFonts w:eastAsia="宋体"/>
      <w:b/>
      <w:color w:val="000000"/>
      <w:sz w:val="32"/>
      <w:szCs w:val="21"/>
      <w:lang w:val="en-US" w:eastAsia="zh-CN" w:bidi="ar-SA"/>
    </w:rPr>
  </w:style>
  <w:style w:type="character" w:customStyle="1" w:styleId="165">
    <w:name w:val="文章样式1 Char Char"/>
    <w:link w:val="166"/>
    <w:qFormat/>
    <w:uiPriority w:val="0"/>
    <w:rPr>
      <w:rFonts w:ascii="宋体" w:hAnsi="宋体" w:eastAsia="Times New Roman" w:cs="宋体"/>
      <w:b/>
    </w:rPr>
  </w:style>
  <w:style w:type="paragraph" w:customStyle="1" w:styleId="166">
    <w:name w:val="文章样式1"/>
    <w:link w:val="165"/>
    <w:qFormat/>
    <w:uiPriority w:val="0"/>
    <w:pPr>
      <w:tabs>
        <w:tab w:val="left" w:pos="0"/>
        <w:tab w:val="left" w:pos="360"/>
      </w:tabs>
      <w:spacing w:line="360" w:lineRule="auto"/>
      <w:ind w:left="360" w:hanging="360"/>
    </w:pPr>
    <w:rPr>
      <w:rFonts w:ascii="宋体" w:hAnsi="宋体" w:eastAsia="Times New Roman" w:cs="宋体"/>
      <w:b/>
      <w:kern w:val="2"/>
      <w:sz w:val="21"/>
      <w:szCs w:val="22"/>
      <w:lang w:val="en-US" w:eastAsia="zh-CN" w:bidi="ar-SA"/>
    </w:rPr>
  </w:style>
  <w:style w:type="character" w:customStyle="1" w:styleId="167">
    <w:name w:val="Char Char10"/>
    <w:qFormat/>
    <w:uiPriority w:val="0"/>
    <w:rPr>
      <w:rFonts w:eastAsia="宋体"/>
      <w:color w:val="000000"/>
      <w:sz w:val="18"/>
      <w:szCs w:val="18"/>
      <w:lang w:val="en-US" w:eastAsia="zh-CN" w:bidi="ar-SA"/>
    </w:rPr>
  </w:style>
  <w:style w:type="character" w:customStyle="1" w:styleId="168">
    <w:name w:val="样式 正文首行缩进 2 + 左侧:  2 字符 首行缩进:  2 字符1 Char Char"/>
    <w:link w:val="169"/>
    <w:qFormat/>
    <w:uiPriority w:val="0"/>
    <w:rPr>
      <w:rFonts w:ascii="宋体" w:hAnsi="宋体" w:eastAsia="Times New Roman" w:cs="宋体"/>
      <w:color w:val="000000"/>
      <w:szCs w:val="21"/>
    </w:rPr>
  </w:style>
  <w:style w:type="paragraph" w:customStyle="1" w:styleId="169">
    <w:name w:val="样式 正文首行缩进 2 + 左侧:  2 字符 首行缩进:  2 字符1"/>
    <w:next w:val="1"/>
    <w:link w:val="168"/>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0">
    <w:name w:val="Char Char15"/>
    <w:qFormat/>
    <w:uiPriority w:val="0"/>
    <w:rPr>
      <w:rFonts w:eastAsia="宋体"/>
      <w:kern w:val="2"/>
      <w:sz w:val="21"/>
      <w:lang w:val="en-US" w:eastAsia="zh-CN" w:bidi="ar-SA"/>
    </w:rPr>
  </w:style>
  <w:style w:type="character" w:customStyle="1" w:styleId="171">
    <w:name w:val="style21"/>
    <w:qFormat/>
    <w:uiPriority w:val="0"/>
    <w:rPr>
      <w:color w:val="FFFFFF"/>
    </w:rPr>
  </w:style>
  <w:style w:type="character" w:customStyle="1" w:styleId="172">
    <w:name w:val="文章标题3级 Char Char"/>
    <w:link w:val="173"/>
    <w:qFormat/>
    <w:uiPriority w:val="0"/>
    <w:rPr>
      <w:rFonts w:eastAsia="宋体"/>
      <w:b/>
      <w:bCs/>
      <w:caps/>
      <w:color w:val="000000"/>
      <w:sz w:val="24"/>
      <w:szCs w:val="18"/>
    </w:rPr>
  </w:style>
  <w:style w:type="paragraph" w:customStyle="1" w:styleId="173">
    <w:name w:val="文章标题3级"/>
    <w:basedOn w:val="174"/>
    <w:next w:val="1"/>
    <w:link w:val="172"/>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4">
    <w:name w:val="文章标题2级"/>
    <w:basedOn w:val="175"/>
    <w:next w:val="1"/>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75">
    <w:name w:val="文章标题1级"/>
    <w:next w:val="1"/>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76">
    <w:name w:val="正文文本 Char Char"/>
    <w:qFormat/>
    <w:uiPriority w:val="0"/>
    <w:rPr>
      <w:rFonts w:ascii="Calibri" w:hAnsi="Calibri" w:eastAsia="宋体"/>
      <w:kern w:val="2"/>
      <w:sz w:val="21"/>
      <w:szCs w:val="22"/>
      <w:lang w:val="en-US" w:eastAsia="zh-CN" w:bidi="ar-SA"/>
    </w:rPr>
  </w:style>
  <w:style w:type="character" w:customStyle="1" w:styleId="177">
    <w:name w:val="正文缩进 Char"/>
    <w:qFormat/>
    <w:uiPriority w:val="0"/>
    <w:rPr>
      <w:rFonts w:eastAsia="宋体"/>
      <w:kern w:val="2"/>
      <w:sz w:val="21"/>
      <w:lang w:val="en-US" w:eastAsia="zh-CN" w:bidi="ar-SA"/>
    </w:rPr>
  </w:style>
  <w:style w:type="character" w:customStyle="1" w:styleId="178">
    <w:name w:val="Char Char18"/>
    <w:qFormat/>
    <w:uiPriority w:val="0"/>
    <w:rPr>
      <w:rFonts w:eastAsia="宋体"/>
      <w:kern w:val="2"/>
      <w:sz w:val="21"/>
      <w:szCs w:val="24"/>
      <w:lang w:val="en-US" w:eastAsia="zh-CN" w:bidi="ar-SA"/>
    </w:rPr>
  </w:style>
  <w:style w:type="character" w:customStyle="1" w:styleId="179">
    <w:name w:val="正文文字2 Char Char"/>
    <w:qFormat/>
    <w:uiPriority w:val="0"/>
    <w:rPr>
      <w:rFonts w:ascii="Arial" w:eastAsia="黑体"/>
      <w:sz w:val="21"/>
      <w:lang w:val="en-US" w:eastAsia="zh-CN" w:bidi="ar-SA"/>
    </w:rPr>
  </w:style>
  <w:style w:type="character" w:customStyle="1" w:styleId="180">
    <w:name w:val="Char Char27"/>
    <w:qFormat/>
    <w:uiPriority w:val="0"/>
    <w:rPr>
      <w:rFonts w:eastAsia="宋体"/>
      <w:b/>
      <w:color w:val="000000"/>
      <w:kern w:val="44"/>
      <w:sz w:val="44"/>
      <w:szCs w:val="21"/>
      <w:lang w:val="en-US" w:eastAsia="zh-CN" w:bidi="ar-SA"/>
    </w:rPr>
  </w:style>
  <w:style w:type="character" w:customStyle="1" w:styleId="181">
    <w:name w:val="style31"/>
    <w:qFormat/>
    <w:uiPriority w:val="0"/>
    <w:rPr>
      <w:b/>
      <w:bCs/>
      <w:color w:val="0033CC"/>
    </w:rPr>
  </w:style>
  <w:style w:type="character" w:customStyle="1" w:styleId="182">
    <w:name w:val="Char Char26"/>
    <w:qFormat/>
    <w:uiPriority w:val="0"/>
    <w:rPr>
      <w:b/>
      <w:color w:val="000000"/>
      <w:kern w:val="44"/>
      <w:sz w:val="44"/>
      <w:szCs w:val="21"/>
      <w:lang w:val="en-US" w:eastAsia="zh-CN" w:bidi="ar-SA"/>
    </w:rPr>
  </w:style>
  <w:style w:type="character" w:customStyle="1" w:styleId="183">
    <w:name w:val="小标题 Char Char"/>
    <w:link w:val="184"/>
    <w:qFormat/>
    <w:uiPriority w:val="0"/>
    <w:rPr>
      <w:rFonts w:ascii="宋体" w:hAnsi="宋体" w:eastAsia="宋体"/>
      <w:b/>
      <w:sz w:val="24"/>
      <w:szCs w:val="24"/>
    </w:rPr>
  </w:style>
  <w:style w:type="paragraph" w:customStyle="1" w:styleId="184">
    <w:name w:val="小标题"/>
    <w:basedOn w:val="1"/>
    <w:next w:val="1"/>
    <w:link w:val="183"/>
    <w:qFormat/>
    <w:uiPriority w:val="0"/>
    <w:pPr>
      <w:widowControl/>
      <w:tabs>
        <w:tab w:val="left" w:pos="360"/>
        <w:tab w:val="left" w:pos="885"/>
      </w:tabs>
      <w:ind w:left="885" w:hanging="885"/>
      <w:jc w:val="left"/>
    </w:pPr>
    <w:rPr>
      <w:rFonts w:ascii="宋体" w:hAnsi="宋体" w:eastAsia="宋体"/>
      <w:b/>
      <w:sz w:val="24"/>
      <w:szCs w:val="24"/>
    </w:rPr>
  </w:style>
  <w:style w:type="character" w:customStyle="1" w:styleId="185">
    <w:name w:val="正文首缩两字 Char Char"/>
    <w:link w:val="186"/>
    <w:qFormat/>
    <w:uiPriority w:val="0"/>
    <w:rPr>
      <w:rFonts w:ascii="Verdana" w:hAnsi="Verdana" w:eastAsia="宋体"/>
      <w:sz w:val="24"/>
      <w:szCs w:val="24"/>
    </w:rPr>
  </w:style>
  <w:style w:type="paragraph" w:customStyle="1" w:styleId="186">
    <w:name w:val="正文首缩两字"/>
    <w:basedOn w:val="1"/>
    <w:link w:val="185"/>
    <w:qFormat/>
    <w:uiPriority w:val="0"/>
    <w:pPr>
      <w:spacing w:line="360" w:lineRule="auto"/>
      <w:ind w:firstLine="200" w:firstLineChars="200"/>
    </w:pPr>
    <w:rPr>
      <w:rFonts w:ascii="Verdana" w:hAnsi="Verdana" w:eastAsia="宋体"/>
      <w:sz w:val="24"/>
      <w:szCs w:val="24"/>
    </w:rPr>
  </w:style>
  <w:style w:type="character" w:customStyle="1" w:styleId="187">
    <w:name w:val="正文2 Char Char"/>
    <w:link w:val="188"/>
    <w:qFormat/>
    <w:locked/>
    <w:uiPriority w:val="0"/>
    <w:rPr>
      <w:rFonts w:ascii="楷体" w:hAnsi="Verdana" w:eastAsia="楷体"/>
      <w:sz w:val="24"/>
      <w:szCs w:val="24"/>
    </w:rPr>
  </w:style>
  <w:style w:type="paragraph" w:customStyle="1" w:styleId="188">
    <w:name w:val="正文2"/>
    <w:basedOn w:val="1"/>
    <w:link w:val="187"/>
    <w:qFormat/>
    <w:uiPriority w:val="0"/>
    <w:pPr>
      <w:tabs>
        <w:tab w:val="left" w:pos="360"/>
      </w:tabs>
      <w:spacing w:beforeLines="50" w:line="360" w:lineRule="auto"/>
      <w:jc w:val="left"/>
    </w:pPr>
    <w:rPr>
      <w:rFonts w:ascii="楷体" w:hAnsi="Verdana" w:eastAsia="楷体"/>
      <w:sz w:val="24"/>
      <w:szCs w:val="24"/>
    </w:rPr>
  </w:style>
  <w:style w:type="character" w:customStyle="1" w:styleId="189">
    <w:name w:val="文字 Char Char"/>
    <w:link w:val="190"/>
    <w:qFormat/>
    <w:uiPriority w:val="0"/>
    <w:rPr>
      <w:rFonts w:ascii="宋体" w:hAnsi="宋体"/>
      <w:sz w:val="28"/>
    </w:rPr>
  </w:style>
  <w:style w:type="paragraph" w:customStyle="1" w:styleId="190">
    <w:name w:val="文字"/>
    <w:basedOn w:val="1"/>
    <w:link w:val="189"/>
    <w:qFormat/>
    <w:uiPriority w:val="0"/>
    <w:pPr>
      <w:tabs>
        <w:tab w:val="left" w:pos="8520"/>
      </w:tabs>
      <w:spacing w:line="312" w:lineRule="auto"/>
      <w:ind w:right="-210" w:firstLine="556"/>
    </w:pPr>
    <w:rPr>
      <w:rFonts w:ascii="宋体" w:hAnsi="宋体"/>
      <w:sz w:val="28"/>
    </w:rPr>
  </w:style>
  <w:style w:type="character" w:customStyle="1" w:styleId="191">
    <w:name w:val="Char Char25"/>
    <w:qFormat/>
    <w:uiPriority w:val="0"/>
    <w:rPr>
      <w:rFonts w:ascii="Arial" w:hAnsi="Arial" w:eastAsia="黑体"/>
      <w:b/>
      <w:bCs/>
      <w:kern w:val="2"/>
      <w:sz w:val="32"/>
      <w:szCs w:val="32"/>
      <w:lang w:val="en-US" w:eastAsia="zh-CN" w:bidi="ar-SA"/>
    </w:rPr>
  </w:style>
  <w:style w:type="character" w:customStyle="1" w:styleId="192">
    <w:name w:val="强调1"/>
    <w:qFormat/>
    <w:uiPriority w:val="0"/>
    <w:rPr>
      <w:rFonts w:ascii="Arial Black" w:hAnsi="Arial Black" w:eastAsia="黑体"/>
      <w:b/>
      <w:spacing w:val="0"/>
      <w:sz w:val="21"/>
    </w:rPr>
  </w:style>
  <w:style w:type="character" w:customStyle="1" w:styleId="193">
    <w:name w:val="标题 字符"/>
    <w:basedOn w:val="53"/>
    <w:link w:val="47"/>
    <w:qFormat/>
    <w:uiPriority w:val="0"/>
    <w:rPr>
      <w:rFonts w:ascii="Arial" w:hAnsi="Arial" w:eastAsia="宋体" w:cs="Times New Roman"/>
      <w:b/>
      <w:bCs/>
      <w:color w:val="000000"/>
      <w:sz w:val="32"/>
      <w:szCs w:val="32"/>
    </w:rPr>
  </w:style>
  <w:style w:type="character" w:customStyle="1" w:styleId="194">
    <w:name w:val="正文文本 2 字符"/>
    <w:basedOn w:val="53"/>
    <w:link w:val="43"/>
    <w:qFormat/>
    <w:uiPriority w:val="0"/>
    <w:rPr>
      <w:rFonts w:ascii="Times New Roman" w:hAnsi="Times New Roman" w:eastAsia="宋体" w:cs="Times New Roman"/>
      <w:color w:val="000000"/>
    </w:rPr>
  </w:style>
  <w:style w:type="paragraph" w:customStyle="1" w:styleId="195">
    <w:name w:val="正文缩进1"/>
    <w:basedOn w:val="1"/>
    <w:qFormat/>
    <w:uiPriority w:val="0"/>
    <w:pPr>
      <w:ind w:firstLine="420"/>
    </w:pPr>
    <w:rPr>
      <w:rFonts w:ascii="Times New Roman" w:hAnsi="Times New Roman" w:eastAsia="宋体" w:cs="Times New Roman"/>
      <w:szCs w:val="20"/>
    </w:rPr>
  </w:style>
  <w:style w:type="paragraph" w:customStyle="1" w:styleId="196">
    <w:name w:val="Char Char Char Char"/>
    <w:basedOn w:val="1"/>
    <w:qFormat/>
    <w:uiPriority w:val="0"/>
    <w:rPr>
      <w:rFonts w:ascii="Times New Roman" w:hAnsi="Times New Roman" w:eastAsia="宋体" w:cs="Times New Roman"/>
      <w:szCs w:val="20"/>
    </w:rPr>
  </w:style>
  <w:style w:type="paragraph" w:customStyle="1" w:styleId="197">
    <w:name w:val="文章标题4级"/>
    <w:basedOn w:val="173"/>
    <w:next w:val="1"/>
    <w:qFormat/>
    <w:uiPriority w:val="0"/>
    <w:pPr>
      <w:tabs>
        <w:tab w:val="left" w:pos="1034"/>
        <w:tab w:val="left" w:pos="2760"/>
        <w:tab w:val="clear" w:pos="1560"/>
      </w:tabs>
      <w:outlineLvl w:val="3"/>
    </w:pPr>
    <w:rPr>
      <w:color w:val="auto"/>
    </w:rPr>
  </w:style>
  <w:style w:type="paragraph" w:customStyle="1" w:styleId="198">
    <w:name w:val="封面正文"/>
    <w:qFormat/>
    <w:uiPriority w:val="0"/>
    <w:pPr>
      <w:jc w:val="both"/>
    </w:pPr>
    <w:rPr>
      <w:rFonts w:ascii="Times New Roman" w:hAnsi="Times New Roman" w:eastAsia="宋体" w:cs="Times New Roman"/>
      <w:lang w:val="en-US" w:eastAsia="zh-CN" w:bidi="ar-SA"/>
    </w:rPr>
  </w:style>
  <w:style w:type="paragraph" w:customStyle="1" w:styleId="199">
    <w:name w:val="Char Char Char"/>
    <w:basedOn w:val="1"/>
    <w:qFormat/>
    <w:uiPriority w:val="0"/>
    <w:rPr>
      <w:rFonts w:ascii="Times New Roman" w:hAnsi="Times New Roman" w:eastAsia="宋体" w:cs="Times New Roman"/>
      <w:szCs w:val="24"/>
    </w:rPr>
  </w:style>
  <w:style w:type="paragraph" w:customStyle="1" w:styleId="200">
    <w:name w:val="1级标题"/>
    <w:basedOn w:val="1"/>
    <w:qFormat/>
    <w:uiPriority w:val="0"/>
    <w:pPr>
      <w:keepLines/>
      <w:pageBreakBefore/>
      <w:tabs>
        <w:tab w:val="left" w:pos="360"/>
      </w:tabs>
      <w:spacing w:before="240" w:after="240" w:line="360" w:lineRule="auto"/>
      <w:ind w:left="360"/>
      <w:contextualSpacing/>
      <w:jc w:val="center"/>
      <w:outlineLvl w:val="0"/>
    </w:pPr>
    <w:rPr>
      <w:rFonts w:ascii="黑体" w:hAnsi="黑体" w:eastAsia="黑体" w:cs="Times New Roman"/>
      <w:kern w:val="0"/>
      <w:sz w:val="36"/>
      <w:szCs w:val="36"/>
      <w:lang w:val="zh-CN" w:eastAsia="en-US" w:bidi="en-US"/>
    </w:rPr>
  </w:style>
  <w:style w:type="paragraph" w:customStyle="1" w:styleId="201">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2">
    <w:name w:val="3级标题"/>
    <w:basedOn w:val="1"/>
    <w:qFormat/>
    <w:uiPriority w:val="0"/>
    <w:pPr>
      <w:keepLines/>
      <w:tabs>
        <w:tab w:val="left" w:pos="1560"/>
      </w:tabs>
      <w:spacing w:before="120" w:after="120" w:line="360" w:lineRule="auto"/>
      <w:ind w:left="1560" w:hanging="720"/>
      <w:contextualSpacing/>
      <w:jc w:val="left"/>
      <w:outlineLvl w:val="2"/>
    </w:pPr>
    <w:rPr>
      <w:rFonts w:ascii="黑体" w:hAnsi="黑体" w:eastAsia="黑体" w:cs="Times New Roman"/>
      <w:kern w:val="0"/>
      <w:sz w:val="28"/>
      <w:szCs w:val="36"/>
      <w:lang w:val="zh-CN" w:eastAsia="en-US" w:bidi="en-US"/>
    </w:rPr>
  </w:style>
  <w:style w:type="paragraph" w:customStyle="1" w:styleId="203">
    <w:name w:val="标题 6（有编号）（绿盟科技）"/>
    <w:basedOn w:val="1"/>
    <w:next w:val="1"/>
    <w:qFormat/>
    <w:uiPriority w:val="0"/>
    <w:pPr>
      <w:keepNext/>
      <w:keepLines/>
      <w:tabs>
        <w:tab w:val="left" w:pos="885"/>
        <w:tab w:val="left" w:pos="1200"/>
      </w:tabs>
      <w:spacing w:before="240" w:after="64" w:line="317" w:lineRule="auto"/>
      <w:ind w:left="2098" w:hanging="1247"/>
      <w:jc w:val="left"/>
      <w:outlineLvl w:val="5"/>
    </w:pPr>
    <w:rPr>
      <w:rFonts w:ascii="Arial" w:hAnsi="Arial" w:eastAsia="黑体" w:cs="Times New Roman"/>
      <w:b/>
      <w:kern w:val="0"/>
      <w:szCs w:val="24"/>
    </w:rPr>
  </w:style>
  <w:style w:type="paragraph" w:customStyle="1" w:styleId="204">
    <w:name w:val="次小点说明"/>
    <w:basedOn w:val="1"/>
    <w:qFormat/>
    <w:uiPriority w:val="0"/>
    <w:pPr>
      <w:tabs>
        <w:tab w:val="left" w:pos="780"/>
        <w:tab w:val="left" w:pos="1680"/>
      </w:tabs>
      <w:adjustRightInd w:val="0"/>
      <w:snapToGrid w:val="0"/>
      <w:spacing w:line="360" w:lineRule="auto"/>
      <w:ind w:left="780" w:hanging="360"/>
    </w:pPr>
    <w:rPr>
      <w:rFonts w:ascii="Times New Roman" w:hAnsi="Times New Roman" w:eastAsia="宋体" w:cs="Times New Roman"/>
      <w:szCs w:val="24"/>
    </w:rPr>
  </w:style>
  <w:style w:type="paragraph" w:customStyle="1" w:styleId="205">
    <w:name w:val="段落正文 Char"/>
    <w:basedOn w:val="1"/>
    <w:qFormat/>
    <w:uiPriority w:val="0"/>
    <w:pPr>
      <w:spacing w:line="360" w:lineRule="auto"/>
      <w:ind w:firstLine="461" w:firstLineChars="192"/>
    </w:pPr>
    <w:rPr>
      <w:rFonts w:ascii="宋体" w:hAnsi="宋体" w:eastAsia="宋体" w:cs="Times New Roman"/>
      <w:sz w:val="24"/>
      <w:szCs w:val="24"/>
    </w:rPr>
  </w:style>
  <w:style w:type="paragraph" w:customStyle="1" w:styleId="206">
    <w:name w:val="Table Paragraph"/>
    <w:basedOn w:val="1"/>
    <w:qFormat/>
    <w:uiPriority w:val="1"/>
    <w:rPr>
      <w:rFonts w:ascii="Arial Unicode MS" w:hAnsi="Arial Unicode MS" w:eastAsia="Arial Unicode MS" w:cs="Arial Unicode MS"/>
      <w:szCs w:val="24"/>
      <w:lang w:val="zh-CN" w:bidi="zh-CN"/>
    </w:rPr>
  </w:style>
  <w:style w:type="paragraph" w:customStyle="1" w:styleId="207">
    <w:name w:val="样式 列表编号 + 段后: 0.5 行"/>
    <w:basedOn w:val="14"/>
    <w:qFormat/>
    <w:uiPriority w:val="0"/>
    <w:pPr>
      <w:widowControl w:val="0"/>
      <w:tabs>
        <w:tab w:val="left" w:pos="360"/>
        <w:tab w:val="clear" w:pos="720"/>
      </w:tabs>
      <w:spacing w:afterLines="0"/>
      <w:jc w:val="both"/>
    </w:pPr>
    <w:rPr>
      <w:rFonts w:cs="宋体"/>
      <w:kern w:val="2"/>
      <w:sz w:val="21"/>
      <w:szCs w:val="24"/>
    </w:rPr>
  </w:style>
  <w:style w:type="paragraph" w:customStyle="1" w:styleId="208">
    <w:name w:val="Char3"/>
    <w:basedOn w:val="1"/>
    <w:qFormat/>
    <w:uiPriority w:val="0"/>
    <w:rPr>
      <w:rFonts w:ascii="Tahoma" w:hAnsi="Tahoma" w:eastAsia="宋体" w:cs="Times New Roman"/>
      <w:sz w:val="24"/>
      <w:szCs w:val="20"/>
    </w:rPr>
  </w:style>
  <w:style w:type="paragraph" w:customStyle="1" w:styleId="209">
    <w:name w:val="列表段落2"/>
    <w:basedOn w:val="1"/>
    <w:qFormat/>
    <w:uiPriority w:val="0"/>
    <w:pPr>
      <w:ind w:firstLine="420" w:firstLineChars="200"/>
    </w:pPr>
    <w:rPr>
      <w:rFonts w:ascii="Times New Roman" w:hAnsi="Times New Roman" w:eastAsia="宋体" w:cs="Times New Roman"/>
    </w:rPr>
  </w:style>
  <w:style w:type="paragraph" w:customStyle="1" w:styleId="210">
    <w:name w:val="默认段落字体 Para Char Char Char Char"/>
    <w:basedOn w:val="1"/>
    <w:qFormat/>
    <w:uiPriority w:val="0"/>
    <w:rPr>
      <w:rFonts w:ascii="Times New Roman" w:hAnsi="Times New Roman" w:eastAsia="宋体" w:cs="Times New Roman"/>
      <w:szCs w:val="24"/>
    </w:rPr>
  </w:style>
  <w:style w:type="paragraph" w:customStyle="1" w:styleId="211">
    <w:name w:val="Char Char Char Char Char Char Char Char Char Char Char Char Char"/>
    <w:basedOn w:val="1"/>
    <w:qFormat/>
    <w:uiPriority w:val="0"/>
    <w:pPr>
      <w:widowControl/>
      <w:tabs>
        <w:tab w:val="left" w:pos="780"/>
        <w:tab w:val="left" w:pos="1200"/>
      </w:tabs>
      <w:spacing w:after="160" w:line="240" w:lineRule="exact"/>
      <w:jc w:val="left"/>
    </w:pPr>
    <w:rPr>
      <w:rFonts w:ascii="Verdana" w:hAnsi="Verdana" w:eastAsia="宋体" w:cs="Times New Roman"/>
      <w:kern w:val="0"/>
      <w:sz w:val="20"/>
      <w:szCs w:val="20"/>
      <w:lang w:eastAsia="en-US"/>
    </w:rPr>
  </w:style>
  <w:style w:type="paragraph" w:customStyle="1" w:styleId="212">
    <w:name w:val="插图标注（绿盟科技）"/>
    <w:next w:val="1"/>
    <w:qFormat/>
    <w:uiPriority w:val="0"/>
    <w:pPr>
      <w:tabs>
        <w:tab w:val="left" w:pos="3420"/>
      </w:tabs>
      <w:spacing w:after="156"/>
      <w:jc w:val="center"/>
    </w:pPr>
    <w:rPr>
      <w:rFonts w:ascii="Arial" w:hAnsi="Arial" w:eastAsia="宋体" w:cs="Arial"/>
      <w:sz w:val="21"/>
      <w:szCs w:val="21"/>
      <w:lang w:val="en-US" w:eastAsia="zh-CN" w:bidi="ar-SA"/>
    </w:rPr>
  </w:style>
  <w:style w:type="paragraph" w:customStyle="1" w:styleId="213">
    <w:name w:val="标题 3（绿盟科技）"/>
    <w:basedOn w:val="4"/>
    <w:next w:val="1"/>
    <w:qFormat/>
    <w:uiPriority w:val="0"/>
    <w:pPr>
      <w:tabs>
        <w:tab w:val="left" w:pos="960"/>
      </w:tabs>
      <w:autoSpaceDE/>
      <w:autoSpaceDN/>
      <w:adjustRightInd/>
      <w:jc w:val="left"/>
    </w:pPr>
    <w:rPr>
      <w:rFonts w:ascii="Arial" w:hAnsi="Arial" w:eastAsia="黑体"/>
      <w:bCs w:val="0"/>
      <w:color w:val="auto"/>
      <w:sz w:val="30"/>
      <w:szCs w:val="30"/>
    </w:rPr>
  </w:style>
  <w:style w:type="paragraph" w:customStyle="1" w:styleId="214">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Char1"/>
    <w:basedOn w:val="1"/>
    <w:qFormat/>
    <w:uiPriority w:val="0"/>
    <w:rPr>
      <w:rFonts w:ascii="仿宋_GB2312" w:hAnsi="Times New Roman" w:eastAsia="仿宋_GB2312" w:cs="Times New Roman"/>
      <w:b/>
      <w:sz w:val="32"/>
      <w:szCs w:val="32"/>
    </w:rPr>
  </w:style>
  <w:style w:type="paragraph" w:customStyle="1" w:styleId="216">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7">
    <w:name w:val="纯文本2"/>
    <w:basedOn w:val="1"/>
    <w:qFormat/>
    <w:uiPriority w:val="0"/>
    <w:rPr>
      <w:rFonts w:ascii="宋体" w:hAnsi="Courier New" w:eastAsia="宋体" w:cs="Times New Roman"/>
      <w:kern w:val="0"/>
      <w:szCs w:val="21"/>
    </w:rPr>
  </w:style>
  <w:style w:type="paragraph" w:customStyle="1" w:styleId="218">
    <w:name w:val="样式1"/>
    <w:basedOn w:val="124"/>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1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20">
    <w:name w:val="标题 1（绿盟科技）"/>
    <w:basedOn w:val="2"/>
    <w:next w:val="1"/>
    <w:qFormat/>
    <w:uiPriority w:val="0"/>
    <w:pPr>
      <w:numPr>
        <w:ilvl w:val="0"/>
        <w:numId w:val="1"/>
      </w:numPr>
      <w:pBdr>
        <w:bottom w:val="single" w:color="auto" w:sz="48" w:space="1"/>
      </w:pBdr>
      <w:tabs>
        <w:tab w:val="left" w:pos="840"/>
      </w:tabs>
      <w:spacing w:before="600" w:line="576" w:lineRule="auto"/>
      <w:jc w:val="left"/>
    </w:pPr>
    <w:rPr>
      <w:rFonts w:ascii="Arial" w:hAnsi="Arial" w:eastAsia="黑体"/>
    </w:rPr>
  </w:style>
  <w:style w:type="paragraph" w:customStyle="1" w:styleId="221">
    <w:name w:val="List Paragraph1"/>
    <w:basedOn w:val="1"/>
    <w:qFormat/>
    <w:uiPriority w:val="0"/>
    <w:pPr>
      <w:ind w:firstLine="420" w:firstLineChars="200"/>
    </w:pPr>
    <w:rPr>
      <w:rFonts w:ascii="Times New Roman" w:hAnsi="Times New Roman" w:eastAsia="宋体" w:cs="Times New Roman"/>
      <w:szCs w:val="24"/>
    </w:rPr>
  </w:style>
  <w:style w:type="paragraph" w:customStyle="1" w:styleId="222">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3">
    <w:name w:val="4级标题"/>
    <w:basedOn w:val="1"/>
    <w:qFormat/>
    <w:uiPriority w:val="0"/>
    <w:pPr>
      <w:keepLines/>
      <w:tabs>
        <w:tab w:val="left" w:pos="1680"/>
      </w:tabs>
      <w:spacing w:line="360" w:lineRule="auto"/>
      <w:ind w:left="1680" w:hanging="420"/>
      <w:contextualSpacing/>
      <w:jc w:val="left"/>
      <w:outlineLvl w:val="3"/>
    </w:pPr>
    <w:rPr>
      <w:rFonts w:ascii="黑体" w:hAnsi="黑体" w:eastAsia="黑体" w:cs="Times New Roman"/>
      <w:kern w:val="0"/>
      <w:sz w:val="24"/>
      <w:szCs w:val="24"/>
      <w:lang w:val="zh-CN" w:eastAsia="en-US" w:bidi="en-US"/>
    </w:rPr>
  </w:style>
  <w:style w:type="paragraph" w:customStyle="1" w:styleId="224">
    <w:name w:val="标题 5（有编号）（绿盟科技）"/>
    <w:basedOn w:val="1"/>
    <w:next w:val="1"/>
    <w:qFormat/>
    <w:uiPriority w:val="0"/>
    <w:pPr>
      <w:keepNext/>
      <w:keepLines/>
      <w:tabs>
        <w:tab w:val="left" w:pos="2580"/>
      </w:tabs>
      <w:spacing w:before="280" w:after="156" w:line="377" w:lineRule="auto"/>
      <w:jc w:val="left"/>
      <w:outlineLvl w:val="4"/>
    </w:pPr>
    <w:rPr>
      <w:rFonts w:ascii="Arial" w:hAnsi="Arial" w:eastAsia="黑体" w:cs="Times New Roman"/>
      <w:b/>
      <w:kern w:val="0"/>
      <w:sz w:val="24"/>
      <w:szCs w:val="28"/>
    </w:rPr>
  </w:style>
  <w:style w:type="paragraph" w:customStyle="1" w:styleId="225">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6">
    <w:name w:val="表格标注（绿盟科技）"/>
    <w:basedOn w:val="212"/>
    <w:next w:val="1"/>
    <w:qFormat/>
    <w:uiPriority w:val="0"/>
    <w:pPr>
      <w:tabs>
        <w:tab w:val="left" w:pos="3840"/>
        <w:tab w:val="clear" w:pos="3420"/>
      </w:tabs>
    </w:pPr>
  </w:style>
  <w:style w:type="paragraph" w:customStyle="1" w:styleId="227">
    <w:name w:val="列出段落2"/>
    <w:basedOn w:val="1"/>
    <w:qFormat/>
    <w:uiPriority w:val="34"/>
    <w:pPr>
      <w:autoSpaceDE w:val="0"/>
      <w:autoSpaceDN w:val="0"/>
      <w:adjustRightInd w:val="0"/>
      <w:ind w:firstLine="420" w:firstLineChars="200"/>
    </w:pPr>
    <w:rPr>
      <w:rFonts w:ascii="Times New Roman" w:hAnsi="Times New Roman" w:eastAsia="宋体" w:cs="Times New Roman"/>
      <w:color w:val="000000"/>
      <w:kern w:val="0"/>
      <w:szCs w:val="21"/>
    </w:rPr>
  </w:style>
  <w:style w:type="paragraph" w:customStyle="1" w:styleId="228">
    <w:name w:val="称呼1"/>
    <w:basedOn w:val="1"/>
    <w:next w:val="1"/>
    <w:qFormat/>
    <w:uiPriority w:val="0"/>
    <w:pPr>
      <w:widowControl/>
      <w:adjustRightInd w:val="0"/>
      <w:jc w:val="left"/>
      <w:textAlignment w:val="baseline"/>
    </w:pPr>
    <w:rPr>
      <w:rFonts w:ascii="Arial" w:hAnsi="Arial" w:eastAsia="宋体" w:cs="Times New Roman"/>
      <w:spacing w:val="-5"/>
      <w:kern w:val="0"/>
      <w:sz w:val="24"/>
      <w:szCs w:val="20"/>
    </w:rPr>
  </w:style>
  <w:style w:type="paragraph" w:customStyle="1" w:styleId="229">
    <w:name w:val="Body Text(ch)"/>
    <w:basedOn w:val="1"/>
    <w:next w:val="20"/>
    <w:qFormat/>
    <w:uiPriority w:val="0"/>
    <w:pPr>
      <w:spacing w:line="360" w:lineRule="auto"/>
    </w:pPr>
    <w:rPr>
      <w:rFonts w:ascii="宋体" w:hAnsi="宋体" w:eastAsia="宋体" w:cs="Times New Roman"/>
      <w:sz w:val="24"/>
      <w:szCs w:val="24"/>
    </w:rPr>
  </w:style>
  <w:style w:type="paragraph" w:customStyle="1" w:styleId="230">
    <w:name w:val="2级标题"/>
    <w:basedOn w:val="1"/>
    <w:qFormat/>
    <w:uiPriority w:val="0"/>
    <w:pPr>
      <w:keepLines/>
      <w:tabs>
        <w:tab w:val="left" w:pos="1620"/>
      </w:tabs>
      <w:spacing w:before="240" w:after="120" w:line="360" w:lineRule="auto"/>
      <w:ind w:left="1620" w:hanging="1200"/>
      <w:contextualSpacing/>
      <w:jc w:val="left"/>
      <w:outlineLvl w:val="1"/>
    </w:pPr>
    <w:rPr>
      <w:rFonts w:ascii="黑体" w:hAnsi="黑体" w:eastAsia="黑体" w:cs="Times New Roman"/>
      <w:kern w:val="0"/>
      <w:sz w:val="32"/>
      <w:szCs w:val="36"/>
      <w:lang w:val="zh-CN" w:eastAsia="en-US" w:bidi="en-US"/>
    </w:rPr>
  </w:style>
  <w:style w:type="paragraph" w:customStyle="1" w:styleId="231">
    <w:name w:val="标题 2（绿盟科技）"/>
    <w:basedOn w:val="3"/>
    <w:next w:val="1"/>
    <w:qFormat/>
    <w:uiPriority w:val="0"/>
    <w:pPr>
      <w:tabs>
        <w:tab w:val="left" w:pos="1320"/>
      </w:tabs>
      <w:jc w:val="left"/>
    </w:pPr>
    <w:rPr>
      <w:bCs w:val="0"/>
    </w:rPr>
  </w:style>
  <w:style w:type="paragraph" w:customStyle="1" w:styleId="232">
    <w:name w:val="回信地址"/>
    <w:basedOn w:val="1"/>
    <w:qFormat/>
    <w:uiPriority w:val="0"/>
    <w:pPr>
      <w:keepLines/>
      <w:widowControl/>
      <w:tabs>
        <w:tab w:val="left" w:pos="-18551"/>
      </w:tabs>
      <w:adjustRightInd w:val="0"/>
      <w:spacing w:line="160" w:lineRule="atLeast"/>
      <w:jc w:val="left"/>
      <w:textAlignment w:val="baseline"/>
    </w:pPr>
    <w:rPr>
      <w:rFonts w:ascii="Arial" w:hAnsi="Arial" w:eastAsia="宋体" w:cs="Times New Roman"/>
      <w:kern w:val="0"/>
      <w:sz w:val="18"/>
      <w:szCs w:val="20"/>
    </w:rPr>
  </w:style>
  <w:style w:type="paragraph" w:customStyle="1" w:styleId="233">
    <w:name w:val="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34">
    <w:name w:val="标准正文"/>
    <w:basedOn w:val="1"/>
    <w:qFormat/>
    <w:uiPriority w:val="0"/>
    <w:pPr>
      <w:spacing w:afterLines="50"/>
      <w:ind w:firstLine="200" w:firstLineChars="200"/>
    </w:pPr>
    <w:rPr>
      <w:rFonts w:ascii="Times New Roman" w:hAnsi="Times New Roman" w:eastAsia="宋体" w:cs="Times New Roman"/>
      <w:sz w:val="24"/>
      <w:szCs w:val="21"/>
    </w:rPr>
  </w:style>
  <w:style w:type="paragraph" w:customStyle="1" w:styleId="235">
    <w:name w:val="table text"/>
    <w:basedOn w:val="1"/>
    <w:qFormat/>
    <w:uiPriority w:val="0"/>
    <w:pPr>
      <w:widowControl/>
    </w:pPr>
    <w:rPr>
      <w:rFonts w:ascii="Arial" w:hAnsi="Arial" w:eastAsia="宋体" w:cs="Times New Roman"/>
      <w:bCs/>
      <w:kern w:val="0"/>
      <w:sz w:val="20"/>
      <w:szCs w:val="20"/>
    </w:rPr>
  </w:style>
  <w:style w:type="paragraph" w:customStyle="1" w:styleId="236">
    <w:name w:val="WPS Plain"/>
    <w:qFormat/>
    <w:uiPriority w:val="0"/>
    <w:rPr>
      <w:rFonts w:ascii="Times New Roman" w:hAnsi="Times New Roman" w:eastAsia="宋体" w:cs="Times New Roman"/>
      <w:sz w:val="21"/>
      <w:szCs w:val="22"/>
      <w:lang w:val="en-US" w:eastAsia="zh-CN" w:bidi="ar-SA"/>
    </w:rPr>
  </w:style>
  <w:style w:type="paragraph" w:customStyle="1" w:styleId="237">
    <w:name w:val="普通(网站)11"/>
    <w:basedOn w:val="1"/>
    <w:qFormat/>
    <w:uiPriority w:val="0"/>
    <w:pPr>
      <w:widowControl/>
      <w:spacing w:beforeAutospacing="1" w:afterAutospacing="1"/>
      <w:jc w:val="left"/>
    </w:pPr>
    <w:rPr>
      <w:rFonts w:ascii="宋体" w:hAnsi="宋体" w:eastAsia="宋体" w:cs="Times New Roman"/>
      <w:kern w:val="0"/>
      <w:sz w:val="24"/>
      <w:szCs w:val="24"/>
    </w:rPr>
  </w:style>
  <w:style w:type="paragraph" w:customStyle="1" w:styleId="238">
    <w:name w:val="_Style 48"/>
    <w:basedOn w:val="8"/>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39">
    <w:name w:val="Char2"/>
    <w:basedOn w:val="1"/>
    <w:qFormat/>
    <w:uiPriority w:val="0"/>
    <w:pPr>
      <w:adjustRightInd w:val="0"/>
    </w:pPr>
    <w:rPr>
      <w:rFonts w:ascii="仿宋_GB2312" w:hAnsi="Times New Roman" w:eastAsia="仿宋_GB2312" w:cs="Times New Roman"/>
      <w:b/>
      <w:sz w:val="32"/>
      <w:szCs w:val="32"/>
    </w:rPr>
  </w:style>
  <w:style w:type="character" w:customStyle="1" w:styleId="240">
    <w:name w:val="正文文本缩进 Char1"/>
    <w:basedOn w:val="53"/>
    <w:qFormat/>
    <w:uiPriority w:val="0"/>
  </w:style>
  <w:style w:type="paragraph" w:customStyle="1" w:styleId="241">
    <w:name w:val="Body Text 31"/>
    <w:basedOn w:val="1"/>
    <w:qFormat/>
    <w:uiPriority w:val="0"/>
    <w:pPr>
      <w:autoSpaceDE w:val="0"/>
      <w:autoSpaceDN w:val="0"/>
      <w:adjustRightInd w:val="0"/>
      <w:spacing w:after="120"/>
    </w:pPr>
    <w:rPr>
      <w:rFonts w:ascii="Times New Roman" w:hAnsi="Times New Roman" w:eastAsia="宋体" w:cs="Times New Roman"/>
      <w:color w:val="000000"/>
      <w:kern w:val="0"/>
      <w:sz w:val="16"/>
      <w:szCs w:val="16"/>
    </w:rPr>
  </w:style>
  <w:style w:type="character" w:customStyle="1" w:styleId="242">
    <w:name w:val="副标题 字符"/>
    <w:basedOn w:val="53"/>
    <w:link w:val="35"/>
    <w:qFormat/>
    <w:uiPriority w:val="0"/>
    <w:rPr>
      <w:rFonts w:ascii="Cambria" w:hAnsi="Cambria" w:eastAsia="宋体" w:cs="Times New Roman"/>
      <w:b/>
      <w:bCs/>
      <w:color w:val="000000"/>
      <w:kern w:val="28"/>
      <w:sz w:val="32"/>
      <w:szCs w:val="32"/>
    </w:rPr>
  </w:style>
  <w:style w:type="paragraph" w:customStyle="1" w:styleId="243">
    <w:name w:val="Body Text First Indent 21"/>
    <w:basedOn w:val="244"/>
    <w:qFormat/>
    <w:uiPriority w:val="0"/>
    <w:pPr>
      <w:ind w:firstLine="420"/>
    </w:pPr>
    <w:rPr>
      <w:rFonts w:cs="宋体"/>
    </w:rPr>
  </w:style>
  <w:style w:type="paragraph" w:customStyle="1" w:styleId="244">
    <w:name w:val="Body Text Indent1"/>
    <w:basedOn w:val="1"/>
    <w:next w:val="1"/>
    <w:qFormat/>
    <w:uiPriority w:val="0"/>
    <w:pPr>
      <w:autoSpaceDE w:val="0"/>
      <w:autoSpaceDN w:val="0"/>
      <w:adjustRightInd w:val="0"/>
      <w:spacing w:after="120"/>
      <w:ind w:left="420" w:leftChars="200"/>
    </w:pPr>
    <w:rPr>
      <w:rFonts w:ascii="Times New Roman" w:hAnsi="Times New Roman" w:eastAsia="宋体" w:cs="Times New Roman"/>
      <w:color w:val="000000"/>
      <w:kern w:val="0"/>
      <w:szCs w:val="21"/>
    </w:rPr>
  </w:style>
  <w:style w:type="paragraph" w:customStyle="1" w:styleId="245">
    <w:name w:val="样式 标题 2h2sect 1.2H22nd level2Header 2UNDERRUBRIK 1-2章标题...3"/>
    <w:basedOn w:val="3"/>
    <w:qFormat/>
    <w:uiPriority w:val="0"/>
    <w:pPr>
      <w:tabs>
        <w:tab w:val="left" w:pos="0"/>
        <w:tab w:val="left" w:pos="2268"/>
      </w:tabs>
      <w:spacing w:line="416" w:lineRule="auto"/>
    </w:pPr>
    <w:rPr>
      <w:b w:val="0"/>
      <w:color w:val="auto"/>
    </w:rPr>
  </w:style>
  <w:style w:type="paragraph" w:customStyle="1" w:styleId="246">
    <w:name w:val="样式 标题 2h2sect 1.2H22nd level2Header 2UNDERRUBRIK 1-2章标题..."/>
    <w:basedOn w:val="4"/>
    <w:qFormat/>
    <w:uiPriority w:val="0"/>
    <w:pPr>
      <w:tabs>
        <w:tab w:val="left" w:pos="0"/>
        <w:tab w:val="left" w:pos="2268"/>
      </w:tabs>
      <w:spacing w:before="120" w:after="120" w:line="520" w:lineRule="atLeast"/>
      <w:ind w:left="531" w:leftChars="100" w:hanging="431"/>
    </w:pPr>
    <w:rPr>
      <w:rFonts w:ascii="宋体" w:hAnsi="宋体" w:cs="宋体"/>
      <w:bCs w:val="0"/>
      <w:kern w:val="24"/>
      <w:sz w:val="28"/>
      <w:szCs w:val="20"/>
    </w:rPr>
  </w:style>
  <w:style w:type="paragraph" w:customStyle="1" w:styleId="247">
    <w:name w:val="样式 标题 2h2sect 1.2H22nd level2Header 2UNDERRUBRIK 1-2章标题...2"/>
    <w:basedOn w:val="3"/>
    <w:qFormat/>
    <w:uiPriority w:val="0"/>
    <w:pPr>
      <w:tabs>
        <w:tab w:val="left" w:pos="0"/>
        <w:tab w:val="left" w:pos="2268"/>
      </w:tabs>
      <w:spacing w:line="416" w:lineRule="auto"/>
    </w:pPr>
    <w:rPr>
      <w:rFonts w:ascii="Times New Roman" w:hAnsi="Times New Roman"/>
      <w:b w:val="0"/>
      <w:color w:val="auto"/>
    </w:rPr>
  </w:style>
  <w:style w:type="paragraph" w:customStyle="1" w:styleId="248">
    <w:name w:val="表格文字"/>
    <w:basedOn w:val="1"/>
    <w:next w:val="20"/>
    <w:qFormat/>
    <w:uiPriority w:val="0"/>
    <w:pPr>
      <w:autoSpaceDE w:val="0"/>
      <w:autoSpaceDN w:val="0"/>
      <w:adjustRightInd w:val="0"/>
      <w:spacing w:line="420" w:lineRule="atLeast"/>
      <w:textAlignment w:val="baseline"/>
    </w:pPr>
    <w:rPr>
      <w:rFonts w:ascii="Times New Roman" w:hAnsi="Times New Roman" w:eastAsia="宋体" w:cs="Times New Roman"/>
      <w:color w:val="000000"/>
      <w:kern w:val="0"/>
      <w:szCs w:val="24"/>
    </w:rPr>
  </w:style>
  <w:style w:type="paragraph" w:customStyle="1" w:styleId="24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50">
    <w:name w:val="_Style 2"/>
    <w:qFormat/>
    <w:uiPriority w:val="99"/>
    <w:pPr>
      <w:adjustRightInd w:val="0"/>
      <w:snapToGrid w:val="0"/>
    </w:pPr>
    <w:rPr>
      <w:rFonts w:ascii="Tahoma" w:hAnsi="Tahoma" w:eastAsia="微软雅黑" w:cs="Tahoma"/>
      <w:sz w:val="22"/>
      <w:szCs w:val="22"/>
      <w:lang w:val="en-US" w:eastAsia="zh-CN" w:bidi="ar-SA"/>
    </w:rPr>
  </w:style>
  <w:style w:type="character" w:customStyle="1" w:styleId="251">
    <w:name w:val="font21"/>
    <w:basedOn w:val="53"/>
    <w:qFormat/>
    <w:uiPriority w:val="0"/>
    <w:rPr>
      <w:rFonts w:hint="eastAsia" w:ascii="宋体" w:hAnsi="宋体" w:eastAsia="宋体" w:cs="宋体"/>
      <w:color w:val="000000"/>
      <w:sz w:val="21"/>
      <w:szCs w:val="21"/>
      <w:u w:val="none"/>
    </w:rPr>
  </w:style>
  <w:style w:type="character" w:customStyle="1" w:styleId="252">
    <w:name w:val="font11"/>
    <w:basedOn w:val="53"/>
    <w:qFormat/>
    <w:uiPriority w:val="0"/>
    <w:rPr>
      <w:rFonts w:ascii="Calibri" w:hAnsi="Calibri" w:cs="Calibri"/>
      <w:color w:val="000000"/>
      <w:sz w:val="24"/>
      <w:szCs w:val="24"/>
      <w:u w:val="none"/>
    </w:rPr>
  </w:style>
  <w:style w:type="character" w:customStyle="1" w:styleId="253">
    <w:name w:val="font51"/>
    <w:basedOn w:val="53"/>
    <w:qFormat/>
    <w:uiPriority w:val="0"/>
    <w:rPr>
      <w:rFonts w:hint="eastAsia" w:ascii="宋体" w:hAnsi="宋体" w:eastAsia="宋体" w:cs="宋体"/>
      <w:color w:val="000000"/>
      <w:sz w:val="20"/>
      <w:szCs w:val="20"/>
      <w:u w:val="none"/>
    </w:rPr>
  </w:style>
  <w:style w:type="character" w:customStyle="1" w:styleId="254">
    <w:name w:val="font31"/>
    <w:basedOn w:val="53"/>
    <w:qFormat/>
    <w:uiPriority w:val="0"/>
    <w:rPr>
      <w:rFonts w:hint="eastAsia" w:ascii="宋体" w:hAnsi="宋体" w:eastAsia="宋体" w:cs="宋体"/>
      <w:color w:val="000000"/>
      <w:sz w:val="20"/>
      <w:szCs w:val="20"/>
      <w:u w:val="none"/>
    </w:rPr>
  </w:style>
  <w:style w:type="character" w:customStyle="1" w:styleId="255">
    <w:name w:val="font71"/>
    <w:basedOn w:val="53"/>
    <w:qFormat/>
    <w:uiPriority w:val="0"/>
    <w:rPr>
      <w:rFonts w:hint="default" w:ascii="Times New Roman" w:hAnsi="Times New Roman" w:cs="Times New Roman"/>
      <w:color w:val="000000"/>
      <w:sz w:val="20"/>
      <w:szCs w:val="20"/>
      <w:u w:val="none"/>
    </w:rPr>
  </w:style>
  <w:style w:type="character" w:customStyle="1" w:styleId="256">
    <w:name w:val="font61"/>
    <w:basedOn w:val="53"/>
    <w:qFormat/>
    <w:uiPriority w:val="0"/>
    <w:rPr>
      <w:rFonts w:hint="default" w:ascii="Times New Roman" w:hAnsi="Times New Roman" w:cs="Times New Roman"/>
      <w:color w:val="000000"/>
      <w:sz w:val="20"/>
      <w:szCs w:val="20"/>
      <w:u w:val="none"/>
      <w:vertAlign w:val="superscript"/>
    </w:rPr>
  </w:style>
  <w:style w:type="paragraph" w:customStyle="1" w:styleId="257">
    <w:name w:val="正文文本缩进 31"/>
    <w:basedOn w:val="1"/>
    <w:qFormat/>
    <w:uiPriority w:val="0"/>
    <w:pPr>
      <w:ind w:firstLine="435"/>
    </w:pPr>
    <w:rPr>
      <w:rFonts w:ascii="Times New Roman" w:hAnsi="Times New Roman" w:eastAsia="宋体" w:cs="Times New Roman"/>
      <w:szCs w:val="24"/>
    </w:rPr>
  </w:style>
  <w:style w:type="character" w:customStyle="1" w:styleId="258">
    <w:name w:val="正文文本缩进 字符1"/>
    <w:basedOn w:val="53"/>
    <w:qFormat/>
    <w:uiPriority w:val="0"/>
    <w:rPr>
      <w:rFonts w:ascii="Times New Roman" w:hAnsi="Times New Roman" w:eastAsia="宋体" w:cs="Times New Roman"/>
      <w:color w:val="000000"/>
      <w:kern w:val="0"/>
      <w:szCs w:val="21"/>
    </w:rPr>
  </w:style>
  <w:style w:type="character" w:customStyle="1" w:styleId="259">
    <w:name w:val="脚注文本 字符"/>
    <w:basedOn w:val="53"/>
    <w:link w:val="37"/>
    <w:qFormat/>
    <w:uiPriority w:val="99"/>
    <w:rPr>
      <w:rFonts w:ascii="Times New Roman" w:hAnsi="Times New Roman" w:eastAsia="等线" w:cs="Times New Roman"/>
      <w:color w:val="000000"/>
      <w:kern w:val="1"/>
      <w:sz w:val="18"/>
      <w:szCs w:val="21"/>
    </w:rPr>
  </w:style>
  <w:style w:type="character" w:customStyle="1" w:styleId="260">
    <w:name w:val="NormalCharacter"/>
    <w:qFormat/>
    <w:uiPriority w:val="0"/>
    <w:rPr>
      <w:rFonts w:ascii="Calibri" w:hAnsi="Calibri" w:eastAsia="宋体" w:cs="Times New Roman"/>
      <w:kern w:val="2"/>
      <w:sz w:val="21"/>
      <w:szCs w:val="22"/>
      <w:lang w:val="en-US" w:eastAsia="zh-CN" w:bidi="ar-SA"/>
    </w:rPr>
  </w:style>
  <w:style w:type="paragraph" w:customStyle="1" w:styleId="261">
    <w:name w:val="Table Text"/>
    <w:basedOn w:val="1"/>
    <w:qFormat/>
    <w:uiPriority w:val="99"/>
    <w:pPr>
      <w:widowControl/>
      <w:adjustRightInd w:val="0"/>
      <w:spacing w:before="60" w:after="60"/>
      <w:jc w:val="left"/>
    </w:pPr>
    <w:rPr>
      <w:rFonts w:ascii="Times New Roman" w:hAnsi="Times New Roman" w:eastAsia="宋体" w:cs="Times New Roman"/>
      <w:kern w:val="0"/>
      <w:sz w:val="24"/>
      <w:szCs w:val="20"/>
    </w:rPr>
  </w:style>
  <w:style w:type="table" w:customStyle="1" w:styleId="262">
    <w:name w:val="Table Normal"/>
    <w:unhideWhenUsed/>
    <w:qFormat/>
    <w:uiPriority w:val="0"/>
    <w:rPr>
      <w:rFonts w:ascii="Calibri" w:hAnsi="Calibri"/>
    </w:rPr>
    <w:tblPr>
      <w:tblCellMar>
        <w:top w:w="0" w:type="dxa"/>
        <w:left w:w="0" w:type="dxa"/>
        <w:bottom w:w="0" w:type="dxa"/>
        <w:right w:w="0" w:type="dxa"/>
      </w:tblCellMar>
    </w:tblPr>
  </w:style>
  <w:style w:type="character" w:customStyle="1" w:styleId="263">
    <w:name w:val="标准文本 Char"/>
    <w:link w:val="264"/>
    <w:autoRedefine/>
    <w:qFormat/>
    <w:uiPriority w:val="0"/>
    <w:rPr>
      <w:sz w:val="24"/>
      <w:szCs w:val="24"/>
    </w:rPr>
  </w:style>
  <w:style w:type="paragraph" w:customStyle="1" w:styleId="264">
    <w:name w:val="标准文本"/>
    <w:basedOn w:val="20"/>
    <w:link w:val="263"/>
    <w:autoRedefine/>
    <w:qFormat/>
    <w:uiPriority w:val="0"/>
    <w:pPr>
      <w:spacing w:before="120" w:line="360" w:lineRule="auto"/>
      <w:ind w:left="240" w:leftChars="100" w:firstLine="420"/>
    </w:pPr>
    <w:rPr>
      <w:rFonts w:ascii="Times New Roman" w:hAnsi="Times New Roman" w:eastAsia="宋体" w:cs="Times New Roman"/>
      <w:kern w:val="0"/>
      <w:sz w:val="24"/>
      <w:szCs w:val="24"/>
    </w:rPr>
  </w:style>
  <w:style w:type="paragraph" w:customStyle="1" w:styleId="265">
    <w:name w:val="Char Char Char Char Char Char Char Char Char Char Char Char Char1"/>
    <w:basedOn w:val="1"/>
    <w:qFormat/>
    <w:uiPriority w:val="0"/>
    <w:pPr>
      <w:widowControl/>
      <w:autoSpaceDE w:val="0"/>
      <w:autoSpaceDN w:val="0"/>
      <w:adjustRightInd w:val="0"/>
      <w:spacing w:after="160" w:line="240" w:lineRule="exact"/>
      <w:jc w:val="left"/>
    </w:pPr>
    <w:rPr>
      <w:rFonts w:ascii="Times New Roman" w:hAnsi="Times New Roman" w:eastAsia="宋体" w:cs="Times New Roman"/>
      <w:color w:val="000000"/>
      <w:kern w:val="0"/>
      <w:szCs w:val="21"/>
    </w:rPr>
  </w:style>
  <w:style w:type="paragraph" w:customStyle="1" w:styleId="266">
    <w:name w:val="Char Char Char Char Char Char Char Char Char Char Char Char Char2"/>
    <w:basedOn w:val="1"/>
    <w:qFormat/>
    <w:uiPriority w:val="0"/>
    <w:pPr>
      <w:widowControl/>
      <w:autoSpaceDE w:val="0"/>
      <w:autoSpaceDN w:val="0"/>
      <w:adjustRightInd w:val="0"/>
      <w:spacing w:after="160" w:line="240" w:lineRule="exact"/>
      <w:jc w:val="left"/>
    </w:pPr>
    <w:rPr>
      <w:rFonts w:ascii="Times New Roman" w:hAnsi="Times New Roman" w:eastAsia="宋体" w:cs="Times New Roman"/>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B912-BAE5-43BE-84A6-41606A4BAF7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7994</Words>
  <Characters>8306</Characters>
  <Lines>187</Lines>
  <Paragraphs>166</Paragraphs>
  <TotalTime>4501</TotalTime>
  <ScaleCrop>false</ScaleCrop>
  <LinksUpToDate>false</LinksUpToDate>
  <CharactersWithSpaces>8306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2020-07-09T06:16:00Z</dcterms:created>
  <dc:creator>小蛮 吴</dc:creator>
  <cp:lastModifiedBy>zjxs</cp:lastModifiedBy>
  <dcterms:modified xsi:type="dcterms:W3CDTF">2025-07-03T07:53:51Z</dcterms:modified>
  <cp:revision>1338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3FC3B6E10DC6405DB53622B8E32E43EC</vt:lpwstr>
  </property>
  <property fmtid="{D5CDD505-2E9C-101B-9397-08002B2CF9AE}" pid="4" name="KSOTemplateDocerSaveRecord">
    <vt:lpwstr>eyJoZGlkIjoiNmE2NmViZGVjYWI5MWVlYjJhNzllZjJmZGFkNzNmMzMiLCJ1c2VySWQiOiIyODY2MDMxNTYifQ==</vt:lpwstr>
  </property>
</Properties>
</file>