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 w:val="left" w:pos="420"/>
          <w:tab w:val="center" w:pos="4153"/>
        </w:tabs>
        <w:kinsoku/>
        <w:wordWrap/>
        <w:overflowPunct/>
        <w:topLinePunct w:val="0"/>
        <w:autoSpaceDE w:val="0"/>
        <w:autoSpaceDN w:val="0"/>
        <w:bidi w:val="0"/>
        <w:adjustRightInd w:val="0"/>
        <w:snapToGrid/>
        <w:spacing w:before="0" w:after="0" w:line="560" w:lineRule="exact"/>
        <w:jc w:val="center"/>
        <w:textAlignment w:val="auto"/>
        <w:rPr>
          <w:rFonts w:hint="default" w:ascii="方正小标宋简体" w:hAnsi="方正小标宋简体" w:eastAsia="方正小标宋简体" w:cs="方正小标宋简体"/>
          <w:color w:val="auto"/>
          <w:kern w:val="2"/>
          <w:sz w:val="44"/>
          <w:szCs w:val="44"/>
          <w:vertAlign w:val="baseline"/>
          <w:lang w:val="en-US" w:eastAsia="zh-CN" w:bidi="ar-SA"/>
        </w:rPr>
      </w:pPr>
      <w:r>
        <w:rPr>
          <w:rFonts w:hint="eastAsia" w:ascii="方正小标宋简体" w:hAnsi="方正小标宋简体" w:eastAsia="方正小标宋简体" w:cs="方正小标宋简体"/>
          <w:color w:val="auto"/>
          <w:kern w:val="2"/>
          <w:sz w:val="44"/>
          <w:szCs w:val="44"/>
          <w:vertAlign w:val="baseline"/>
          <w:lang w:val="en-US" w:eastAsia="zh-CN" w:bidi="ar-SA"/>
        </w:rPr>
        <w:t>政府采购意向公开审批表</w:t>
      </w:r>
    </w:p>
    <w:tbl>
      <w:tblPr>
        <w:tblStyle w:val="5"/>
        <w:tblpPr w:leftFromText="180" w:rightFromText="180" w:vertAnchor="text" w:horzAnchor="page" w:tblpX="1827" w:tblpY="878"/>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86"/>
        <w:gridCol w:w="4487"/>
        <w:gridCol w:w="915"/>
        <w:gridCol w:w="85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85" w:type="dxa"/>
            <w:noWrap w:val="0"/>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序号</w:t>
            </w:r>
          </w:p>
        </w:tc>
        <w:tc>
          <w:tcPr>
            <w:tcW w:w="1086" w:type="dxa"/>
            <w:noWrap w:val="0"/>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采购项目</w:t>
            </w:r>
          </w:p>
          <w:p>
            <w:pPr>
              <w:jc w:val="center"/>
              <w:rPr>
                <w:rFonts w:ascii="仿宋" w:hAnsi="仿宋" w:eastAsia="仿宋"/>
                <w:color w:val="auto"/>
                <w:kern w:val="0"/>
                <w:sz w:val="24"/>
                <w:szCs w:val="24"/>
              </w:rPr>
            </w:pPr>
            <w:r>
              <w:rPr>
                <w:rFonts w:hint="eastAsia" w:ascii="仿宋" w:hAnsi="仿宋" w:eastAsia="仿宋"/>
                <w:color w:val="auto"/>
                <w:kern w:val="0"/>
                <w:sz w:val="24"/>
                <w:szCs w:val="24"/>
              </w:rPr>
              <w:t>名称</w:t>
            </w:r>
          </w:p>
        </w:tc>
        <w:tc>
          <w:tcPr>
            <w:tcW w:w="4487" w:type="dxa"/>
            <w:noWrap w:val="0"/>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采购需求概况</w:t>
            </w:r>
          </w:p>
        </w:tc>
        <w:tc>
          <w:tcPr>
            <w:tcW w:w="915" w:type="dxa"/>
            <w:noWrap w:val="0"/>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预算金额</w:t>
            </w:r>
          </w:p>
          <w:p>
            <w:pPr>
              <w:jc w:val="center"/>
              <w:rPr>
                <w:rFonts w:ascii="仿宋" w:hAnsi="仿宋" w:eastAsia="仿宋"/>
                <w:color w:val="auto"/>
                <w:kern w:val="0"/>
                <w:sz w:val="24"/>
                <w:szCs w:val="24"/>
              </w:rPr>
            </w:pPr>
            <w:r>
              <w:rPr>
                <w:rFonts w:hint="eastAsia" w:ascii="仿宋" w:hAnsi="仿宋" w:eastAsia="仿宋"/>
                <w:color w:val="auto"/>
                <w:kern w:val="0"/>
                <w:sz w:val="24"/>
                <w:szCs w:val="24"/>
              </w:rPr>
              <w:t>（</w:t>
            </w:r>
            <w:r>
              <w:rPr>
                <w:rFonts w:hint="eastAsia" w:ascii="仿宋" w:hAnsi="仿宋" w:eastAsia="仿宋"/>
                <w:color w:val="auto"/>
                <w:kern w:val="0"/>
                <w:sz w:val="24"/>
                <w:szCs w:val="24"/>
                <w:lang w:val="en-US" w:eastAsia="zh-CN"/>
              </w:rPr>
              <w:t>万</w:t>
            </w:r>
            <w:r>
              <w:rPr>
                <w:rFonts w:hint="eastAsia" w:ascii="仿宋" w:hAnsi="仿宋" w:eastAsia="仿宋"/>
                <w:color w:val="auto"/>
                <w:kern w:val="0"/>
                <w:sz w:val="24"/>
                <w:szCs w:val="24"/>
              </w:rPr>
              <w:t>元）</w:t>
            </w:r>
          </w:p>
        </w:tc>
        <w:tc>
          <w:tcPr>
            <w:tcW w:w="855" w:type="dxa"/>
            <w:noWrap w:val="0"/>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预计采购时间</w:t>
            </w:r>
          </w:p>
          <w:p>
            <w:pPr>
              <w:jc w:val="center"/>
              <w:rPr>
                <w:rFonts w:ascii="仿宋" w:hAnsi="仿宋" w:eastAsia="仿宋"/>
                <w:color w:val="auto"/>
                <w:kern w:val="0"/>
                <w:sz w:val="24"/>
                <w:szCs w:val="24"/>
              </w:rPr>
            </w:pPr>
            <w:r>
              <w:rPr>
                <w:rFonts w:hint="eastAsia" w:ascii="仿宋" w:hAnsi="仿宋" w:eastAsia="仿宋"/>
                <w:color w:val="auto"/>
                <w:kern w:val="0"/>
                <w:sz w:val="24"/>
                <w:szCs w:val="24"/>
              </w:rPr>
              <w:t>（填写到月）</w:t>
            </w:r>
          </w:p>
        </w:tc>
        <w:tc>
          <w:tcPr>
            <w:tcW w:w="1005" w:type="dxa"/>
            <w:noWrap w:val="0"/>
            <w:vAlign w:val="center"/>
          </w:tcPr>
          <w:p>
            <w:pPr>
              <w:jc w:val="center"/>
              <w:rPr>
                <w:rFonts w:ascii="仿宋" w:hAnsi="仿宋" w:eastAsia="仿宋"/>
                <w:color w:val="auto"/>
                <w:kern w:val="0"/>
                <w:sz w:val="24"/>
                <w:szCs w:val="24"/>
              </w:rPr>
            </w:pPr>
            <w:r>
              <w:rPr>
                <w:rFonts w:hint="eastAsia" w:ascii="仿宋" w:hAnsi="仿宋" w:eastAsia="仿宋"/>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6" w:hRule="atLeast"/>
        </w:trPr>
        <w:tc>
          <w:tcPr>
            <w:tcW w:w="785" w:type="dxa"/>
            <w:noWrap w:val="0"/>
            <w:vAlign w:val="center"/>
          </w:tcPr>
          <w:p>
            <w:pPr>
              <w:ind w:firstLine="240" w:firstLineChars="100"/>
              <w:rPr>
                <w:rFonts w:hint="eastAsia"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1、</w:t>
            </w:r>
          </w:p>
        </w:tc>
        <w:tc>
          <w:tcPr>
            <w:tcW w:w="1086" w:type="dxa"/>
            <w:noWrap w:val="0"/>
            <w:vAlign w:val="center"/>
          </w:tcPr>
          <w:p>
            <w:pPr>
              <w:rPr>
                <w:rFonts w:ascii="仿宋" w:hAnsi="仿宋" w:eastAsia="仿宋"/>
                <w:i/>
                <w:color w:val="auto"/>
                <w:kern w:val="0"/>
                <w:sz w:val="24"/>
                <w:szCs w:val="24"/>
                <w:u w:val="single"/>
              </w:rPr>
            </w:pPr>
            <w:r>
              <w:rPr>
                <w:rFonts w:hint="eastAsia" w:ascii="仿宋" w:hAnsi="仿宋" w:eastAsia="仿宋" w:cs="仿宋"/>
                <w:color w:val="auto"/>
                <w:sz w:val="24"/>
                <w:szCs w:val="24"/>
                <w:lang w:val="en-US" w:eastAsia="zh-CN"/>
              </w:rPr>
              <w:t>西施故里旅游度假区总体规划环境影响评价报告编制</w:t>
            </w:r>
          </w:p>
        </w:tc>
        <w:tc>
          <w:tcPr>
            <w:tcW w:w="4487" w:type="dxa"/>
            <w:noWrap w:val="0"/>
            <w:vAlign w:val="center"/>
          </w:tcPr>
          <w:p>
            <w:pPr>
              <w:keepNext w:val="0"/>
              <w:keepLines w:val="0"/>
              <w:pageBreakBefore w:val="0"/>
              <w:kinsoku/>
              <w:wordWrap/>
              <w:overflowPunct/>
              <w:topLinePunct w:val="0"/>
              <w:autoSpaceDN/>
              <w:bidi w:val="0"/>
              <w:adjustRightInd/>
              <w:snapToGrid/>
              <w:spacing w:beforeAutospacing="0" w:afterAutospacing="0" w:line="400" w:lineRule="exact"/>
              <w:ind w:right="0" w:righ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名称：西施故里省级旅游度假区总体规划环境影响评价报告编制。</w:t>
            </w:r>
          </w:p>
          <w:p>
            <w:pPr>
              <w:keepNext w:val="0"/>
              <w:keepLines w:val="0"/>
              <w:pageBreakBefore w:val="0"/>
              <w:kinsoku/>
              <w:wordWrap/>
              <w:overflowPunct/>
              <w:topLinePunct w:val="0"/>
              <w:autoSpaceDN/>
              <w:bidi w:val="0"/>
              <w:adjustRightInd/>
              <w:snapToGrid/>
              <w:spacing w:beforeAutospacing="0" w:afterAutospacing="0" w:line="400" w:lineRule="exact"/>
              <w:ind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采购需求概况：西施故里省级旅游度假区原规划面积约43平方公里，现调整为约27.5平方公里，涉及五泄、马剑两个镇。根据度假区总体规划审批要求，需对调整后的度假区进行规划环境影响评价工作。</w:t>
            </w:r>
          </w:p>
          <w:p>
            <w:pPr>
              <w:pStyle w:val="2"/>
              <w:ind w:left="0" w:leftChars="0" w:firstLine="0" w:firstLineChars="0"/>
              <w:rPr>
                <w:rFonts w:hint="default"/>
                <w:lang w:val="en-US" w:eastAsia="zh-CN"/>
              </w:rPr>
            </w:pPr>
            <w:r>
              <w:rPr>
                <w:rFonts w:hint="eastAsia" w:ascii="仿宋" w:hAnsi="仿宋" w:eastAsia="仿宋" w:cs="仿宋"/>
                <w:sz w:val="24"/>
                <w:szCs w:val="24"/>
                <w:lang w:val="en-US" w:eastAsia="zh-CN"/>
              </w:rPr>
              <w:t>要求：中标编制单位在签订合同后4个月内完成报告编制；编制单位在编制过程中需自己收集资料甲方不提供；报告需符合总体规划上报审批的标准并及时取得省生态环境厅的批复。</w:t>
            </w:r>
          </w:p>
          <w:p>
            <w:pPr>
              <w:pStyle w:val="2"/>
              <w:rPr>
                <w:rFonts w:hint="default"/>
                <w:lang w:val="en-US" w:eastAsia="zh-CN"/>
              </w:rPr>
            </w:pPr>
          </w:p>
          <w:p>
            <w:pPr>
              <w:pStyle w:val="2"/>
              <w:rPr>
                <w:rFonts w:hint="default"/>
                <w:lang w:val="en-US" w:eastAsia="zh-CN"/>
              </w:rPr>
            </w:pPr>
            <w:r>
              <w:rPr>
                <w:rFonts w:hint="eastAsia" w:ascii="仿宋" w:hAnsi="仿宋" w:eastAsia="仿宋" w:cs="仿宋"/>
                <w:sz w:val="24"/>
                <w:szCs w:val="24"/>
                <w:lang w:val="en-US" w:eastAsia="zh-CN"/>
              </w:rPr>
              <w:t xml:space="preserve"> </w:t>
            </w:r>
          </w:p>
          <w:p>
            <w:pPr>
              <w:rPr>
                <w:rFonts w:ascii="仿宋" w:hAnsi="仿宋" w:eastAsia="仿宋"/>
                <w:i/>
                <w:color w:val="auto"/>
                <w:kern w:val="0"/>
                <w:sz w:val="24"/>
                <w:szCs w:val="24"/>
                <w:u w:val="single"/>
              </w:rPr>
            </w:pPr>
          </w:p>
        </w:tc>
        <w:tc>
          <w:tcPr>
            <w:tcW w:w="915" w:type="dxa"/>
            <w:noWrap w:val="0"/>
            <w:vAlign w:val="center"/>
          </w:tcPr>
          <w:p>
            <w:pPr>
              <w:rPr>
                <w:rFonts w:hint="default" w:ascii="仿宋" w:hAnsi="仿宋" w:eastAsia="仿宋"/>
                <w:i/>
                <w:color w:val="auto"/>
                <w:kern w:val="0"/>
                <w:sz w:val="24"/>
                <w:szCs w:val="24"/>
                <w:u w:val="single"/>
                <w:lang w:val="en-US" w:eastAsia="zh-CN"/>
              </w:rPr>
            </w:pPr>
            <w:r>
              <w:rPr>
                <w:rFonts w:hint="eastAsia" w:ascii="仿宋" w:hAnsi="仿宋" w:eastAsia="仿宋"/>
                <w:i w:val="0"/>
                <w:iCs/>
                <w:color w:val="auto"/>
                <w:kern w:val="0"/>
                <w:sz w:val="24"/>
                <w:szCs w:val="24"/>
                <w:u w:val="single"/>
                <w:lang w:val="en-US" w:eastAsia="zh-CN"/>
              </w:rPr>
              <w:t>50.0</w:t>
            </w:r>
          </w:p>
        </w:tc>
        <w:tc>
          <w:tcPr>
            <w:tcW w:w="855" w:type="dxa"/>
            <w:noWrap w:val="0"/>
            <w:vAlign w:val="center"/>
          </w:tcPr>
          <w:p>
            <w:pPr>
              <w:rPr>
                <w:rFonts w:hint="default" w:ascii="仿宋" w:hAnsi="仿宋" w:eastAsia="仿宋"/>
                <w:i/>
                <w:color w:val="auto"/>
                <w:kern w:val="0"/>
                <w:sz w:val="24"/>
                <w:szCs w:val="24"/>
                <w:u w:val="single"/>
                <w:lang w:val="en-US" w:eastAsia="zh-CN"/>
              </w:rPr>
            </w:pPr>
            <w:r>
              <w:rPr>
                <w:rFonts w:hint="eastAsia" w:ascii="仿宋" w:hAnsi="仿宋" w:eastAsia="仿宋"/>
                <w:i w:val="0"/>
                <w:iCs/>
                <w:color w:val="auto"/>
                <w:kern w:val="0"/>
                <w:sz w:val="24"/>
                <w:szCs w:val="24"/>
                <w:u w:val="single"/>
                <w:lang w:val="en-US" w:eastAsia="zh-CN"/>
              </w:rPr>
              <w:t>2023年1月</w:t>
            </w:r>
          </w:p>
        </w:tc>
        <w:tc>
          <w:tcPr>
            <w:tcW w:w="1005" w:type="dxa"/>
            <w:noWrap w:val="0"/>
            <w:vAlign w:val="center"/>
          </w:tcPr>
          <w:p>
            <w:pPr>
              <w:rPr>
                <w:rFonts w:hint="default" w:ascii="仿宋" w:hAnsi="仿宋" w:eastAsia="仿宋"/>
                <w:i/>
                <w:color w:val="auto"/>
                <w:kern w:val="0"/>
                <w:sz w:val="24"/>
                <w:szCs w:val="24"/>
                <w:u w:val="single"/>
                <w:lang w:val="en-US"/>
              </w:rPr>
            </w:pPr>
            <w:r>
              <w:rPr>
                <w:rFonts w:hint="eastAsia" w:ascii="仿宋" w:hAnsi="仿宋" w:eastAsia="仿宋"/>
                <w:i w:val="0"/>
                <w:iCs/>
                <w:color w:val="auto"/>
                <w:kern w:val="0"/>
                <w:sz w:val="24"/>
                <w:szCs w:val="24"/>
                <w:u w:val="single"/>
                <w:lang w:eastAsia="zh-CN"/>
              </w:rPr>
              <w:t>联系人：</w:t>
            </w:r>
            <w:r>
              <w:rPr>
                <w:rFonts w:hint="eastAsia" w:ascii="仿宋" w:hAnsi="仿宋" w:eastAsia="仿宋"/>
                <w:i w:val="0"/>
                <w:iCs/>
                <w:color w:val="auto"/>
                <w:kern w:val="0"/>
                <w:sz w:val="24"/>
                <w:szCs w:val="24"/>
                <w:u w:val="single"/>
                <w:lang w:val="en-US" w:eastAsia="zh-CN"/>
              </w:rPr>
              <w:t>胡连军</w:t>
            </w:r>
            <w:r>
              <w:rPr>
                <w:rFonts w:hint="eastAsia" w:ascii="仿宋" w:hAnsi="仿宋" w:eastAsia="仿宋"/>
                <w:i w:val="0"/>
                <w:iCs/>
                <w:color w:val="auto"/>
                <w:kern w:val="0"/>
                <w:sz w:val="24"/>
                <w:szCs w:val="24"/>
                <w:u w:val="single"/>
                <w:lang w:eastAsia="zh-CN"/>
              </w:rPr>
              <w:t>，联系方式：</w:t>
            </w:r>
            <w:r>
              <w:rPr>
                <w:rFonts w:hint="eastAsia" w:ascii="仿宋" w:hAnsi="仿宋" w:eastAsia="仿宋"/>
                <w:i w:val="0"/>
                <w:iCs/>
                <w:color w:val="auto"/>
                <w:kern w:val="0"/>
                <w:sz w:val="24"/>
                <w:szCs w:val="24"/>
                <w:u w:val="single"/>
                <w:lang w:val="en-US" w:eastAsia="zh-CN"/>
              </w:rPr>
              <w:t>13777305016。</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3114E"/>
    <w:rsid w:val="00C56C9E"/>
    <w:rsid w:val="40DC4FF8"/>
    <w:rsid w:val="42D3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after="312" w:afterLines="100" w:line="560" w:lineRule="exact"/>
      <w:jc w:val="center"/>
      <w:outlineLvl w:val="0"/>
    </w:pPr>
    <w:rPr>
      <w:rFonts w:eastAsia="方正小标宋简体"/>
      <w:kern w:val="44"/>
      <w:sz w:val="4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2022-11-28T08:06:00Z</dcterms:created>
  <dc:creator>user</dc:creator>
  <cp:lastModifiedBy>user</cp:lastModifiedBy>
  <dcterms:modified xsi:type="dcterms:W3CDTF">2022-11-29T02:10:43Z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7257D6B0EA744A448C9770E807054F76</vt:lpwstr>
  </property>
</Properties>
</file>