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jc w:val="center"/>
        <w:rPr>
          <w:rFonts w:hint="eastAsia" w:ascii="宋体" w:hAnsi="宋体" w:eastAsia="宋体" w:cs="宋体"/>
          <w:bCs w:val="0"/>
          <w:kern w:val="2"/>
          <w:sz w:val="44"/>
          <w:szCs w:val="44"/>
          <w:lang w:eastAsia="zh-CN"/>
        </w:rPr>
      </w:pPr>
      <w:bookmarkStart w:id="0" w:name="_Toc71626308"/>
      <w:r>
        <w:rPr>
          <w:rFonts w:hint="eastAsia" w:ascii="宋体" w:hAnsi="宋体" w:eastAsia="宋体" w:cs="宋体"/>
          <w:bCs w:val="0"/>
          <w:kern w:val="2"/>
          <w:sz w:val="44"/>
          <w:szCs w:val="44"/>
          <w:lang w:eastAsia="zh-CN"/>
        </w:rPr>
        <w:t>诸暨市第五人民医院</w:t>
      </w:r>
      <w:bookmarkEnd w:id="0"/>
    </w:p>
    <w:p>
      <w:pPr>
        <w:pStyle w:val="2"/>
        <w:numPr>
          <w:ilvl w:val="0"/>
          <w:numId w:val="0"/>
        </w:numPr>
        <w:spacing w:line="360" w:lineRule="auto"/>
        <w:jc w:val="center"/>
        <w:rPr>
          <w:rFonts w:hint="eastAsia"/>
          <w:lang w:eastAsia="zh-CN"/>
        </w:rPr>
      </w:pPr>
      <w:r>
        <w:rPr>
          <w:rFonts w:hint="eastAsia" w:ascii="仿宋" w:hAnsi="仿宋" w:eastAsia="仿宋"/>
          <w:bCs w:val="0"/>
          <w:kern w:val="2"/>
          <w:sz w:val="36"/>
          <w:szCs w:val="36"/>
          <w:lang w:eastAsia="zh-CN"/>
        </w:rPr>
        <w:t>信息化项目建设方案及预算</w:t>
      </w:r>
    </w:p>
    <w:p>
      <w:pPr>
        <w:numPr>
          <w:ilvl w:val="0"/>
          <w:numId w:val="0"/>
        </w:numPr>
        <w:spacing w:line="360" w:lineRule="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一、项目需求功能说明</w:t>
      </w:r>
    </w:p>
    <w:p>
      <w:pPr>
        <w:numPr>
          <w:ilvl w:val="0"/>
          <w:numId w:val="4"/>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检查预约系统</w:t>
      </w:r>
    </w:p>
    <w:p>
      <w:pPr>
        <w:numPr>
          <w:ilvl w:val="0"/>
          <w:numId w:val="0"/>
        </w:numPr>
        <w:spacing w:line="360" w:lineRule="auto"/>
        <w:ind w:firstLine="480" w:firstLineChars="200"/>
        <w:rPr>
          <w:rFonts w:hint="eastAsia" w:ascii="宋体" w:hAnsi="宋体" w:eastAsia="宋体" w:cs="宋体"/>
          <w:i w:val="0"/>
          <w:iCs w:val="0"/>
          <w:caps w:val="0"/>
          <w:color w:val="383838"/>
          <w:spacing w:val="0"/>
          <w:kern w:val="0"/>
          <w:sz w:val="24"/>
          <w:szCs w:val="24"/>
          <w:vertAlign w:val="baseline"/>
          <w:lang w:val="en-US" w:eastAsia="zh-CN" w:bidi="ar"/>
        </w:rPr>
      </w:pPr>
      <w:r>
        <w:rPr>
          <w:rFonts w:hint="eastAsia" w:ascii="宋体" w:hAnsi="宋体" w:eastAsia="宋体" w:cs="宋体"/>
          <w:i w:val="0"/>
          <w:iCs w:val="0"/>
          <w:caps w:val="0"/>
          <w:color w:val="383838"/>
          <w:spacing w:val="0"/>
          <w:kern w:val="0"/>
          <w:sz w:val="24"/>
          <w:szCs w:val="24"/>
          <w:vertAlign w:val="baseline"/>
          <w:lang w:val="en-US" w:eastAsia="zh-CN" w:bidi="ar"/>
        </w:rPr>
        <w:t>预约基础业务数据维护模块；预约科室配置、检查类型维护、预约项目维护、预约项目对应预约描述、项目提示配置、病区组合、人员排班配置、用户人员相关配置等；门诊预约模块、病区预约模块、预约单打印及补打模块、预约修改和取消模块、查询统计功能模块等。</w:t>
      </w:r>
    </w:p>
    <w:p>
      <w:pPr>
        <w:numPr>
          <w:ilvl w:val="0"/>
          <w:numId w:val="0"/>
        </w:numPr>
        <w:rPr>
          <w:rFonts w:hint="eastAsia" w:ascii="宋体" w:hAnsi="宋体" w:eastAsia="宋体" w:cs="宋体"/>
          <w:i w:val="0"/>
          <w:iCs w:val="0"/>
          <w:caps w:val="0"/>
          <w:color w:val="383838"/>
          <w:spacing w:val="0"/>
          <w:kern w:val="0"/>
          <w:sz w:val="24"/>
          <w:szCs w:val="24"/>
          <w:vertAlign w:val="baseline"/>
          <w:lang w:val="en-US" w:eastAsia="zh-CN" w:bidi="ar"/>
        </w:rPr>
      </w:pPr>
    </w:p>
    <w:p>
      <w:pPr>
        <w:numPr>
          <w:ilvl w:val="0"/>
          <w:numId w:val="4"/>
        </w:numPr>
        <w:ind w:left="0" w:leftChars="0" w:firstLine="0" w:firstLineChars="0"/>
        <w:rPr>
          <w:rFonts w:hint="eastAsia" w:ascii="宋体" w:hAnsi="宋体" w:eastAsia="宋体" w:cs="宋体"/>
          <w:b/>
          <w:bCs/>
          <w:i w:val="0"/>
          <w:iCs w:val="0"/>
          <w:caps w:val="0"/>
          <w:color w:val="auto"/>
          <w:spacing w:val="0"/>
          <w:kern w:val="0"/>
          <w:sz w:val="30"/>
          <w:szCs w:val="30"/>
          <w:vertAlign w:val="baseline"/>
          <w:lang w:val="en-US" w:eastAsia="zh-CN" w:bidi="ar"/>
        </w:rPr>
      </w:pPr>
      <w:r>
        <w:rPr>
          <w:rFonts w:hint="eastAsia" w:ascii="宋体" w:hAnsi="宋体" w:eastAsia="宋体" w:cs="宋体"/>
          <w:b/>
          <w:bCs/>
          <w:i w:val="0"/>
          <w:iCs w:val="0"/>
          <w:caps w:val="0"/>
          <w:color w:val="auto"/>
          <w:spacing w:val="0"/>
          <w:kern w:val="0"/>
          <w:sz w:val="30"/>
          <w:szCs w:val="30"/>
          <w:vertAlign w:val="baseline"/>
          <w:lang w:val="en-US" w:eastAsia="zh-CN" w:bidi="ar"/>
        </w:rPr>
        <w:t>临床路径管理系统</w:t>
      </w:r>
    </w:p>
    <w:p>
      <w:pPr>
        <w:pStyle w:val="3"/>
        <w:rPr>
          <w:rFonts w:ascii="宋体" w:hAnsi="宋体" w:eastAsia="宋体"/>
          <w:iCs w:val="0"/>
          <w:color w:val="000000"/>
          <w:sz w:val="24"/>
          <w:szCs w:val="24"/>
          <w:lang w:val="en-US"/>
        </w:rPr>
      </w:pPr>
      <w:bookmarkStart w:id="1" w:name="_Toc71626321"/>
      <w:r>
        <w:rPr>
          <w:rFonts w:ascii="宋体" w:hAnsi="宋体" w:eastAsia="宋体"/>
          <w:iCs w:val="0"/>
          <w:color w:val="000000"/>
          <w:sz w:val="24"/>
          <w:szCs w:val="24"/>
          <w:lang w:val="en-US"/>
        </w:rPr>
        <w:t>2</w:t>
      </w:r>
      <w:r>
        <w:rPr>
          <w:rFonts w:hint="eastAsia" w:ascii="宋体" w:hAnsi="宋体" w:eastAsia="宋体"/>
          <w:iCs w:val="0"/>
          <w:color w:val="000000"/>
          <w:sz w:val="24"/>
          <w:szCs w:val="24"/>
          <w:lang w:val="en-US"/>
        </w:rPr>
        <w:t>.</w:t>
      </w:r>
      <w:r>
        <w:rPr>
          <w:rFonts w:ascii="宋体" w:hAnsi="宋体" w:eastAsia="宋体"/>
          <w:iCs w:val="0"/>
          <w:color w:val="000000"/>
          <w:sz w:val="24"/>
          <w:szCs w:val="24"/>
          <w:lang w:val="en-US"/>
        </w:rPr>
        <w:t>1</w:t>
      </w:r>
      <w:r>
        <w:rPr>
          <w:rFonts w:hint="eastAsia" w:ascii="宋体" w:hAnsi="宋体" w:eastAsia="宋体"/>
          <w:iCs w:val="0"/>
          <w:color w:val="000000"/>
          <w:sz w:val="24"/>
          <w:szCs w:val="24"/>
          <w:lang w:val="en-US"/>
        </w:rPr>
        <w:t>临床路径主业务</w:t>
      </w:r>
      <w:bookmarkEnd w:id="1"/>
    </w:p>
    <w:p>
      <w:pPr>
        <w:pStyle w:val="10"/>
        <w:ind w:firstLine="480" w:firstLineChars="200"/>
      </w:pPr>
      <w:r>
        <w:rPr>
          <w:rFonts w:hint="eastAsia"/>
        </w:rPr>
        <w:t>临床路径信息系统构建在</w:t>
      </w:r>
      <w:r>
        <w:t>CPOE/ETO/EMR</w:t>
      </w:r>
      <w:r>
        <w:rPr>
          <w:rFonts w:hint="eastAsia"/>
        </w:rPr>
        <w:t>之上，在完成路径计划工作的同时完成相关的“诊疗工作”“重点医嘱”“书写病历”等工作，实现了通过计算机干预的诊疗流程标准化的管理，达到了缩短患者住院天数，降低医疗成本，提高医疗质量、减少医疗纠纷，提高服务质量和患者满意度的目标。</w:t>
      </w:r>
    </w:p>
    <w:p>
      <w:pPr>
        <w:pStyle w:val="3"/>
        <w:rPr>
          <w:rFonts w:ascii="宋体" w:hAnsi="宋体" w:eastAsia="宋体"/>
          <w:iCs w:val="0"/>
          <w:color w:val="000000"/>
          <w:sz w:val="24"/>
          <w:szCs w:val="24"/>
          <w:lang w:val="en-US"/>
        </w:rPr>
      </w:pPr>
      <w:bookmarkStart w:id="2" w:name="_Toc71626322"/>
      <w:r>
        <w:rPr>
          <w:rFonts w:ascii="宋体" w:hAnsi="宋体" w:eastAsia="宋体"/>
          <w:iCs w:val="0"/>
          <w:color w:val="000000"/>
          <w:sz w:val="24"/>
          <w:szCs w:val="24"/>
          <w:lang w:val="en-US"/>
        </w:rPr>
        <w:t>2</w:t>
      </w:r>
      <w:r>
        <w:rPr>
          <w:rFonts w:hint="eastAsia" w:ascii="宋体" w:hAnsi="宋体" w:eastAsia="宋体"/>
          <w:iCs w:val="0"/>
          <w:color w:val="000000"/>
          <w:sz w:val="24"/>
          <w:szCs w:val="24"/>
          <w:lang w:val="en-US"/>
        </w:rPr>
        <w:t>.</w:t>
      </w:r>
      <w:r>
        <w:rPr>
          <w:rFonts w:ascii="宋体" w:hAnsi="宋体" w:eastAsia="宋体"/>
          <w:iCs w:val="0"/>
          <w:color w:val="000000"/>
          <w:sz w:val="24"/>
          <w:szCs w:val="24"/>
          <w:lang w:val="en-US"/>
        </w:rPr>
        <w:t>2</w:t>
      </w:r>
      <w:r>
        <w:rPr>
          <w:rFonts w:hint="eastAsia" w:ascii="宋体" w:hAnsi="宋体" w:eastAsia="宋体"/>
          <w:iCs w:val="0"/>
          <w:color w:val="000000"/>
          <w:sz w:val="24"/>
          <w:szCs w:val="24"/>
          <w:lang w:val="en-US"/>
        </w:rPr>
        <w:t>专家配置管理</w:t>
      </w:r>
      <w:bookmarkEnd w:id="2"/>
    </w:p>
    <w:p>
      <w:pPr>
        <w:pStyle w:val="10"/>
        <w:ind w:firstLine="480" w:firstLineChars="200"/>
        <w:rPr>
          <w:rFonts w:hint="eastAsia"/>
        </w:rPr>
      </w:pPr>
      <w:r>
        <w:rPr>
          <w:rFonts w:hint="eastAsia"/>
        </w:rPr>
        <w:t>利用系统专家配置引擎可以灵活选择病种的诊疗特点及治疗的流程，灵活配置各种诊疗活动的标准流程、标准时间、标准住院日（手术前标准住院日、手术后标准住院日和总住院日；化疗前标准住院日，化疗后标准住院日和总住院日；针对一些内科病种无需确定手术日），对每一个病种的标准用药项目、标准检查检验项目和治疗措施项目进行配置设定。统一医院在疾病治疗过程的核心标准，减少人为因素造成不合理使用药品和医疗失误，避免医疗差错的发生。由专家定义临床路径中的备用项目、等效项目，当临床执行时，出现这些项目时或有可替换的等效项目，如药品，可以直接利用而不产生不必要的项目变异，提高临床路径的有效应用率。</w:t>
      </w:r>
    </w:p>
    <w:p>
      <w:pPr>
        <w:pStyle w:val="3"/>
        <w:rPr>
          <w:rFonts w:ascii="宋体" w:hAnsi="宋体" w:eastAsia="宋体"/>
          <w:iCs w:val="0"/>
          <w:color w:val="000000"/>
          <w:sz w:val="24"/>
          <w:szCs w:val="24"/>
          <w:lang w:val="en-US"/>
        </w:rPr>
      </w:pPr>
      <w:bookmarkStart w:id="3" w:name="_Toc71626323"/>
      <w:r>
        <w:rPr>
          <w:rFonts w:ascii="宋体" w:hAnsi="宋体" w:eastAsia="宋体"/>
          <w:iCs w:val="0"/>
          <w:color w:val="000000"/>
          <w:sz w:val="24"/>
          <w:szCs w:val="24"/>
          <w:lang w:val="en-US"/>
        </w:rPr>
        <w:t>2</w:t>
      </w:r>
      <w:r>
        <w:rPr>
          <w:rFonts w:hint="eastAsia" w:ascii="宋体" w:hAnsi="宋体" w:eastAsia="宋体"/>
          <w:iCs w:val="0"/>
          <w:color w:val="000000"/>
          <w:sz w:val="24"/>
          <w:szCs w:val="24"/>
          <w:lang w:val="en-US"/>
        </w:rPr>
        <w:t>.</w:t>
      </w:r>
      <w:r>
        <w:rPr>
          <w:rFonts w:ascii="宋体" w:hAnsi="宋体" w:eastAsia="宋体"/>
          <w:iCs w:val="0"/>
          <w:color w:val="000000"/>
          <w:sz w:val="24"/>
          <w:szCs w:val="24"/>
          <w:lang w:val="en-US"/>
        </w:rPr>
        <w:t>3</w:t>
      </w:r>
      <w:r>
        <w:rPr>
          <w:rFonts w:hint="eastAsia" w:ascii="宋体" w:hAnsi="宋体" w:eastAsia="宋体"/>
          <w:iCs w:val="0"/>
          <w:color w:val="000000"/>
          <w:sz w:val="24"/>
          <w:szCs w:val="24"/>
          <w:lang w:val="en-US"/>
        </w:rPr>
        <w:t>临床路径执行</w:t>
      </w:r>
      <w:bookmarkEnd w:id="3"/>
    </w:p>
    <w:p>
      <w:pPr>
        <w:pStyle w:val="10"/>
        <w:ind w:firstLine="480" w:firstLineChars="200"/>
        <w:rPr>
          <w:rFonts w:hint="eastAsia"/>
        </w:rPr>
      </w:pPr>
      <w:r>
        <w:rPr>
          <w:rFonts w:hint="eastAsia"/>
        </w:rPr>
        <w:t>临床路径管理系统通过嵌入住院医生工作站、病区护士站等业务系统，根据预设的标准流程对医护人员的诊疗工作进行规范和干预，实现疾病治疗及护理过程中的标准流程。在规定时间内没有完成相应的诊疗护理工作或医护人员自主修改预设诊疗工作，系统将发出“预警”信号，并要求医护人员提交“原因”，以备查考。其中包括入径导入、转换路径、调整路径、删除路径、发生变异、执行监控等操作。病人进入路径后，医生、护士执行路径，护士为患者打印《患者临床路径告知单》，通过告知患者或家属住院期间每天的诊疗事项，让患者或家属了解病人计划的诊疗过程。临床路径定义的医嘱项目会自动在医嘱界面自动生成，如：药品医嘱，诊疗医嘱，嘱托等，自动生成检验检查申请单。临床路径执行结束，完成路径时，病区护士打印《临床路径患者满意度调查表》，对患者进行临床路径执行过程的效果、满意度进行调查、备案，用于后期的路径应用效果管理。</w:t>
      </w:r>
    </w:p>
    <w:p>
      <w:pPr>
        <w:pStyle w:val="3"/>
        <w:rPr>
          <w:rFonts w:ascii="宋体" w:hAnsi="宋体" w:eastAsia="宋体"/>
          <w:iCs w:val="0"/>
          <w:color w:val="000000"/>
          <w:sz w:val="24"/>
          <w:szCs w:val="24"/>
          <w:lang w:val="en-US"/>
        </w:rPr>
      </w:pPr>
      <w:r>
        <w:rPr>
          <w:rFonts w:ascii="宋体" w:hAnsi="宋体" w:eastAsia="宋体"/>
          <w:iCs w:val="0"/>
          <w:color w:val="000000"/>
          <w:sz w:val="24"/>
          <w:szCs w:val="24"/>
          <w:lang w:val="en-US"/>
        </w:rPr>
        <w:t>2</w:t>
      </w:r>
      <w:r>
        <w:rPr>
          <w:rFonts w:hint="eastAsia" w:ascii="宋体" w:hAnsi="宋体" w:eastAsia="宋体"/>
          <w:iCs w:val="0"/>
          <w:color w:val="000000"/>
          <w:sz w:val="24"/>
          <w:szCs w:val="24"/>
          <w:lang w:val="en-US"/>
        </w:rPr>
        <w:t>.</w:t>
      </w:r>
      <w:r>
        <w:rPr>
          <w:rFonts w:ascii="宋体" w:hAnsi="宋体" w:eastAsia="宋体"/>
          <w:iCs w:val="0"/>
          <w:color w:val="000000"/>
          <w:sz w:val="24"/>
          <w:szCs w:val="24"/>
          <w:lang w:val="en-US"/>
        </w:rPr>
        <w:t>4</w:t>
      </w:r>
      <w:r>
        <w:rPr>
          <w:rFonts w:hint="eastAsia" w:ascii="宋体" w:hAnsi="宋体" w:eastAsia="宋体"/>
          <w:iCs w:val="0"/>
          <w:color w:val="000000"/>
          <w:sz w:val="24"/>
          <w:szCs w:val="24"/>
          <w:lang w:val="en-US"/>
        </w:rPr>
        <w:t>统计查询</w:t>
      </w:r>
    </w:p>
    <w:p>
      <w:pPr>
        <w:pStyle w:val="10"/>
        <w:ind w:firstLine="480" w:firstLineChars="200"/>
        <w:rPr>
          <w:rFonts w:hint="eastAsia" w:eastAsia="宋体"/>
          <w:lang w:val="en-US" w:eastAsia="zh-CN"/>
        </w:rPr>
      </w:pPr>
      <w:r>
        <w:rPr>
          <w:rFonts w:hint="eastAsia"/>
        </w:rPr>
        <w:t>所有患者入径信息及变异信息将实时传递给相应的医院管理部门，管理者除可浏览所有入径患者信息外，可对“标准路径”以外的变异诊疗行为进行必要的评估分析和干预。变异信息可根据分析需要进行分类统计，管理部门通过系统可进行工作效率评价、医疗质量评价、经济指标评价等</w:t>
      </w:r>
      <w:r>
        <w:rPr>
          <w:rFonts w:hint="eastAsia"/>
          <w:lang w:eastAsia="zh-CN"/>
        </w:rPr>
        <w:t>。</w:t>
      </w:r>
    </w:p>
    <w:p>
      <w:pPr>
        <w:numPr>
          <w:ilvl w:val="0"/>
          <w:numId w:val="0"/>
        </w:numPr>
        <w:ind w:leftChars="0"/>
        <w:rPr>
          <w:rFonts w:hint="eastAsia" w:ascii="宋体" w:hAnsi="宋体" w:eastAsia="宋体" w:cs="宋体"/>
          <w:b/>
          <w:bCs/>
          <w:i w:val="0"/>
          <w:iCs w:val="0"/>
          <w:caps w:val="0"/>
          <w:color w:val="auto"/>
          <w:spacing w:val="0"/>
          <w:kern w:val="0"/>
          <w:sz w:val="30"/>
          <w:szCs w:val="30"/>
          <w:vertAlign w:val="baseline"/>
          <w:lang w:val="en-US" w:eastAsia="zh-CN" w:bidi="ar"/>
        </w:rPr>
      </w:pPr>
    </w:p>
    <w:p>
      <w:pPr>
        <w:rPr>
          <w:rFonts w:hint="eastAsia"/>
          <w:lang w:val="en-US"/>
        </w:rPr>
      </w:pPr>
    </w:p>
    <w:p>
      <w:pPr>
        <w:pStyle w:val="2"/>
        <w:numPr>
          <w:ilvl w:val="0"/>
          <w:numId w:val="0"/>
        </w:numPr>
        <w:spacing w:before="0" w:after="0" w:line="240" w:lineRule="auto"/>
        <w:ind w:leftChars="0"/>
        <w:jc w:val="left"/>
        <w:rPr>
          <w:rFonts w:hint="eastAsia"/>
          <w:lang w:eastAsia="zh-CN"/>
        </w:rPr>
      </w:pPr>
      <w:bookmarkStart w:id="4" w:name="_Toc71626325"/>
      <w:r>
        <w:rPr>
          <w:rFonts w:hint="eastAsia" w:ascii="宋体" w:hAnsi="宋体" w:cs="宋体"/>
          <w:bCs w:val="0"/>
          <w:kern w:val="2"/>
          <w:sz w:val="30"/>
          <w:szCs w:val="30"/>
          <w:lang w:val="en-US" w:eastAsia="zh-CN"/>
        </w:rPr>
        <w:t>3、</w:t>
      </w:r>
      <w:r>
        <w:rPr>
          <w:rFonts w:hint="eastAsia" w:ascii="宋体" w:hAnsi="宋体" w:eastAsia="宋体" w:cs="宋体"/>
          <w:bCs w:val="0"/>
          <w:kern w:val="2"/>
          <w:sz w:val="30"/>
          <w:szCs w:val="30"/>
          <w:lang w:eastAsia="zh-CN"/>
        </w:rPr>
        <w:t>合理用药管理系统</w:t>
      </w:r>
      <w:bookmarkEnd w:id="4"/>
    </w:p>
    <w:p>
      <w:pPr>
        <w:pStyle w:val="3"/>
        <w:rPr>
          <w:rFonts w:ascii="宋体" w:hAnsi="宋体" w:eastAsia="宋体"/>
          <w:iCs w:val="0"/>
          <w:color w:val="000000"/>
          <w:sz w:val="24"/>
          <w:szCs w:val="24"/>
          <w:lang w:val="en-US"/>
        </w:rPr>
      </w:pPr>
      <w:r>
        <w:rPr>
          <w:rFonts w:ascii="宋体" w:hAnsi="宋体" w:eastAsia="宋体"/>
          <w:iCs w:val="0"/>
          <w:color w:val="000000"/>
          <w:sz w:val="24"/>
          <w:szCs w:val="24"/>
          <w:lang w:val="en-US"/>
        </w:rPr>
        <w:t>3.1</w:t>
      </w:r>
      <w:r>
        <w:rPr>
          <w:rFonts w:hint="eastAsia" w:ascii="宋体" w:hAnsi="宋体" w:eastAsia="宋体"/>
          <w:iCs w:val="0"/>
          <w:color w:val="000000"/>
          <w:sz w:val="24"/>
          <w:szCs w:val="24"/>
          <w:lang w:val="en-US"/>
        </w:rPr>
        <w:t>临床用药干预功能</w:t>
      </w:r>
    </w:p>
    <w:p>
      <w:pPr>
        <w:pStyle w:val="10"/>
        <w:ind w:firstLine="480" w:firstLineChars="200"/>
      </w:pPr>
      <w:r>
        <w:rPr>
          <w:rFonts w:hint="eastAsia"/>
        </w:rPr>
        <w:t>用药适宜性在线干预功能：逸曜处方软件系统依据国家有关法律法规及药品使用说明书、中国药典、临床用药须知等建立药品规则知识库，能够实现对临床用药适宜性、规范性审查，对临床用药的处方/医嘱过程进行实时干预，防止不合理、不适宜问题的发生。</w:t>
      </w:r>
    </w:p>
    <w:p>
      <w:pPr>
        <w:pStyle w:val="10"/>
        <w:ind w:firstLine="480" w:firstLineChars="200"/>
      </w:pPr>
      <w:r>
        <w:rPr>
          <w:rFonts w:hint="eastAsia"/>
        </w:rPr>
        <w:t>按医生用药权限干预功能：在逸曜处方点评软件系统知识库中通过对临床医生的用药权限管理规则的设定，实现用药权限的干预功能。</w:t>
      </w:r>
    </w:p>
    <w:p>
      <w:pPr>
        <w:pStyle w:val="10"/>
        <w:ind w:firstLine="480" w:firstLineChars="200"/>
        <w:rPr>
          <w:rFonts w:hint="eastAsia"/>
        </w:rPr>
      </w:pPr>
      <w:r>
        <w:rPr>
          <w:rFonts w:hint="eastAsia"/>
        </w:rPr>
        <w:t>超说明书管理干预功能：根据药事管理要求，通过对符合诊疗指南的超说明书用药判断逻辑自定义，进行自定义规则设定维护，能够实现临床超说明书用药干预管理功能。</w:t>
      </w:r>
    </w:p>
    <w:p>
      <w:pPr>
        <w:pStyle w:val="3"/>
        <w:rPr>
          <w:rFonts w:hint="eastAsia" w:ascii="宋体" w:hAnsi="宋体" w:eastAsia="宋体"/>
          <w:iCs w:val="0"/>
          <w:color w:val="000000"/>
          <w:sz w:val="24"/>
          <w:szCs w:val="24"/>
          <w:lang w:val="en-US"/>
        </w:rPr>
      </w:pPr>
      <w:r>
        <w:rPr>
          <w:rFonts w:ascii="宋体" w:hAnsi="宋体" w:eastAsia="宋体"/>
          <w:iCs w:val="0"/>
          <w:color w:val="000000"/>
          <w:sz w:val="24"/>
          <w:szCs w:val="24"/>
          <w:lang w:val="en-US"/>
        </w:rPr>
        <w:t>3.2</w:t>
      </w:r>
      <w:r>
        <w:rPr>
          <w:rFonts w:hint="eastAsia" w:ascii="宋体" w:hAnsi="宋体" w:eastAsia="宋体"/>
          <w:iCs w:val="0"/>
          <w:color w:val="000000"/>
          <w:sz w:val="24"/>
          <w:szCs w:val="24"/>
          <w:lang w:val="en-US"/>
        </w:rPr>
        <w:t>合理用药评价标准管理功能</w:t>
      </w:r>
    </w:p>
    <w:p>
      <w:pPr>
        <w:pStyle w:val="10"/>
        <w:ind w:firstLine="480" w:firstLineChars="200"/>
      </w:pPr>
      <w:r>
        <w:rPr>
          <w:rFonts w:hint="eastAsia"/>
        </w:rPr>
        <w:t>合理用药管理系统规则知识库中药品点评规则逻辑流程图清晰可视，所有流程图用自然语言进行表达，使得非计算机软件人员亦可进行个性化规则定制。</w:t>
      </w:r>
    </w:p>
    <w:p>
      <w:pPr>
        <w:pStyle w:val="10"/>
      </w:pPr>
      <w:r>
        <w:rPr>
          <w:rFonts w:hint="eastAsia"/>
        </w:rPr>
        <w:t>合理用药管理系统具备强大点评规则知识库，知识库相关点评规则根据国家、浙江省阳光用药相关文件规定定制，能够完成抗菌药物占药品使用比例、抗菌药物使用频次强度、静脉输液处方比例、不适宜处方比例、超常处方比例、中药注射剂使用比例等项目的分析统计。</w:t>
      </w:r>
    </w:p>
    <w:p>
      <w:pPr>
        <w:pStyle w:val="10"/>
        <w:ind w:firstLine="480" w:firstLineChars="200"/>
      </w:pPr>
      <w:r>
        <w:rPr>
          <w:rFonts w:hint="eastAsia"/>
        </w:rPr>
        <w:t>合理用药管理系统根据知识库可实现用药适宜性评价；过敏性判断；哺乳、孕产判断；配伍禁忌判断；相互作用判断；诊断与用药相符性判断；给药途径判断；肝功能不全的用药合理性判断；肾功能不全的用药合理性判断；给药频率、给药剂量的合理性判断；治疗医嘱与用药合理性判断；手术与用药合理性判断；年龄与用药合理性判断；重复用药判断。</w:t>
      </w:r>
    </w:p>
    <w:p>
      <w:pPr>
        <w:pStyle w:val="10"/>
        <w:ind w:firstLine="480" w:firstLineChars="200"/>
        <w:rPr>
          <w:rFonts w:hint="eastAsia"/>
        </w:rPr>
      </w:pPr>
      <w:r>
        <w:rPr>
          <w:rFonts w:hint="eastAsia"/>
        </w:rPr>
        <w:t>合理用药管理系统实现合理性评价标准自定义管理；支持医院警示信息审查管理；支持医院符合诊疗指南的超说明书用药判断逻辑自定义；支持医院用药特殊管理要求的自定义；支持医院用药规范性管理逻辑的自定义；支持各用药环节合理性干预效果评估。</w:t>
      </w:r>
    </w:p>
    <w:p>
      <w:pPr>
        <w:pStyle w:val="3"/>
        <w:rPr>
          <w:rFonts w:hint="eastAsia" w:ascii="宋体" w:hAnsi="宋体" w:eastAsia="宋体"/>
          <w:iCs w:val="0"/>
          <w:color w:val="000000"/>
          <w:sz w:val="24"/>
          <w:szCs w:val="24"/>
          <w:lang w:val="en-US"/>
        </w:rPr>
      </w:pPr>
      <w:r>
        <w:rPr>
          <w:rFonts w:ascii="宋体" w:hAnsi="宋体" w:eastAsia="宋体"/>
          <w:iCs w:val="0"/>
          <w:color w:val="000000"/>
          <w:sz w:val="24"/>
          <w:szCs w:val="24"/>
          <w:lang w:val="en-US"/>
        </w:rPr>
        <w:t>3.3</w:t>
      </w:r>
      <w:r>
        <w:rPr>
          <w:rFonts w:hint="eastAsia" w:ascii="宋体" w:hAnsi="宋体" w:eastAsia="宋体"/>
          <w:iCs w:val="0"/>
          <w:color w:val="000000"/>
          <w:sz w:val="24"/>
          <w:szCs w:val="24"/>
          <w:lang w:val="en-US"/>
        </w:rPr>
        <w:t>处方集中点评功能</w:t>
      </w:r>
    </w:p>
    <w:p>
      <w:pPr>
        <w:pStyle w:val="10"/>
        <w:ind w:firstLine="480" w:firstLineChars="200"/>
      </w:pPr>
      <w:r>
        <w:rPr>
          <w:rFonts w:hint="eastAsia"/>
        </w:rPr>
        <w:t>合理用药管理系统应能根据卫生行政部门对于处方点评的要求，进行门/急诊处方点评。系统应能按照用户配置（是否抗菌药物、时间段、抽取数、抽取方式等）自动抽相应的处方并进行软件审查后，供药事管理人员进行审核点评。</w:t>
      </w:r>
    </w:p>
    <w:p>
      <w:pPr>
        <w:pStyle w:val="10"/>
        <w:ind w:firstLine="480" w:firstLineChars="200"/>
      </w:pPr>
      <w:r>
        <w:rPr>
          <w:rFonts w:hint="eastAsia"/>
        </w:rPr>
        <w:t>合理用药管理系统能实现用药合理性审查，并具有临床用药警示审核分级功能。</w:t>
      </w:r>
    </w:p>
    <w:p>
      <w:pPr>
        <w:pStyle w:val="10"/>
        <w:ind w:firstLine="480" w:firstLineChars="200"/>
        <w:rPr>
          <w:rFonts w:hint="eastAsia"/>
        </w:rPr>
      </w:pPr>
      <w:r>
        <w:rPr>
          <w:rFonts w:hint="eastAsia"/>
        </w:rPr>
        <w:t>合理用药管理系统具有处方规范性点评功能和处方适宜性点评功能。</w:t>
      </w:r>
    </w:p>
    <w:p>
      <w:pPr>
        <w:pStyle w:val="10"/>
        <w:ind w:firstLine="480" w:firstLineChars="200"/>
      </w:pPr>
      <w:r>
        <w:rPr>
          <w:rFonts w:hint="eastAsia"/>
        </w:rPr>
        <w:t>合理用药管理系统具有抗菌药物大处方点评功能和重复用药大处方点评功能。</w:t>
      </w:r>
    </w:p>
    <w:p>
      <w:pPr>
        <w:pStyle w:val="10"/>
        <w:ind w:firstLine="480" w:firstLineChars="200"/>
      </w:pPr>
      <w:r>
        <w:rPr>
          <w:rFonts w:hint="eastAsia"/>
        </w:rPr>
        <w:t>合理用药管理系统应提供出院病人的医嘱用药分析结果供临床药学人员进行审核查看。</w:t>
      </w:r>
    </w:p>
    <w:p>
      <w:pPr>
        <w:pStyle w:val="10"/>
        <w:rPr>
          <w:rFonts w:hint="eastAsia"/>
        </w:rPr>
      </w:pPr>
    </w:p>
    <w:p>
      <w:pPr>
        <w:pStyle w:val="3"/>
        <w:rPr>
          <w:rFonts w:hint="eastAsia" w:ascii="宋体" w:hAnsi="宋体" w:eastAsia="宋体"/>
          <w:iCs w:val="0"/>
          <w:color w:val="000000"/>
          <w:sz w:val="24"/>
          <w:szCs w:val="24"/>
          <w:lang w:val="en-US"/>
        </w:rPr>
      </w:pPr>
      <w:r>
        <w:rPr>
          <w:rFonts w:ascii="宋体" w:hAnsi="宋体" w:eastAsia="宋体"/>
          <w:iCs w:val="0"/>
          <w:color w:val="000000"/>
          <w:sz w:val="24"/>
          <w:szCs w:val="24"/>
          <w:lang w:val="en-US"/>
        </w:rPr>
        <w:t>3.4</w:t>
      </w:r>
      <w:r>
        <w:rPr>
          <w:rFonts w:hint="eastAsia" w:ascii="宋体" w:hAnsi="宋体" w:eastAsia="宋体"/>
          <w:iCs w:val="0"/>
          <w:color w:val="000000"/>
          <w:sz w:val="24"/>
          <w:szCs w:val="24"/>
          <w:lang w:val="en-US"/>
        </w:rPr>
        <w:t>医院分析报表功能</w:t>
      </w:r>
    </w:p>
    <w:p>
      <w:pPr>
        <w:pStyle w:val="10"/>
        <w:ind w:firstLine="480" w:firstLineChars="200"/>
      </w:pPr>
      <w:r>
        <w:rPr>
          <w:rFonts w:hint="eastAsia"/>
        </w:rPr>
        <w:t>合理用药管理系统可按药理类别进行用药合理性、使用率及使用金额、使用强度统计及追踪分析；可按照药理分类逐级深入进行以抗菌药物为主的的用药合理性、使用频次、使用金额、使用强度（DDDs）等进行分析。</w:t>
      </w:r>
    </w:p>
    <w:p>
      <w:pPr>
        <w:pStyle w:val="10"/>
        <w:ind w:firstLine="480" w:firstLineChars="200"/>
      </w:pPr>
      <w:r>
        <w:rPr>
          <w:rFonts w:hint="eastAsia"/>
        </w:rPr>
        <w:t>逸曜合理用药管理系统可对临床科室用药合理性、用量及使用金额统计及追踪分析；可按不同的科室进行分别统计，包括不规范处方数量/比例、不适宜处方数量/比例、超常处方数量/比例、药品使用金额等进行分析，同时可自定义相应统计分析项目，实现不同时间的动态变化分析。</w:t>
      </w:r>
    </w:p>
    <w:p>
      <w:pPr>
        <w:pStyle w:val="10"/>
        <w:ind w:firstLine="480" w:firstLineChars="200"/>
        <w:rPr>
          <w:rFonts w:hint="eastAsia"/>
        </w:rPr>
      </w:pPr>
      <w:r>
        <w:rPr>
          <w:rFonts w:hint="eastAsia"/>
        </w:rPr>
        <w:t>合理用药管理系统可对临床科室的国家、省级基本药物使用金额、使用比例统计及追踪分析；可按不同的科室进行分别统计，包括国家、省级基本药物使用金额、使用比例等进行分析，可实现不同时间的动态变化分析。</w:t>
      </w:r>
    </w:p>
    <w:p>
      <w:pPr>
        <w:pStyle w:val="3"/>
        <w:rPr>
          <w:rFonts w:ascii="宋体" w:hAnsi="宋体" w:eastAsia="宋体"/>
          <w:iCs w:val="0"/>
          <w:color w:val="000000"/>
          <w:sz w:val="24"/>
          <w:szCs w:val="24"/>
          <w:lang w:val="en-US"/>
        </w:rPr>
      </w:pPr>
      <w:r>
        <w:rPr>
          <w:rFonts w:ascii="宋体" w:hAnsi="宋体" w:eastAsia="宋体"/>
          <w:iCs w:val="0"/>
          <w:color w:val="000000"/>
          <w:sz w:val="24"/>
          <w:szCs w:val="24"/>
          <w:lang w:val="en-US"/>
        </w:rPr>
        <w:t>3.5</w:t>
      </w:r>
      <w:r>
        <w:rPr>
          <w:rFonts w:hint="eastAsia" w:ascii="宋体" w:hAnsi="宋体" w:eastAsia="宋体"/>
          <w:iCs w:val="0"/>
          <w:color w:val="000000"/>
          <w:sz w:val="24"/>
          <w:szCs w:val="24"/>
          <w:lang w:val="en-US"/>
        </w:rPr>
        <w:t>行政汇总分析报表功能</w:t>
      </w:r>
    </w:p>
    <w:p>
      <w:pPr>
        <w:pStyle w:val="10"/>
        <w:ind w:firstLine="480" w:firstLineChars="200"/>
      </w:pPr>
      <w:r>
        <w:rPr>
          <w:rFonts w:hint="eastAsia"/>
        </w:rPr>
        <w:t>合理用药管理系统可实现基本药物使用评价，即提供按医院的基本用药使用率分析报表。</w:t>
      </w:r>
    </w:p>
    <w:p>
      <w:pPr>
        <w:pStyle w:val="10"/>
        <w:ind w:firstLine="480" w:firstLineChars="200"/>
      </w:pPr>
      <w:r>
        <w:rPr>
          <w:rFonts w:hint="eastAsia"/>
        </w:rPr>
        <w:t>合理用药管理系统可实现药品使用评价：即提供按医院的门诊药品使用分析，包括抗菌药物使用处方、人次分析、门诊注射给药情况分析、门诊基本用药使用情况分析报表。</w:t>
      </w:r>
    </w:p>
    <w:p>
      <w:pPr>
        <w:pStyle w:val="10"/>
        <w:ind w:firstLine="480" w:firstLineChars="200"/>
      </w:pPr>
      <w:r>
        <w:rPr>
          <w:rFonts w:hint="eastAsia"/>
        </w:rPr>
        <w:t>合理用药管理系统可实现住院药品使用评价：即提供全院的住院出院患者药品使用情况分析，包括住院病人抗菌药物使用率、住院抗菌药物使用强度（DDDs）。</w:t>
      </w:r>
    </w:p>
    <w:p>
      <w:pPr>
        <w:pStyle w:val="10"/>
      </w:pPr>
      <w:r>
        <w:rPr>
          <w:rFonts w:hint="eastAsia"/>
        </w:rPr>
        <w:t>合理用药管理系统可实现针对专项评价事项进行处方汇总分析评价：包括抗菌药物使用情况评价，注射剂药品使用情况评价，中药饮片使用情况评价，中药注射剂使用情况评价，门诊特殊级抗菌药物使用情况评价等功能。</w:t>
      </w:r>
    </w:p>
    <w:p>
      <w:pPr>
        <w:rPr>
          <w:rFonts w:hint="eastAsia" w:ascii="宋体" w:hAnsi="宋体" w:eastAsia="宋体" w:cs="宋体"/>
          <w:iCs w:val="0"/>
          <w:color w:val="000000"/>
          <w:sz w:val="24"/>
          <w:szCs w:val="24"/>
          <w:lang w:val="en-US" w:eastAsia="zh-CN"/>
        </w:rPr>
      </w:pPr>
    </w:p>
    <w:p>
      <w:pPr>
        <w:pStyle w:val="2"/>
        <w:numPr>
          <w:ilvl w:val="0"/>
          <w:numId w:val="0"/>
        </w:numPr>
        <w:spacing w:before="0" w:after="0" w:line="240" w:lineRule="auto"/>
        <w:ind w:leftChars="0"/>
        <w:jc w:val="left"/>
        <w:rPr>
          <w:rFonts w:hint="eastAsia" w:ascii="宋体" w:hAnsi="宋体" w:eastAsia="宋体" w:cs="宋体"/>
          <w:bCs w:val="0"/>
          <w:kern w:val="2"/>
          <w:sz w:val="32"/>
          <w:szCs w:val="32"/>
          <w:lang w:eastAsia="zh-CN"/>
        </w:rPr>
      </w:pPr>
      <w:bookmarkStart w:id="5" w:name="_Toc71626331"/>
      <w:r>
        <w:rPr>
          <w:rFonts w:hint="eastAsia" w:ascii="宋体" w:hAnsi="宋体" w:cs="宋体"/>
          <w:bCs w:val="0"/>
          <w:kern w:val="2"/>
          <w:sz w:val="32"/>
          <w:szCs w:val="32"/>
          <w:lang w:val="en-US" w:eastAsia="zh-CN"/>
        </w:rPr>
        <w:t>4、</w:t>
      </w:r>
      <w:r>
        <w:rPr>
          <w:rFonts w:hint="eastAsia" w:ascii="宋体" w:hAnsi="宋体" w:eastAsia="宋体" w:cs="宋体"/>
          <w:bCs w:val="0"/>
          <w:kern w:val="2"/>
          <w:sz w:val="32"/>
          <w:szCs w:val="32"/>
          <w:lang w:eastAsia="zh-CN"/>
        </w:rPr>
        <w:t>医院感染管理系统</w:t>
      </w:r>
      <w:bookmarkEnd w:id="5"/>
    </w:p>
    <w:p>
      <w:pPr>
        <w:pStyle w:val="3"/>
        <w:rPr>
          <w:rFonts w:hint="eastAsia" w:ascii="宋体" w:hAnsi="宋体" w:eastAsia="宋体" w:cs="宋体"/>
          <w:sz w:val="24"/>
          <w:szCs w:val="24"/>
        </w:rPr>
      </w:pPr>
      <w:bookmarkStart w:id="6" w:name="_Toc71626332"/>
      <w:r>
        <w:rPr>
          <w:rFonts w:hint="eastAsia" w:ascii="宋体" w:hAnsi="宋体" w:eastAsia="宋体" w:cs="宋体"/>
          <w:sz w:val="24"/>
          <w:szCs w:val="24"/>
        </w:rPr>
        <w:t>4.1具体功能模块内容</w:t>
      </w:r>
      <w:bookmarkEnd w:id="6"/>
    </w:p>
    <w:tbl>
      <w:tblPr>
        <w:tblStyle w:val="8"/>
        <w:tblW w:w="54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00"/>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top"/>
          </w:tcPr>
          <w:p>
            <w:pPr>
              <w:tabs>
                <w:tab w:val="left" w:pos="0"/>
              </w:tabs>
              <w:ind w:left="210" w:leftChars="100"/>
              <w:rPr>
                <w:rFonts w:ascii="等线" w:hAnsi="等线" w:eastAsia="等线"/>
                <w:szCs w:val="21"/>
              </w:rPr>
            </w:pPr>
            <w:r>
              <w:rPr>
                <w:rFonts w:hint="eastAsia" w:ascii="等线" w:hAnsi="等线" w:eastAsia="等线"/>
                <w:szCs w:val="21"/>
              </w:rPr>
              <w:t>序号</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系统模块</w:t>
            </w:r>
          </w:p>
        </w:tc>
        <w:tc>
          <w:tcPr>
            <w:tcW w:w="3705" w:type="pct"/>
            <w:shd w:val="clear" w:color="auto" w:fill="auto"/>
            <w:noWrap w:val="0"/>
            <w:vAlign w:val="center"/>
          </w:tcPr>
          <w:p>
            <w:pPr>
              <w:tabs>
                <w:tab w:val="left" w:pos="0"/>
              </w:tabs>
              <w:ind w:left="210" w:leftChars="100"/>
              <w:jc w:val="center"/>
              <w:rPr>
                <w:rFonts w:ascii="等线" w:hAnsi="等线" w:eastAsia="等线"/>
                <w:szCs w:val="21"/>
              </w:rPr>
            </w:pPr>
            <w:r>
              <w:rPr>
                <w:rFonts w:hint="eastAsia" w:ascii="等线" w:hAnsi="等线" w:eastAsia="等线"/>
                <w:szCs w:val="21"/>
              </w:rPr>
              <w:t>功能要求及说明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一</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感染数据集成引擎</w:t>
            </w:r>
          </w:p>
        </w:tc>
        <w:tc>
          <w:tcPr>
            <w:tcW w:w="3705" w:type="pct"/>
            <w:shd w:val="clear" w:color="auto" w:fill="auto"/>
            <w:noWrap w:val="0"/>
            <w:vAlign w:val="center"/>
          </w:tcPr>
          <w:p>
            <w:pPr>
              <w:tabs>
                <w:tab w:val="left" w:pos="0"/>
              </w:tabs>
              <w:ind w:right="-36" w:rightChars="-17" w:firstLine="420" w:firstLineChars="200"/>
              <w:jc w:val="left"/>
              <w:rPr>
                <w:rFonts w:ascii="等线" w:hAnsi="等线" w:eastAsia="等线"/>
                <w:szCs w:val="21"/>
              </w:rPr>
            </w:pPr>
            <w:r>
              <w:rPr>
                <w:rFonts w:hint="eastAsia" w:ascii="等线" w:hAnsi="等线" w:eastAsia="等线"/>
                <w:szCs w:val="21"/>
              </w:rPr>
              <w:t>感染数据集成引擎提供可视化、可配置的拖拽图示的接口配置功能。引擎支持多种通信协议，包括TCP、Web Service、HTTP、FTP等，支持医院信息互联互通标准化的消息协议。院感系统可接入医院集成平台，通过医院集成平台完成院感相关数据交互。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二</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感染管理系统</w:t>
            </w:r>
          </w:p>
        </w:tc>
        <w:tc>
          <w:tcPr>
            <w:tcW w:w="3705" w:type="pct"/>
            <w:shd w:val="clear" w:color="auto" w:fill="auto"/>
            <w:noWrap w:val="0"/>
            <w:vAlign w:val="center"/>
          </w:tcPr>
          <w:p>
            <w:pPr>
              <w:tabs>
                <w:tab w:val="left" w:pos="0"/>
              </w:tabs>
              <w:ind w:firstLine="420" w:firstLineChars="200"/>
              <w:jc w:val="left"/>
              <w:rPr>
                <w:rFonts w:ascii="等线" w:hAnsi="等线" w:eastAsia="等线"/>
                <w:szCs w:val="21"/>
              </w:rPr>
            </w:pPr>
            <w:r>
              <w:rPr>
                <w:rFonts w:hint="eastAsia" w:ascii="等线" w:hAnsi="等线" w:eastAsia="等线"/>
                <w:szCs w:val="21"/>
              </w:rPr>
              <w:t>针对医疗过程中发生的感染相关情况进行监测预警、排除与确认上报、分析和反馈，对手术、ICU等重点人群进行综合监测和目标监测。具备院感数据采集、感染自动筛查、感染上报与审核、感染知识库管理、感染干预反馈、院内感染监测、院内感染指标分析、环境卫生监测、医务人员职业防护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2.1</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院感数据采集</w:t>
            </w:r>
          </w:p>
        </w:tc>
        <w:tc>
          <w:tcPr>
            <w:tcW w:w="3705" w:type="pct"/>
            <w:shd w:val="clear" w:color="auto" w:fill="auto"/>
            <w:noWrap w:val="0"/>
            <w:vAlign w:val="top"/>
          </w:tcPr>
          <w:p>
            <w:pPr>
              <w:numPr>
                <w:ilvl w:val="0"/>
                <w:numId w:val="5"/>
              </w:numPr>
              <w:ind w:left="0" w:firstLine="426"/>
              <w:rPr>
                <w:rFonts w:ascii="等线" w:hAnsi="等线" w:eastAsia="等线"/>
                <w:szCs w:val="21"/>
              </w:rPr>
            </w:pPr>
            <w:r>
              <w:rPr>
                <w:rFonts w:hint="eastAsia" w:ascii="等线" w:hAnsi="等线" w:eastAsia="等线"/>
                <w:szCs w:val="21"/>
              </w:rPr>
              <w:t>院感数据采集获取医院所有患者院感相关的临床数据， 采集数据包括患者基本信息，入出院信息，转科信息，医嘱信息，检验报告，检查报告，病程记录，护理文书，手术信息等，院感采集功能会实时获取医院的相关数据，数据进过筛选，清洗，作为疑似病历筛选和监测的重要依据。</w:t>
            </w:r>
          </w:p>
          <w:p>
            <w:pPr>
              <w:numPr>
                <w:ilvl w:val="0"/>
                <w:numId w:val="5"/>
              </w:numPr>
              <w:ind w:left="0" w:firstLine="426"/>
              <w:rPr>
                <w:rFonts w:ascii="等线" w:hAnsi="等线" w:eastAsia="等线"/>
                <w:szCs w:val="21"/>
              </w:rPr>
            </w:pPr>
            <w:r>
              <w:rPr>
                <w:rFonts w:hint="eastAsia" w:ascii="等线" w:hAnsi="等线" w:eastAsia="等线"/>
                <w:szCs w:val="21"/>
              </w:rPr>
              <w:t>主动获取时可自定义获取的时间点，每日获取次数。增量抽取数据，增加数据采集速度效率</w:t>
            </w:r>
          </w:p>
          <w:p>
            <w:pPr>
              <w:numPr>
                <w:ilvl w:val="0"/>
                <w:numId w:val="5"/>
              </w:numPr>
              <w:ind w:left="0" w:firstLine="426"/>
              <w:rPr>
                <w:rFonts w:ascii="等线" w:hAnsi="等线" w:eastAsia="等线"/>
                <w:szCs w:val="21"/>
              </w:rPr>
            </w:pPr>
            <w:r>
              <w:rPr>
                <w:rFonts w:hint="eastAsia" w:ascii="等线" w:hAnsi="等线" w:eastAsia="等线"/>
                <w:szCs w:val="21"/>
              </w:rPr>
              <w:t>数据采集有详细的日期记录，对于错误有明确的错误提示，方便快捷定位。</w:t>
            </w:r>
          </w:p>
          <w:p>
            <w:pPr>
              <w:numPr>
                <w:ilvl w:val="0"/>
                <w:numId w:val="5"/>
              </w:numPr>
              <w:ind w:left="0" w:firstLine="426"/>
              <w:rPr>
                <w:rFonts w:ascii="等线" w:hAnsi="等线" w:eastAsia="等线"/>
                <w:szCs w:val="21"/>
              </w:rPr>
            </w:pPr>
            <w:r>
              <w:rPr>
                <w:rFonts w:hint="eastAsia" w:ascii="等线" w:hAnsi="等线" w:eastAsia="等线"/>
                <w:szCs w:val="21"/>
              </w:rPr>
              <w:t>定时获取医院科室，病区，职工等基础数据，确保与HIS系统中一致。</w:t>
            </w:r>
          </w:p>
          <w:p>
            <w:pPr>
              <w:numPr>
                <w:ilvl w:val="0"/>
                <w:numId w:val="5"/>
              </w:numPr>
              <w:ind w:left="0" w:firstLine="426"/>
              <w:rPr>
                <w:rFonts w:ascii="等线" w:hAnsi="等线" w:eastAsia="等线"/>
                <w:szCs w:val="21"/>
              </w:rPr>
            </w:pPr>
            <w:r>
              <w:rPr>
                <w:rFonts w:hint="eastAsia" w:ascii="等线" w:hAnsi="等线" w:eastAsia="等线"/>
                <w:szCs w:val="21"/>
              </w:rPr>
              <w:t>功能约束（应包括但不仅限于以下功能）：采集参数设置、采集接口设置、自动采集服务、手工采集、采集日志记录。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2.2</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感染自动筛查</w:t>
            </w:r>
          </w:p>
        </w:tc>
        <w:tc>
          <w:tcPr>
            <w:tcW w:w="3705" w:type="pct"/>
            <w:shd w:val="clear" w:color="auto" w:fill="auto"/>
            <w:noWrap w:val="0"/>
            <w:vAlign w:val="top"/>
          </w:tcPr>
          <w:p>
            <w:pPr>
              <w:pStyle w:val="12"/>
              <w:numPr>
                <w:ilvl w:val="0"/>
                <w:numId w:val="5"/>
              </w:numPr>
              <w:ind w:left="0" w:firstLine="495" w:firstLineChars="236"/>
              <w:rPr>
                <w:rFonts w:ascii="等线" w:hAnsi="等线" w:eastAsia="等线"/>
                <w:sz w:val="21"/>
                <w:szCs w:val="21"/>
              </w:rPr>
            </w:pPr>
            <w:r>
              <w:rPr>
                <w:rFonts w:hint="eastAsia" w:ascii="等线" w:hAnsi="等线" w:eastAsia="等线" w:cs="Times New Roman"/>
                <w:kern w:val="2"/>
                <w:sz w:val="21"/>
                <w:szCs w:val="21"/>
              </w:rPr>
              <w:t>结合医院个性化需求制定疑似病历自动筛选策略</w:t>
            </w:r>
            <w:r>
              <w:rPr>
                <w:rFonts w:hint="eastAsia" w:ascii="等线" w:hAnsi="等线" w:eastAsia="等线"/>
                <w:sz w:val="21"/>
                <w:szCs w:val="21"/>
              </w:rPr>
              <w:t>，自动检测全院患者，对每一个入院患者进行全流程监控，监测数据包含基本信息，临床诊断，病程记录，抗菌药物，细菌学监测，药敏监测，三管操作，常规检查，手术等。根据感染数据自动生成疑似医院感染病例预警，记录预警的诊断，原因，预警时间，血常规异常，插管等因素。病例监测中根据角色区分权限，系统自动判断院感科医生登录时可查询全院所有科室的疑似感染信息；临床医生登录时可查询本科、本组、本人患者的所有疑似信息；以表格形式展示病人已处理及未处理的疑似预警列表，数据不因病人出院，转科等情况消失。</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疑似病例能自动检测多重耐药菌患者，并且给与预警</w:t>
            </w:r>
          </w:p>
          <w:p>
            <w:pPr>
              <w:pStyle w:val="12"/>
              <w:numPr>
                <w:ilvl w:val="0"/>
                <w:numId w:val="5"/>
              </w:numPr>
              <w:ind w:left="0" w:firstLine="495" w:firstLineChars="236"/>
              <w:rPr>
                <w:rFonts w:ascii="等线" w:hAnsi="等线" w:eastAsia="等线"/>
                <w:sz w:val="21"/>
                <w:szCs w:val="21"/>
              </w:rPr>
            </w:pPr>
            <w:r>
              <w:rPr>
                <w:rFonts w:hint="eastAsia" w:ascii="等线" w:hAnsi="等线" w:eastAsia="等线" w:cs="Times New Roman"/>
                <w:kern w:val="2"/>
                <w:sz w:val="21"/>
                <w:szCs w:val="21"/>
              </w:rPr>
              <w:t>系统</w:t>
            </w:r>
            <w:r>
              <w:rPr>
                <w:rFonts w:hint="eastAsia" w:ascii="等线" w:hAnsi="等线" w:eastAsia="等线"/>
                <w:sz w:val="21"/>
                <w:szCs w:val="21"/>
              </w:rPr>
              <w:t>中点击任意患者病案号即可查看病人集成视图，主要包括病人用药、手术、转科、病原体检验、常规检验、检查、病程、感染信息、干预信息等院感所关注的患者相关数据。</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感染要素时序图展示感染要素时序图，以天为单位图形化展示患者入院到出院整个住院过程中感染相关危险因素的变化情况 。</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增量式预警，对于重复出现的致病菌不再重复预警。</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临床系统对接，院感系统可以与临床系统无缝对接，在临床系统中完成疑似患者提醒，医生院感上报。</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功能约束（应包括但不仅限于以下功能）：病例监测筛查、I</w:t>
            </w:r>
            <w:r>
              <w:rPr>
                <w:rFonts w:ascii="等线" w:hAnsi="等线" w:eastAsia="等线"/>
                <w:sz w:val="21"/>
                <w:szCs w:val="21"/>
              </w:rPr>
              <w:t>CU</w:t>
            </w:r>
            <w:r>
              <w:rPr>
                <w:rFonts w:hint="eastAsia" w:ascii="等线" w:hAnsi="等线" w:eastAsia="等线"/>
                <w:sz w:val="21"/>
                <w:szCs w:val="21"/>
              </w:rPr>
              <w:t>监测筛查、临床病情登记评定筛查、新生儿监测筛查、手术监测筛查、细菌耐药性监测筛查、病人3</w:t>
            </w:r>
            <w:r>
              <w:rPr>
                <w:rFonts w:ascii="等线" w:hAnsi="等线" w:eastAsia="等线"/>
                <w:sz w:val="21"/>
                <w:szCs w:val="21"/>
              </w:rPr>
              <w:t>60</w:t>
            </w:r>
            <w:r>
              <w:rPr>
                <w:rFonts w:hint="eastAsia" w:ascii="等线" w:hAnsi="等线" w:eastAsia="等线"/>
                <w:sz w:val="21"/>
                <w:szCs w:val="21"/>
              </w:rPr>
              <w:t>视图、感染时序图。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2.3</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感染上报与审核</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根据感染自动筛选生成的疑似预警信息，用户可以上报，排除，但是不能删除。已排除，已上报，未处理的用不同颜色区分。医生可以针对疑似预警显示的数据，对病人感染进行判读并上报操作，对于未自动筛选的感染也可主动上报。</w:t>
            </w:r>
          </w:p>
          <w:p>
            <w:pPr>
              <w:ind w:firstLine="420" w:firstLineChars="200"/>
              <w:rPr>
                <w:rFonts w:ascii="等线" w:hAnsi="等线" w:eastAsia="等线"/>
                <w:szCs w:val="21"/>
              </w:rPr>
            </w:pPr>
            <w:r>
              <w:rPr>
                <w:rFonts w:hint="eastAsia" w:ascii="等线" w:hAnsi="等线" w:eastAsia="等线"/>
                <w:szCs w:val="21"/>
              </w:rPr>
              <w:t>医生上报时需要填写感染诊断，病原菌，易感因素，感染时间等感染相关信息。患者可能同时生成抗菌药物，发热，细菌等多种疑似信息，如果疑似信息都与一种感染有关，医生可以采用合并报卡方式报卡。医生上报后，感染科需要可审核医生上报感染。感染系统会使用这些用于统计分。</w:t>
            </w:r>
          </w:p>
          <w:p>
            <w:pPr>
              <w:ind w:firstLine="420" w:firstLineChars="200"/>
              <w:rPr>
                <w:rFonts w:ascii="等线" w:hAnsi="等线" w:eastAsia="等线"/>
                <w:szCs w:val="21"/>
              </w:rPr>
            </w:pPr>
            <w:r>
              <w:rPr>
                <w:rFonts w:hint="eastAsia" w:ascii="等线" w:hAnsi="等线" w:eastAsia="等线"/>
                <w:szCs w:val="21"/>
              </w:rPr>
              <w:t>经过医生确认患者的疑似信息为社区感染、细菌定植等原因导致出现疑似感染信息，医生无需上报，可以将这些非院内感染数据排除。也支持批量排除。</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功能约束（应包括但不仅限于以下功能）：感染事件干预、编辑感染诊断、感染事件上报（合并上报）、感染事件排除（合并排除）、感染事件审核。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2.4</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感染知识库</w:t>
            </w:r>
          </w:p>
        </w:tc>
        <w:tc>
          <w:tcPr>
            <w:tcW w:w="3705" w:type="pct"/>
            <w:shd w:val="clear" w:color="auto" w:fill="auto"/>
            <w:noWrap w:val="0"/>
            <w:vAlign w:val="top"/>
          </w:tcPr>
          <w:p>
            <w:pPr>
              <w:rPr>
                <w:rFonts w:ascii="等线" w:hAnsi="等线" w:eastAsia="等线"/>
                <w:szCs w:val="21"/>
              </w:rPr>
            </w:pPr>
            <w:r>
              <w:rPr>
                <w:rFonts w:hint="eastAsia" w:ascii="等线" w:hAnsi="等线" w:eastAsia="等线"/>
                <w:szCs w:val="21"/>
              </w:rPr>
              <w:t>感染知识库包括了院内感染疑似判定规则，感染诊断部位字典，易感因素等内容，院感科可根据医院情况做增删改操作。</w:t>
            </w:r>
          </w:p>
          <w:p>
            <w:pPr>
              <w:rPr>
                <w:rFonts w:ascii="等线" w:hAnsi="等线" w:eastAsia="等线"/>
                <w:szCs w:val="21"/>
              </w:rPr>
            </w:pPr>
            <w:r>
              <w:rPr>
                <w:rFonts w:hint="eastAsia" w:ascii="等线" w:hAnsi="等线" w:eastAsia="等线"/>
                <w:szCs w:val="21"/>
              </w:rPr>
              <w:t>疑似感染判定规则主要包括：</w:t>
            </w:r>
          </w:p>
          <w:p>
            <w:pPr>
              <w:rPr>
                <w:rFonts w:ascii="等线" w:hAnsi="等线" w:eastAsia="等线"/>
                <w:szCs w:val="21"/>
              </w:rPr>
            </w:pPr>
            <w:r>
              <w:rPr>
                <w:rFonts w:hint="eastAsia" w:ascii="等线" w:hAnsi="等线" w:eastAsia="等线"/>
                <w:szCs w:val="21"/>
              </w:rPr>
              <w:t>抗生素药物使用疑似，例如：入院两天后使用抗菌药物情况生成疑似。</w:t>
            </w:r>
          </w:p>
          <w:p>
            <w:pPr>
              <w:rPr>
                <w:rFonts w:ascii="等线" w:hAnsi="等线" w:eastAsia="等线"/>
                <w:szCs w:val="21"/>
              </w:rPr>
            </w:pPr>
            <w:r>
              <w:rPr>
                <w:rFonts w:hint="eastAsia" w:ascii="等线" w:hAnsi="等线" w:eastAsia="等线"/>
                <w:szCs w:val="21"/>
              </w:rPr>
              <w:t>发热提醒，例如：入院两天后体温大于38度生成疑似。</w:t>
            </w:r>
          </w:p>
          <w:p>
            <w:pPr>
              <w:rPr>
                <w:rFonts w:ascii="等线" w:hAnsi="等线" w:eastAsia="等线"/>
                <w:szCs w:val="21"/>
              </w:rPr>
            </w:pPr>
            <w:r>
              <w:rPr>
                <w:rFonts w:hint="eastAsia" w:ascii="等线" w:hAnsi="等线" w:eastAsia="等线"/>
                <w:szCs w:val="21"/>
              </w:rPr>
              <w:t>检查报告疑似，例如：检查报告诊断中出现肺炎感染等关键字生成疑似。</w:t>
            </w:r>
          </w:p>
          <w:p>
            <w:pPr>
              <w:rPr>
                <w:rFonts w:ascii="等线" w:hAnsi="等线" w:eastAsia="等线"/>
                <w:szCs w:val="21"/>
              </w:rPr>
            </w:pPr>
            <w:r>
              <w:rPr>
                <w:rFonts w:hint="eastAsia" w:ascii="等线" w:hAnsi="等线" w:eastAsia="等线"/>
                <w:szCs w:val="21"/>
              </w:rPr>
              <w:t>细菌阳性，例如：细菌培养阳性或者出现多重耐药菌给与提醒</w:t>
            </w:r>
          </w:p>
          <w:p>
            <w:pPr>
              <w:rPr>
                <w:rFonts w:ascii="等线" w:hAnsi="等线" w:eastAsia="等线"/>
                <w:szCs w:val="21"/>
              </w:rPr>
            </w:pPr>
            <w:r>
              <w:rPr>
                <w:rFonts w:hint="eastAsia" w:ascii="等线" w:hAnsi="等线" w:eastAsia="等线"/>
                <w:szCs w:val="21"/>
              </w:rPr>
              <w:t>针对医院个性化的规则（例如：部分医院要求年纪大于70岁时体温大于37.6度就生成疑似，年龄小于70岁的大于38.5度提醒；细菌培养出现白色念珠菌时不不生成疑似等）院感系统中可进行个性化的配置。</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功能约束（应包括但不仅限于以下功能）：知识库管理、院内感染知识库浏览（含下载）、院内感染经验库浏览（含下载）。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2.5</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院内感染监测</w:t>
            </w:r>
          </w:p>
        </w:tc>
        <w:tc>
          <w:tcPr>
            <w:tcW w:w="3705" w:type="pct"/>
            <w:shd w:val="clear" w:color="auto" w:fill="auto"/>
            <w:noWrap w:val="0"/>
            <w:vAlign w:val="top"/>
          </w:tcPr>
          <w:p>
            <w:pPr>
              <w:pStyle w:val="4"/>
              <w:numPr>
                <w:ilvl w:val="0"/>
                <w:numId w:val="0"/>
              </w:numPr>
              <w:tabs>
                <w:tab w:val="clear" w:pos="792"/>
                <w:tab w:val="clear" w:pos="851"/>
              </w:tabs>
              <w:spacing w:line="240" w:lineRule="auto"/>
              <w:rPr>
                <w:rFonts w:ascii="等线" w:hAnsi="等线" w:eastAsia="等线"/>
                <w:sz w:val="21"/>
                <w:szCs w:val="21"/>
              </w:rPr>
            </w:pPr>
            <w:r>
              <w:rPr>
                <w:rFonts w:hint="eastAsia" w:ascii="等线" w:hAnsi="等线" w:eastAsia="等线"/>
                <w:sz w:val="21"/>
                <w:szCs w:val="21"/>
              </w:rPr>
              <w:t>实时预警</w:t>
            </w:r>
          </w:p>
          <w:p>
            <w:pPr>
              <w:keepNext/>
              <w:keepLines/>
              <w:numPr>
                <w:ilvl w:val="2"/>
                <w:numId w:val="6"/>
              </w:numPr>
              <w:spacing w:before="160" w:after="160"/>
              <w:outlineLvl w:val="3"/>
              <w:rPr>
                <w:rFonts w:ascii="等线" w:hAnsi="等线" w:eastAsia="等线"/>
                <w:b/>
                <w:bCs/>
                <w:vanish/>
                <w:szCs w:val="21"/>
              </w:rPr>
            </w:pPr>
          </w:p>
          <w:p>
            <w:pPr>
              <w:keepNext/>
              <w:keepLines/>
              <w:numPr>
                <w:ilvl w:val="3"/>
                <w:numId w:val="6"/>
              </w:numPr>
              <w:spacing w:before="160" w:after="160"/>
              <w:outlineLvl w:val="3"/>
              <w:rPr>
                <w:rFonts w:ascii="等线" w:hAnsi="等线" w:eastAsia="等线"/>
                <w:b/>
                <w:bCs/>
                <w:vanish/>
                <w:szCs w:val="21"/>
              </w:rPr>
            </w:pPr>
          </w:p>
          <w:p>
            <w:pPr>
              <w:keepNext/>
              <w:keepLines/>
              <w:numPr>
                <w:ilvl w:val="3"/>
                <w:numId w:val="6"/>
              </w:numPr>
              <w:spacing w:before="160" w:after="160"/>
              <w:outlineLvl w:val="3"/>
              <w:rPr>
                <w:rFonts w:ascii="等线" w:hAnsi="等线" w:eastAsia="等线"/>
                <w:b/>
                <w:bCs/>
                <w:vanish/>
                <w:szCs w:val="21"/>
              </w:rPr>
            </w:pPr>
          </w:p>
          <w:p>
            <w:pPr>
              <w:keepNext/>
              <w:keepLines/>
              <w:numPr>
                <w:ilvl w:val="0"/>
                <w:numId w:val="7"/>
              </w:numPr>
              <w:spacing w:before="120" w:after="120"/>
              <w:outlineLvl w:val="4"/>
              <w:rPr>
                <w:rFonts w:ascii="等线" w:hAnsi="等线" w:eastAsia="等线"/>
                <w:b/>
                <w:bCs/>
                <w:vanish/>
                <w:szCs w:val="21"/>
              </w:rPr>
            </w:pPr>
          </w:p>
          <w:p>
            <w:pPr>
              <w:keepNext/>
              <w:keepLines/>
              <w:numPr>
                <w:ilvl w:val="0"/>
                <w:numId w:val="7"/>
              </w:numPr>
              <w:spacing w:before="120" w:after="120"/>
              <w:outlineLvl w:val="4"/>
              <w:rPr>
                <w:rFonts w:ascii="等线" w:hAnsi="等线" w:eastAsia="等线"/>
                <w:b/>
                <w:bCs/>
                <w:vanish/>
                <w:szCs w:val="21"/>
              </w:rPr>
            </w:pPr>
          </w:p>
          <w:p>
            <w:pPr>
              <w:keepNext/>
              <w:keepLines/>
              <w:numPr>
                <w:ilvl w:val="0"/>
                <w:numId w:val="7"/>
              </w:numPr>
              <w:spacing w:before="120" w:after="120"/>
              <w:outlineLvl w:val="4"/>
              <w:rPr>
                <w:rFonts w:ascii="等线" w:hAnsi="等线" w:eastAsia="等线"/>
                <w:b/>
                <w:bCs/>
                <w:vanish/>
                <w:szCs w:val="21"/>
              </w:rPr>
            </w:pPr>
          </w:p>
          <w:p>
            <w:pPr>
              <w:keepNext/>
              <w:keepLines/>
              <w:numPr>
                <w:ilvl w:val="1"/>
                <w:numId w:val="7"/>
              </w:numPr>
              <w:spacing w:before="120" w:after="120"/>
              <w:outlineLvl w:val="4"/>
              <w:rPr>
                <w:rFonts w:ascii="等线" w:hAnsi="等线" w:eastAsia="等线"/>
                <w:b/>
                <w:bCs/>
                <w:vanish/>
                <w:szCs w:val="21"/>
              </w:rPr>
            </w:pPr>
          </w:p>
          <w:p>
            <w:pPr>
              <w:keepNext/>
              <w:keepLines/>
              <w:numPr>
                <w:ilvl w:val="1"/>
                <w:numId w:val="7"/>
              </w:numPr>
              <w:spacing w:before="120" w:after="120"/>
              <w:outlineLvl w:val="4"/>
              <w:rPr>
                <w:rFonts w:ascii="等线" w:hAnsi="等线" w:eastAsia="等线"/>
                <w:b/>
                <w:bCs/>
                <w:vanish/>
                <w:szCs w:val="21"/>
              </w:rPr>
            </w:pPr>
          </w:p>
          <w:p>
            <w:pPr>
              <w:keepNext/>
              <w:keepLines/>
              <w:numPr>
                <w:ilvl w:val="2"/>
                <w:numId w:val="7"/>
              </w:numPr>
              <w:spacing w:before="120" w:after="120"/>
              <w:outlineLvl w:val="4"/>
              <w:rPr>
                <w:rFonts w:ascii="等线" w:hAnsi="等线" w:eastAsia="等线"/>
                <w:b/>
                <w:bCs/>
                <w:vanish/>
                <w:szCs w:val="21"/>
              </w:rPr>
            </w:pPr>
          </w:p>
          <w:p>
            <w:pPr>
              <w:keepNext/>
              <w:keepLines/>
              <w:numPr>
                <w:ilvl w:val="2"/>
                <w:numId w:val="7"/>
              </w:numPr>
              <w:spacing w:before="120" w:after="120"/>
              <w:outlineLvl w:val="4"/>
              <w:rPr>
                <w:rFonts w:ascii="等线" w:hAnsi="等线" w:eastAsia="等线"/>
                <w:b/>
                <w:bCs/>
                <w:vanish/>
                <w:szCs w:val="21"/>
              </w:rPr>
            </w:pPr>
          </w:p>
          <w:p>
            <w:pPr>
              <w:keepNext/>
              <w:keepLines/>
              <w:numPr>
                <w:ilvl w:val="2"/>
                <w:numId w:val="7"/>
              </w:numPr>
              <w:spacing w:before="120" w:after="120"/>
              <w:outlineLvl w:val="4"/>
              <w:rPr>
                <w:rFonts w:ascii="等线" w:hAnsi="等线" w:eastAsia="等线"/>
                <w:b/>
                <w:bCs/>
                <w:vanish/>
                <w:szCs w:val="21"/>
              </w:rPr>
            </w:pPr>
          </w:p>
          <w:p>
            <w:pPr>
              <w:keepNext/>
              <w:keepLines/>
              <w:numPr>
                <w:ilvl w:val="2"/>
                <w:numId w:val="7"/>
              </w:numPr>
              <w:spacing w:before="120" w:after="120"/>
              <w:outlineLvl w:val="4"/>
              <w:rPr>
                <w:rFonts w:ascii="等线" w:hAnsi="等线" w:eastAsia="等线"/>
                <w:b/>
                <w:bCs/>
                <w:vanish/>
                <w:szCs w:val="21"/>
              </w:rPr>
            </w:pPr>
          </w:p>
          <w:p>
            <w:pPr>
              <w:keepNext/>
              <w:keepLines/>
              <w:numPr>
                <w:ilvl w:val="2"/>
                <w:numId w:val="7"/>
              </w:numPr>
              <w:spacing w:before="120" w:after="120"/>
              <w:outlineLvl w:val="4"/>
              <w:rPr>
                <w:rFonts w:ascii="等线" w:hAnsi="等线" w:eastAsia="等线"/>
                <w:b/>
                <w:bCs/>
                <w:vanish/>
                <w:szCs w:val="21"/>
              </w:rPr>
            </w:pPr>
          </w:p>
          <w:p>
            <w:pPr>
              <w:keepNext/>
              <w:keepLines/>
              <w:numPr>
                <w:ilvl w:val="3"/>
                <w:numId w:val="7"/>
              </w:numPr>
              <w:spacing w:before="120" w:after="120"/>
              <w:outlineLvl w:val="4"/>
              <w:rPr>
                <w:rFonts w:ascii="等线" w:hAnsi="等线" w:eastAsia="等线"/>
                <w:b/>
                <w:bCs/>
                <w:vanish/>
                <w:szCs w:val="21"/>
              </w:rPr>
            </w:pPr>
          </w:p>
          <w:p>
            <w:pPr>
              <w:numPr>
                <w:ilvl w:val="0"/>
                <w:numId w:val="8"/>
              </w:numPr>
              <w:rPr>
                <w:rFonts w:ascii="等线" w:hAnsi="等线" w:eastAsia="等线"/>
                <w:szCs w:val="21"/>
              </w:rPr>
            </w:pPr>
            <w:r>
              <w:rPr>
                <w:rFonts w:hint="eastAsia" w:ascii="等线" w:hAnsi="等线" w:eastAsia="等线"/>
                <w:szCs w:val="21"/>
              </w:rPr>
              <w:t xml:space="preserve">暴发预警 </w:t>
            </w:r>
          </w:p>
          <w:p>
            <w:pPr>
              <w:ind w:firstLine="420" w:firstLineChars="200"/>
              <w:rPr>
                <w:rFonts w:ascii="等线" w:hAnsi="等线" w:eastAsia="等线"/>
                <w:szCs w:val="21"/>
              </w:rPr>
            </w:pPr>
            <w:r>
              <w:rPr>
                <w:rFonts w:hint="eastAsia" w:ascii="等线" w:hAnsi="等线" w:eastAsia="等线"/>
                <w:szCs w:val="21"/>
              </w:rPr>
              <w:t>暴发预警实时监测医院的群体性高危感染因素；系统基于群体性的危险因素预警，包括了发热，使用呼吸机，使用中心静脉插管，使用导尿管插管，重点菌，多重耐药菌检出，各种微生物检出等群体性预警。针对不同的预警类型，可以设置时间范围和最小次数范围，对于超出阈值的病区有颜色标记显著提醒。系统中也给出了各科室按时间统计的趋势图，院感科能随时监测科室异常情况出现。科室钻取每个科室高危因素具体的信息患者信息，院感科可以持续跟踪。</w:t>
            </w:r>
          </w:p>
          <w:p>
            <w:pPr>
              <w:numPr>
                <w:ilvl w:val="0"/>
                <w:numId w:val="8"/>
              </w:numPr>
              <w:rPr>
                <w:rFonts w:ascii="等线" w:hAnsi="等线" w:eastAsia="等线"/>
                <w:szCs w:val="21"/>
              </w:rPr>
            </w:pPr>
            <w:r>
              <w:rPr>
                <w:rFonts w:hint="eastAsia" w:ascii="等线" w:hAnsi="等线" w:eastAsia="等线"/>
                <w:szCs w:val="21"/>
              </w:rPr>
              <w:t>科室现患感染率监测</w:t>
            </w:r>
          </w:p>
          <w:p>
            <w:pPr>
              <w:rPr>
                <w:rFonts w:ascii="等线" w:hAnsi="等线" w:eastAsia="等线"/>
                <w:szCs w:val="21"/>
              </w:rPr>
            </w:pPr>
            <w:r>
              <w:rPr>
                <w:rFonts w:hint="eastAsia" w:ascii="等线" w:hAnsi="等线" w:eastAsia="等线"/>
                <w:szCs w:val="21"/>
              </w:rPr>
              <w:t xml:space="preserve">     监测医院感染现患情况，可以根据不同科室情况设置不同的阈值，对于超过阈值的科室用颜色区分。并且根据感染率对科室进行排序。点击科室右侧会展示近两周现患率，现患人数，住院人数等变化趋势图。</w:t>
            </w:r>
            <w:r>
              <w:rPr>
                <w:rFonts w:hint="eastAsia" w:ascii="等线" w:hAnsi="等线" w:eastAsia="等线"/>
                <w:b/>
                <w:bCs/>
                <w:szCs w:val="21"/>
              </w:rPr>
              <w:t xml:space="preserve"> </w:t>
            </w:r>
          </w:p>
          <w:p>
            <w:pPr>
              <w:numPr>
                <w:ilvl w:val="0"/>
                <w:numId w:val="8"/>
              </w:numPr>
              <w:rPr>
                <w:rFonts w:ascii="等线" w:hAnsi="等线" w:eastAsia="等线"/>
                <w:szCs w:val="21"/>
              </w:rPr>
            </w:pPr>
            <w:r>
              <w:rPr>
                <w:rFonts w:hint="eastAsia" w:ascii="等线" w:hAnsi="等线" w:eastAsia="等线"/>
                <w:szCs w:val="21"/>
              </w:rPr>
              <w:t>科室视图</w:t>
            </w:r>
          </w:p>
          <w:p>
            <w:pPr>
              <w:ind w:firstLine="420" w:firstLineChars="200"/>
              <w:rPr>
                <w:rFonts w:ascii="等线" w:hAnsi="等线" w:eastAsia="等线"/>
                <w:szCs w:val="21"/>
              </w:rPr>
            </w:pPr>
            <w:r>
              <w:rPr>
                <w:rFonts w:hint="eastAsia" w:ascii="等线" w:hAnsi="等线" w:eastAsia="等线"/>
                <w:szCs w:val="21"/>
              </w:rPr>
              <w:t xml:space="preserve">科室视图展示了病区任意时间点前后各一周的病区患者医院感染情况。包括患者呼吸机、中心静脉插管、泌尿道插管使用情况、发热情况、血常规、尿常规、痰培养检出、其他培养检出、抗菌药物使用等情况。 同时科室视图针对科室器械相关治疗人数监测、转出科48小时内病人、新入院病人实时监测。 </w:t>
            </w:r>
          </w:p>
          <w:p>
            <w:pPr>
              <w:numPr>
                <w:ilvl w:val="0"/>
                <w:numId w:val="8"/>
              </w:numPr>
              <w:rPr>
                <w:rFonts w:ascii="等线" w:hAnsi="等线" w:eastAsia="等线"/>
                <w:szCs w:val="21"/>
              </w:rPr>
            </w:pPr>
            <w:r>
              <w:rPr>
                <w:rFonts w:hint="eastAsia" w:ascii="等线" w:hAnsi="等线" w:eastAsia="等线"/>
                <w:szCs w:val="21"/>
              </w:rPr>
              <w:t>功能约束（应包括但不仅限于以下功能）：</w:t>
            </w:r>
          </w:p>
          <w:p>
            <w:pPr>
              <w:ind w:firstLine="420" w:firstLineChars="200"/>
              <w:rPr>
                <w:rFonts w:ascii="等线" w:hAnsi="等线" w:eastAsia="等线"/>
                <w:szCs w:val="21"/>
              </w:rPr>
            </w:pPr>
            <w:r>
              <w:rPr>
                <w:rFonts w:hint="eastAsia" w:ascii="等线" w:hAnsi="等线" w:eastAsia="等线"/>
                <w:szCs w:val="21"/>
              </w:rPr>
              <w:t>危险因素设定（含阈值设定）、预警集成展示台、科室下钻、科室现患率监测、科室预警视图。</w:t>
            </w:r>
          </w:p>
          <w:p>
            <w:pPr>
              <w:pStyle w:val="4"/>
              <w:numPr>
                <w:ilvl w:val="0"/>
                <w:numId w:val="0"/>
              </w:numPr>
              <w:tabs>
                <w:tab w:val="clear" w:pos="792"/>
                <w:tab w:val="clear" w:pos="851"/>
              </w:tabs>
              <w:spacing w:line="240" w:lineRule="auto"/>
              <w:rPr>
                <w:rFonts w:ascii="等线" w:hAnsi="等线" w:eastAsia="等线"/>
                <w:sz w:val="21"/>
                <w:szCs w:val="21"/>
              </w:rPr>
            </w:pPr>
            <w:r>
              <w:rPr>
                <w:rFonts w:hint="eastAsia" w:ascii="等线" w:hAnsi="等线" w:eastAsia="等线"/>
                <w:sz w:val="21"/>
                <w:szCs w:val="21"/>
              </w:rPr>
              <w:t>目标监测</w:t>
            </w:r>
          </w:p>
          <w:p>
            <w:pPr>
              <w:keepNext/>
              <w:keepLines/>
              <w:numPr>
                <w:ilvl w:val="3"/>
                <w:numId w:val="7"/>
              </w:numPr>
              <w:spacing w:before="120" w:after="120"/>
              <w:outlineLvl w:val="4"/>
              <w:rPr>
                <w:rFonts w:ascii="等线" w:hAnsi="等线" w:eastAsia="等线"/>
                <w:b/>
                <w:bCs/>
                <w:vanish/>
                <w:szCs w:val="21"/>
              </w:rPr>
            </w:pPr>
          </w:p>
          <w:p>
            <w:pPr>
              <w:numPr>
                <w:ilvl w:val="0"/>
                <w:numId w:val="8"/>
              </w:numPr>
              <w:rPr>
                <w:rFonts w:ascii="等线" w:hAnsi="等线" w:eastAsia="等线"/>
                <w:szCs w:val="21"/>
              </w:rPr>
            </w:pPr>
            <w:r>
              <w:rPr>
                <w:rFonts w:hint="eastAsia" w:ascii="等线" w:hAnsi="等线" w:eastAsia="等线"/>
                <w:szCs w:val="21"/>
              </w:rPr>
              <w:t>ICU相关监测</w:t>
            </w:r>
          </w:p>
          <w:p>
            <w:pPr>
              <w:ind w:firstLine="420" w:firstLineChars="200"/>
              <w:rPr>
                <w:rFonts w:ascii="等线" w:hAnsi="等线" w:eastAsia="等线"/>
                <w:szCs w:val="21"/>
              </w:rPr>
            </w:pPr>
            <w:r>
              <w:rPr>
                <w:rFonts w:hint="eastAsia" w:ascii="等线" w:hAnsi="等线" w:eastAsia="等线"/>
                <w:szCs w:val="21"/>
              </w:rPr>
              <w:t>ICU监测主要是对重症监护病案的患者进行的目标检测。ICU患者的三管信息作为重点的监测内容。院感科可实时监测ICU中使用三管的高危感染风险患者</w:t>
            </w:r>
          </w:p>
          <w:p>
            <w:pPr>
              <w:numPr>
                <w:ilvl w:val="0"/>
                <w:numId w:val="8"/>
              </w:numPr>
              <w:rPr>
                <w:rFonts w:ascii="等线" w:hAnsi="等线" w:eastAsia="等线"/>
                <w:szCs w:val="21"/>
              </w:rPr>
            </w:pPr>
            <w:r>
              <w:rPr>
                <w:rFonts w:hint="eastAsia" w:ascii="等线" w:hAnsi="等线" w:eastAsia="等线"/>
                <w:szCs w:val="21"/>
              </w:rPr>
              <w:t>手术监测</w:t>
            </w:r>
          </w:p>
          <w:p>
            <w:pPr>
              <w:ind w:firstLine="495" w:firstLineChars="236"/>
              <w:rPr>
                <w:rFonts w:ascii="等线" w:hAnsi="等线" w:eastAsia="等线"/>
                <w:szCs w:val="21"/>
              </w:rPr>
            </w:pPr>
            <w:r>
              <w:rPr>
                <w:rFonts w:hint="eastAsia" w:ascii="等线" w:hAnsi="等线" w:eastAsia="等线"/>
                <w:szCs w:val="21"/>
              </w:rPr>
              <w:t>手术监测主要用于院感科监测I类手术患者情况，包括手术的切口愈合等级，术前抗菌药物使用，术后抗菌药物使用情况，术前四项的完成情况等。</w:t>
            </w:r>
          </w:p>
          <w:p>
            <w:pPr>
              <w:numPr>
                <w:ilvl w:val="0"/>
                <w:numId w:val="8"/>
              </w:numPr>
              <w:rPr>
                <w:rFonts w:ascii="等线" w:hAnsi="等线" w:eastAsia="等线"/>
                <w:szCs w:val="21"/>
              </w:rPr>
            </w:pPr>
            <w:r>
              <w:rPr>
                <w:rFonts w:hint="eastAsia" w:ascii="等线" w:hAnsi="等线" w:eastAsia="等线"/>
                <w:szCs w:val="21"/>
              </w:rPr>
              <w:t xml:space="preserve">细菌耐药质控指标异常值预警 </w:t>
            </w:r>
          </w:p>
          <w:p>
            <w:pPr>
              <w:pStyle w:val="12"/>
              <w:ind w:firstLine="420"/>
              <w:rPr>
                <w:rFonts w:ascii="等线" w:hAnsi="等线" w:eastAsia="等线"/>
                <w:sz w:val="21"/>
                <w:szCs w:val="21"/>
              </w:rPr>
            </w:pPr>
            <w:r>
              <w:rPr>
                <w:rFonts w:hint="eastAsia" w:ascii="等线" w:hAnsi="等线" w:eastAsia="等线"/>
                <w:sz w:val="21"/>
                <w:szCs w:val="21"/>
              </w:rPr>
              <w:t xml:space="preserve">院感科可通过细菌耐药功能监测全院及各科室的细菌耐药情况，并且可以设置阈值用于不同科室耐药率预警设置，对于超出阈值的病区用不同颜色标记。监测全院及各科室送检样本的阳性情况。 </w:t>
            </w:r>
          </w:p>
          <w:p>
            <w:pPr>
              <w:numPr>
                <w:ilvl w:val="0"/>
                <w:numId w:val="8"/>
              </w:numPr>
              <w:rPr>
                <w:rFonts w:ascii="等线" w:hAnsi="等线" w:eastAsia="等线"/>
                <w:szCs w:val="21"/>
              </w:rPr>
            </w:pPr>
            <w:r>
              <w:rPr>
                <w:rFonts w:hint="eastAsia" w:ascii="等线" w:hAnsi="等线" w:eastAsia="等线"/>
                <w:szCs w:val="21"/>
              </w:rPr>
              <w:t>功能约束（应包括但不仅限于以下功能）：I</w:t>
            </w:r>
            <w:r>
              <w:rPr>
                <w:rFonts w:ascii="等线" w:hAnsi="等线" w:eastAsia="等线"/>
                <w:szCs w:val="21"/>
              </w:rPr>
              <w:t>CU</w:t>
            </w:r>
            <w:r>
              <w:rPr>
                <w:rFonts w:hint="eastAsia" w:ascii="等线" w:hAnsi="等线" w:eastAsia="等线"/>
                <w:szCs w:val="21"/>
              </w:rPr>
              <w:t>三管监测、手术监测、细菌耐药性监测。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2.6</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感染干预与反馈</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医院感染监测人员和临床医生对患者疑似医院感染病例诊断进行沟通的功能，医院感染监测人员和临床医生基于患者的消息，将以患者为单位按照时间顺序显示所有信息。医院感染监测人员可主动给临床医生发送消息，临床医生院感患者处理完成也可发送消息感染监测人员反馈处理结果；院感系统用户可在院感系统中查看患者相关消息，对于已读和未读消息有明显的标记予以区分。消息中支持干预方案维护，医院感染监测人员可以快速选择干预方案，并发送干预消息。</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功能约束（应包括但不仅限于以下功能）：消息服务（或利用院内统一消息服务的接口）、消息交互、历史消息记录。外接钉钉作为辅助消息平台进行消息推送。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2.7</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院内感染指标分析</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统计分析功能基于医院大量的患者临床数据及院感数据，形成一个全方位立体的数据分析统计功能。按照《医院感染监测基本数据集及质量控制指标集实施指南（2016版）》进行指标分析。统计分析的基本功能要求；医院感染基础数据统计指标 ；医院感染发病率、患病率等需要医院感染判读的指标；手术相关统计指标；ICU医院感染相关指标；新生儿医院感染指标；器械使用率、器械相关感染发病率指标；抗菌药物相关指标；细菌耐药指标。</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多重耐药菌统计分析（包括菌检出、菌感染、千日定植率）、院内感染统计分析（包括感染发病分析、出院病人感染分析、感染时点现患率分析、感染时段现患率分析、病原体构成比分析、病原体耐药率分析、革兰氏菌构成分析、病原体监测汇总分析、感染漏报率分析）、手术相关统计分析（包括手术部位感染分析、出院病人甲级愈合率分析、手术抗菌药物预防使用率分析、手术预防使用抗菌药物天数分析、术后2</w:t>
            </w:r>
            <w:r>
              <w:rPr>
                <w:rFonts w:ascii="等线" w:hAnsi="等线" w:eastAsia="等线"/>
                <w:sz w:val="21"/>
                <w:szCs w:val="21"/>
              </w:rPr>
              <w:t>4</w:t>
            </w:r>
            <w:r>
              <w:rPr>
                <w:rFonts w:hint="eastAsia" w:ascii="等线" w:hAnsi="等线" w:eastAsia="等线"/>
                <w:sz w:val="21"/>
                <w:szCs w:val="21"/>
              </w:rPr>
              <w:t>小时内抗菌药物停药率分析、术前0</w:t>
            </w:r>
            <w:r>
              <w:rPr>
                <w:rFonts w:ascii="等线" w:hAnsi="等线" w:eastAsia="等线"/>
                <w:sz w:val="21"/>
                <w:szCs w:val="21"/>
              </w:rPr>
              <w:t>.5</w:t>
            </w:r>
            <w:r>
              <w:rPr>
                <w:rFonts w:hint="eastAsia" w:ascii="等线" w:hAnsi="等线" w:eastAsia="等线"/>
                <w:sz w:val="21"/>
                <w:szCs w:val="21"/>
              </w:rPr>
              <w:t>-</w:t>
            </w:r>
            <w:r>
              <w:rPr>
                <w:rFonts w:ascii="等线" w:hAnsi="等线" w:eastAsia="等线"/>
                <w:sz w:val="21"/>
                <w:szCs w:val="21"/>
              </w:rPr>
              <w:t>2</w:t>
            </w:r>
            <w:r>
              <w:rPr>
                <w:rFonts w:hint="eastAsia" w:ascii="等线" w:hAnsi="等线" w:eastAsia="等线"/>
                <w:sz w:val="21"/>
                <w:szCs w:val="21"/>
              </w:rPr>
              <w:t>小时预防使用抗菌药物给药率分析）、抗菌药物统计分析（包括出院患者抗菌药物使用率分析、出院患者使用抗菌药物病原学送检率分析、出院患者人均使用抗菌药品种数分析、出院患者抗菌药物联用分析、住院患者抗菌药物使用率分析、住院患者使用抗菌药物病原学送检率分析、住院患者使用抗菌药物治疗前血培养送检率分析、住院患者抗菌药物构成比分析、住院患者抗菌药联用分析、特殊使用抗菌药物分析、科室与抗菌药物使用汇总分析、抗菌药物用药强度分析）、送检阳性率统计分析、血培养双瓶率统计分析、导尿管相关泌尿系统感染发病率统计分析、呼吸机相关肺炎发病率统计分析、血管内导管相关血流感染发病率统计分析、住院患者体温异常血培养送检率统计分析、外部平台上报数据统计（含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2.8</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医务人员职业防护管理</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 xml:space="preserve">医务人员发生暴露或者锐器伤时，在职业暴露录入登记中记录详细暴露或锐器伤害情况；系统根据不同感染（HBV,HCV,HIV等）生成追踪检测信息；根据追踪日期，定时提醒院感科进行追踪检测登记。 </w:t>
            </w:r>
          </w:p>
          <w:p>
            <w:pPr>
              <w:ind w:firstLine="420" w:firstLineChars="200"/>
              <w:rPr>
                <w:rFonts w:ascii="等线" w:hAnsi="等线" w:eastAsia="等线"/>
                <w:szCs w:val="21"/>
              </w:rPr>
            </w:pPr>
            <w:r>
              <w:rPr>
                <w:rFonts w:hint="eastAsia" w:ascii="等线" w:hAnsi="等线" w:eastAsia="等线"/>
                <w:szCs w:val="21"/>
              </w:rPr>
              <w:t>系统支持按照登记时间对职业防护登记内容进行多维度统计分析，并支持EXCEL导出功能。</w:t>
            </w:r>
          </w:p>
          <w:p>
            <w:pPr>
              <w:ind w:firstLine="420" w:firstLineChars="200"/>
              <w:rPr>
                <w:rFonts w:ascii="等线" w:hAnsi="等线" w:eastAsia="等线"/>
                <w:szCs w:val="21"/>
              </w:rPr>
            </w:pPr>
            <w:r>
              <w:rPr>
                <w:rFonts w:hint="eastAsia" w:ascii="等线" w:hAnsi="等线" w:eastAsia="等线"/>
                <w:szCs w:val="21"/>
              </w:rPr>
              <w:t>职业防护功能与临床系统无缝对接，医生可方便快捷的打开直接防护登记功能。</w:t>
            </w:r>
          </w:p>
          <w:p>
            <w:pPr>
              <w:pStyle w:val="12"/>
              <w:numPr>
                <w:ilvl w:val="0"/>
                <w:numId w:val="5"/>
              </w:numPr>
              <w:ind w:left="0" w:firstLine="495" w:firstLineChars="236"/>
              <w:rPr>
                <w:rFonts w:ascii="等线" w:hAnsi="等线" w:eastAsia="等线" w:cs="Times New Roman"/>
                <w:kern w:val="2"/>
                <w:sz w:val="21"/>
                <w:szCs w:val="21"/>
              </w:rPr>
            </w:pPr>
            <w:r>
              <w:rPr>
                <w:rFonts w:hint="eastAsia" w:ascii="等线" w:hAnsi="等线" w:eastAsia="等线"/>
                <w:sz w:val="21"/>
                <w:szCs w:val="21"/>
              </w:rPr>
              <w:t>功能约束（应包括但不仅限于以下功能）：职业防护管理、职业防护统计分析。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2.9</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手卫生管理</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手卫生是最简单有效且低成本的预防性措施，但其管理一直是一个难点。</w:t>
            </w:r>
          </w:p>
          <w:p>
            <w:pPr>
              <w:ind w:firstLine="420" w:firstLineChars="200"/>
              <w:rPr>
                <w:rFonts w:ascii="等线" w:hAnsi="等线" w:eastAsia="等线"/>
                <w:szCs w:val="21"/>
              </w:rPr>
            </w:pPr>
            <w:r>
              <w:rPr>
                <w:rFonts w:hint="eastAsia" w:ascii="等线" w:hAnsi="等线" w:eastAsia="等线"/>
                <w:szCs w:val="21"/>
              </w:rPr>
              <w:t>系统对手卫生相关洗消用品的用量结果和手卫依从性督导两个方面进行管理。</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掌握全院各科室手卫生用品消耗量情况，如手消毒液、抗菌洗手液、干手纸，分析手卫生依从性，协同促进医务人员手卫生执行的依从率；支持按科室、人员类型、指征多类型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2.</w:t>
            </w:r>
            <w:r>
              <w:rPr>
                <w:rFonts w:ascii="等线" w:hAnsi="等线" w:eastAsia="等线"/>
                <w:szCs w:val="21"/>
              </w:rPr>
              <w:t>10</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环境卫生监测</w:t>
            </w:r>
          </w:p>
        </w:tc>
        <w:tc>
          <w:tcPr>
            <w:tcW w:w="3705" w:type="pct"/>
            <w:shd w:val="clear" w:color="auto" w:fill="auto"/>
            <w:noWrap w:val="0"/>
            <w:vAlign w:val="top"/>
          </w:tcPr>
          <w:p>
            <w:pPr>
              <w:ind w:firstLine="420" w:firstLineChars="200"/>
              <w:rPr>
                <w:rFonts w:ascii="等线" w:hAnsi="等线" w:eastAsia="等线"/>
                <w:szCs w:val="21"/>
              </w:rPr>
            </w:pPr>
            <w:r>
              <w:rPr>
                <w:rFonts w:hint="eastAsia" w:ascii="等线" w:hAnsi="等线" w:eastAsia="等线"/>
                <w:szCs w:val="21"/>
              </w:rPr>
              <w:t xml:space="preserve">针对不同的监测类型和监测样本手工输入监测结果数据、系统根据预先设定标准自动判定监测结果是否合格；并提供全院及各科室监测结果统计分析功能。 </w:t>
            </w:r>
          </w:p>
          <w:p>
            <w:pPr>
              <w:ind w:firstLine="420" w:firstLineChars="200"/>
              <w:rPr>
                <w:rFonts w:ascii="等线" w:hAnsi="等线" w:eastAsia="等线"/>
                <w:szCs w:val="21"/>
              </w:rPr>
            </w:pPr>
            <w:r>
              <w:rPr>
                <w:rFonts w:hint="eastAsia" w:ascii="等线" w:hAnsi="等线" w:eastAsia="等线"/>
                <w:szCs w:val="21"/>
              </w:rPr>
              <w:t>由护士或者院感科填写样本采集申请，打印出样本条码和样本清单，检验科检测完成后录入检测结果，由系统自动判定是否合格。支持样本申请新增，删除，修改，打印功能及检验报告修改审核功能。</w:t>
            </w:r>
          </w:p>
          <w:p>
            <w:pPr>
              <w:ind w:firstLine="420" w:firstLineChars="200"/>
              <w:rPr>
                <w:rFonts w:ascii="等线" w:hAnsi="等线" w:eastAsia="等线"/>
                <w:szCs w:val="21"/>
              </w:rPr>
            </w:pPr>
            <w:r>
              <w:rPr>
                <w:rFonts w:hint="eastAsia" w:ascii="等线" w:hAnsi="等线" w:eastAsia="等线"/>
                <w:szCs w:val="21"/>
              </w:rPr>
              <w:t xml:space="preserve"> 环境监测遵循监测任务生成——样本条码打印——样本采集——检验科接受——样本检测——报告打印流程，形成环境监测闭环管理，确保样本各个环节在系统监控中执行。</w:t>
            </w:r>
          </w:p>
          <w:p>
            <w:pPr>
              <w:ind w:firstLine="420" w:firstLineChars="200"/>
              <w:rPr>
                <w:rFonts w:ascii="等线" w:hAnsi="等线" w:eastAsia="等线"/>
                <w:szCs w:val="21"/>
              </w:rPr>
            </w:pPr>
            <w:r>
              <w:rPr>
                <w:rFonts w:hint="eastAsia" w:ascii="等线" w:hAnsi="等线" w:eastAsia="等线"/>
                <w:szCs w:val="21"/>
              </w:rPr>
              <w:t>院感系统采用WEB模式，医院任意信息系统可方便快捷对接环境监测功能。方便各个科室进行环境监测申请。</w:t>
            </w:r>
          </w:p>
          <w:p>
            <w:pPr>
              <w:pStyle w:val="12"/>
              <w:numPr>
                <w:ilvl w:val="0"/>
                <w:numId w:val="5"/>
              </w:numPr>
              <w:ind w:left="0" w:firstLine="495" w:firstLineChars="236"/>
              <w:rPr>
                <w:rFonts w:ascii="等线" w:hAnsi="等线" w:eastAsia="等线"/>
                <w:sz w:val="21"/>
                <w:szCs w:val="21"/>
              </w:rPr>
            </w:pPr>
            <w:r>
              <w:rPr>
                <w:rFonts w:hint="eastAsia" w:ascii="等线" w:hAnsi="等线" w:eastAsia="等线"/>
                <w:sz w:val="21"/>
                <w:szCs w:val="21"/>
              </w:rPr>
              <w:t>功能约束（应包括但不仅限于以下功能）：消毒灭菌标准设定、检测布点维护、样本采集登记、检测登记、检测结果统计分析。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三</w:t>
            </w:r>
          </w:p>
        </w:tc>
        <w:tc>
          <w:tcPr>
            <w:tcW w:w="802" w:type="pct"/>
            <w:shd w:val="clear" w:color="auto" w:fill="auto"/>
            <w:noWrap w:val="0"/>
            <w:vAlign w:val="center"/>
          </w:tcPr>
          <w:p>
            <w:pPr>
              <w:tabs>
                <w:tab w:val="left" w:pos="0"/>
              </w:tabs>
              <w:ind w:left="210" w:leftChars="100"/>
              <w:rPr>
                <w:rFonts w:ascii="等线" w:hAnsi="等线" w:eastAsia="等线"/>
                <w:szCs w:val="21"/>
              </w:rPr>
            </w:pPr>
            <w:r>
              <w:rPr>
                <w:rFonts w:hint="eastAsia" w:ascii="等线" w:hAnsi="等线" w:eastAsia="等线"/>
                <w:szCs w:val="21"/>
              </w:rPr>
              <w:t>接口内容</w:t>
            </w:r>
          </w:p>
        </w:tc>
        <w:tc>
          <w:tcPr>
            <w:tcW w:w="3705" w:type="pct"/>
            <w:shd w:val="clear" w:color="auto" w:fill="auto"/>
            <w:noWrap w:val="0"/>
            <w:vAlign w:val="top"/>
          </w:tcPr>
          <w:p>
            <w:pPr>
              <w:numPr>
                <w:ilvl w:val="0"/>
                <w:numId w:val="9"/>
              </w:numPr>
              <w:ind w:left="0" w:firstLine="420" w:firstLineChars="200"/>
              <w:rPr>
                <w:rFonts w:ascii="等线" w:hAnsi="等线" w:eastAsia="等线"/>
                <w:szCs w:val="21"/>
              </w:rPr>
            </w:pPr>
            <w:r>
              <w:rPr>
                <w:rFonts w:hint="eastAsia" w:ascii="等线" w:hAnsi="等线" w:eastAsia="等线"/>
                <w:szCs w:val="21"/>
              </w:rPr>
              <w:t>省/市质控中心接口：系统遵循数据规范要求，按照省/市质控中心的标准文档进行对接。</w:t>
            </w:r>
          </w:p>
          <w:p>
            <w:pPr>
              <w:numPr>
                <w:ilvl w:val="0"/>
                <w:numId w:val="9"/>
              </w:numPr>
              <w:ind w:left="0" w:firstLine="420" w:firstLineChars="200"/>
              <w:rPr>
                <w:rFonts w:ascii="等线" w:hAnsi="等线" w:eastAsia="等线"/>
                <w:szCs w:val="21"/>
              </w:rPr>
            </w:pPr>
            <w:bookmarkStart w:id="7" w:name="_Toc3973445"/>
            <w:r>
              <w:rPr>
                <w:rFonts w:hint="eastAsia" w:ascii="等线" w:hAnsi="等线" w:eastAsia="等线"/>
                <w:szCs w:val="21"/>
              </w:rPr>
              <w:t>院内业务系统接口</w:t>
            </w:r>
            <w:bookmarkEnd w:id="7"/>
            <w:r>
              <w:rPr>
                <w:rFonts w:hint="eastAsia" w:ascii="等线" w:hAnsi="等线" w:eastAsia="等线"/>
                <w:szCs w:val="21"/>
              </w:rPr>
              <w:t>：系统遵循数据规范要求，实现与院内相关业务系统进行对接。</w:t>
            </w:r>
          </w:p>
        </w:tc>
      </w:tr>
    </w:tbl>
    <w:p/>
    <w:p>
      <w:pPr>
        <w:rPr>
          <w:rFonts w:hint="eastAsia"/>
          <w:lang w:val="en-US"/>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5、门诊电子病历系统</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5.1</w:t>
      </w:r>
      <w:r>
        <w:rPr>
          <w:rFonts w:hint="eastAsia" w:ascii="宋体" w:hAnsi="宋体" w:eastAsia="宋体" w:cs="宋体"/>
          <w:b w:val="0"/>
          <w:bCs/>
          <w:sz w:val="24"/>
          <w:szCs w:val="24"/>
        </w:rPr>
        <w:t>门诊病历书写</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系统根据《病历书写规范》的要求，采用全结构化病历模板和类word 操作界面风格，采用模式化录入方式，实现门诊病历无纸化，改善门诊病历书写质量和效率。</w:t>
      </w:r>
    </w:p>
    <w:p>
      <w:pPr>
        <w:spacing w:before="120" w:after="120" w:line="360" w:lineRule="auto"/>
        <w:rPr>
          <w:rFonts w:hint="eastAsia" w:ascii="宋体" w:hAnsi="宋体" w:eastAsia="宋体" w:cs="宋体"/>
          <w:b w:val="0"/>
          <w:bCs/>
          <w:sz w:val="24"/>
          <w:szCs w:val="24"/>
        </w:rPr>
      </w:pPr>
      <w:r>
        <w:rPr>
          <w:rFonts w:hint="eastAsia" w:ascii="宋体" w:hAnsi="宋体" w:eastAsia="宋体" w:cs="宋体"/>
          <w:b w:val="0"/>
          <w:bCs/>
          <w:sz w:val="24"/>
          <w:szCs w:val="24"/>
        </w:rPr>
        <w:t>实现以下功能：</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提供类似word 操作界面风格，所见即所得，易学易用；</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提供丰富的门诊病历模板，支持个人常用、科室常用、病种模板的调用；</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支持门诊病历结构化输入及自由文本形式书写；</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实现XML 形式存储，利于病历数据的检索、查询及统计分析；</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支持病历书写时，插入特殊符号，包含标点、单位、数字等；</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支持病历书写时，引用既有数据，包含处方记录、医技报告、既往病历内容等；</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支持病历书写时，插入门诊常用语、表达式，</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支持门诊病历的细节编辑，包含字体、字号、颜色、行距调整等；</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支持门诊医生修改、打印、续打门诊病历，支持病历修改痕迹的查看对比；</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支持将门诊病历导出为word 文档或另存为病历模板功能，并支持病历审计日志的查看。</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5.2</w:t>
      </w:r>
      <w:r>
        <w:rPr>
          <w:rFonts w:hint="eastAsia" w:ascii="宋体" w:hAnsi="宋体" w:eastAsia="宋体" w:cs="宋体"/>
          <w:b w:val="0"/>
          <w:bCs/>
          <w:sz w:val="24"/>
          <w:szCs w:val="24"/>
        </w:rPr>
        <w:t>门诊诊断录入</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系统支持ICD10 标准编码和自定义诊断两种模式录入门诊诊断；支持中、西医诊断；支持图形化的诊断部位选择；支持疾病报卡上报功能；支持医生完成诊断录入保存后，自动更新到病历文档中；为方便医生录入，系统提供常用诊断的选取功能。</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5.3</w:t>
      </w:r>
      <w:r>
        <w:rPr>
          <w:rFonts w:hint="eastAsia" w:ascii="宋体" w:hAnsi="宋体" w:eastAsia="宋体" w:cs="宋体"/>
          <w:b w:val="0"/>
          <w:bCs/>
          <w:sz w:val="24"/>
          <w:szCs w:val="24"/>
        </w:rPr>
        <w:t>门诊病历打印</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提供门诊病历的打印功能，满足卫生部发布的《电子病历功能规范》中的修改留痕的要求，提供清洁打印和原样打印两种打印方式；并且支持续打印功能，如门诊病历，医生每填写完一次门诊记录后，可以接着上一条记录继续打印。也支持门诊病历本的套打印功能。</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5.4</w:t>
      </w:r>
      <w:r>
        <w:rPr>
          <w:rFonts w:hint="eastAsia" w:ascii="宋体" w:hAnsi="宋体" w:eastAsia="宋体" w:cs="宋体"/>
          <w:b w:val="0"/>
          <w:bCs/>
          <w:sz w:val="24"/>
          <w:szCs w:val="24"/>
        </w:rPr>
        <w:t>门诊病历自助打印</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系统提供与自助机间的相关接口程序，实现患者根据需要自助打印门急诊病历功能，支持就诊卡、医保卡、发票号码、二代身份证扫描等多种自助方式获取并打印病历资料。</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5.5</w:t>
      </w:r>
      <w:r>
        <w:rPr>
          <w:rFonts w:hint="eastAsia" w:ascii="宋体" w:hAnsi="宋体" w:eastAsia="宋体" w:cs="宋体"/>
          <w:b w:val="0"/>
          <w:bCs/>
          <w:sz w:val="24"/>
          <w:szCs w:val="24"/>
        </w:rPr>
        <w:t>检验检查关联</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系统支持与检验检查科室实现互联互通，检验检查申请录入后能够及时、准确地到达相应的检验检查科室，并且能跟踪检验申请的状态，能及时查阅和引用反馈的报告结果。</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5.6</w:t>
      </w:r>
      <w:r>
        <w:rPr>
          <w:rFonts w:hint="eastAsia" w:ascii="宋体" w:hAnsi="宋体" w:eastAsia="宋体" w:cs="宋体"/>
          <w:b w:val="0"/>
          <w:bCs/>
          <w:sz w:val="24"/>
          <w:szCs w:val="24"/>
        </w:rPr>
        <w:t>既往病史查阅</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系统提供既往门诊和住院的病史查阅功能，医生可以完整地了解该患者既往疾病的发生、发展和转归的全过程，以及和本次发病的关联。避免了重复检查和诊疗，减轻了患者负担。</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5.7</w:t>
      </w:r>
      <w:r>
        <w:rPr>
          <w:rFonts w:hint="eastAsia" w:ascii="宋体" w:hAnsi="宋体" w:eastAsia="宋体" w:cs="宋体"/>
          <w:b w:val="0"/>
          <w:bCs/>
          <w:sz w:val="24"/>
          <w:szCs w:val="24"/>
        </w:rPr>
        <w:t>检查报告读取</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提供在病历书写时，读取检查报告数据到病历文档中。</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5.8</w:t>
      </w:r>
      <w:r>
        <w:rPr>
          <w:rFonts w:hint="eastAsia" w:ascii="宋体" w:hAnsi="宋体" w:eastAsia="宋体" w:cs="宋体"/>
          <w:b w:val="0"/>
          <w:bCs/>
          <w:sz w:val="24"/>
          <w:szCs w:val="24"/>
        </w:rPr>
        <w:t>门诊病历质控</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系统提供门诊病历质控功能，根据医院的质控规则对门诊病历的质量进行跟踪和考核；</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支持病历缺陷的自定义维护设置；</w:t>
      </w:r>
    </w:p>
    <w:p>
      <w:pPr>
        <w:spacing w:before="120" w:after="12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支持门诊病历在评分的同时选择已有的缺陷进行病历检查。</w:t>
      </w:r>
    </w:p>
    <w:p>
      <w:pPr>
        <w:pStyle w:val="11"/>
        <w:numPr>
          <w:ilvl w:val="0"/>
          <w:numId w:val="0"/>
        </w:numPr>
        <w:spacing w:before="156" w:beforeLines="50" w:after="156" w:afterLines="5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5.9</w:t>
      </w:r>
      <w:r>
        <w:rPr>
          <w:rFonts w:hint="eastAsia" w:ascii="宋体" w:hAnsi="宋体" w:eastAsia="宋体" w:cs="宋体"/>
          <w:b w:val="0"/>
          <w:bCs/>
          <w:sz w:val="24"/>
          <w:szCs w:val="24"/>
        </w:rPr>
        <w:t>统计查询</w:t>
      </w:r>
    </w:p>
    <w:p>
      <w:pPr>
        <w:spacing w:before="120" w:after="120" w:line="360" w:lineRule="auto"/>
        <w:ind w:firstLine="480" w:firstLineChars="200"/>
        <w:rPr>
          <w:rFonts w:asciiTheme="minorEastAsia" w:hAnsiTheme="minorEastAsia"/>
          <w:b w:val="0"/>
          <w:bCs/>
          <w:sz w:val="24"/>
          <w:szCs w:val="24"/>
        </w:rPr>
      </w:pPr>
      <w:r>
        <w:rPr>
          <w:rFonts w:hint="eastAsia" w:ascii="宋体" w:hAnsi="宋体" w:eastAsia="宋体" w:cs="宋体"/>
          <w:b w:val="0"/>
          <w:bCs/>
          <w:sz w:val="24"/>
          <w:szCs w:val="24"/>
        </w:rPr>
        <w:t>提供门诊诊疗活动的统计查询功能，主要包含：门诊病历查询、门诊病历评分情况以及书写情况的统计以及门诊就诊记录的查询等。</w:t>
      </w:r>
    </w:p>
    <w:p>
      <w:pPr>
        <w:pStyle w:val="11"/>
        <w:numPr>
          <w:ilvl w:val="0"/>
          <w:numId w:val="0"/>
        </w:numPr>
        <w:spacing w:line="240" w:lineRule="auto"/>
        <w:ind w:leftChars="0"/>
        <w:rPr>
          <w:rFonts w:hint="eastAsia" w:ascii="宋体" w:hAnsi="宋体" w:cs="宋体"/>
          <w:b/>
          <w:bCs/>
          <w:sz w:val="32"/>
          <w:szCs w:val="32"/>
          <w:lang w:val="en-US" w:eastAsia="zh-CN"/>
        </w:rPr>
      </w:pPr>
      <w:r>
        <w:rPr>
          <w:rFonts w:hint="eastAsia" w:ascii="宋体" w:hAnsi="宋体" w:cs="宋体"/>
          <w:b/>
          <w:bCs/>
          <w:sz w:val="32"/>
          <w:szCs w:val="32"/>
          <w:lang w:val="en-US" w:eastAsia="zh-CN"/>
        </w:rPr>
        <w:t>6、住院自助机系统</w:t>
      </w:r>
    </w:p>
    <w:p>
      <w:pPr>
        <w:pStyle w:val="11"/>
        <w:numPr>
          <w:ilvl w:val="0"/>
          <w:numId w:val="0"/>
        </w:numPr>
        <w:spacing w:line="24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自助机硬件（壁挂）</w:t>
      </w:r>
    </w:p>
    <w:tbl>
      <w:tblPr>
        <w:tblStyle w:val="8"/>
        <w:tblW w:w="6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shd w:val="pct10" w:color="auto" w:fill="auto"/>
            <w:vAlign w:val="center"/>
          </w:tcPr>
          <w:p>
            <w:pPr>
              <w:jc w:val="left"/>
              <w:rPr>
                <w:rFonts w:hint="eastAsia" w:ascii="宋体" w:hAnsi="宋体" w:eastAsia="宋体" w:cs="宋体"/>
                <w:b/>
                <w:sz w:val="24"/>
                <w:szCs w:val="24"/>
              </w:rPr>
            </w:pPr>
            <w:r>
              <w:rPr>
                <w:rFonts w:hint="eastAsia" w:ascii="宋体" w:hAnsi="宋体" w:eastAsia="宋体" w:cs="宋体"/>
                <w:b/>
                <w:sz w:val="24"/>
                <w:szCs w:val="24"/>
              </w:rPr>
              <w:t>模块名称</w:t>
            </w:r>
          </w:p>
        </w:tc>
        <w:tc>
          <w:tcPr>
            <w:tcW w:w="0" w:type="auto"/>
            <w:shd w:val="pct10" w:color="auto" w:fill="auto"/>
            <w:vAlign w:val="center"/>
          </w:tcPr>
          <w:p>
            <w:pPr>
              <w:jc w:val="left"/>
              <w:rPr>
                <w:rFonts w:hint="eastAsia" w:ascii="宋体" w:hAnsi="宋体" w:eastAsia="宋体" w:cs="宋体"/>
                <w:b/>
                <w:sz w:val="24"/>
                <w:szCs w:val="24"/>
              </w:rPr>
            </w:pPr>
            <w:r>
              <w:rPr>
                <w:rFonts w:hint="eastAsia" w:ascii="宋体" w:hAnsi="宋体" w:eastAsia="宋体" w:cs="宋体"/>
                <w:b/>
                <w:sz w:val="24"/>
                <w:szCs w:val="24"/>
              </w:rPr>
              <w:t>模块配置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主控模块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Intel 3865U</w:t>
            </w:r>
          </w:p>
          <w:p>
            <w:pPr>
              <w:jc w:val="left"/>
              <w:rPr>
                <w:rFonts w:hint="eastAsia" w:ascii="宋体" w:hAnsi="宋体" w:eastAsia="宋体" w:cs="宋体"/>
                <w:sz w:val="24"/>
                <w:szCs w:val="24"/>
              </w:rPr>
            </w:pPr>
            <w:r>
              <w:rPr>
                <w:rFonts w:hint="eastAsia" w:ascii="宋体" w:hAnsi="宋体" w:eastAsia="宋体" w:cs="宋体"/>
                <w:sz w:val="24"/>
                <w:szCs w:val="24"/>
              </w:rPr>
              <w:t>内存：4G</w:t>
            </w:r>
          </w:p>
          <w:p>
            <w:pPr>
              <w:jc w:val="left"/>
              <w:rPr>
                <w:rFonts w:hint="eastAsia" w:ascii="宋体" w:hAnsi="宋体" w:eastAsia="宋体" w:cs="宋体"/>
                <w:sz w:val="24"/>
                <w:szCs w:val="24"/>
              </w:rPr>
            </w:pPr>
            <w:r>
              <w:rPr>
                <w:rFonts w:hint="eastAsia" w:ascii="宋体" w:hAnsi="宋体" w:eastAsia="宋体" w:cs="宋体"/>
                <w:sz w:val="24"/>
                <w:szCs w:val="24"/>
              </w:rPr>
              <w:t>硬盘：固态128G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显示模块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21.5寸工业级液晶屏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continue"/>
            <w:vAlign w:val="center"/>
          </w:tcPr>
          <w:p>
            <w:pPr>
              <w:jc w:val="left"/>
              <w:rPr>
                <w:rFonts w:hint="eastAsia" w:ascii="宋体" w:hAnsi="宋体" w:eastAsia="宋体" w:cs="宋体"/>
                <w:sz w:val="24"/>
                <w:szCs w:val="24"/>
              </w:rPr>
            </w:pP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21.5寸电容触摸屏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密码键盘</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金属密码键盘(符合金融标准)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打印模块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热敏凭条打印机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扫码模块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扫码平台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读卡模块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磁条读卡器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continue"/>
            <w:vAlign w:val="center"/>
          </w:tcPr>
          <w:p>
            <w:pPr>
              <w:jc w:val="left"/>
              <w:rPr>
                <w:rFonts w:hint="eastAsia" w:ascii="宋体" w:hAnsi="宋体" w:eastAsia="宋体" w:cs="宋体"/>
                <w:sz w:val="24"/>
                <w:szCs w:val="24"/>
              </w:rPr>
            </w:pP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非接/</w:t>
            </w:r>
            <w:r>
              <w:rPr>
                <w:rFonts w:hint="eastAsia" w:ascii="宋体" w:hAnsi="宋体" w:cs="宋体"/>
                <w:sz w:val="24"/>
                <w:szCs w:val="24"/>
                <w:lang w:eastAsia="zh-CN"/>
              </w:rPr>
              <w:t>二</w:t>
            </w:r>
            <w:r>
              <w:rPr>
                <w:rFonts w:hint="eastAsia" w:ascii="宋体" w:hAnsi="宋体" w:eastAsia="宋体" w:cs="宋体"/>
                <w:sz w:val="24"/>
                <w:szCs w:val="24"/>
              </w:rPr>
              <w:t>代证读卡器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continue"/>
            <w:vAlign w:val="center"/>
          </w:tcPr>
          <w:p>
            <w:pPr>
              <w:jc w:val="left"/>
              <w:rPr>
                <w:rFonts w:hint="eastAsia" w:ascii="宋体" w:hAnsi="宋体" w:eastAsia="宋体" w:cs="宋体"/>
                <w:sz w:val="24"/>
                <w:szCs w:val="24"/>
              </w:rPr>
            </w:pPr>
          </w:p>
        </w:tc>
        <w:tc>
          <w:tcPr>
            <w:tcW w:w="0" w:type="auto"/>
            <w:vAlign w:val="center"/>
          </w:tcPr>
          <w:p>
            <w:pPr>
              <w:jc w:val="left"/>
              <w:rPr>
                <w:rFonts w:hint="eastAsia" w:ascii="宋体" w:hAnsi="宋体" w:eastAsia="宋体" w:cs="宋体"/>
                <w:sz w:val="24"/>
                <w:szCs w:val="24"/>
              </w:rPr>
            </w:pPr>
            <w:r>
              <w:rPr>
                <w:rFonts w:hint="eastAsia" w:ascii="宋体" w:hAnsi="宋体" w:cs="宋体"/>
                <w:sz w:val="24"/>
                <w:szCs w:val="24"/>
                <w:lang w:eastAsia="zh-CN"/>
              </w:rPr>
              <w:t>医保</w:t>
            </w:r>
            <w:r>
              <w:rPr>
                <w:rFonts w:hint="eastAsia" w:ascii="宋体" w:hAnsi="宋体" w:eastAsia="宋体" w:cs="宋体"/>
                <w:sz w:val="24"/>
                <w:szCs w:val="24"/>
              </w:rPr>
              <w:t>卡读卡器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人脸模块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人脸识别摄像头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电源模块</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开关电源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Merge w:val="continue"/>
            <w:vAlign w:val="center"/>
          </w:tcPr>
          <w:p>
            <w:pPr>
              <w:jc w:val="left"/>
              <w:rPr>
                <w:rFonts w:hint="eastAsia" w:ascii="宋体" w:hAnsi="宋体" w:eastAsia="宋体" w:cs="宋体"/>
                <w:sz w:val="24"/>
                <w:szCs w:val="24"/>
              </w:rPr>
            </w:pP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定时开关机模块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机柜</w:t>
            </w:r>
          </w:p>
        </w:tc>
        <w:tc>
          <w:tcPr>
            <w:tcW w:w="0" w:type="auto"/>
            <w:vAlign w:val="center"/>
          </w:tcPr>
          <w:p>
            <w:pPr>
              <w:jc w:val="left"/>
              <w:rPr>
                <w:rFonts w:hint="eastAsia" w:ascii="宋体" w:hAnsi="宋体" w:eastAsia="宋体" w:cs="宋体"/>
                <w:sz w:val="24"/>
                <w:szCs w:val="24"/>
              </w:rPr>
            </w:pPr>
            <w:r>
              <w:rPr>
                <w:rFonts w:hint="eastAsia" w:ascii="宋体" w:hAnsi="宋体" w:eastAsia="宋体" w:cs="宋体"/>
                <w:sz w:val="24"/>
                <w:szCs w:val="24"/>
              </w:rPr>
              <w:t>机柜</w:t>
            </w:r>
          </w:p>
        </w:tc>
      </w:tr>
    </w:tbl>
    <w:p>
      <w:pPr>
        <w:pStyle w:val="11"/>
        <w:numPr>
          <w:ilvl w:val="0"/>
          <w:numId w:val="0"/>
        </w:numPr>
        <w:spacing w:line="240" w:lineRule="auto"/>
        <w:ind w:left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自助机软件(住院)</w:t>
      </w:r>
    </w:p>
    <w:p>
      <w:pPr>
        <w:pStyle w:val="4"/>
        <w:numPr>
          <w:ilvl w:val="3"/>
          <w:numId w:val="0"/>
        </w:numPr>
        <w:tabs>
          <w:tab w:val="clear" w:pos="0"/>
        </w:tabs>
        <w:ind w:leftChars="0"/>
        <w:rPr>
          <w:b w:val="0"/>
          <w:bCs w:val="0"/>
          <w:sz w:val="24"/>
          <w:szCs w:val="24"/>
        </w:rPr>
      </w:pPr>
      <w:bookmarkStart w:id="8" w:name="_Toc57882024"/>
      <w:bookmarkStart w:id="9" w:name="_Toc55768274"/>
      <w:r>
        <w:rPr>
          <w:rFonts w:hint="eastAsia"/>
          <w:b w:val="0"/>
          <w:bCs w:val="0"/>
          <w:sz w:val="24"/>
          <w:szCs w:val="24"/>
          <w:lang w:val="en-US" w:eastAsia="zh-CN"/>
        </w:rPr>
        <w:t>1、</w:t>
      </w:r>
      <w:r>
        <w:rPr>
          <w:b w:val="0"/>
          <w:bCs w:val="0"/>
          <w:sz w:val="24"/>
          <w:szCs w:val="24"/>
        </w:rPr>
        <w:t>住院预交金充值</w:t>
      </w:r>
      <w:bookmarkEnd w:id="8"/>
      <w:bookmarkEnd w:id="9"/>
    </w:p>
    <w:p>
      <w:pPr>
        <w:pStyle w:val="6"/>
        <w:ind w:firstLine="480" w:firstLineChars="200"/>
        <w:rPr>
          <w:rFonts w:ascii="Times New Roman" w:hAnsi="Times New Roman"/>
          <w:b w:val="0"/>
          <w:bCs w:val="0"/>
          <w:color w:val="000000"/>
          <w:sz w:val="24"/>
          <w:szCs w:val="24"/>
        </w:rPr>
      </w:pPr>
      <w:r>
        <w:rPr>
          <w:rFonts w:hint="eastAsia" w:ascii="Times New Roman" w:hAnsi="Times New Roman"/>
          <w:b w:val="0"/>
          <w:bCs w:val="0"/>
          <w:color w:val="000000"/>
          <w:sz w:val="24"/>
          <w:szCs w:val="24"/>
        </w:rPr>
        <w:t>自助就医系统提供住院预交金的银行卡、微信、支付宝等支付渠道的转账充值，即患者可在自助服务终端上给患者的住院预交金账户进行自助的刷卡转帐充值，自助就医系统结合支付平台业务系统、医院住院系统实现对患者充值缴费情况进行记录和管理控制。充值完成后打印凭条。</w:t>
      </w:r>
    </w:p>
    <w:p>
      <w:pPr>
        <w:pStyle w:val="4"/>
        <w:numPr>
          <w:ilvl w:val="3"/>
          <w:numId w:val="0"/>
        </w:numPr>
        <w:tabs>
          <w:tab w:val="clear" w:pos="0"/>
        </w:tabs>
        <w:ind w:leftChars="0"/>
        <w:rPr>
          <w:b w:val="0"/>
          <w:bCs w:val="0"/>
          <w:sz w:val="24"/>
          <w:szCs w:val="24"/>
        </w:rPr>
      </w:pPr>
      <w:bookmarkStart w:id="10" w:name="_Toc57882026"/>
      <w:bookmarkStart w:id="11" w:name="_Toc55768276"/>
      <w:r>
        <w:rPr>
          <w:rFonts w:hint="eastAsia"/>
          <w:b w:val="0"/>
          <w:bCs w:val="0"/>
          <w:sz w:val="24"/>
          <w:szCs w:val="24"/>
          <w:lang w:val="en-US" w:eastAsia="zh-CN"/>
        </w:rPr>
        <w:t>2、</w:t>
      </w:r>
      <w:r>
        <w:rPr>
          <w:rFonts w:hint="eastAsia"/>
          <w:b w:val="0"/>
          <w:bCs w:val="0"/>
          <w:sz w:val="24"/>
          <w:szCs w:val="24"/>
        </w:rPr>
        <w:t>病区医生介绍</w:t>
      </w:r>
      <w:bookmarkEnd w:id="10"/>
      <w:bookmarkEnd w:id="11"/>
    </w:p>
    <w:p>
      <w:pPr>
        <w:pStyle w:val="6"/>
        <w:ind w:firstLine="480" w:firstLineChars="200"/>
        <w:rPr>
          <w:rFonts w:ascii="Times New Roman" w:hAnsi="Times New Roman"/>
          <w:b w:val="0"/>
          <w:bCs w:val="0"/>
          <w:color w:val="000000"/>
          <w:sz w:val="24"/>
          <w:szCs w:val="24"/>
        </w:rPr>
      </w:pPr>
      <w:r>
        <w:rPr>
          <w:rFonts w:hint="eastAsia" w:ascii="Times New Roman" w:hAnsi="Times New Roman"/>
          <w:b w:val="0"/>
          <w:bCs w:val="0"/>
          <w:color w:val="000000"/>
          <w:sz w:val="24"/>
          <w:szCs w:val="24"/>
        </w:rPr>
        <w:t>该功能提供病区患者快速了解医生信息。智能定位当前自助机所在区域，优先显示该病区医生简介。</w:t>
      </w:r>
    </w:p>
    <w:p>
      <w:pPr>
        <w:pStyle w:val="4"/>
        <w:numPr>
          <w:ilvl w:val="3"/>
          <w:numId w:val="0"/>
        </w:numPr>
        <w:tabs>
          <w:tab w:val="clear" w:pos="0"/>
        </w:tabs>
        <w:ind w:leftChars="0"/>
        <w:rPr>
          <w:b w:val="0"/>
          <w:bCs w:val="0"/>
          <w:sz w:val="24"/>
          <w:szCs w:val="24"/>
        </w:rPr>
      </w:pPr>
      <w:bookmarkStart w:id="12" w:name="_Toc421542519"/>
      <w:bookmarkStart w:id="13" w:name="_Toc57882027"/>
      <w:r>
        <w:rPr>
          <w:rFonts w:hint="eastAsia"/>
          <w:b w:val="0"/>
          <w:bCs w:val="0"/>
          <w:sz w:val="24"/>
          <w:szCs w:val="24"/>
          <w:lang w:val="en-US" w:eastAsia="zh-CN"/>
        </w:rPr>
        <w:t>3、</w:t>
      </w:r>
      <w:r>
        <w:rPr>
          <w:rFonts w:hint="eastAsia"/>
          <w:b w:val="0"/>
          <w:bCs w:val="0"/>
          <w:sz w:val="24"/>
          <w:szCs w:val="24"/>
        </w:rPr>
        <w:t>住院结算</w:t>
      </w:r>
      <w:bookmarkEnd w:id="12"/>
      <w:bookmarkEnd w:id="13"/>
    </w:p>
    <w:p>
      <w:pPr>
        <w:pStyle w:val="6"/>
        <w:ind w:firstLine="480" w:firstLineChars="200"/>
        <w:jc w:val="left"/>
        <w:rPr>
          <w:rFonts w:ascii="Times New Roman" w:hAnsi="Times New Roman"/>
          <w:b w:val="0"/>
          <w:bCs w:val="0"/>
          <w:color w:val="000000"/>
          <w:sz w:val="24"/>
          <w:szCs w:val="24"/>
        </w:rPr>
      </w:pPr>
      <w:r>
        <w:rPr>
          <w:rFonts w:hint="eastAsia" w:ascii="Times New Roman" w:hAnsi="Times New Roman"/>
          <w:b w:val="0"/>
          <w:bCs w:val="0"/>
          <w:color w:val="000000"/>
          <w:sz w:val="24"/>
          <w:szCs w:val="24"/>
        </w:rPr>
        <w:t>住院期间可通过住院号查询住院消费记录，并选择是否充值预交金进行结算。</w:t>
      </w:r>
    </w:p>
    <w:p>
      <w:pPr>
        <w:pStyle w:val="4"/>
        <w:numPr>
          <w:ilvl w:val="3"/>
          <w:numId w:val="0"/>
        </w:numPr>
        <w:tabs>
          <w:tab w:val="clear" w:pos="0"/>
        </w:tabs>
        <w:ind w:leftChars="0"/>
        <w:rPr>
          <w:b w:val="0"/>
          <w:bCs w:val="0"/>
          <w:sz w:val="24"/>
          <w:szCs w:val="24"/>
        </w:rPr>
      </w:pPr>
      <w:bookmarkStart w:id="14" w:name="_Toc57882028"/>
      <w:bookmarkStart w:id="15" w:name="_Toc55768277"/>
      <w:r>
        <w:rPr>
          <w:rFonts w:hint="eastAsia"/>
          <w:b w:val="0"/>
          <w:bCs w:val="0"/>
          <w:sz w:val="24"/>
          <w:szCs w:val="24"/>
          <w:lang w:val="en-US" w:eastAsia="zh-CN"/>
        </w:rPr>
        <w:t>4、</w:t>
      </w:r>
      <w:r>
        <w:rPr>
          <w:rFonts w:hint="eastAsia"/>
          <w:b w:val="0"/>
          <w:bCs w:val="0"/>
          <w:sz w:val="24"/>
          <w:szCs w:val="24"/>
        </w:rPr>
        <w:t>健康宣教</w:t>
      </w:r>
      <w:bookmarkEnd w:id="14"/>
      <w:bookmarkEnd w:id="15"/>
    </w:p>
    <w:p>
      <w:pPr>
        <w:pStyle w:val="6"/>
        <w:ind w:firstLine="540" w:firstLineChars="225"/>
        <w:rPr>
          <w:rFonts w:ascii="Times New Roman" w:hAnsi="Times New Roman"/>
          <w:b w:val="0"/>
          <w:bCs w:val="0"/>
          <w:color w:val="000000"/>
          <w:sz w:val="24"/>
          <w:szCs w:val="24"/>
        </w:rPr>
      </w:pPr>
      <w:r>
        <w:rPr>
          <w:rFonts w:ascii="Times New Roman" w:hAnsi="Times New Roman"/>
          <w:b w:val="0"/>
          <w:bCs w:val="0"/>
          <w:color w:val="000000"/>
          <w:sz w:val="24"/>
          <w:szCs w:val="24"/>
        </w:rPr>
        <w:t>该功能提供患者了解医院实时发布的健康宣传视频</w:t>
      </w:r>
      <w:r>
        <w:rPr>
          <w:rFonts w:hint="eastAsia" w:ascii="Times New Roman" w:hAnsi="Times New Roman"/>
          <w:b w:val="0"/>
          <w:bCs w:val="0"/>
          <w:color w:val="000000"/>
          <w:sz w:val="24"/>
          <w:szCs w:val="24"/>
        </w:rPr>
        <w:t>、</w:t>
      </w:r>
      <w:r>
        <w:rPr>
          <w:rFonts w:ascii="Times New Roman" w:hAnsi="Times New Roman"/>
          <w:b w:val="0"/>
          <w:bCs w:val="0"/>
          <w:color w:val="000000"/>
          <w:sz w:val="24"/>
          <w:szCs w:val="24"/>
        </w:rPr>
        <w:t>图片等相关信息</w:t>
      </w:r>
      <w:r>
        <w:rPr>
          <w:rFonts w:hint="eastAsia" w:ascii="Times New Roman" w:hAnsi="Times New Roman"/>
          <w:b w:val="0"/>
          <w:bCs w:val="0"/>
          <w:color w:val="000000"/>
          <w:sz w:val="24"/>
          <w:szCs w:val="24"/>
        </w:rPr>
        <w:t>。</w:t>
      </w:r>
    </w:p>
    <w:p>
      <w:pPr>
        <w:pStyle w:val="4"/>
        <w:numPr>
          <w:ilvl w:val="3"/>
          <w:numId w:val="0"/>
        </w:numPr>
        <w:tabs>
          <w:tab w:val="clear" w:pos="0"/>
        </w:tabs>
        <w:ind w:leftChars="0"/>
        <w:rPr>
          <w:b w:val="0"/>
          <w:bCs w:val="0"/>
          <w:sz w:val="24"/>
          <w:szCs w:val="24"/>
        </w:rPr>
      </w:pPr>
      <w:bookmarkStart w:id="16" w:name="_Toc57882029"/>
      <w:bookmarkStart w:id="17" w:name="_Toc510168619"/>
      <w:r>
        <w:rPr>
          <w:rFonts w:hint="eastAsia"/>
          <w:b w:val="0"/>
          <w:bCs w:val="0"/>
          <w:sz w:val="24"/>
          <w:szCs w:val="24"/>
          <w:lang w:val="en-US" w:eastAsia="zh-CN"/>
        </w:rPr>
        <w:t>5、</w:t>
      </w:r>
      <w:r>
        <w:rPr>
          <w:rFonts w:hint="eastAsia"/>
          <w:b w:val="0"/>
          <w:bCs w:val="0"/>
          <w:sz w:val="24"/>
          <w:szCs w:val="24"/>
        </w:rPr>
        <w:t>满意度评测</w:t>
      </w:r>
      <w:bookmarkEnd w:id="16"/>
      <w:bookmarkEnd w:id="17"/>
    </w:p>
    <w:p>
      <w:pPr>
        <w:pStyle w:val="6"/>
        <w:ind w:firstLine="540" w:firstLineChars="225"/>
        <w:rPr>
          <w:rFonts w:ascii="Times New Roman" w:hAnsi="Times New Roman"/>
          <w:b w:val="0"/>
          <w:bCs w:val="0"/>
          <w:color w:val="000000"/>
          <w:sz w:val="24"/>
          <w:szCs w:val="24"/>
        </w:rPr>
      </w:pPr>
      <w:r>
        <w:rPr>
          <w:rFonts w:hint="eastAsia" w:ascii="Times New Roman" w:hAnsi="Times New Roman"/>
          <w:b w:val="0"/>
          <w:bCs w:val="0"/>
          <w:color w:val="000000"/>
          <w:sz w:val="24"/>
          <w:szCs w:val="24"/>
        </w:rPr>
        <w:t>提供患者在就诊完毕后根据个人直观感受对相关服务进行满意度评价，反馈就诊体验，帮助医院提升服务质量。</w:t>
      </w:r>
    </w:p>
    <w:p>
      <w:pPr>
        <w:rPr>
          <w:rFonts w:hint="eastAsia" w:eastAsia="宋体" w:asciiTheme="minorEastAsia" w:hAnsiTheme="minorEastAsia"/>
          <w:lang w:eastAsia="zh-CN"/>
        </w:rPr>
      </w:pPr>
    </w:p>
    <w:p>
      <w:pPr>
        <w:rPr>
          <w:rFonts w:hint="eastAsia" w:cs="Times New Roman" w:asciiTheme="minorEastAsia" w:hAnsiTheme="minorEastAsia"/>
          <w:sz w:val="24"/>
          <w:szCs w:val="24"/>
          <w:lang w:eastAsia="zh-CN"/>
        </w:rPr>
      </w:pPr>
    </w:p>
    <w:p>
      <w:pPr>
        <w:rPr>
          <w:rFonts w:hint="eastAsia"/>
          <w:lang w:eastAsia="zh-CN"/>
        </w:rPr>
      </w:pPr>
    </w:p>
    <w:p>
      <w:pPr>
        <w:pStyle w:val="2"/>
        <w:numPr>
          <w:ilvl w:val="0"/>
          <w:numId w:val="0"/>
        </w:numPr>
        <w:spacing w:before="0" w:after="0" w:line="240" w:lineRule="auto"/>
        <w:ind w:left="3196" w:leftChars="0"/>
        <w:jc w:val="left"/>
        <w:rPr>
          <w:rFonts w:hint="eastAsia" w:ascii="仿宋" w:hAnsi="仿宋" w:eastAsia="仿宋"/>
          <w:bCs w:val="0"/>
          <w:kern w:val="2"/>
          <w:sz w:val="36"/>
          <w:szCs w:val="36"/>
          <w:lang w:eastAsia="zh-CN"/>
        </w:rPr>
      </w:pPr>
    </w:p>
    <w:p>
      <w:pPr>
        <w:pStyle w:val="2"/>
        <w:numPr>
          <w:ilvl w:val="0"/>
          <w:numId w:val="0"/>
        </w:numPr>
        <w:spacing w:before="0" w:after="0" w:line="240" w:lineRule="auto"/>
        <w:jc w:val="left"/>
        <w:rPr>
          <w:rFonts w:hint="eastAsia" w:ascii="仿宋" w:hAnsi="仿宋" w:eastAsia="仿宋"/>
          <w:bCs w:val="0"/>
          <w:kern w:val="2"/>
          <w:sz w:val="36"/>
          <w:szCs w:val="36"/>
          <w:lang w:eastAsia="zh-CN"/>
        </w:rPr>
      </w:pPr>
    </w:p>
    <w:p>
      <w:pPr>
        <w:pStyle w:val="2"/>
        <w:numPr>
          <w:ilvl w:val="0"/>
          <w:numId w:val="0"/>
        </w:numPr>
        <w:spacing w:before="0" w:after="0" w:line="240" w:lineRule="auto"/>
        <w:jc w:val="left"/>
        <w:rPr>
          <w:rFonts w:hint="eastAsia" w:ascii="仿宋" w:hAnsi="仿宋" w:eastAsia="仿宋"/>
          <w:bCs w:val="0"/>
          <w:kern w:val="2"/>
          <w:sz w:val="36"/>
          <w:szCs w:val="36"/>
          <w:lang w:eastAsia="zh-CN"/>
        </w:rPr>
      </w:pPr>
      <w:r>
        <w:rPr>
          <w:rFonts w:hint="eastAsia" w:ascii="仿宋" w:hAnsi="仿宋" w:eastAsia="仿宋"/>
          <w:bCs w:val="0"/>
          <w:kern w:val="2"/>
          <w:sz w:val="36"/>
          <w:szCs w:val="36"/>
          <w:lang w:eastAsia="zh-CN"/>
        </w:rPr>
        <w:t>二、信息化建设软件清单及预算</w:t>
      </w:r>
    </w:p>
    <w:p>
      <w:pPr>
        <w:rPr>
          <w:rFonts w:hint="eastAsia"/>
          <w:lang w:eastAsia="zh-CN"/>
        </w:rPr>
      </w:pPr>
    </w:p>
    <w:p>
      <w:pPr>
        <w:numPr>
          <w:ilvl w:val="0"/>
          <w:numId w:val="0"/>
        </w:numPr>
        <w:rPr>
          <w:rFonts w:hint="eastAsia"/>
          <w:lang w:eastAsia="zh-CN"/>
        </w:rPr>
      </w:pPr>
    </w:p>
    <w:tbl>
      <w:tblPr>
        <w:tblStyle w:val="8"/>
        <w:tblW w:w="92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18"/>
        <w:gridCol w:w="708"/>
        <w:gridCol w:w="724"/>
        <w:gridCol w:w="1261"/>
        <w:gridCol w:w="127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noWrap w:val="0"/>
            <w:vAlign w:val="center"/>
          </w:tcPr>
          <w:p>
            <w:pPr>
              <w:widowControl/>
              <w:adjustRightInd w:val="0"/>
              <w:spacing w:line="240" w:lineRule="auto"/>
              <w:ind w:firstLine="0" w:firstLineChars="0"/>
              <w:jc w:val="center"/>
              <w:rPr>
                <w:rFonts w:ascii="仿宋" w:hAnsi="仿宋" w:eastAsia="仿宋" w:cs="宋体"/>
                <w:b/>
                <w:bCs/>
                <w:kern w:val="0"/>
                <w:sz w:val="24"/>
              </w:rPr>
            </w:pPr>
            <w:r>
              <w:rPr>
                <w:rFonts w:hint="eastAsia" w:ascii="仿宋" w:hAnsi="仿宋" w:eastAsia="仿宋" w:cs="宋体"/>
                <w:b/>
                <w:bCs/>
                <w:kern w:val="0"/>
                <w:sz w:val="24"/>
              </w:rPr>
              <w:t>序号</w:t>
            </w:r>
          </w:p>
        </w:tc>
        <w:tc>
          <w:tcPr>
            <w:tcW w:w="2918" w:type="dxa"/>
            <w:noWrap w:val="0"/>
            <w:vAlign w:val="center"/>
          </w:tcPr>
          <w:p>
            <w:pPr>
              <w:widowControl/>
              <w:adjustRightInd w:val="0"/>
              <w:spacing w:line="240" w:lineRule="auto"/>
              <w:ind w:firstLine="0" w:firstLineChars="0"/>
              <w:jc w:val="center"/>
              <w:rPr>
                <w:rFonts w:ascii="仿宋" w:hAnsi="仿宋" w:eastAsia="仿宋" w:cs="宋体"/>
                <w:b/>
                <w:bCs/>
                <w:kern w:val="0"/>
                <w:sz w:val="24"/>
              </w:rPr>
            </w:pPr>
            <w:r>
              <w:rPr>
                <w:rFonts w:hint="eastAsia" w:ascii="仿宋" w:hAnsi="仿宋" w:eastAsia="仿宋" w:cs="宋体"/>
                <w:b/>
                <w:bCs/>
                <w:kern w:val="0"/>
                <w:sz w:val="24"/>
              </w:rPr>
              <w:t>项   目</w:t>
            </w:r>
          </w:p>
        </w:tc>
        <w:tc>
          <w:tcPr>
            <w:tcW w:w="708" w:type="dxa"/>
            <w:noWrap w:val="0"/>
            <w:vAlign w:val="center"/>
          </w:tcPr>
          <w:p>
            <w:pPr>
              <w:widowControl/>
              <w:adjustRightInd w:val="0"/>
              <w:spacing w:line="240" w:lineRule="auto"/>
              <w:ind w:firstLine="0" w:firstLineChars="0"/>
              <w:jc w:val="center"/>
              <w:rPr>
                <w:rFonts w:ascii="仿宋" w:hAnsi="仿宋" w:eastAsia="仿宋" w:cs="宋体"/>
                <w:b/>
                <w:bCs/>
                <w:kern w:val="0"/>
                <w:sz w:val="24"/>
              </w:rPr>
            </w:pPr>
            <w:r>
              <w:rPr>
                <w:rFonts w:hint="eastAsia" w:ascii="仿宋" w:hAnsi="仿宋" w:eastAsia="仿宋" w:cs="宋体"/>
                <w:b/>
                <w:bCs/>
                <w:kern w:val="0"/>
                <w:sz w:val="24"/>
              </w:rPr>
              <w:t>单位</w:t>
            </w:r>
          </w:p>
        </w:tc>
        <w:tc>
          <w:tcPr>
            <w:tcW w:w="724" w:type="dxa"/>
            <w:noWrap w:val="0"/>
            <w:vAlign w:val="center"/>
          </w:tcPr>
          <w:p>
            <w:pPr>
              <w:widowControl/>
              <w:adjustRightInd w:val="0"/>
              <w:spacing w:line="240" w:lineRule="auto"/>
              <w:ind w:firstLine="0" w:firstLineChars="0"/>
              <w:jc w:val="center"/>
              <w:rPr>
                <w:rFonts w:ascii="仿宋" w:hAnsi="仿宋" w:eastAsia="仿宋" w:cs="宋体"/>
                <w:b/>
                <w:bCs/>
                <w:kern w:val="0"/>
                <w:sz w:val="24"/>
              </w:rPr>
            </w:pPr>
            <w:r>
              <w:rPr>
                <w:rFonts w:hint="eastAsia" w:ascii="仿宋" w:hAnsi="仿宋" w:eastAsia="仿宋" w:cs="宋体"/>
                <w:b/>
                <w:bCs/>
                <w:kern w:val="0"/>
                <w:sz w:val="24"/>
              </w:rPr>
              <w:t>数量</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单价</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总价</w:t>
            </w:r>
          </w:p>
        </w:tc>
        <w:tc>
          <w:tcPr>
            <w:tcW w:w="1573" w:type="dxa"/>
            <w:noWrap w:val="0"/>
            <w:vAlign w:val="center"/>
          </w:tcPr>
          <w:p>
            <w:pPr>
              <w:widowControl/>
              <w:adjustRightInd w:val="0"/>
              <w:spacing w:line="240" w:lineRule="auto"/>
              <w:ind w:firstLine="0" w:firstLineChars="0"/>
              <w:jc w:val="center"/>
              <w:rPr>
                <w:rFonts w:ascii="仿宋" w:hAnsi="仿宋" w:eastAsia="仿宋" w:cs="宋体"/>
                <w:b/>
                <w:bCs/>
                <w:kern w:val="0"/>
                <w:sz w:val="24"/>
              </w:rPr>
            </w:pPr>
            <w:r>
              <w:rPr>
                <w:rFonts w:hint="eastAsia" w:ascii="仿宋" w:hAnsi="仿宋" w:eastAsia="仿宋"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9"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一</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b/>
                <w:sz w:val="24"/>
                <w:lang w:eastAsia="zh-CN"/>
              </w:rPr>
            </w:pPr>
            <w:r>
              <w:rPr>
                <w:rFonts w:hint="eastAsia" w:ascii="仿宋" w:hAnsi="仿宋" w:eastAsia="仿宋"/>
                <w:sz w:val="24"/>
                <w:lang w:eastAsia="zh-CN"/>
              </w:rPr>
              <w:t>检查预约系统</w:t>
            </w:r>
          </w:p>
        </w:tc>
        <w:tc>
          <w:tcPr>
            <w:tcW w:w="708"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sz w:val="24"/>
              </w:rPr>
              <w:t>套</w:t>
            </w:r>
          </w:p>
        </w:tc>
        <w:tc>
          <w:tcPr>
            <w:tcW w:w="724" w:type="dxa"/>
            <w:noWrap w:val="0"/>
            <w:vAlign w:val="center"/>
          </w:tcPr>
          <w:p>
            <w:pPr>
              <w:widowControl/>
              <w:adjustRightInd w:val="0"/>
              <w:spacing w:line="240" w:lineRule="auto"/>
              <w:ind w:firstLine="0" w:firstLineChars="0"/>
              <w:jc w:val="center"/>
              <w:rPr>
                <w:rFonts w:ascii="仿宋" w:hAnsi="仿宋" w:eastAsia="仿宋" w:cs="宋体"/>
                <w:kern w:val="0"/>
                <w:sz w:val="24"/>
              </w:rPr>
            </w:pPr>
            <w:r>
              <w:rPr>
                <w:rFonts w:hint="eastAsia" w:ascii="仿宋" w:hAnsi="仿宋" w:eastAsia="仿宋" w:cs="宋体"/>
                <w:kern w:val="0"/>
                <w:sz w:val="24"/>
              </w:rPr>
              <w:t>1</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b/>
                <w:bCs/>
                <w:kern w:val="0"/>
                <w:sz w:val="24"/>
              </w:rPr>
            </w:pPr>
            <w:r>
              <w:rPr>
                <w:rFonts w:ascii="Calibri" w:hAnsi="Calibri" w:eastAsia="仿宋" w:cs="Calibri"/>
                <w:sz w:val="24"/>
              </w:rPr>
              <w:t>¥</w:t>
            </w:r>
            <w:r>
              <w:rPr>
                <w:rFonts w:hint="eastAsia" w:ascii="仿宋" w:hAnsi="仿宋" w:eastAsia="仿宋"/>
                <w:sz w:val="24"/>
                <w:lang w:val="en-US" w:eastAsia="zh-CN"/>
              </w:rPr>
              <w:t>24</w:t>
            </w:r>
            <w:r>
              <w:rPr>
                <w:rFonts w:hint="eastAsia" w:ascii="仿宋" w:hAnsi="仿宋" w:eastAsia="仿宋"/>
                <w:sz w:val="24"/>
              </w:rPr>
              <w:t>0,000</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b/>
                <w:bCs/>
                <w:kern w:val="0"/>
                <w:sz w:val="24"/>
              </w:rPr>
            </w:pPr>
            <w:r>
              <w:rPr>
                <w:rFonts w:ascii="Calibri" w:hAnsi="Calibri" w:eastAsia="仿宋" w:cs="Calibri"/>
                <w:sz w:val="24"/>
              </w:rPr>
              <w:t>¥</w:t>
            </w:r>
            <w:r>
              <w:rPr>
                <w:rFonts w:hint="eastAsia" w:ascii="仿宋" w:hAnsi="仿宋" w:eastAsia="仿宋"/>
                <w:sz w:val="24"/>
                <w:lang w:val="en-US" w:eastAsia="zh-CN"/>
              </w:rPr>
              <w:t>24</w:t>
            </w:r>
            <w:r>
              <w:rPr>
                <w:rFonts w:hint="eastAsia" w:ascii="仿宋" w:hAnsi="仿宋" w:eastAsia="仿宋"/>
                <w:sz w:val="24"/>
              </w:rPr>
              <w:t>0,000</w:t>
            </w:r>
          </w:p>
        </w:tc>
        <w:tc>
          <w:tcPr>
            <w:tcW w:w="1573" w:type="dxa"/>
            <w:noWrap w:val="0"/>
            <w:vAlign w:val="center"/>
          </w:tcPr>
          <w:p>
            <w:pPr>
              <w:widowControl/>
              <w:adjustRightInd w:val="0"/>
              <w:spacing w:line="240" w:lineRule="auto"/>
              <w:ind w:firstLine="0" w:firstLineChars="0"/>
              <w:rPr>
                <w:rFonts w:hint="eastAsia" w:ascii="仿宋" w:hAnsi="仿宋" w:eastAsia="仿宋"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9" w:type="dxa"/>
            <w:noWrap w:val="0"/>
            <w:vAlign w:val="center"/>
          </w:tcPr>
          <w:p>
            <w:pPr>
              <w:autoSpaceDE w:val="0"/>
              <w:autoSpaceDN w:val="0"/>
              <w:adjustRightInd w:val="0"/>
              <w:snapToGrid w:val="0"/>
              <w:spacing w:line="240" w:lineRule="auto"/>
              <w:ind w:firstLine="0" w:firstLineChars="0"/>
              <w:jc w:val="center"/>
              <w:rPr>
                <w:rFonts w:hint="eastAsia" w:ascii="仿宋" w:hAnsi="仿宋" w:eastAsia="仿宋"/>
                <w:sz w:val="24"/>
              </w:rPr>
            </w:pPr>
            <w:r>
              <w:rPr>
                <w:rFonts w:hint="eastAsia" w:ascii="仿宋" w:hAnsi="仿宋" w:eastAsia="仿宋"/>
                <w:sz w:val="24"/>
              </w:rPr>
              <w:t>二</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sz w:val="24"/>
              </w:rPr>
            </w:pPr>
            <w:r>
              <w:rPr>
                <w:rFonts w:hint="eastAsia" w:ascii="仿宋" w:hAnsi="仿宋" w:eastAsia="仿宋"/>
                <w:sz w:val="24"/>
              </w:rPr>
              <w:t>临床路径管理系统</w:t>
            </w:r>
          </w:p>
        </w:tc>
        <w:tc>
          <w:tcPr>
            <w:tcW w:w="708" w:type="dxa"/>
            <w:noWrap w:val="0"/>
            <w:vAlign w:val="center"/>
          </w:tcPr>
          <w:p>
            <w:pPr>
              <w:autoSpaceDE w:val="0"/>
              <w:autoSpaceDN w:val="0"/>
              <w:adjustRightInd w:val="0"/>
              <w:snapToGrid w:val="0"/>
              <w:spacing w:line="240" w:lineRule="auto"/>
              <w:ind w:firstLine="0" w:firstLineChars="0"/>
              <w:jc w:val="center"/>
              <w:rPr>
                <w:rFonts w:hint="eastAsia" w:ascii="仿宋" w:hAnsi="仿宋" w:eastAsia="仿宋"/>
                <w:sz w:val="24"/>
              </w:rPr>
            </w:pPr>
            <w:r>
              <w:rPr>
                <w:rFonts w:hint="eastAsia" w:ascii="仿宋" w:hAnsi="仿宋" w:eastAsia="仿宋"/>
                <w:sz w:val="24"/>
              </w:rPr>
              <w:t>套</w:t>
            </w:r>
          </w:p>
        </w:tc>
        <w:tc>
          <w:tcPr>
            <w:tcW w:w="724" w:type="dxa"/>
            <w:noWrap w:val="0"/>
            <w:vAlign w:val="center"/>
          </w:tcPr>
          <w:p>
            <w:pPr>
              <w:autoSpaceDE w:val="0"/>
              <w:autoSpaceDN w:val="0"/>
              <w:adjustRightInd w:val="0"/>
              <w:snapToGrid w:val="0"/>
              <w:spacing w:line="240" w:lineRule="auto"/>
              <w:ind w:firstLine="0" w:firstLineChars="0"/>
              <w:jc w:val="center"/>
              <w:rPr>
                <w:rFonts w:hint="eastAsia" w:ascii="仿宋" w:hAnsi="仿宋" w:eastAsia="仿宋"/>
                <w:sz w:val="24"/>
              </w:rPr>
            </w:pPr>
            <w:r>
              <w:rPr>
                <w:rFonts w:hint="eastAsia" w:ascii="仿宋" w:hAnsi="仿宋" w:eastAsia="仿宋"/>
                <w:sz w:val="24"/>
              </w:rPr>
              <w:t>1</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kern w:val="0"/>
                <w:sz w:val="24"/>
              </w:rPr>
              <w:t>¥</w:t>
            </w:r>
            <w:r>
              <w:rPr>
                <w:rFonts w:hint="eastAsia" w:ascii="仿宋" w:hAnsi="仿宋" w:eastAsia="仿宋" w:cs="宋体"/>
                <w:kern w:val="0"/>
                <w:sz w:val="24"/>
                <w:lang w:val="en-US" w:eastAsia="zh-CN"/>
              </w:rPr>
              <w:t>20</w:t>
            </w:r>
            <w:r>
              <w:rPr>
                <w:rFonts w:hint="eastAsia" w:ascii="仿宋" w:hAnsi="仿宋" w:eastAsia="仿宋" w:cs="宋体"/>
                <w:kern w:val="0"/>
                <w:sz w:val="24"/>
              </w:rPr>
              <w:t>0,000</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kern w:val="0"/>
                <w:sz w:val="24"/>
              </w:rPr>
              <w:t>¥</w:t>
            </w:r>
            <w:r>
              <w:rPr>
                <w:rFonts w:hint="eastAsia" w:ascii="仿宋" w:hAnsi="仿宋" w:eastAsia="仿宋" w:cs="宋体"/>
                <w:kern w:val="0"/>
                <w:sz w:val="24"/>
                <w:lang w:val="en-US" w:eastAsia="zh-CN"/>
              </w:rPr>
              <w:t>20</w:t>
            </w:r>
            <w:r>
              <w:rPr>
                <w:rFonts w:hint="eastAsia" w:ascii="仿宋" w:hAnsi="仿宋" w:eastAsia="仿宋" w:cs="宋体"/>
                <w:kern w:val="0"/>
                <w:sz w:val="24"/>
              </w:rPr>
              <w:t>0,000</w:t>
            </w:r>
          </w:p>
        </w:tc>
        <w:tc>
          <w:tcPr>
            <w:tcW w:w="1573" w:type="dxa"/>
            <w:noWrap w:val="0"/>
            <w:vAlign w:val="top"/>
          </w:tcPr>
          <w:p>
            <w:pPr>
              <w:widowControl/>
              <w:adjustRightInd w:val="0"/>
              <w:spacing w:line="240" w:lineRule="auto"/>
              <w:ind w:firstLine="0" w:firstLineChars="0"/>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三</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合理用药系统</w:t>
            </w:r>
          </w:p>
        </w:tc>
        <w:tc>
          <w:tcPr>
            <w:tcW w:w="708"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套</w:t>
            </w:r>
          </w:p>
        </w:tc>
        <w:tc>
          <w:tcPr>
            <w:tcW w:w="724"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23</w:t>
            </w:r>
            <w:r>
              <w:rPr>
                <w:rFonts w:hint="eastAsia" w:ascii="仿宋" w:hAnsi="仿宋" w:eastAsia="仿宋"/>
                <w:sz w:val="24"/>
              </w:rPr>
              <w:t>0,000</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23</w:t>
            </w:r>
            <w:r>
              <w:rPr>
                <w:rFonts w:hint="eastAsia" w:ascii="仿宋" w:hAnsi="仿宋" w:eastAsia="仿宋"/>
                <w:sz w:val="24"/>
              </w:rPr>
              <w:t>0,000</w:t>
            </w:r>
          </w:p>
        </w:tc>
        <w:tc>
          <w:tcPr>
            <w:tcW w:w="1573" w:type="dxa"/>
            <w:noWrap w:val="0"/>
            <w:vAlign w:val="top"/>
          </w:tcPr>
          <w:p>
            <w:pPr>
              <w:widowControl/>
              <w:adjustRightInd w:val="0"/>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含his接口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四</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医院感染管理系统</w:t>
            </w:r>
          </w:p>
        </w:tc>
        <w:tc>
          <w:tcPr>
            <w:tcW w:w="708"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套</w:t>
            </w:r>
          </w:p>
        </w:tc>
        <w:tc>
          <w:tcPr>
            <w:tcW w:w="724"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20</w:t>
            </w:r>
            <w:r>
              <w:rPr>
                <w:rFonts w:hint="eastAsia" w:ascii="仿宋" w:hAnsi="仿宋" w:eastAsia="仿宋"/>
                <w:sz w:val="24"/>
              </w:rPr>
              <w:t>0,000</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20</w:t>
            </w:r>
            <w:r>
              <w:rPr>
                <w:rFonts w:hint="eastAsia" w:ascii="仿宋" w:hAnsi="仿宋" w:eastAsia="仿宋"/>
                <w:sz w:val="24"/>
              </w:rPr>
              <w:t>0,000</w:t>
            </w:r>
          </w:p>
        </w:tc>
        <w:tc>
          <w:tcPr>
            <w:tcW w:w="1573" w:type="dxa"/>
            <w:noWrap w:val="0"/>
            <w:vAlign w:val="center"/>
          </w:tcPr>
          <w:p>
            <w:pPr>
              <w:widowControl/>
              <w:adjustRightInd w:val="0"/>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含his接口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五</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cs="宋体"/>
                <w:kern w:val="0"/>
                <w:sz w:val="24"/>
                <w:lang w:eastAsia="zh-CN"/>
              </w:rPr>
            </w:pPr>
            <w:r>
              <w:rPr>
                <w:rFonts w:hint="eastAsia" w:ascii="仿宋" w:hAnsi="仿宋" w:eastAsia="仿宋" w:cs="宋体"/>
                <w:kern w:val="0"/>
                <w:sz w:val="24"/>
                <w:lang w:eastAsia="zh-CN"/>
              </w:rPr>
              <w:t>门诊电子病历系统</w:t>
            </w:r>
          </w:p>
        </w:tc>
        <w:tc>
          <w:tcPr>
            <w:tcW w:w="708"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套</w:t>
            </w:r>
          </w:p>
        </w:tc>
        <w:tc>
          <w:tcPr>
            <w:tcW w:w="724" w:type="dxa"/>
            <w:noWrap w:val="0"/>
            <w:vAlign w:val="center"/>
          </w:tcPr>
          <w:p>
            <w:pPr>
              <w:widowControl/>
              <w:adjustRightInd w:val="0"/>
              <w:spacing w:line="240" w:lineRule="auto"/>
              <w:ind w:firstLine="0" w:firstLineChars="0"/>
              <w:jc w:val="center"/>
              <w:rPr>
                <w:rFonts w:hint="eastAsia" w:ascii="仿宋" w:hAnsi="仿宋" w:eastAsia="仿宋" w:cs="宋体"/>
                <w:kern w:val="0"/>
                <w:sz w:val="24"/>
              </w:rPr>
            </w:pPr>
            <w:r>
              <w:rPr>
                <w:rFonts w:ascii="仿宋" w:hAnsi="仿宋" w:eastAsia="仿宋" w:cs="宋体"/>
                <w:kern w:val="0"/>
                <w:sz w:val="24"/>
              </w:rPr>
              <w:t>1</w:t>
            </w:r>
          </w:p>
        </w:tc>
        <w:tc>
          <w:tcPr>
            <w:tcW w:w="1261"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22</w:t>
            </w:r>
            <w:r>
              <w:rPr>
                <w:rFonts w:hint="eastAsia" w:ascii="仿宋" w:hAnsi="仿宋" w:eastAsia="仿宋"/>
                <w:sz w:val="24"/>
              </w:rPr>
              <w:t>0,000</w:t>
            </w:r>
          </w:p>
        </w:tc>
        <w:tc>
          <w:tcPr>
            <w:tcW w:w="1276" w:type="dxa"/>
            <w:noWrap w:val="0"/>
            <w:vAlign w:val="top"/>
          </w:tcPr>
          <w:p>
            <w:pPr>
              <w:widowControl/>
              <w:adjustRightInd w:val="0"/>
              <w:spacing w:line="240" w:lineRule="auto"/>
              <w:ind w:firstLine="0" w:firstLineChars="0"/>
              <w:jc w:val="center"/>
              <w:rPr>
                <w:rFonts w:hint="eastAsia" w:ascii="仿宋" w:hAnsi="仿宋" w:eastAsia="仿宋" w:cs="宋体"/>
                <w:kern w:val="0"/>
                <w:sz w:val="24"/>
              </w:rPr>
            </w:pPr>
            <w:r>
              <w:rPr>
                <w:rFonts w:ascii="Calibri" w:hAnsi="Calibri" w:eastAsia="仿宋" w:cs="Calibri"/>
                <w:sz w:val="24"/>
              </w:rPr>
              <w:t>¥</w:t>
            </w:r>
            <w:r>
              <w:rPr>
                <w:rFonts w:hint="eastAsia" w:ascii="仿宋" w:hAnsi="仿宋" w:eastAsia="仿宋"/>
                <w:sz w:val="24"/>
                <w:lang w:val="en-US" w:eastAsia="zh-CN"/>
              </w:rPr>
              <w:t>22</w:t>
            </w:r>
            <w:r>
              <w:rPr>
                <w:rFonts w:hint="eastAsia" w:ascii="仿宋" w:hAnsi="仿宋" w:eastAsia="仿宋"/>
                <w:sz w:val="24"/>
              </w:rPr>
              <w:t>0,000</w:t>
            </w:r>
          </w:p>
        </w:tc>
        <w:tc>
          <w:tcPr>
            <w:tcW w:w="1573" w:type="dxa"/>
            <w:noWrap w:val="0"/>
            <w:vAlign w:val="center"/>
          </w:tcPr>
          <w:p>
            <w:pPr>
              <w:widowControl/>
              <w:adjustRightInd w:val="0"/>
              <w:spacing w:line="240" w:lineRule="auto"/>
              <w:ind w:firstLine="0" w:firstLineChars="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noWrap w:val="0"/>
            <w:vAlign w:val="center"/>
          </w:tcPr>
          <w:p>
            <w:pPr>
              <w:widowControl/>
              <w:adjustRightInd w:val="0"/>
              <w:spacing w:line="240" w:lineRule="auto"/>
              <w:ind w:firstLine="0" w:firstLineChars="0"/>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六</w:t>
            </w:r>
          </w:p>
        </w:tc>
        <w:tc>
          <w:tcPr>
            <w:tcW w:w="2918" w:type="dxa"/>
            <w:noWrap w:val="0"/>
            <w:vAlign w:val="center"/>
          </w:tcPr>
          <w:p>
            <w:pPr>
              <w:autoSpaceDE w:val="0"/>
              <w:autoSpaceDN w:val="0"/>
              <w:adjustRightInd w:val="0"/>
              <w:snapToGrid w:val="0"/>
              <w:spacing w:line="240" w:lineRule="auto"/>
              <w:ind w:firstLine="0" w:firstLineChars="0"/>
              <w:rPr>
                <w:rFonts w:hint="eastAsia" w:ascii="仿宋" w:hAnsi="仿宋" w:eastAsia="仿宋" w:cs="宋体"/>
                <w:kern w:val="0"/>
                <w:sz w:val="24"/>
                <w:lang w:eastAsia="zh-CN"/>
              </w:rPr>
            </w:pPr>
            <w:r>
              <w:rPr>
                <w:rFonts w:hint="eastAsia" w:ascii="仿宋" w:hAnsi="仿宋" w:eastAsia="仿宋" w:cs="宋体"/>
                <w:kern w:val="0"/>
                <w:sz w:val="24"/>
                <w:lang w:eastAsia="zh-CN"/>
              </w:rPr>
              <w:t>住院自助机系统（含</w:t>
            </w:r>
            <w:r>
              <w:rPr>
                <w:rFonts w:hint="eastAsia" w:ascii="仿宋" w:hAnsi="仿宋" w:eastAsia="仿宋" w:cs="宋体"/>
                <w:kern w:val="0"/>
                <w:sz w:val="24"/>
                <w:lang w:val="en-US" w:eastAsia="zh-CN"/>
              </w:rPr>
              <w:t>4台自助机</w:t>
            </w:r>
            <w:r>
              <w:rPr>
                <w:rFonts w:hint="eastAsia" w:ascii="仿宋" w:hAnsi="仿宋" w:eastAsia="仿宋" w:cs="宋体"/>
                <w:kern w:val="0"/>
                <w:sz w:val="24"/>
                <w:lang w:eastAsia="zh-CN"/>
              </w:rPr>
              <w:t>）</w:t>
            </w:r>
          </w:p>
        </w:tc>
        <w:tc>
          <w:tcPr>
            <w:tcW w:w="708" w:type="dxa"/>
            <w:noWrap w:val="0"/>
            <w:vAlign w:val="center"/>
          </w:tcPr>
          <w:p>
            <w:pPr>
              <w:widowControl/>
              <w:adjustRightInd w:val="0"/>
              <w:spacing w:line="240" w:lineRule="auto"/>
              <w:ind w:firstLine="0" w:firstLineChars="0"/>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套</w:t>
            </w:r>
          </w:p>
        </w:tc>
        <w:tc>
          <w:tcPr>
            <w:tcW w:w="724" w:type="dxa"/>
            <w:noWrap w:val="0"/>
            <w:vAlign w:val="center"/>
          </w:tcPr>
          <w:p>
            <w:pPr>
              <w:widowControl/>
              <w:adjustRightInd w:val="0"/>
              <w:spacing w:line="240" w:lineRule="auto"/>
              <w:ind w:firstLine="0" w:firstLineChars="0"/>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w:t>
            </w:r>
          </w:p>
        </w:tc>
        <w:tc>
          <w:tcPr>
            <w:tcW w:w="1261" w:type="dxa"/>
            <w:noWrap w:val="0"/>
            <w:vAlign w:val="top"/>
          </w:tcPr>
          <w:p>
            <w:pPr>
              <w:widowControl/>
              <w:adjustRightInd w:val="0"/>
              <w:spacing w:line="240" w:lineRule="auto"/>
              <w:ind w:firstLine="0" w:firstLineChars="0"/>
              <w:jc w:val="center"/>
              <w:rPr>
                <w:rFonts w:ascii="Calibri" w:hAnsi="Calibri" w:eastAsia="仿宋" w:cs="Calibri"/>
                <w:sz w:val="24"/>
              </w:rPr>
            </w:pPr>
          </w:p>
          <w:p>
            <w:pPr>
              <w:widowControl/>
              <w:adjustRightInd w:val="0"/>
              <w:spacing w:line="240" w:lineRule="auto"/>
              <w:ind w:firstLine="0" w:firstLineChars="0"/>
              <w:jc w:val="center"/>
              <w:rPr>
                <w:rFonts w:hint="default" w:ascii="Calibri" w:hAnsi="Calibri" w:eastAsia="仿宋" w:cs="Calibri"/>
                <w:sz w:val="24"/>
                <w:lang w:val="en-US" w:eastAsia="zh-CN"/>
              </w:rPr>
            </w:pPr>
            <w:r>
              <w:rPr>
                <w:rFonts w:ascii="Calibri" w:hAnsi="Calibri" w:eastAsia="仿宋" w:cs="Calibri"/>
                <w:sz w:val="24"/>
              </w:rPr>
              <w:t>¥</w:t>
            </w:r>
            <w:r>
              <w:rPr>
                <w:rFonts w:hint="eastAsia" w:ascii="仿宋" w:hAnsi="仿宋" w:eastAsia="仿宋"/>
                <w:sz w:val="24"/>
                <w:lang w:val="en-US" w:eastAsia="zh-CN"/>
              </w:rPr>
              <w:t>26</w:t>
            </w:r>
            <w:r>
              <w:rPr>
                <w:rFonts w:hint="eastAsia" w:ascii="仿宋" w:hAnsi="仿宋" w:eastAsia="仿宋"/>
                <w:sz w:val="24"/>
              </w:rPr>
              <w:t>0,000</w:t>
            </w:r>
          </w:p>
        </w:tc>
        <w:tc>
          <w:tcPr>
            <w:tcW w:w="1276" w:type="dxa"/>
            <w:noWrap w:val="0"/>
            <w:vAlign w:val="top"/>
          </w:tcPr>
          <w:p>
            <w:pPr>
              <w:widowControl/>
              <w:adjustRightInd w:val="0"/>
              <w:spacing w:line="240" w:lineRule="auto"/>
              <w:ind w:firstLine="0" w:firstLineChars="0"/>
              <w:jc w:val="center"/>
              <w:rPr>
                <w:rFonts w:ascii="Calibri" w:hAnsi="Calibri" w:eastAsia="仿宋" w:cs="Calibri"/>
                <w:sz w:val="24"/>
              </w:rPr>
            </w:pPr>
          </w:p>
          <w:p>
            <w:pPr>
              <w:widowControl/>
              <w:adjustRightInd w:val="0"/>
              <w:spacing w:line="240" w:lineRule="auto"/>
              <w:ind w:firstLine="0" w:firstLineChars="0"/>
              <w:jc w:val="center"/>
              <w:rPr>
                <w:rFonts w:ascii="Calibri" w:hAnsi="Calibri" w:eastAsia="仿宋" w:cs="Calibri"/>
                <w:sz w:val="24"/>
              </w:rPr>
            </w:pPr>
            <w:r>
              <w:rPr>
                <w:rFonts w:ascii="Calibri" w:hAnsi="Calibri" w:eastAsia="仿宋" w:cs="Calibri"/>
                <w:sz w:val="24"/>
              </w:rPr>
              <w:t>¥</w:t>
            </w:r>
            <w:r>
              <w:rPr>
                <w:rFonts w:hint="eastAsia" w:ascii="仿宋" w:hAnsi="仿宋" w:eastAsia="仿宋"/>
                <w:sz w:val="24"/>
                <w:lang w:val="en-US" w:eastAsia="zh-CN"/>
              </w:rPr>
              <w:t>26</w:t>
            </w:r>
            <w:r>
              <w:rPr>
                <w:rFonts w:hint="eastAsia" w:ascii="仿宋" w:hAnsi="仿宋" w:eastAsia="仿宋"/>
                <w:sz w:val="24"/>
              </w:rPr>
              <w:t>0,000</w:t>
            </w:r>
          </w:p>
        </w:tc>
        <w:tc>
          <w:tcPr>
            <w:tcW w:w="1573" w:type="dxa"/>
            <w:noWrap w:val="0"/>
            <w:vAlign w:val="center"/>
          </w:tcPr>
          <w:p>
            <w:pPr>
              <w:widowControl/>
              <w:adjustRightInd w:val="0"/>
              <w:spacing w:line="240" w:lineRule="auto"/>
              <w:ind w:firstLine="0" w:firstLineChars="0"/>
              <w:rPr>
                <w:rFonts w:hint="default" w:ascii="仿宋" w:hAnsi="仿宋" w:eastAsia="仿宋" w:cs="宋体"/>
                <w:kern w:val="0"/>
                <w:sz w:val="24"/>
                <w:lang w:val="en-US" w:eastAsia="zh-CN"/>
              </w:rPr>
            </w:pPr>
            <w:r>
              <w:rPr>
                <w:rFonts w:hint="eastAsia" w:ascii="仿宋" w:hAnsi="仿宋" w:eastAsia="仿宋" w:cs="宋体"/>
                <w:kern w:val="0"/>
                <w:sz w:val="24"/>
              </w:rPr>
              <w:t>含his接口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80" w:type="dxa"/>
            <w:gridSpan w:val="5"/>
            <w:noWrap w:val="0"/>
            <w:vAlign w:val="center"/>
          </w:tcPr>
          <w:p>
            <w:pPr>
              <w:widowControl/>
              <w:adjustRightInd w:val="0"/>
              <w:spacing w:line="240" w:lineRule="auto"/>
              <w:ind w:firstLine="0" w:firstLineChars="0"/>
              <w:jc w:val="right"/>
              <w:rPr>
                <w:rFonts w:ascii="Calibri" w:hAnsi="Calibri" w:eastAsia="仿宋" w:cs="Calibri"/>
                <w:sz w:val="24"/>
              </w:rPr>
            </w:pPr>
            <w:r>
              <w:rPr>
                <w:rFonts w:hint="eastAsia" w:ascii="Calibri" w:hAnsi="Calibri" w:eastAsia="仿宋" w:cs="Calibri"/>
                <w:sz w:val="24"/>
              </w:rPr>
              <w:t>软件合计：</w:t>
            </w:r>
          </w:p>
        </w:tc>
        <w:tc>
          <w:tcPr>
            <w:tcW w:w="2849" w:type="dxa"/>
            <w:gridSpan w:val="2"/>
            <w:noWrap w:val="0"/>
            <w:vAlign w:val="top"/>
          </w:tcPr>
          <w:p>
            <w:pPr>
              <w:widowControl/>
              <w:adjustRightInd w:val="0"/>
              <w:spacing w:line="240" w:lineRule="auto"/>
              <w:ind w:firstLine="0" w:firstLineChars="0"/>
              <w:rPr>
                <w:rFonts w:hint="eastAsia" w:ascii="宋体" w:hAnsi="宋体" w:cs="宋体"/>
                <w:kern w:val="0"/>
                <w:sz w:val="24"/>
              </w:rPr>
            </w:pPr>
            <w:r>
              <w:rPr>
                <w:rFonts w:ascii="Calibri" w:hAnsi="Calibri" w:eastAsia="仿宋" w:cs="Calibri"/>
                <w:sz w:val="24"/>
              </w:rPr>
              <w:t>¥</w:t>
            </w:r>
            <w:r>
              <w:rPr>
                <w:rFonts w:hint="eastAsia" w:ascii="Calibri" w:hAnsi="Calibri" w:eastAsia="仿宋" w:cs="Calibri"/>
                <w:sz w:val="24"/>
                <w:lang w:val="en-US" w:eastAsia="zh-CN"/>
              </w:rPr>
              <w:t>135</w:t>
            </w:r>
            <w:r>
              <w:rPr>
                <w:rFonts w:ascii="仿宋" w:hAnsi="仿宋" w:eastAsia="仿宋"/>
                <w:sz w:val="24"/>
              </w:rPr>
              <w:t>0</w:t>
            </w:r>
            <w:r>
              <w:rPr>
                <w:rFonts w:hint="eastAsia" w:ascii="仿宋" w:hAnsi="仿宋" w:eastAsia="仿宋"/>
                <w:sz w:val="24"/>
              </w:rPr>
              <w:t>,000</w:t>
            </w:r>
            <w:r>
              <w:rPr>
                <w:rFonts w:hint="eastAsia" w:ascii="仿宋" w:hAnsi="仿宋" w:eastAsia="仿宋"/>
                <w:b/>
                <w:bCs/>
                <w:sz w:val="24"/>
              </w:rPr>
              <w:t>元</w:t>
            </w:r>
          </w:p>
        </w:tc>
      </w:tr>
    </w:tbl>
    <w:p>
      <w:pPr>
        <w:numPr>
          <w:ilvl w:val="0"/>
          <w:numId w:val="0"/>
        </w:numPr>
        <w:ind w:leftChars="0"/>
        <w:rPr>
          <w:rFonts w:hint="eastAsia" w:ascii="宋体" w:hAnsi="宋体" w:eastAsia="宋体" w:cs="宋体"/>
          <w:sz w:val="24"/>
          <w:szCs w:val="24"/>
          <w:lang w:val="en-US" w:eastAsia="zh-CN"/>
        </w:rPr>
      </w:pPr>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ZXH1JW--GB1-0">
    <w:altName w:val="微软雅黑"/>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2601F"/>
    <w:multiLevelType w:val="multilevel"/>
    <w:tmpl w:val="1492601F"/>
    <w:lvl w:ilvl="0" w:tentative="0">
      <w:start w:val="1"/>
      <w:numFmt w:val="chineseCountingThousand"/>
      <w:lvlText w:val="第%1章"/>
      <w:lvlJc w:val="center"/>
      <w:pPr>
        <w:tabs>
          <w:tab w:val="left" w:pos="792"/>
        </w:tabs>
        <w:ind w:left="144" w:hanging="144"/>
      </w:pPr>
      <w:rPr>
        <w:rFonts w:hint="eastAsia" w:ascii="Times New Roman" w:hAnsi="Times New Roman" w:eastAsia="黑体"/>
        <w:b/>
        <w:i w:val="0"/>
        <w:sz w:val="32"/>
        <w:szCs w:val="32"/>
        <w:lang w:val="en-US"/>
      </w:rPr>
    </w:lvl>
    <w:lvl w:ilvl="1" w:tentative="0">
      <w:start w:val="1"/>
      <w:numFmt w:val="decimal"/>
      <w:isLgl/>
      <w:lvlText w:val="%1.%2"/>
      <w:lvlJc w:val="left"/>
      <w:pPr>
        <w:tabs>
          <w:tab w:val="left" w:pos="576"/>
        </w:tabs>
        <w:ind w:left="576" w:hanging="576"/>
      </w:pPr>
      <w:rPr>
        <w:rFonts w:hint="eastAsia" w:ascii="Times New Roman" w:hAnsi="Times New Roman" w:eastAsia="宋体"/>
        <w:b/>
        <w:i w:val="0"/>
        <w:sz w:val="28"/>
        <w:szCs w:val="28"/>
      </w:rPr>
    </w:lvl>
    <w:lvl w:ilvl="2" w:tentative="0">
      <w:start w:val="1"/>
      <w:numFmt w:val="decimal"/>
      <w:isLgl/>
      <w:lvlText w:val="%1.%2.%3"/>
      <w:lvlJc w:val="left"/>
      <w:pPr>
        <w:tabs>
          <w:tab w:val="left" w:pos="862"/>
        </w:tabs>
        <w:ind w:left="862" w:hanging="720"/>
      </w:pPr>
      <w:rPr>
        <w:rFonts w:hint="eastAsia" w:ascii="Times New Roman" w:hAnsi="Times New Roman" w:eastAsia="宋体"/>
        <w:b/>
        <w:i w:val="0"/>
        <w:sz w:val="28"/>
        <w:szCs w:val="28"/>
      </w:rPr>
    </w:lvl>
    <w:lvl w:ilvl="3" w:tentative="0">
      <w:start w:val="1"/>
      <w:numFmt w:val="decimal"/>
      <w:pStyle w:val="4"/>
      <w:isLgl/>
      <w:lvlText w:val="%4."/>
      <w:lvlJc w:val="left"/>
      <w:pPr>
        <w:tabs>
          <w:tab w:val="left" w:pos="0"/>
        </w:tabs>
        <w:ind w:left="0" w:firstLine="0"/>
      </w:pPr>
      <w:rPr>
        <w:rFonts w:hint="eastAsia" w:ascii="Times New Roman" w:hAnsi="Times New Roman" w:eastAsia="宋体"/>
        <w:b/>
        <w:i w:val="0"/>
        <w:sz w:val="24"/>
        <w:szCs w:val="24"/>
      </w:rPr>
    </w:lvl>
    <w:lvl w:ilvl="4" w:tentative="0">
      <w:start w:val="1"/>
      <w:numFmt w:val="decimal"/>
      <w:isLgl/>
      <w:lvlText w:val="（%5）"/>
      <w:lvlJc w:val="left"/>
      <w:pPr>
        <w:tabs>
          <w:tab w:val="left" w:pos="0"/>
        </w:tabs>
        <w:ind w:left="0" w:firstLine="0"/>
      </w:pPr>
    </w:lvl>
    <w:lvl w:ilvl="5" w:tentative="0">
      <w:start w:val="1"/>
      <w:numFmt w:val="upperLetter"/>
      <w:lvlText w:val="%6."/>
      <w:lvlJc w:val="left"/>
      <w:pPr>
        <w:tabs>
          <w:tab w:val="left" w:pos="0"/>
        </w:tabs>
        <w:ind w:left="0" w:firstLine="0"/>
      </w:p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5A353CC"/>
    <w:multiLevelType w:val="multilevel"/>
    <w:tmpl w:val="15A353CC"/>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5"/>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214C0DD5"/>
    <w:multiLevelType w:val="multilevel"/>
    <w:tmpl w:val="214C0DD5"/>
    <w:lvl w:ilvl="0" w:tentative="0">
      <w:start w:val="1"/>
      <w:numFmt w:val="decimal"/>
      <w:pStyle w:val="2"/>
      <w:lvlText w:val="第%1章"/>
      <w:lvlJc w:val="left"/>
      <w:pPr>
        <w:ind w:left="3196" w:hanging="360"/>
      </w:pPr>
      <w:rPr>
        <w:rFonts w:hint="eastAsia"/>
        <w:lang w:val="en-US"/>
      </w:rPr>
    </w:lvl>
    <w:lvl w:ilvl="1" w:tentative="0">
      <w:start w:val="1"/>
      <w:numFmt w:val="decimal"/>
      <w:lvlText w:val="6.%2"/>
      <w:lvlJc w:val="left"/>
      <w:pPr>
        <w:ind w:left="576" w:hanging="576"/>
      </w:pPr>
      <w:rPr>
        <w:rFonts w:hint="eastAsia"/>
        <w:b/>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color w:val="000000"/>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b/>
      </w:rPr>
    </w:lvl>
    <w:lvl w:ilvl="8" w:tentative="0">
      <w:start w:val="1"/>
      <w:numFmt w:val="decimal"/>
      <w:lvlText w:val="%1.%2.%3.%4.%5.%6.%7.%8.%9"/>
      <w:lvlJc w:val="left"/>
      <w:pPr>
        <w:ind w:left="1584" w:hanging="1584"/>
      </w:pPr>
      <w:rPr>
        <w:rFonts w:hint="eastAsia"/>
      </w:rPr>
    </w:lvl>
  </w:abstractNum>
  <w:abstractNum w:abstractNumId="3">
    <w:nsid w:val="21566165"/>
    <w:multiLevelType w:val="singleLevel"/>
    <w:tmpl w:val="21566165"/>
    <w:lvl w:ilvl="0" w:tentative="0">
      <w:start w:val="1"/>
      <w:numFmt w:val="decimal"/>
      <w:suff w:val="nothing"/>
      <w:lvlText w:val="%1、"/>
      <w:lvlJc w:val="left"/>
    </w:lvl>
  </w:abstractNum>
  <w:abstractNum w:abstractNumId="4">
    <w:nsid w:val="31AB2C95"/>
    <w:multiLevelType w:val="multilevel"/>
    <w:tmpl w:val="31AB2C95"/>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D3A0E08"/>
    <w:multiLevelType w:val="multilevel"/>
    <w:tmpl w:val="3D3A0E08"/>
    <w:lvl w:ilvl="0" w:tentative="0">
      <w:start w:val="1"/>
      <w:numFmt w:val="decimal"/>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ascii="微软雅黑" w:hAnsi="微软雅黑" w:eastAsia="微软雅黑"/>
      </w:rPr>
    </w:lvl>
    <w:lvl w:ilvl="3" w:tentative="0">
      <w:start w:val="1"/>
      <w:numFmt w:val="decimal"/>
      <w:isLgl/>
      <w:suff w:val="space"/>
      <w:lvlText w:val="%1.%2.2.%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5F5E5F6A"/>
    <w:multiLevelType w:val="multilevel"/>
    <w:tmpl w:val="5F5E5F6A"/>
    <w:lvl w:ilvl="0" w:tentative="0">
      <w:start w:val="1"/>
      <w:numFmt w:val="bullet"/>
      <w:lvlText w:val=""/>
      <w:lvlJc w:val="left"/>
      <w:pPr>
        <w:ind w:left="425" w:hanging="425"/>
      </w:pPr>
      <w:rPr>
        <w:rFonts w:hint="default" w:ascii="Wingdings" w:hAnsi="Wingding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bullet"/>
      <w:lvlText w:val=""/>
      <w:lvlJc w:val="left"/>
      <w:pPr>
        <w:ind w:left="992" w:hanging="992"/>
      </w:pPr>
      <w:rPr>
        <w:rFonts w:hint="default" w:ascii="Wingdings" w:hAnsi="Wingdings"/>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526286B"/>
    <w:multiLevelType w:val="multilevel"/>
    <w:tmpl w:val="6526286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7BA243D6"/>
    <w:multiLevelType w:val="multilevel"/>
    <w:tmpl w:val="7BA243D6"/>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D42D2"/>
    <w:rsid w:val="2DFA6621"/>
    <w:rsid w:val="39881E61"/>
    <w:rsid w:val="3BED3D8A"/>
    <w:rsid w:val="5EA7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120" w:after="120" w:line="578" w:lineRule="auto"/>
      <w:jc w:val="center"/>
      <w:outlineLvl w:val="0"/>
    </w:pPr>
    <w:rPr>
      <w:b/>
      <w:bCs/>
      <w:kern w:val="44"/>
      <w:sz w:val="44"/>
      <w:szCs w:val="44"/>
    </w:rPr>
  </w:style>
  <w:style w:type="paragraph" w:styleId="3">
    <w:name w:val="heading 2"/>
    <w:basedOn w:val="1"/>
    <w:next w:val="1"/>
    <w:qFormat/>
    <w:uiPriority w:val="9"/>
    <w:pPr>
      <w:keepNext/>
      <w:snapToGrid w:val="0"/>
      <w:spacing w:before="240" w:after="60" w:line="360" w:lineRule="auto"/>
      <w:outlineLvl w:val="1"/>
    </w:pPr>
    <w:rPr>
      <w:rFonts w:ascii="仿宋" w:hAnsi="仿宋" w:eastAsia="仿宋"/>
      <w:bCs/>
      <w:iCs/>
      <w:sz w:val="30"/>
      <w:szCs w:val="30"/>
    </w:rPr>
  </w:style>
  <w:style w:type="paragraph" w:styleId="4">
    <w:name w:val="heading 4"/>
    <w:basedOn w:val="1"/>
    <w:next w:val="1"/>
    <w:qFormat/>
    <w:uiPriority w:val="0"/>
    <w:pPr>
      <w:keepNext/>
      <w:keepLines/>
      <w:numPr>
        <w:ilvl w:val="3"/>
        <w:numId w:val="2"/>
      </w:numPr>
      <w:tabs>
        <w:tab w:val="left" w:pos="792"/>
        <w:tab w:val="left" w:pos="851"/>
      </w:tabs>
      <w:spacing w:line="374" w:lineRule="auto"/>
      <w:outlineLvl w:val="3"/>
    </w:pPr>
    <w:rPr>
      <w:rFonts w:ascii="宋体" w:hAnsi="宋体" w:cs="Arial"/>
      <w:b/>
      <w:bCs/>
      <w:color w:val="000000"/>
      <w:szCs w:val="24"/>
    </w:rPr>
  </w:style>
  <w:style w:type="paragraph" w:styleId="5">
    <w:name w:val="heading 6"/>
    <w:basedOn w:val="1"/>
    <w:next w:val="1"/>
    <w:unhideWhenUsed/>
    <w:qFormat/>
    <w:uiPriority w:val="9"/>
    <w:pPr>
      <w:keepNext/>
      <w:keepLines/>
      <w:numPr>
        <w:ilvl w:val="5"/>
        <w:numId w:val="3"/>
      </w:numPr>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Plain Text"/>
    <w:basedOn w:val="1"/>
    <w:qFormat/>
    <w:uiPriority w:val="0"/>
    <w:rPr>
      <w:rFonts w:ascii="宋体" w:hAnsi="Courier New"/>
    </w:rPr>
  </w:style>
  <w:style w:type="paragraph" w:styleId="7">
    <w:name w:val="Normal (Web)"/>
    <w:basedOn w:val="1"/>
    <w:semiHidden/>
    <w:qFormat/>
    <w:uiPriority w:val="99"/>
    <w:pPr>
      <w:widowControl/>
      <w:spacing w:before="100" w:beforeAutospacing="1" w:after="100" w:afterAutospacing="1"/>
      <w:jc w:val="left"/>
    </w:pPr>
    <w:rPr>
      <w:rFonts w:ascii="宋体" w:hAnsi="宋体"/>
      <w:kern w:val="0"/>
      <w:sz w:val="24"/>
    </w:rPr>
  </w:style>
  <w:style w:type="paragraph" w:customStyle="1" w:styleId="10">
    <w:name w:val="正常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1">
    <w:name w:val="List Paragraph"/>
    <w:basedOn w:val="1"/>
    <w:qFormat/>
    <w:uiPriority w:val="34"/>
    <w:pPr>
      <w:ind w:firstLine="420" w:firstLineChars="200"/>
    </w:pPr>
  </w:style>
  <w:style w:type="paragraph" w:customStyle="1" w:styleId="12">
    <w:name w:val="正文1"/>
    <w:basedOn w:val="1"/>
    <w:qFormat/>
    <w:uiPriority w:val="0"/>
    <w:pPr>
      <w:autoSpaceDE w:val="0"/>
      <w:autoSpaceDN w:val="0"/>
      <w:adjustRightInd w:val="0"/>
      <w:ind w:firstLine="200" w:firstLineChars="200"/>
      <w:jc w:val="left"/>
    </w:pPr>
    <w:rPr>
      <w:rFonts w:ascii="微软雅黑" w:eastAsia="微软雅黑" w:cs="FZXH1JW--GB1-0"/>
      <w:kern w:val="0"/>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2021-10-21T00:37:00Z</dcterms:created>
  <dc:creator>Administrator</dc:creator>
  <cp:lastModifiedBy>Administrator</cp:lastModifiedBy>
  <dcterms:modified xsi:type="dcterms:W3CDTF">2022-02-18T02:22:42Z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CD9008E16E70443CA534FBC2B548874A</vt:lpwstr>
  </property>
</Properties>
</file>