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柯桥区机构编制实名制管理系统</w:t>
      </w:r>
      <w:r>
        <w:rPr>
          <w:rFonts w:hint="eastAsia" w:ascii="方正小标宋简体" w:eastAsia="方正小标宋简体"/>
          <w:sz w:val="44"/>
          <w:szCs w:val="44"/>
          <w:lang w:eastAsia="zh-CN"/>
        </w:rPr>
        <w:t>扩容</w:t>
      </w:r>
      <w:r>
        <w:rPr>
          <w:rFonts w:hint="eastAsia" w:ascii="方正小标宋简体" w:eastAsia="方正小标宋简体"/>
          <w:sz w:val="44"/>
          <w:szCs w:val="44"/>
        </w:rPr>
        <w:t>项目</w:t>
      </w:r>
      <w:r>
        <w:rPr>
          <w:rFonts w:hint="eastAsia" w:ascii="方正小标宋简体" w:hAnsi="宋体" w:eastAsia="方正小标宋简体"/>
          <w:sz w:val="44"/>
          <w:szCs w:val="44"/>
        </w:rPr>
        <w:t>建设方案</w:t>
      </w:r>
    </w:p>
    <w:p>
      <w:pPr>
        <w:spacing w:beforeLines="50"/>
        <w:jc w:val="center"/>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（一）项目名称。</w:t>
      </w:r>
    </w:p>
    <w:p>
      <w:pPr>
        <w:pStyle w:val="13"/>
        <w:keepNext w:val="0"/>
        <w:keepLines w:val="0"/>
        <w:pageBreakBefore w:val="0"/>
        <w:widowControl w:val="0"/>
        <w:kinsoku/>
        <w:wordWrap/>
        <w:overflowPunct/>
        <w:topLinePunct w:val="0"/>
        <w:autoSpaceDE/>
        <w:autoSpaceDN/>
        <w:bidi w:val="0"/>
        <w:adjustRightInd/>
        <w:snapToGrid/>
        <w:spacing w:line="240" w:lineRule="auto"/>
        <w:ind w:left="72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柯桥区机构编制实名制管理系统</w:t>
      </w:r>
      <w:r>
        <w:rPr>
          <w:rFonts w:hint="eastAsia" w:ascii="仿宋_GB2312" w:hAnsi="仿宋_GB2312" w:eastAsia="仿宋_GB2312" w:cs="仿宋_GB2312"/>
          <w:sz w:val="32"/>
          <w:szCs w:val="32"/>
          <w:lang w:eastAsia="zh-CN"/>
        </w:rPr>
        <w:t>扩容项目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（二）项目性质。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扩建（增设国有企业管理模块）和优化（与“最多跑一次”相关系统互联、系统网络安全等保测评后安全防护）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（三）项目主要建设内容、预期目标。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为进一步规范国有企业人员管理，推进国有企业管理的规范化和制度化，柯桥区调整完善了国有企业人员管理体制，国有企业涉及职能配置、内设机构、用工员额、用工计划、人员进出等相关职责划入区委编办，为科学规范地实现国有企业职能、人员管理相关工作，需在机构编制实名制管理系统内增设国有企业管理模块，模块建成后所有国有企业均纳入实名制系统，人员可实现实名制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2、为深入贯彻落实省委组织部关于机关公务员、事业单位人员职业生涯全周期管理“一件事”改革决策部署，</w:t>
      </w:r>
      <w:r>
        <w:rPr>
          <w:rFonts w:hint="eastAsia" w:ascii="仿宋_GB2312" w:hAnsi="仿宋_GB2312" w:eastAsia="仿宋_GB2312" w:cs="仿宋_GB2312"/>
          <w:sz w:val="32"/>
          <w:szCs w:val="32"/>
          <w:lang w:eastAsia="zh-CN"/>
        </w:rPr>
        <w:t>根据政府数字化转型和“城市大脑”新型智慧城市建设的总体要求，机构编制实名制管理系统本着“整合集约”原则，通过精简材料、压缩办理时间、优化业务流程等方式，对实名制系统做出了调整优化，以便和“最多跑一次”相关系统数据和信息互联，从而实现出入编、工资、养老、医保、工伤、公积金、社保卡等业务集成“一件事”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二、项目建设的必要性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1、增设国有企业管理模块。根据区委全面深化改革委员会</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5号</w:t>
      </w:r>
      <w:r>
        <w:rPr>
          <w:rFonts w:hint="eastAsia" w:ascii="仿宋_GB2312" w:hAnsi="仿宋_GB2312" w:eastAsia="仿宋_GB2312" w:cs="仿宋_GB2312"/>
          <w:sz w:val="32"/>
          <w:szCs w:val="32"/>
          <w:lang w:val="en-US" w:eastAsia="zh-CN"/>
        </w:rPr>
        <w:t>会议纪要和区委办</w:t>
      </w:r>
      <w:r>
        <w:rPr>
          <w:rFonts w:hint="eastAsia" w:ascii="仿宋_GB2312" w:hAnsi="仿宋_GB2312" w:eastAsia="仿宋_GB2312" w:cs="仿宋_GB2312"/>
          <w:b w:val="0"/>
          <w:bCs/>
          <w:sz w:val="32"/>
          <w:szCs w:val="32"/>
        </w:rPr>
        <w:t>〔2020〕</w:t>
      </w:r>
      <w:r>
        <w:rPr>
          <w:rFonts w:hint="eastAsia" w:ascii="仿宋_GB2312" w:hAnsi="仿宋_GB2312" w:eastAsia="仿宋_GB2312" w:cs="仿宋_GB2312"/>
          <w:sz w:val="32"/>
          <w:szCs w:val="32"/>
          <w:lang w:val="en-US" w:eastAsia="zh-CN"/>
        </w:rPr>
        <w:t>77号文件精神，调整完善国有企业人员管理体制，实行企业员额制管理，职工纳入实名制管理系统。明确将原由区国资办承担的国有企业人员管理中涉及职能配置、内设机构、用工员额核定及调整、用工计划的核准、人员进出手续办理等相关职责划入区委编办。为更科学高效推进国有企业及其人员管理的规范化和制度化，需在实名制系统内现有的行政、事业和编外用工、民办事业单位等管理模块外，增设国有企业管理模块对国有企业及其人员进行专门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napToGrid w:val="0"/>
          <w:kern w:val="0"/>
          <w:sz w:val="32"/>
          <w:szCs w:val="32"/>
          <w:lang w:eastAsia="zh-CN"/>
        </w:rPr>
        <w:t>与“最多跑一次”相关系统互联。</w:t>
      </w:r>
      <w:r>
        <w:rPr>
          <w:rFonts w:hint="eastAsia" w:ascii="仿宋_GB2312" w:hAnsi="仿宋_GB2312" w:eastAsia="仿宋_GB2312" w:cs="仿宋_GB2312"/>
          <w:sz w:val="32"/>
          <w:szCs w:val="32"/>
          <w:lang w:val="en-US" w:eastAsia="zh-CN"/>
        </w:rPr>
        <w:t>为深入贯彻落实省委“最多跑一次”改革的决策部署，进一步深化“三服务”活动，坚持刀刃向内、自我革命，着力破解公务员相关业务多次跑、多头跑、时间长、环节多、签字烦等问题，进一步规范机关权力运行，提升机关效能，实现让“数据多跑腿、人员少跑腿”，提高我区公务员和组织人事部门改革获得感、满意感，柯桥区委组织部根据省、市委组织部统一部署和要求，2020年1月开始在我区实行公务员职业生涯全周期管理“一件事”改革（2020年4月事业单位人员“一件事”改革开始）。根据要求，公务员和事业单位人员的录用、调入、调出、辞职、退休等16项工作，以组织人事部门完成审批为起点，将后续的出入编、</w:t>
      </w:r>
      <w:r>
        <w:rPr>
          <w:rFonts w:hint="eastAsia" w:ascii="仿宋_GB2312" w:hAnsi="仿宋_GB2312" w:eastAsia="仿宋_GB2312" w:cs="仿宋_GB2312"/>
          <w:sz w:val="32"/>
          <w:szCs w:val="32"/>
          <w:lang w:eastAsia="zh-CN"/>
        </w:rPr>
        <w:t>工资、养老、医保、工伤、公积金、社保卡等业务集成“一件事”办理，用人单位只需填报一张表单，一次性发起所有业务，各个经办部门同步实时完成审核（审批）流程，一次性办结业务。柯桥区机构编制实名制管理系统根据相关要求，需要与“最多跑一次”相关系统实现数据和信息互联，单位从“最多跑一次”系统发起相关的办件业务，能自动对接到实名制系统，同时编办审核意见能同步到“最多跑一次”系统，并能接收“最多跑一次”系统发送的相关审核结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项目建设方案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系统增设国有企业模块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相关文件精神，经过调研，国有企业管理模块主要有国有企业单位信息管理和国有企业人员管理两部份组成。具体包括国有企业首页，国有企业管理，国企台账管理，国企人员管理，出额人员管理，国企用户管理，国有企业查询，国有企业报表，国有企业分析，国有企业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1、国有企业首页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国有企业首页显示国有企业基本信息，机构设置情况，员额情况，核定领导数，职数情况，企业职责，联系方式。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2、国有企业管理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国有企业管理包括企业新增，修改，撤销。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国有企业新增由编办用户新增。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国有企业修改分两部分，编办用户可修改全部信息，国企用户只可修改部分信息。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国有企业撤销由编办用户撤销。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3、国企台账管理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国企台账管理包括管理国企的批准内设机构数，员额数，核定领导数，职数情况。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4、国企人员管理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国企人员管理包括国企人员的新增，修改，删除。国企人员信息包括人员基本信息，工作信息，教育信息，备注。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5、出额人员管理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国企人员出额后会在出额人员管理界面做历史查看功能。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6、国企用户管理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主要是通过系统给每一家国有企业配置一个用户，用来管理本企业基本信息，人员信息等。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7、国有企业查询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在查询模块增加国有企业查询，以及国企人员查询。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8、国有企业报表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在报表模块增加国有企业的相关报表。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9、国有企业分析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在分析模块增加国有企业的相关分析。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10、国有企业文件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在文件模块增加国有企业的文件管理功能。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val="en-US" w:eastAsia="zh-CN"/>
        </w:rPr>
        <w:t>(二)</w:t>
      </w:r>
      <w:r>
        <w:rPr>
          <w:rFonts w:hint="eastAsia" w:ascii="仿宋_GB2312" w:hAnsi="仿宋_GB2312" w:eastAsia="仿宋_GB2312" w:cs="仿宋_GB2312"/>
          <w:snapToGrid w:val="0"/>
          <w:kern w:val="0"/>
          <w:sz w:val="32"/>
          <w:szCs w:val="32"/>
          <w:lang w:eastAsia="zh-CN"/>
        </w:rPr>
        <w:t>与“最多跑一次”相关系统互联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kern w:val="0"/>
          <w:sz w:val="32"/>
          <w:szCs w:val="32"/>
          <w:lang w:val="en-US" w:eastAsia="zh-CN"/>
        </w:rPr>
        <w:t>根据上级统一布署，此次绍兴市的</w:t>
      </w:r>
      <w:r>
        <w:rPr>
          <w:rFonts w:hint="eastAsia" w:ascii="仿宋_GB2312" w:hAnsi="仿宋_GB2312" w:eastAsia="仿宋_GB2312" w:cs="仿宋_GB2312"/>
          <w:sz w:val="32"/>
          <w:szCs w:val="32"/>
          <w:lang w:val="en-US" w:eastAsia="zh-CN"/>
        </w:rPr>
        <w:t>机关公务员、事业单位人员职业生涯全周期管理“一件事”改革，涉及人事管理的各部门（单位）业务系统均需和市里“最多跑一次”平台实现信息互联，柯桥区机构编制实名制管理系统作为区级自建系统，和绍兴市机构编制实名制管理系统一起进行了相关的工作的推进和落实，具体改革事项包括以下16项内容：</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转任(公务员) ；2、调出(公务员) ；3、录用(公务员) ；4、调任(公务员) ；5、辞职(公务员) ；6、辞退(公务员) ；7、开除(公务员) ；8、职务职级变动(公务员) ； 9、退休(公务员)；10、录用(事业编制) ；11、调入(事业编制) ；12、调出(事业编制) ；13、解聘(事业编制) ；14、开除(事业编制)；15、岗位等级变动(事业编制) ；16、退休(事业编制)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涉及公务员和事业单位人员死亡的情况，仍然按照原来的模式，不通过“一件事”，直接从实名制系统走相关流程出编。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具体流程是通过一个实时任务，实时获取一件事信息。以及另一个定时任务，定时获取一件事信息。获取信息后根据事项类型来对应到实名制系统的出入编流程，审核后反馈给“一件事”平台审核信息。具体流程参考如下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eastAsia="仿宋_GB2312"/>
          <w:snapToGrid w:val="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eastAsia="仿宋_GB2312"/>
          <w:snapToGrid w:val="0"/>
          <w:kern w:val="0"/>
          <w:sz w:val="32"/>
          <w:szCs w:val="32"/>
          <w:lang w:val="en-US" w:eastAsia="zh-CN"/>
        </w:rPr>
      </w:pPr>
      <w:r>
        <w:drawing>
          <wp:inline distT="0" distB="0" distL="0" distR="0">
            <wp:extent cx="5140960" cy="5273675"/>
            <wp:effectExtent l="0" t="0" r="2540" b="3175"/>
            <wp:docPr id="9" name="图片 9" descr="C:\Users\renf\AppData\Local\Temp\WeChat Files\a59fba98df6cdeeef6a2496663a4e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renf\AppData\Local\Temp\WeChat Files\a59fba98df6cdeeef6a2496663a4ed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54615" cy="5287644"/>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left="300" w:firstLine="420"/>
        <w:textAlignment w:val="auto"/>
        <w:rPr>
          <w:rFonts w:hint="eastAsia" w:ascii="仿宋_GB2312" w:eastAsia="仿宋_GB2312"/>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各个事项的数据处理如下表所示</w:t>
      </w:r>
      <w:r>
        <w:rPr>
          <w:rFonts w:hint="eastAsia" w:ascii="宋体" w:hAnsi="宋体" w:eastAsia="宋体" w:cs="宋体"/>
          <w:sz w:val="20"/>
          <w:szCs w:val="20"/>
          <w:lang w:eastAsia="zh-CN"/>
        </w:rPr>
        <w:t>：</w:t>
      </w:r>
    </w:p>
    <w:tbl>
      <w:tblPr>
        <w:tblStyle w:val="9"/>
        <w:tblW w:w="8237" w:type="dxa"/>
        <w:tblInd w:w="93" w:type="dxa"/>
        <w:tblLayout w:type="autofit"/>
        <w:tblCellMar>
          <w:top w:w="0" w:type="dxa"/>
          <w:left w:w="108" w:type="dxa"/>
          <w:bottom w:w="0" w:type="dxa"/>
          <w:right w:w="108" w:type="dxa"/>
        </w:tblCellMar>
      </w:tblPr>
      <w:tblGrid>
        <w:gridCol w:w="640"/>
        <w:gridCol w:w="1785"/>
        <w:gridCol w:w="1418"/>
        <w:gridCol w:w="2409"/>
        <w:gridCol w:w="1985"/>
      </w:tblGrid>
      <w:tr>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785"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事项</w:t>
            </w:r>
          </w:p>
        </w:tc>
        <w:tc>
          <w:tcPr>
            <w:tcW w:w="1418"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对应步骤1</w:t>
            </w:r>
          </w:p>
        </w:tc>
        <w:tc>
          <w:tcPr>
            <w:tcW w:w="2409"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对应步骤2</w:t>
            </w:r>
          </w:p>
        </w:tc>
        <w:tc>
          <w:tcPr>
            <w:tcW w:w="1985"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对应步骤3</w:t>
            </w:r>
          </w:p>
        </w:tc>
      </w:tr>
      <w:tr>
        <w:tblPrEx>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转任(公务员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 xml:space="preserve">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人员流程中数据判断，有反馈不通过，</w:t>
            </w:r>
            <w:r>
              <w:rPr>
                <w:rFonts w:hint="eastAsia" w:ascii="宋体" w:hAnsi="宋体" w:eastAsia="宋体" w:cs="宋体"/>
                <w:color w:val="000000"/>
                <w:kern w:val="0"/>
                <w:sz w:val="20"/>
                <w:szCs w:val="20"/>
                <w:lang w:eastAsia="zh-CN"/>
              </w:rPr>
              <w:t>则不</w:t>
            </w:r>
            <w:r>
              <w:rPr>
                <w:rFonts w:hint="eastAsia" w:ascii="宋体" w:hAnsi="宋体" w:eastAsia="宋体" w:cs="宋体"/>
                <w:color w:val="000000"/>
                <w:kern w:val="0"/>
                <w:sz w:val="20"/>
                <w:szCs w:val="20"/>
              </w:rPr>
              <w:t>继续下一步</w:t>
            </w: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判断临时机构中是否存在该人员调动待入编数据,存在则将临时机构修改为正式机构。对应调动待入编数据。不存在则下一步。</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判断正式人员中是否存在，有则反馈不通过，无则对应入编流程。</w:t>
            </w:r>
          </w:p>
        </w:tc>
      </w:tr>
      <w:tr>
        <w:tblPrEx>
          <w:tblCellMar>
            <w:top w:w="0" w:type="dxa"/>
            <w:left w:w="108" w:type="dxa"/>
            <w:bottom w:w="0" w:type="dxa"/>
            <w:right w:w="108" w:type="dxa"/>
          </w:tblCellMar>
        </w:tblPrEx>
        <w:trPr>
          <w:trHeight w:val="106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调出(公务员)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判断出编形式,如果出编形式为“调出区外”时,对应出编流程,出编原因为其他。出编形式为“调出区外”以外时则下一步</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对应调动流程，调动对象机构为临时机构。</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录用(公务员)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对应入编流程。</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调任(公务员)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判断是否存在调动待入编数据,存在则对应调动待入编数据。</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辞职(公务员)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对应出编流程,出编原因为辞职。</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辞退(公务员)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对应出编流程,出编原因为辞退。</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开除(公务员)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对应出编流程,出编原因为开除。</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职务职级变动(公务员)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对应在编变更流程,只变更职务层次和综合管理类公务员职级。</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退休(公务员)</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对应出编流程,出编原因为退休。</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录用(事业编制)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对应入编流程。</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调入(事业编制)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判断临时机构、正式机构中是否存在该人员调动待入编数据,存在则将临时机构修改为正式机构。对应调动待入编数据。不存在则下一步。</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判断正式人员中是否存在，有则反馈不通过，无则对应入编流程。</w:t>
            </w:r>
          </w:p>
        </w:tc>
      </w:tr>
      <w:tr>
        <w:tblPrEx>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调出(事业编制)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判断出编形式,如果出编形式为“调出区外”时,对应出编流程,出编原因为其他。出编形式为“调出区外”以外时则下一步</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对应调动流程，调动对象机构为临时机构。</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解聘(事业编制)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对应出编流程,出编原因为解聘。</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开除(事业编制)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对应出编流程,出编原因为开除。</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岗位等级变动(事业编制) </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对应在编变更流程,只变更职务层次。</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7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退休(事业编制)</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p>
        </w:tc>
        <w:tc>
          <w:tcPr>
            <w:tcW w:w="24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对应出编流程,出编原因为退休。</w:t>
            </w:r>
          </w:p>
        </w:tc>
        <w:tc>
          <w:tcPr>
            <w:tcW w:w="1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auto"/>
        <w:ind w:left="300" w:firstLine="420"/>
        <w:textAlignment w:val="auto"/>
        <w:rPr>
          <w:rFonts w:hint="eastAsia" w:ascii="仿宋_GB2312" w:eastAsia="仿宋_GB2312"/>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现在柯桥区机关事业单位使用的柯桥区机构编制实名制管理系统</w:t>
      </w:r>
      <w:r>
        <w:rPr>
          <w:rFonts w:hint="eastAsia" w:ascii="仿宋_GB2312" w:eastAsia="仿宋_GB2312"/>
          <w:color w:val="000000" w:themeColor="text1"/>
          <w:sz w:val="32"/>
          <w:szCs w:val="32"/>
          <w:lang w:val="en-US" w:eastAsia="zh-CN"/>
          <w14:textFill>
            <w14:solidFill>
              <w14:schemeClr w14:val="tx1"/>
            </w14:solidFill>
          </w14:textFill>
        </w:rPr>
        <w:t>2.0版是2020年由原来的老版实名制系统升级而来，建设</w:t>
      </w:r>
      <w:r>
        <w:rPr>
          <w:rFonts w:hint="eastAsia" w:ascii="仿宋_GB2312" w:eastAsia="仿宋_GB2312"/>
          <w:color w:val="000000" w:themeColor="text1"/>
          <w:sz w:val="32"/>
          <w:szCs w:val="32"/>
          <w14:textFill>
            <w14:solidFill>
              <w14:schemeClr w14:val="tx1"/>
            </w14:solidFill>
          </w14:textFill>
        </w:rPr>
        <w:t>内容主要分为部门用户子系统和管理用户子系统两部份，包括机构管理，机构台账、用编计划、核编管理、核职管理、出入编管理、实有人员、出编人员、编外人员、编外控制数、编外计划、编外使用计划、编外人员进出、编外实有人员、编外减少人员、年审-机构编制管理证、月度自查、文件管理、工作归集、短信功能、满编控制、账号控制、数据查询、数据分析、统计报表、系统管理、参照事业单位管理人员、民办事业单位报备员额、省市对接等工作模块</w:t>
      </w:r>
      <w:r>
        <w:rPr>
          <w:rFonts w:hint="eastAsia" w:ascii="仿宋_GB2312" w:eastAsia="仿宋_GB2312"/>
          <w:color w:val="000000" w:themeColor="text1"/>
          <w:sz w:val="32"/>
          <w:szCs w:val="32"/>
          <w:lang w:eastAsia="zh-CN"/>
          <w14:textFill>
            <w14:solidFill>
              <w14:schemeClr w14:val="tx1"/>
            </w14:solidFill>
          </w14:textFill>
        </w:rPr>
        <w:t>，投资</w:t>
      </w:r>
      <w:r>
        <w:rPr>
          <w:rFonts w:hint="eastAsia" w:ascii="仿宋_GB2312" w:eastAsia="仿宋_GB2312"/>
          <w:color w:val="000000" w:themeColor="text1"/>
          <w:sz w:val="32"/>
          <w:szCs w:val="32"/>
          <w:lang w:val="en-US" w:eastAsia="zh-CN"/>
          <w14:textFill>
            <w14:solidFill>
              <w14:schemeClr w14:val="tx1"/>
            </w14:solidFill>
          </w14:textFill>
        </w:rPr>
        <w:t>39.8万元，在改造初期，就得到上级领导的高度重视，省委编办、市委编办均派出专门的项目组前来调研，2020年5月，浙江省机构编制实名制管理工作现场会在我区召开，柯桥区委编办在会上现场演示介绍了我区的机构编制实名制管理系统，广受好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此次扩容和优化工作均为上级下达的新工作任务，与我区现在使用的</w:t>
      </w:r>
      <w:r>
        <w:rPr>
          <w:rFonts w:hint="eastAsia" w:ascii="仿宋_GB2312" w:eastAsia="仿宋_GB2312"/>
          <w:color w:val="000000" w:themeColor="text1"/>
          <w:sz w:val="32"/>
          <w:szCs w:val="32"/>
          <w14:textFill>
            <w14:solidFill>
              <w14:schemeClr w14:val="tx1"/>
            </w14:solidFill>
          </w14:textFill>
        </w:rPr>
        <w:t>机构编制实名制管理系统</w:t>
      </w:r>
      <w:r>
        <w:rPr>
          <w:rFonts w:hint="eastAsia" w:ascii="仿宋_GB2312" w:eastAsia="仿宋_GB2312"/>
          <w:color w:val="000000" w:themeColor="text1"/>
          <w:sz w:val="32"/>
          <w:szCs w:val="32"/>
          <w:lang w:eastAsia="zh-CN"/>
          <w14:textFill>
            <w14:solidFill>
              <w14:schemeClr w14:val="tx1"/>
            </w14:solidFill>
          </w14:textFill>
        </w:rPr>
        <w:t>现有功能不冲突，新增国有企业模块后，所有国企相关的机构及人员管理工作可实现线上查看、办理，同时提供分析功能，为领导决策提供实时数据信息支撑。系统优化与“最多跑一次”相关系统互联后，系统在原有“出入编管理”模块中提供与对接的相关系统的信息判断和逻辑对应，从而实现公务员和事业单位人员职业生涯全周期管理。同时保留实名制系统相关模块的原有功能，保证“一件事”工作中没有的业务类型（如亡故人员的出编）仍然可以在实名制系统办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系统网络安全防护措施。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"https://baike.baidu.com/item/%E4%BF%A1%E6%81%AF%E5%AE%89%E5%85%A8%E7%AD%89%E7%BA%A7%E4%BF%9D%E6%8A%A4" \t "https://baike.baidu.com/item/%E4%BF%A1%E6%81%AF%E5%AE%89%E5%85%A8%E7%AD%89%E7%BA%A7%E4%BF%9D%E6%8A%A4%E7%AE%A1%E7%90%86%E5%8A%9E%E6%B3%95/_blank"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信息安全等级保护</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管理，提高信息安全保障能力和水平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"https://baike.baidu.com/item/%E7%BB%B4%E6%8A%A4%E5%9B%BD%E5%AE%B6%E5%AE%89%E5%85%A8" \t "https://baike.baidu.com/item/%E4%BF%A1%E6%81%AF%E5%AE%89%E5%85%A8%E7%AD%89%E7%BA%A7%E4%BF%9D%E6%8A%A4%E7%AE%A1%E7%90%86%E5%8A%9E%E6%B3%95/_blank"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维护国家安全</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、社会稳定和公共利益，保障和促进信息化建设</w:t>
      </w:r>
      <w:r>
        <w:rPr>
          <w:rFonts w:hint="eastAsia" w:ascii="仿宋_GB2312" w:hAnsi="仿宋_GB2312" w:eastAsia="仿宋_GB2312" w:cs="仿宋_GB2312"/>
          <w:sz w:val="32"/>
          <w:szCs w:val="32"/>
          <w:lang w:val="en-US" w:eastAsia="zh-CN"/>
        </w:rPr>
        <w:t>。2020年7月，绍兴市网络安全等级保护评审专家组对柯桥区机构编制实名制管理系统进行了安全等级定级评审，评定系统安全等级为二级。根据工作要求，我办</w:t>
      </w:r>
      <w:r>
        <w:rPr>
          <w:rFonts w:hint="eastAsia" w:ascii="仿宋_GB2312" w:eastAsia="仿宋_GB2312"/>
          <w:snapToGrid w:val="0"/>
          <w:kern w:val="0"/>
          <w:sz w:val="32"/>
          <w:szCs w:val="32"/>
          <w:lang w:val="en-US" w:eastAsia="zh-CN"/>
        </w:rPr>
        <w:t>已于2020年9月和杭州安信检测技术有限公司签订网络安全等级保护测评合同，测评完成后，根据</w:t>
      </w:r>
      <w:r>
        <w:rPr>
          <w:rFonts w:hint="eastAsia" w:ascii="仿宋_GB2312" w:hAnsi="仿宋_GB2312" w:eastAsia="仿宋_GB2312" w:cs="仿宋_GB2312"/>
          <w:sz w:val="32"/>
          <w:szCs w:val="32"/>
          <w:lang w:val="en-US" w:eastAsia="zh-CN"/>
        </w:rPr>
        <w:t>测评公司出具的网络安全等级保护测评报告和整改建议，需要对实名制系统信息网络安全防护工作作出整改，落实信息系统网络安全防护措施。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（四）与政府数字化转型总体框架的关系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柯桥区机构编制实名制管理系统使用柯桥区“政务云”服务器，基于电子政务外网开展网上机构编制实名制管理工作。数据资源已根据相关工作要求归集到公共数据平台，并向公共数据服务接口申请了个人身份信息的共享。同时，系统预留开发接口，以便与区智慧城市、数据交换平台对接。</w:t>
      </w:r>
    </w:p>
    <w:p>
      <w:pPr>
        <w:pStyle w:val="13"/>
        <w:keepNext w:val="0"/>
        <w:keepLines w:val="0"/>
        <w:pageBreakBefore w:val="0"/>
        <w:numPr>
          <w:ilvl w:val="0"/>
          <w:numId w:val="3"/>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项目</w:t>
      </w:r>
      <w:r>
        <w:rPr>
          <w:rFonts w:hint="eastAsia" w:ascii="黑体" w:hAnsi="黑体" w:eastAsia="黑体"/>
          <w:sz w:val="32"/>
          <w:szCs w:val="32"/>
          <w:lang w:eastAsia="zh-CN"/>
        </w:rPr>
        <w:t>实施进度</w:t>
      </w:r>
    </w:p>
    <w:tbl>
      <w:tblPr>
        <w:tblStyle w:val="9"/>
        <w:tblW w:w="0" w:type="auto"/>
        <w:tblInd w:w="0" w:type="dxa"/>
        <w:tblLayout w:type="fixed"/>
        <w:tblCellMar>
          <w:top w:w="15" w:type="dxa"/>
          <w:left w:w="15" w:type="dxa"/>
          <w:bottom w:w="15" w:type="dxa"/>
          <w:right w:w="15" w:type="dxa"/>
        </w:tblCellMar>
      </w:tblPr>
      <w:tblGrid>
        <w:gridCol w:w="493"/>
        <w:gridCol w:w="1050"/>
        <w:gridCol w:w="1623"/>
        <w:gridCol w:w="3677"/>
        <w:gridCol w:w="1455"/>
      </w:tblGrid>
      <w:tr>
        <w:tblPrEx>
          <w:tblCellMar>
            <w:top w:w="15" w:type="dxa"/>
            <w:left w:w="15" w:type="dxa"/>
            <w:bottom w:w="15" w:type="dxa"/>
            <w:right w:w="15" w:type="dxa"/>
          </w:tblCellMar>
        </w:tblPrEx>
        <w:trPr>
          <w:trHeight w:val="4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大类</w:t>
            </w:r>
          </w:p>
        </w:tc>
        <w:tc>
          <w:tcPr>
            <w:tcW w:w="162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小类</w:t>
            </w:r>
          </w:p>
        </w:tc>
        <w:tc>
          <w:tcPr>
            <w:tcW w:w="3677"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内容描述</w:t>
            </w:r>
          </w:p>
        </w:tc>
        <w:tc>
          <w:tcPr>
            <w:tcW w:w="1455" w:type="dxa"/>
            <w:tcBorders>
              <w:top w:val="single" w:color="000000" w:sz="4" w:space="0"/>
              <w:left w:val="single" w:color="000000" w:sz="4" w:space="0"/>
              <w:bottom w:val="single" w:color="auto"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color w:val="000000"/>
                <w:sz w:val="20"/>
                <w:szCs w:val="20"/>
                <w:lang w:val="en-US" w:eastAsia="zh-Hans"/>
              </w:rPr>
            </w:pPr>
            <w:r>
              <w:rPr>
                <w:rFonts w:hint="eastAsia" w:ascii="宋体" w:hAnsi="宋体" w:cs="宋体"/>
                <w:b/>
                <w:color w:val="000000"/>
                <w:sz w:val="20"/>
                <w:szCs w:val="20"/>
                <w:lang w:val="en-US" w:eastAsia="zh-Hans"/>
              </w:rPr>
              <w:t>进度安排</w:t>
            </w:r>
          </w:p>
        </w:tc>
      </w:tr>
      <w:tr>
        <w:tblPrEx>
          <w:tblCellMar>
            <w:top w:w="15" w:type="dxa"/>
            <w:left w:w="15" w:type="dxa"/>
            <w:bottom w:w="15" w:type="dxa"/>
            <w:right w:w="15" w:type="dxa"/>
          </w:tblCellMar>
        </w:tblPrEx>
        <w:trPr>
          <w:trHeight w:val="380" w:hRule="atLeast"/>
        </w:trPr>
        <w:tc>
          <w:tcPr>
            <w:tcW w:w="4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w:t>
            </w:r>
          </w:p>
        </w:tc>
        <w:tc>
          <w:tcPr>
            <w:tcW w:w="10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sz w:val="20"/>
                <w:szCs w:val="20"/>
              </w:rPr>
              <w:t>“一件事”改革</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前期调研</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系统现状分析，既存出入编规则调研</w:t>
            </w:r>
          </w:p>
        </w:tc>
        <w:tc>
          <w:tcPr>
            <w:tcW w:w="145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default" w:ascii="宋体" w:hAnsi="宋体" w:cs="宋体"/>
                <w:b/>
                <w:color w:val="000000"/>
                <w:sz w:val="20"/>
                <w:szCs w:val="20"/>
              </w:rPr>
            </w:pPr>
            <w:r>
              <w:rPr>
                <w:rFonts w:hint="eastAsia" w:ascii="宋体" w:hAnsi="宋体" w:cs="宋体"/>
                <w:b/>
                <w:color w:val="000000"/>
                <w:sz w:val="20"/>
                <w:szCs w:val="20"/>
              </w:rPr>
              <w:t>根据上级统一布署，该项工作已在运行中，2021年将根据“最多跑一次”平台数据规范的变动以及相关业务的变动及时做好系统调整对接工作</w:t>
            </w:r>
          </w:p>
        </w:tc>
      </w:tr>
      <w:tr>
        <w:tblPrEx>
          <w:tblCellMar>
            <w:top w:w="15" w:type="dxa"/>
            <w:left w:w="15" w:type="dxa"/>
            <w:bottom w:w="15" w:type="dxa"/>
            <w:right w:w="15" w:type="dxa"/>
          </w:tblCellMar>
        </w:tblPrEx>
        <w:trPr>
          <w:trHeight w:val="209"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功能分析</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分析系统各个功能的细节要求，撰写需求文档</w:t>
            </w:r>
          </w:p>
        </w:tc>
        <w:tc>
          <w:tcPr>
            <w:tcW w:w="1455"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原型设计</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根据需求分析设计各个原型页面</w:t>
            </w:r>
          </w:p>
        </w:tc>
        <w:tc>
          <w:tcPr>
            <w:tcW w:w="1455"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数据库设计</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数据库表、视图、存储过程等设计</w:t>
            </w:r>
          </w:p>
        </w:tc>
        <w:tc>
          <w:tcPr>
            <w:tcW w:w="1455"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公务员职业生涯全周期“一件事”改革</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 w:val="20"/>
                <w:szCs w:val="20"/>
              </w:rPr>
            </w:pPr>
            <w:r>
              <w:rPr>
                <w:rFonts w:hint="eastAsia" w:ascii="宋体" w:hAnsi="宋体" w:cs="宋体"/>
                <w:sz w:val="20"/>
                <w:szCs w:val="20"/>
              </w:rPr>
              <w:t>转任(公务员)</w:t>
            </w:r>
          </w:p>
        </w:tc>
        <w:tc>
          <w:tcPr>
            <w:tcW w:w="1455"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 w:val="20"/>
                <w:szCs w:val="20"/>
              </w:rPr>
            </w:pPr>
            <w:r>
              <w:rPr>
                <w:rFonts w:hint="eastAsia" w:ascii="宋体" w:hAnsi="宋体" w:cs="宋体"/>
                <w:sz w:val="20"/>
                <w:szCs w:val="20"/>
              </w:rPr>
              <w:t>调出(公务员)</w:t>
            </w:r>
          </w:p>
        </w:tc>
        <w:tc>
          <w:tcPr>
            <w:tcW w:w="1455"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录用(公务员)</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调任(公务员)</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辞职(公务员)</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辞退(公务员)</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开除(公务员)</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职务职级变动(公务员)</w:t>
            </w:r>
          </w:p>
        </w:tc>
        <w:tc>
          <w:tcPr>
            <w:tcW w:w="1455"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退休(公务员)</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事业单位职业生涯全周期“一件事”改革</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录用(事业编制)</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调入(事业编制)</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调出(事业编制)</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解聘(事业编制)</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开除(事业编制)</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岗位等级变动(事业编制)</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c>
          <w:tcPr>
            <w:tcW w:w="16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退休(事业编制)</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c>
          <w:tcPr>
            <w:tcW w:w="1623" w:type="dxa"/>
            <w:vMerge w:val="restart"/>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color w:val="000000"/>
                <w:kern w:val="0"/>
                <w:sz w:val="20"/>
                <w:szCs w:val="20"/>
                <w:lang w:bidi="ar"/>
              </w:rPr>
            </w:pPr>
            <w:r>
              <w:rPr>
                <w:rFonts w:hint="eastAsia" w:ascii="宋体" w:hAnsi="宋体" w:cs="宋体"/>
                <w:b w:val="0"/>
                <w:bCs/>
                <w:color w:val="000000"/>
                <w:kern w:val="0"/>
                <w:sz w:val="20"/>
                <w:szCs w:val="20"/>
                <w:lang w:bidi="ar"/>
              </w:rPr>
              <w:t>系统测试</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单体测试</w:t>
            </w:r>
            <w:r>
              <w:rPr>
                <w:rFonts w:hint="default" w:ascii="宋体" w:hAnsi="宋体" w:cs="宋体"/>
                <w:color w:val="000000"/>
                <w:kern w:val="0"/>
                <w:sz w:val="20"/>
                <w:szCs w:val="20"/>
                <w:lang w:bidi="ar"/>
              </w:rPr>
              <w:t>：</w:t>
            </w:r>
            <w:r>
              <w:rPr>
                <w:rFonts w:hint="eastAsia" w:ascii="宋体" w:hAnsi="宋体" w:cs="宋体"/>
                <w:color w:val="000000"/>
                <w:sz w:val="20"/>
                <w:szCs w:val="20"/>
              </w:rPr>
              <w:t>针对每个</w:t>
            </w:r>
            <w:r>
              <w:rPr>
                <w:rFonts w:hint="eastAsia" w:ascii="宋体" w:hAnsi="宋体" w:cs="宋体"/>
                <w:color w:val="000000"/>
                <w:sz w:val="20"/>
                <w:szCs w:val="20"/>
                <w:lang w:val="en-US" w:eastAsia="zh-Hans"/>
              </w:rPr>
              <w:t>功能</w:t>
            </w:r>
            <w:r>
              <w:rPr>
                <w:rFonts w:hint="eastAsia" w:ascii="宋体" w:hAnsi="宋体" w:cs="宋体"/>
                <w:color w:val="000000"/>
                <w:sz w:val="20"/>
                <w:szCs w:val="20"/>
              </w:rPr>
              <w:t>制定测试计划，设计测试用例</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c>
          <w:tcPr>
            <w:tcW w:w="16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综合测试</w:t>
            </w:r>
            <w:r>
              <w:rPr>
                <w:rFonts w:hint="default" w:ascii="宋体" w:hAnsi="宋体" w:cs="宋体"/>
                <w:color w:val="000000"/>
                <w:kern w:val="0"/>
                <w:sz w:val="20"/>
                <w:szCs w:val="20"/>
                <w:lang w:bidi="ar"/>
              </w:rPr>
              <w:t>：</w:t>
            </w:r>
            <w:r>
              <w:rPr>
                <w:rFonts w:hint="eastAsia" w:ascii="宋体" w:hAnsi="宋体" w:cs="宋体"/>
                <w:color w:val="000000"/>
                <w:sz w:val="20"/>
                <w:szCs w:val="20"/>
              </w:rPr>
              <w:t>针对整体功能界定测试计划，设计测试用例，对功能进行全面测试</w:t>
            </w:r>
          </w:p>
        </w:tc>
        <w:tc>
          <w:tcPr>
            <w:tcW w:w="1455"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c>
          <w:tcPr>
            <w:tcW w:w="16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color w:val="000000"/>
                <w:kern w:val="0"/>
                <w:sz w:val="20"/>
                <w:szCs w:val="20"/>
                <w:lang w:bidi="ar"/>
              </w:rPr>
            </w:pPr>
            <w:r>
              <w:rPr>
                <w:rFonts w:hint="eastAsia" w:ascii="宋体" w:hAnsi="宋体" w:cs="宋体"/>
                <w:b w:val="0"/>
                <w:bCs/>
                <w:color w:val="000000"/>
                <w:kern w:val="0"/>
                <w:sz w:val="20"/>
                <w:szCs w:val="20"/>
                <w:lang w:bidi="ar"/>
              </w:rPr>
              <w:t>系统部署</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数据库服务器的部署、web服务器部署等</w:t>
            </w:r>
          </w:p>
        </w:tc>
        <w:tc>
          <w:tcPr>
            <w:tcW w:w="1455"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r>
              <w:rPr>
                <w:rFonts w:hint="default" w:ascii="宋体" w:hAnsi="宋体" w:cs="宋体"/>
                <w:b/>
                <w:color w:val="000000"/>
                <w:sz w:val="20"/>
                <w:szCs w:val="20"/>
              </w:rPr>
              <w:t>2</w:t>
            </w:r>
          </w:p>
        </w:tc>
        <w:tc>
          <w:tcPr>
            <w:tcW w:w="1050" w:type="dxa"/>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r>
              <w:rPr>
                <w:rFonts w:hint="eastAsia" w:ascii="宋体" w:hAnsi="宋体" w:cs="宋体"/>
                <w:b/>
                <w:color w:val="000000"/>
                <w:sz w:val="20"/>
                <w:szCs w:val="20"/>
              </w:rPr>
              <w:t>国有企业</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前期调研</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系统现状分析，既存出入编规则调研</w:t>
            </w:r>
          </w:p>
        </w:tc>
        <w:tc>
          <w:tcPr>
            <w:tcW w:w="145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cs="宋体"/>
                <w:b/>
                <w:color w:val="000000"/>
                <w:kern w:val="0"/>
                <w:sz w:val="20"/>
                <w:szCs w:val="20"/>
                <w:lang w:eastAsia="zh-Hans"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1</w:t>
            </w:r>
            <w:r>
              <w:rPr>
                <w:rFonts w:hint="eastAsia" w:ascii="宋体" w:hAnsi="宋体" w:cs="宋体"/>
                <w:b/>
                <w:color w:val="000000"/>
                <w:kern w:val="0"/>
                <w:sz w:val="20"/>
                <w:szCs w:val="20"/>
                <w:lang w:val="en-US" w:eastAsia="zh-Hans" w:bidi="ar"/>
              </w:rPr>
              <w:t>月上旬</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功能分析</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分析系统各个功能的细节要求，撰写需求文档</w:t>
            </w:r>
          </w:p>
        </w:tc>
        <w:tc>
          <w:tcPr>
            <w:tcW w:w="1455"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原型设计</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根据需求分析设计各个原型页面</w:t>
            </w:r>
          </w:p>
        </w:tc>
        <w:tc>
          <w:tcPr>
            <w:tcW w:w="145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eastAsia="宋体" w:cs="宋体"/>
                <w:b/>
                <w:color w:val="000000"/>
                <w:kern w:val="0"/>
                <w:sz w:val="20"/>
                <w:szCs w:val="20"/>
                <w:lang w:val="en-US" w:eastAsia="zh-CN"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1</w:t>
            </w:r>
            <w:r>
              <w:rPr>
                <w:rFonts w:hint="eastAsia" w:ascii="宋体" w:hAnsi="宋体" w:cs="宋体"/>
                <w:b/>
                <w:color w:val="000000"/>
                <w:kern w:val="0"/>
                <w:sz w:val="20"/>
                <w:szCs w:val="20"/>
                <w:lang w:val="en-US" w:eastAsia="zh-Hans" w:bidi="ar"/>
              </w:rPr>
              <w:t>月</w:t>
            </w:r>
            <w:r>
              <w:rPr>
                <w:rFonts w:hint="eastAsia" w:ascii="宋体" w:hAnsi="宋体" w:cs="宋体"/>
                <w:b/>
                <w:color w:val="000000"/>
                <w:kern w:val="0"/>
                <w:sz w:val="20"/>
                <w:szCs w:val="20"/>
                <w:lang w:val="en-US" w:eastAsia="zh-CN" w:bidi="ar"/>
              </w:rPr>
              <w:t>底前</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数据库设计</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数据库表、视图、存储过程等设计</w:t>
            </w:r>
          </w:p>
        </w:tc>
        <w:tc>
          <w:tcPr>
            <w:tcW w:w="1455"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国有企业管理</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企业新增，修改，撤销。</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cs="宋体"/>
                <w:b/>
                <w:color w:val="000000"/>
                <w:kern w:val="0"/>
                <w:sz w:val="20"/>
                <w:szCs w:val="20"/>
                <w:lang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2</w:t>
            </w:r>
            <w:r>
              <w:rPr>
                <w:rFonts w:hint="eastAsia" w:ascii="宋体" w:hAnsi="宋体" w:cs="宋体"/>
                <w:b/>
                <w:color w:val="000000"/>
                <w:kern w:val="0"/>
                <w:sz w:val="20"/>
                <w:szCs w:val="20"/>
                <w:lang w:val="en-US" w:eastAsia="zh-Hans" w:bidi="ar"/>
              </w:rPr>
              <w:t>月</w:t>
            </w:r>
            <w:r>
              <w:rPr>
                <w:rFonts w:hint="eastAsia" w:ascii="宋体" w:hAnsi="宋体" w:cs="宋体"/>
                <w:b/>
                <w:color w:val="000000"/>
                <w:kern w:val="0"/>
                <w:sz w:val="20"/>
                <w:szCs w:val="20"/>
                <w:lang w:val="en-US" w:eastAsia="zh-CN" w:bidi="ar"/>
              </w:rPr>
              <w:t>底</w:t>
            </w:r>
            <w:r>
              <w:rPr>
                <w:rFonts w:hint="eastAsia" w:ascii="宋体" w:hAnsi="宋体" w:cs="宋体"/>
                <w:b/>
                <w:color w:val="000000"/>
                <w:kern w:val="0"/>
                <w:sz w:val="20"/>
                <w:szCs w:val="20"/>
                <w:lang w:val="en-US" w:eastAsia="zh-Hans" w:bidi="ar"/>
              </w:rPr>
              <w:t>前</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国企台账管理</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国企的批准内设机构数，员额数，核定领导数，职数情况。</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cs="宋体"/>
                <w:b/>
                <w:color w:val="000000"/>
                <w:kern w:val="0"/>
                <w:sz w:val="20"/>
                <w:szCs w:val="20"/>
                <w:lang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3</w:t>
            </w:r>
            <w:r>
              <w:rPr>
                <w:rFonts w:hint="eastAsia" w:ascii="宋体" w:hAnsi="宋体" w:cs="宋体"/>
                <w:b/>
                <w:color w:val="000000"/>
                <w:kern w:val="0"/>
                <w:sz w:val="20"/>
                <w:szCs w:val="20"/>
                <w:lang w:val="en-US" w:eastAsia="zh-Hans" w:bidi="ar"/>
              </w:rPr>
              <w:t>月上旬</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国企人员管理</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国企人员的新增，修改，删除。国企人员信息包括人员基本信息，工作信息，教育信息，备注。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eastAsia="宋体" w:cs="宋体"/>
                <w:b/>
                <w:color w:val="000000"/>
                <w:kern w:val="0"/>
                <w:sz w:val="20"/>
                <w:szCs w:val="20"/>
                <w:lang w:eastAsia="zh-CN"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3</w:t>
            </w:r>
            <w:r>
              <w:rPr>
                <w:rFonts w:hint="eastAsia" w:ascii="宋体" w:hAnsi="宋体" w:cs="宋体"/>
                <w:b/>
                <w:color w:val="000000"/>
                <w:kern w:val="0"/>
                <w:sz w:val="20"/>
                <w:szCs w:val="20"/>
                <w:lang w:val="en-US" w:eastAsia="zh-Hans" w:bidi="ar"/>
              </w:rPr>
              <w:t>月</w:t>
            </w:r>
            <w:r>
              <w:rPr>
                <w:rFonts w:hint="eastAsia" w:ascii="宋体" w:hAnsi="宋体" w:cs="宋体"/>
                <w:b/>
                <w:color w:val="000000"/>
                <w:kern w:val="0"/>
                <w:sz w:val="20"/>
                <w:szCs w:val="20"/>
                <w:lang w:val="en-US" w:eastAsia="zh-CN" w:bidi="ar"/>
              </w:rPr>
              <w:t>底前</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出额人员管理</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国企人员出额后会在出额人员管理界面做历史查看。</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cs="宋体"/>
                <w:b/>
                <w:color w:val="000000"/>
                <w:kern w:val="0"/>
                <w:sz w:val="20"/>
                <w:szCs w:val="20"/>
                <w:lang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4</w:t>
            </w:r>
            <w:r>
              <w:rPr>
                <w:rFonts w:hint="eastAsia" w:ascii="宋体" w:hAnsi="宋体" w:cs="宋体"/>
                <w:b/>
                <w:color w:val="000000"/>
                <w:kern w:val="0"/>
                <w:sz w:val="20"/>
                <w:szCs w:val="20"/>
                <w:lang w:val="en-US" w:eastAsia="zh-Hans" w:bidi="ar"/>
              </w:rPr>
              <w:t>月上旬</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国企用户管理</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系统给每一家国有企业配置一个用户，用来管理本企业基本信息，人员信息等。</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eastAsia="宋体" w:cs="宋体"/>
                <w:b/>
                <w:color w:val="000000"/>
                <w:kern w:val="0"/>
                <w:sz w:val="20"/>
                <w:szCs w:val="20"/>
                <w:lang w:eastAsia="zh-CN"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4</w:t>
            </w:r>
            <w:r>
              <w:rPr>
                <w:rFonts w:hint="eastAsia" w:ascii="宋体" w:hAnsi="宋体" w:cs="宋体"/>
                <w:b/>
                <w:color w:val="000000"/>
                <w:kern w:val="0"/>
                <w:sz w:val="20"/>
                <w:szCs w:val="20"/>
                <w:lang w:val="en-US" w:eastAsia="zh-Hans" w:bidi="ar"/>
              </w:rPr>
              <w:t>月</w:t>
            </w:r>
            <w:r>
              <w:rPr>
                <w:rFonts w:hint="eastAsia" w:ascii="宋体" w:hAnsi="宋体" w:cs="宋体"/>
                <w:b/>
                <w:color w:val="000000"/>
                <w:kern w:val="0"/>
                <w:sz w:val="20"/>
                <w:szCs w:val="20"/>
                <w:lang w:val="en-US" w:eastAsia="zh-CN" w:bidi="ar"/>
              </w:rPr>
              <w:t>底前</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国有企业查询</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国有企业查询，以及国企人员查询。</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cs="宋体"/>
                <w:b/>
                <w:color w:val="000000"/>
                <w:kern w:val="0"/>
                <w:sz w:val="20"/>
                <w:szCs w:val="20"/>
                <w:lang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5</w:t>
            </w:r>
            <w:r>
              <w:rPr>
                <w:rFonts w:hint="eastAsia" w:ascii="宋体" w:hAnsi="宋体" w:cs="宋体"/>
                <w:b/>
                <w:color w:val="000000"/>
                <w:kern w:val="0"/>
                <w:sz w:val="20"/>
                <w:szCs w:val="20"/>
                <w:lang w:val="en-US" w:eastAsia="zh-Hans" w:bidi="ar"/>
              </w:rPr>
              <w:t>月上旬</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国有企业报表</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国有企业的相关报表。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eastAsia="宋体" w:cs="宋体"/>
                <w:b/>
                <w:color w:val="000000"/>
                <w:kern w:val="0"/>
                <w:sz w:val="20"/>
                <w:szCs w:val="20"/>
                <w:lang w:eastAsia="zh-CN"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5</w:t>
            </w:r>
            <w:r>
              <w:rPr>
                <w:rFonts w:hint="eastAsia" w:ascii="宋体" w:hAnsi="宋体" w:cs="宋体"/>
                <w:b/>
                <w:color w:val="000000"/>
                <w:kern w:val="0"/>
                <w:sz w:val="20"/>
                <w:szCs w:val="20"/>
                <w:lang w:val="en-US" w:eastAsia="zh-Hans" w:bidi="ar"/>
              </w:rPr>
              <w:t>月</w:t>
            </w:r>
            <w:r>
              <w:rPr>
                <w:rFonts w:hint="eastAsia" w:ascii="宋体" w:hAnsi="宋体" w:cs="宋体"/>
                <w:b/>
                <w:color w:val="000000"/>
                <w:kern w:val="0"/>
                <w:sz w:val="20"/>
                <w:szCs w:val="20"/>
                <w:lang w:val="en-US" w:eastAsia="zh-CN" w:bidi="ar"/>
              </w:rPr>
              <w:t>底前</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国有企业分析</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国有企业的相关分析。</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cs="宋体"/>
                <w:b/>
                <w:color w:val="000000"/>
                <w:kern w:val="0"/>
                <w:sz w:val="20"/>
                <w:szCs w:val="20"/>
                <w:lang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6</w:t>
            </w:r>
            <w:r>
              <w:rPr>
                <w:rFonts w:hint="eastAsia" w:ascii="宋体" w:hAnsi="宋体" w:cs="宋体"/>
                <w:b/>
                <w:color w:val="000000"/>
                <w:kern w:val="0"/>
                <w:sz w:val="20"/>
                <w:szCs w:val="20"/>
                <w:lang w:val="en-US" w:eastAsia="zh-Hans" w:bidi="ar"/>
              </w:rPr>
              <w:t>月上旬</w:t>
            </w:r>
          </w:p>
        </w:tc>
      </w:tr>
      <w:tr>
        <w:tblPrEx>
          <w:tblCellMar>
            <w:top w:w="15" w:type="dxa"/>
            <w:left w:w="15" w:type="dxa"/>
            <w:bottom w:w="15" w:type="dxa"/>
            <w:right w:w="15" w:type="dxa"/>
          </w:tblCellMar>
        </w:tblPrEx>
        <w:trPr>
          <w:trHeight w:val="482" w:hRule="atLeast"/>
        </w:trPr>
        <w:tc>
          <w:tcPr>
            <w:tcW w:w="493"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国有企业文件</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国有企业的相关文件。</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textAlignment w:val="center"/>
              <w:rPr>
                <w:rFonts w:hint="eastAsia" w:ascii="宋体" w:hAnsi="宋体" w:eastAsia="宋体" w:cs="宋体"/>
                <w:b/>
                <w:color w:val="000000"/>
                <w:kern w:val="0"/>
                <w:sz w:val="20"/>
                <w:szCs w:val="20"/>
                <w:lang w:eastAsia="zh-CN" w:bidi="ar"/>
              </w:rPr>
            </w:pPr>
            <w:r>
              <w:rPr>
                <w:rFonts w:hint="default" w:ascii="宋体" w:hAnsi="宋体" w:cs="宋体"/>
                <w:b/>
                <w:color w:val="000000"/>
                <w:kern w:val="0"/>
                <w:sz w:val="20"/>
                <w:szCs w:val="20"/>
                <w:lang w:bidi="ar"/>
              </w:rPr>
              <w:t>2021</w:t>
            </w:r>
            <w:r>
              <w:rPr>
                <w:rFonts w:hint="eastAsia" w:ascii="宋体" w:hAnsi="宋体" w:cs="宋体"/>
                <w:b/>
                <w:color w:val="000000"/>
                <w:kern w:val="0"/>
                <w:sz w:val="20"/>
                <w:szCs w:val="20"/>
                <w:lang w:val="en-US" w:eastAsia="zh-Hans" w:bidi="ar"/>
              </w:rPr>
              <w:t>年</w:t>
            </w:r>
            <w:r>
              <w:rPr>
                <w:rFonts w:hint="default" w:ascii="宋体" w:hAnsi="宋体" w:cs="宋体"/>
                <w:b/>
                <w:color w:val="000000"/>
                <w:kern w:val="0"/>
                <w:sz w:val="20"/>
                <w:szCs w:val="20"/>
                <w:lang w:eastAsia="zh-Hans" w:bidi="ar"/>
              </w:rPr>
              <w:t>6</w:t>
            </w:r>
            <w:r>
              <w:rPr>
                <w:rFonts w:hint="eastAsia" w:ascii="宋体" w:hAnsi="宋体" w:cs="宋体"/>
                <w:b/>
                <w:color w:val="000000"/>
                <w:kern w:val="0"/>
                <w:sz w:val="20"/>
                <w:szCs w:val="20"/>
                <w:lang w:val="en-US" w:eastAsia="zh-Hans" w:bidi="ar"/>
              </w:rPr>
              <w:t>月</w:t>
            </w:r>
            <w:r>
              <w:rPr>
                <w:rFonts w:hint="eastAsia" w:ascii="宋体" w:hAnsi="宋体" w:cs="宋体"/>
                <w:b/>
                <w:color w:val="000000"/>
                <w:kern w:val="0"/>
                <w:sz w:val="20"/>
                <w:szCs w:val="20"/>
                <w:lang w:val="en-US" w:eastAsia="zh-CN" w:bidi="ar"/>
              </w:rPr>
              <w:t>底前</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sz w:val="20"/>
                <w:szCs w:val="20"/>
              </w:rPr>
            </w:pPr>
          </w:p>
        </w:tc>
        <w:tc>
          <w:tcPr>
            <w:tcW w:w="16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b w:val="0"/>
                <w:bCs/>
                <w:color w:val="000000"/>
                <w:kern w:val="0"/>
                <w:sz w:val="20"/>
                <w:szCs w:val="20"/>
                <w:lang w:bidi="ar"/>
              </w:rPr>
              <w:t>系统测试</w:t>
            </w: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单体测试</w:t>
            </w:r>
            <w:r>
              <w:rPr>
                <w:rFonts w:hint="default" w:ascii="宋体" w:hAnsi="宋体" w:cs="宋体"/>
                <w:color w:val="000000"/>
                <w:kern w:val="0"/>
                <w:sz w:val="20"/>
                <w:szCs w:val="20"/>
                <w:lang w:bidi="ar"/>
              </w:rPr>
              <w:t>：</w:t>
            </w:r>
            <w:r>
              <w:rPr>
                <w:rFonts w:hint="eastAsia" w:ascii="宋体" w:hAnsi="宋体" w:cs="宋体"/>
                <w:color w:val="000000"/>
                <w:sz w:val="20"/>
                <w:szCs w:val="20"/>
              </w:rPr>
              <w:t>针对每个界面制定测试计划，设计测试用例，对各界面进行全面的测试</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b/>
                <w:color w:val="000000"/>
                <w:sz w:val="20"/>
                <w:szCs w:val="20"/>
              </w:rPr>
            </w:pPr>
            <w:r>
              <w:rPr>
                <w:rFonts w:hint="default" w:ascii="宋体" w:hAnsi="宋体" w:cs="宋体"/>
                <w:b/>
                <w:color w:val="000000"/>
                <w:sz w:val="20"/>
                <w:szCs w:val="20"/>
              </w:rPr>
              <w:t>2021</w:t>
            </w:r>
            <w:r>
              <w:rPr>
                <w:rFonts w:hint="eastAsia" w:ascii="宋体" w:hAnsi="宋体" w:cs="宋体"/>
                <w:b/>
                <w:color w:val="000000"/>
                <w:sz w:val="20"/>
                <w:szCs w:val="20"/>
                <w:lang w:val="en-US" w:eastAsia="zh-Hans"/>
              </w:rPr>
              <w:t>年</w:t>
            </w:r>
            <w:r>
              <w:rPr>
                <w:rFonts w:hint="default" w:ascii="宋体" w:hAnsi="宋体" w:cs="宋体"/>
                <w:b/>
                <w:color w:val="000000"/>
                <w:sz w:val="20"/>
                <w:szCs w:val="20"/>
                <w:lang w:eastAsia="zh-Hans"/>
              </w:rPr>
              <w:t>7</w:t>
            </w:r>
            <w:r>
              <w:rPr>
                <w:rFonts w:hint="eastAsia" w:ascii="宋体" w:hAnsi="宋体" w:cs="宋体"/>
                <w:b/>
                <w:color w:val="000000"/>
                <w:sz w:val="20"/>
                <w:szCs w:val="20"/>
                <w:lang w:val="en-US" w:eastAsia="zh-Hans"/>
              </w:rPr>
              <w:t>月</w:t>
            </w:r>
            <w:r>
              <w:rPr>
                <w:rFonts w:hint="eastAsia" w:ascii="宋体" w:hAnsi="宋体" w:cs="宋体"/>
                <w:b/>
                <w:color w:val="000000"/>
                <w:sz w:val="20"/>
                <w:szCs w:val="20"/>
                <w:lang w:val="en-US" w:eastAsia="zh-CN"/>
              </w:rPr>
              <w:t>底</w:t>
            </w:r>
            <w:r>
              <w:rPr>
                <w:rFonts w:hint="eastAsia" w:ascii="宋体" w:hAnsi="宋体" w:cs="宋体"/>
                <w:b/>
                <w:color w:val="000000"/>
                <w:sz w:val="20"/>
                <w:szCs w:val="20"/>
                <w:lang w:val="en-US" w:eastAsia="zh-Hans"/>
              </w:rPr>
              <w:t>前</w:t>
            </w:r>
          </w:p>
        </w:tc>
      </w:tr>
      <w:tr>
        <w:tblPrEx>
          <w:tblCellMar>
            <w:top w:w="15" w:type="dxa"/>
            <w:left w:w="15" w:type="dxa"/>
            <w:bottom w:w="15" w:type="dxa"/>
            <w:right w:w="15" w:type="dxa"/>
          </w:tblCellMar>
        </w:tblPrEx>
        <w:trPr>
          <w:trHeight w:val="380" w:hRule="atLeast"/>
        </w:trPr>
        <w:tc>
          <w:tcPr>
            <w:tcW w:w="49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c>
          <w:tcPr>
            <w:tcW w:w="1050"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c>
          <w:tcPr>
            <w:tcW w:w="16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p>
        </w:tc>
        <w:tc>
          <w:tcPr>
            <w:tcW w:w="367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综合测试</w:t>
            </w:r>
            <w:r>
              <w:rPr>
                <w:rFonts w:hint="default" w:ascii="宋体" w:hAnsi="宋体" w:cs="宋体"/>
                <w:color w:val="000000"/>
                <w:kern w:val="0"/>
                <w:sz w:val="20"/>
                <w:szCs w:val="20"/>
                <w:lang w:bidi="ar"/>
              </w:rPr>
              <w:t>：</w:t>
            </w:r>
            <w:r>
              <w:rPr>
                <w:rFonts w:hint="eastAsia" w:ascii="宋体" w:hAnsi="宋体" w:cs="宋体"/>
                <w:color w:val="000000"/>
                <w:sz w:val="20"/>
                <w:szCs w:val="20"/>
              </w:rPr>
              <w:t>针对整体功能界定测试计划，设计测试用例，对功能进行全面测试</w:t>
            </w: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b/>
                <w:color w:val="000000"/>
                <w:kern w:val="0"/>
                <w:sz w:val="20"/>
                <w:szCs w:val="20"/>
                <w:lang w:bidi="ar"/>
              </w:rPr>
            </w:pPr>
          </w:p>
        </w:tc>
      </w:tr>
      <w:tr>
        <w:tblPrEx>
          <w:tblCellMar>
            <w:top w:w="15" w:type="dxa"/>
            <w:left w:w="15" w:type="dxa"/>
            <w:bottom w:w="15" w:type="dxa"/>
            <w:right w:w="15" w:type="dxa"/>
          </w:tblCellMar>
        </w:tblPrEx>
        <w:trPr>
          <w:trHeight w:val="90" w:hRule="atLeast"/>
        </w:trPr>
        <w:tc>
          <w:tcPr>
            <w:tcW w:w="493"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kern w:val="0"/>
                <w:sz w:val="20"/>
                <w:szCs w:val="20"/>
                <w:lang w:bidi="ar"/>
              </w:rPr>
            </w:pPr>
          </w:p>
        </w:tc>
        <w:tc>
          <w:tcPr>
            <w:tcW w:w="1050"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p>
        </w:tc>
        <w:tc>
          <w:tcPr>
            <w:tcW w:w="162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b w:val="0"/>
                <w:bCs/>
                <w:color w:val="000000"/>
                <w:kern w:val="0"/>
                <w:sz w:val="20"/>
                <w:szCs w:val="20"/>
                <w:lang w:bidi="ar"/>
              </w:rPr>
              <w:t>系统部署</w:t>
            </w:r>
          </w:p>
        </w:tc>
        <w:tc>
          <w:tcPr>
            <w:tcW w:w="3677"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数据库服务器的部署、web服务器部署等</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b/>
                <w:color w:val="000000"/>
                <w:sz w:val="20"/>
                <w:szCs w:val="20"/>
              </w:rPr>
            </w:pPr>
            <w:r>
              <w:rPr>
                <w:rFonts w:hint="default" w:ascii="宋体" w:hAnsi="宋体" w:cs="宋体"/>
                <w:b/>
                <w:color w:val="000000"/>
                <w:sz w:val="20"/>
                <w:szCs w:val="20"/>
              </w:rPr>
              <w:t>2021</w:t>
            </w:r>
            <w:r>
              <w:rPr>
                <w:rFonts w:hint="eastAsia" w:ascii="宋体" w:hAnsi="宋体" w:cs="宋体"/>
                <w:b/>
                <w:color w:val="000000"/>
                <w:sz w:val="20"/>
                <w:szCs w:val="20"/>
                <w:lang w:val="en-US" w:eastAsia="zh-Hans"/>
              </w:rPr>
              <w:t>年</w:t>
            </w:r>
            <w:r>
              <w:rPr>
                <w:rFonts w:hint="default" w:ascii="宋体" w:hAnsi="宋体" w:cs="宋体"/>
                <w:b/>
                <w:color w:val="000000"/>
                <w:sz w:val="20"/>
                <w:szCs w:val="20"/>
                <w:lang w:eastAsia="zh-Hans"/>
              </w:rPr>
              <w:t>7</w:t>
            </w:r>
            <w:r>
              <w:rPr>
                <w:rFonts w:hint="eastAsia" w:ascii="宋体" w:hAnsi="宋体" w:cs="宋体"/>
                <w:b/>
                <w:color w:val="000000"/>
                <w:sz w:val="20"/>
                <w:szCs w:val="20"/>
                <w:lang w:val="en-US" w:eastAsia="zh-Hans"/>
              </w:rPr>
              <w:t>月</w:t>
            </w:r>
            <w:r>
              <w:rPr>
                <w:rFonts w:hint="eastAsia" w:ascii="宋体" w:hAnsi="宋体" w:cs="宋体"/>
                <w:b/>
                <w:color w:val="000000"/>
                <w:sz w:val="20"/>
                <w:szCs w:val="20"/>
                <w:lang w:val="en-US" w:eastAsia="zh-CN"/>
              </w:rPr>
              <w:t>底</w:t>
            </w:r>
            <w:r>
              <w:rPr>
                <w:rFonts w:hint="eastAsia" w:ascii="宋体" w:hAnsi="宋体" w:cs="宋体"/>
                <w:b/>
                <w:color w:val="000000"/>
                <w:sz w:val="20"/>
                <w:szCs w:val="20"/>
                <w:lang w:val="en-US" w:eastAsia="zh-Hans"/>
              </w:rPr>
              <w:t>前</w:t>
            </w:r>
          </w:p>
        </w:tc>
      </w:tr>
    </w:tbl>
    <w:p>
      <w:pPr>
        <w:rPr>
          <w:rFonts w:hint="eastAsia" w:ascii="宋体" w:hAnsi="宋体" w:eastAsia="宋体" w:cs="宋体"/>
          <w:sz w:val="20"/>
          <w:szCs w:val="2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8828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0116D"/>
    <w:multiLevelType w:val="singleLevel"/>
    <w:tmpl w:val="0550116D"/>
    <w:lvl w:ilvl="0" w:tentative="0">
      <w:start w:val="1"/>
      <w:numFmt w:val="decimal"/>
      <w:suff w:val="nothing"/>
      <w:lvlText w:val="%1、"/>
      <w:lvlJc w:val="left"/>
    </w:lvl>
  </w:abstractNum>
  <w:abstractNum w:abstractNumId="1">
    <w:nsid w:val="4DFE607F"/>
    <w:multiLevelType w:val="singleLevel"/>
    <w:tmpl w:val="4DFE607F"/>
    <w:lvl w:ilvl="0" w:tentative="0">
      <w:start w:val="3"/>
      <w:numFmt w:val="chineseCounting"/>
      <w:suff w:val="nothing"/>
      <w:lvlText w:val="（%1）"/>
      <w:lvlJc w:val="left"/>
      <w:rPr>
        <w:rFonts w:hint="eastAsia"/>
      </w:rPr>
    </w:lvl>
  </w:abstractNum>
  <w:abstractNum w:abstractNumId="2">
    <w:nsid w:val="72394D16"/>
    <w:multiLevelType w:val="singleLevel"/>
    <w:tmpl w:val="72394D16"/>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67"/>
    <w:rsid w:val="00001AFB"/>
    <w:rsid w:val="000060D3"/>
    <w:rsid w:val="000253AB"/>
    <w:rsid w:val="0004134B"/>
    <w:rsid w:val="000562F8"/>
    <w:rsid w:val="000810AD"/>
    <w:rsid w:val="00084E04"/>
    <w:rsid w:val="00085E36"/>
    <w:rsid w:val="00092793"/>
    <w:rsid w:val="000C4C63"/>
    <w:rsid w:val="00101289"/>
    <w:rsid w:val="00105CEE"/>
    <w:rsid w:val="0012087D"/>
    <w:rsid w:val="00132AB0"/>
    <w:rsid w:val="00146A97"/>
    <w:rsid w:val="00163046"/>
    <w:rsid w:val="00171A41"/>
    <w:rsid w:val="00175743"/>
    <w:rsid w:val="00177000"/>
    <w:rsid w:val="001A4E60"/>
    <w:rsid w:val="001A5A7F"/>
    <w:rsid w:val="001F6C05"/>
    <w:rsid w:val="002016FC"/>
    <w:rsid w:val="0021008A"/>
    <w:rsid w:val="002156BD"/>
    <w:rsid w:val="00240816"/>
    <w:rsid w:val="0024603F"/>
    <w:rsid w:val="002534ED"/>
    <w:rsid w:val="00290542"/>
    <w:rsid w:val="00292980"/>
    <w:rsid w:val="002A2568"/>
    <w:rsid w:val="002B3A66"/>
    <w:rsid w:val="002E1C40"/>
    <w:rsid w:val="002E4816"/>
    <w:rsid w:val="003352D3"/>
    <w:rsid w:val="003473A4"/>
    <w:rsid w:val="00354230"/>
    <w:rsid w:val="00356C7A"/>
    <w:rsid w:val="00356D67"/>
    <w:rsid w:val="003613DF"/>
    <w:rsid w:val="00366405"/>
    <w:rsid w:val="00375413"/>
    <w:rsid w:val="003F041E"/>
    <w:rsid w:val="003F051A"/>
    <w:rsid w:val="00400005"/>
    <w:rsid w:val="0040667F"/>
    <w:rsid w:val="00422640"/>
    <w:rsid w:val="004270E9"/>
    <w:rsid w:val="00464146"/>
    <w:rsid w:val="004849CE"/>
    <w:rsid w:val="0049050C"/>
    <w:rsid w:val="004D0D85"/>
    <w:rsid w:val="004D5A62"/>
    <w:rsid w:val="004F1162"/>
    <w:rsid w:val="005004F7"/>
    <w:rsid w:val="00535711"/>
    <w:rsid w:val="00545962"/>
    <w:rsid w:val="00591102"/>
    <w:rsid w:val="005936CF"/>
    <w:rsid w:val="005B6724"/>
    <w:rsid w:val="005C3ED0"/>
    <w:rsid w:val="005D3ED6"/>
    <w:rsid w:val="005E1568"/>
    <w:rsid w:val="005E404F"/>
    <w:rsid w:val="005F38D7"/>
    <w:rsid w:val="00615903"/>
    <w:rsid w:val="006843A2"/>
    <w:rsid w:val="006974A0"/>
    <w:rsid w:val="006A0ECD"/>
    <w:rsid w:val="006B36F3"/>
    <w:rsid w:val="006B444A"/>
    <w:rsid w:val="006E2B9A"/>
    <w:rsid w:val="006E6584"/>
    <w:rsid w:val="007058AC"/>
    <w:rsid w:val="00714A29"/>
    <w:rsid w:val="00723BD3"/>
    <w:rsid w:val="007679FB"/>
    <w:rsid w:val="007B5EB4"/>
    <w:rsid w:val="007C299F"/>
    <w:rsid w:val="007C4F0A"/>
    <w:rsid w:val="007D6B09"/>
    <w:rsid w:val="007F3FEE"/>
    <w:rsid w:val="008049F3"/>
    <w:rsid w:val="00812DB7"/>
    <w:rsid w:val="00817875"/>
    <w:rsid w:val="00817DB9"/>
    <w:rsid w:val="008870FB"/>
    <w:rsid w:val="008A0413"/>
    <w:rsid w:val="008A485D"/>
    <w:rsid w:val="008C16A2"/>
    <w:rsid w:val="008C4267"/>
    <w:rsid w:val="008D4E36"/>
    <w:rsid w:val="008F20D0"/>
    <w:rsid w:val="009060B6"/>
    <w:rsid w:val="0090676E"/>
    <w:rsid w:val="00906DFB"/>
    <w:rsid w:val="00912018"/>
    <w:rsid w:val="00931766"/>
    <w:rsid w:val="009324B7"/>
    <w:rsid w:val="009346B9"/>
    <w:rsid w:val="009362F3"/>
    <w:rsid w:val="0094652D"/>
    <w:rsid w:val="00950C68"/>
    <w:rsid w:val="00956395"/>
    <w:rsid w:val="00960CB0"/>
    <w:rsid w:val="00961639"/>
    <w:rsid w:val="009815DA"/>
    <w:rsid w:val="009B04DE"/>
    <w:rsid w:val="009C06C7"/>
    <w:rsid w:val="009C610F"/>
    <w:rsid w:val="009D0DC5"/>
    <w:rsid w:val="009D502B"/>
    <w:rsid w:val="009F66FC"/>
    <w:rsid w:val="00A1113B"/>
    <w:rsid w:val="00A26BC0"/>
    <w:rsid w:val="00A27605"/>
    <w:rsid w:val="00A643C4"/>
    <w:rsid w:val="00A82F13"/>
    <w:rsid w:val="00AA388E"/>
    <w:rsid w:val="00AD7A59"/>
    <w:rsid w:val="00B01BB3"/>
    <w:rsid w:val="00B20460"/>
    <w:rsid w:val="00B21758"/>
    <w:rsid w:val="00B263E7"/>
    <w:rsid w:val="00B3650C"/>
    <w:rsid w:val="00B40781"/>
    <w:rsid w:val="00B673BF"/>
    <w:rsid w:val="00B752B0"/>
    <w:rsid w:val="00B83BFA"/>
    <w:rsid w:val="00B842B5"/>
    <w:rsid w:val="00BA2FC0"/>
    <w:rsid w:val="00BA56BC"/>
    <w:rsid w:val="00BD37C7"/>
    <w:rsid w:val="00BF0829"/>
    <w:rsid w:val="00C11DF7"/>
    <w:rsid w:val="00C423FA"/>
    <w:rsid w:val="00C525A9"/>
    <w:rsid w:val="00C6516A"/>
    <w:rsid w:val="00C82870"/>
    <w:rsid w:val="00C9557F"/>
    <w:rsid w:val="00CA19CE"/>
    <w:rsid w:val="00CB70E5"/>
    <w:rsid w:val="00CB7CC5"/>
    <w:rsid w:val="00D36C84"/>
    <w:rsid w:val="00D47BAA"/>
    <w:rsid w:val="00D6182C"/>
    <w:rsid w:val="00D6496D"/>
    <w:rsid w:val="00D659E5"/>
    <w:rsid w:val="00D70A67"/>
    <w:rsid w:val="00DA7A78"/>
    <w:rsid w:val="00DB06D3"/>
    <w:rsid w:val="00DC0A8A"/>
    <w:rsid w:val="00DC70B3"/>
    <w:rsid w:val="00DC70B5"/>
    <w:rsid w:val="00DE13D0"/>
    <w:rsid w:val="00E23C54"/>
    <w:rsid w:val="00E40A35"/>
    <w:rsid w:val="00E41EF0"/>
    <w:rsid w:val="00E51193"/>
    <w:rsid w:val="00E62062"/>
    <w:rsid w:val="00E63EA5"/>
    <w:rsid w:val="00E676E1"/>
    <w:rsid w:val="00E72028"/>
    <w:rsid w:val="00E9306D"/>
    <w:rsid w:val="00EB67DF"/>
    <w:rsid w:val="00EB77FE"/>
    <w:rsid w:val="00EF65B1"/>
    <w:rsid w:val="00F10685"/>
    <w:rsid w:val="00F31301"/>
    <w:rsid w:val="00F53329"/>
    <w:rsid w:val="00F5781B"/>
    <w:rsid w:val="00F8645B"/>
    <w:rsid w:val="00F86E1E"/>
    <w:rsid w:val="00FA57F9"/>
    <w:rsid w:val="00FB3B30"/>
    <w:rsid w:val="00FF0BA0"/>
    <w:rsid w:val="04451AEA"/>
    <w:rsid w:val="060818BF"/>
    <w:rsid w:val="069918CA"/>
    <w:rsid w:val="06C96DDC"/>
    <w:rsid w:val="07823083"/>
    <w:rsid w:val="08367A9E"/>
    <w:rsid w:val="08ED0987"/>
    <w:rsid w:val="0BD95109"/>
    <w:rsid w:val="0D0C59A7"/>
    <w:rsid w:val="0E8263F5"/>
    <w:rsid w:val="0F6764A6"/>
    <w:rsid w:val="0FE66B0B"/>
    <w:rsid w:val="105F6C8C"/>
    <w:rsid w:val="11D46D2E"/>
    <w:rsid w:val="12DD38B7"/>
    <w:rsid w:val="168111E4"/>
    <w:rsid w:val="1CB143FB"/>
    <w:rsid w:val="1D11215E"/>
    <w:rsid w:val="21C12D83"/>
    <w:rsid w:val="2798244A"/>
    <w:rsid w:val="2CF3206A"/>
    <w:rsid w:val="2FFB5BF8"/>
    <w:rsid w:val="30777219"/>
    <w:rsid w:val="31702AD8"/>
    <w:rsid w:val="331322C5"/>
    <w:rsid w:val="331827E9"/>
    <w:rsid w:val="33A92084"/>
    <w:rsid w:val="38C30ED8"/>
    <w:rsid w:val="390C78D0"/>
    <w:rsid w:val="3D223ACD"/>
    <w:rsid w:val="418B2212"/>
    <w:rsid w:val="419D79AF"/>
    <w:rsid w:val="42D32170"/>
    <w:rsid w:val="43000DCB"/>
    <w:rsid w:val="449A0853"/>
    <w:rsid w:val="44E07CBC"/>
    <w:rsid w:val="45C3095D"/>
    <w:rsid w:val="45E86828"/>
    <w:rsid w:val="466C7C8A"/>
    <w:rsid w:val="472736A3"/>
    <w:rsid w:val="4C850CC7"/>
    <w:rsid w:val="4ED80C5F"/>
    <w:rsid w:val="53391F62"/>
    <w:rsid w:val="54DF6D5E"/>
    <w:rsid w:val="5E747AC0"/>
    <w:rsid w:val="5F1C4E52"/>
    <w:rsid w:val="5FA27661"/>
    <w:rsid w:val="60437230"/>
    <w:rsid w:val="642D6D38"/>
    <w:rsid w:val="656762E8"/>
    <w:rsid w:val="6A87507C"/>
    <w:rsid w:val="6B1268B2"/>
    <w:rsid w:val="6BC4409F"/>
    <w:rsid w:val="6C755F2D"/>
    <w:rsid w:val="6D183FA4"/>
    <w:rsid w:val="6E021B4B"/>
    <w:rsid w:val="70D95550"/>
    <w:rsid w:val="75862D9D"/>
    <w:rsid w:val="759E2E2C"/>
    <w:rsid w:val="760D748E"/>
    <w:rsid w:val="7BD25C99"/>
    <w:rsid w:val="7DA83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6"/>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table" w:styleId="10">
    <w:name w:val="Table Grid"/>
    <w:basedOn w:val="9"/>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34"/>
    <w:pPr>
      <w:ind w:firstLine="420" w:firstLineChars="200"/>
    </w:pPr>
  </w:style>
  <w:style w:type="character" w:customStyle="1" w:styleId="14">
    <w:name w:val="标题 1 Char"/>
    <w:basedOn w:val="11"/>
    <w:link w:val="2"/>
    <w:qFormat/>
    <w:uiPriority w:val="9"/>
    <w:rPr>
      <w:b/>
      <w:bCs/>
      <w:kern w:val="44"/>
      <w:sz w:val="44"/>
      <w:szCs w:val="44"/>
    </w:rPr>
  </w:style>
  <w:style w:type="paragraph" w:customStyle="1" w:styleId="1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6">
    <w:name w:val="批注框文本 Char"/>
    <w:basedOn w:val="11"/>
    <w:link w:val="4"/>
    <w:semiHidden/>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9">
    <w:name w:val="页眉 Char"/>
    <w:basedOn w:val="11"/>
    <w:link w:val="6"/>
    <w:qFormat/>
    <w:uiPriority w:val="99"/>
    <w:rPr>
      <w:sz w:val="18"/>
      <w:szCs w:val="18"/>
    </w:rPr>
  </w:style>
  <w:style w:type="character" w:customStyle="1" w:styleId="20">
    <w:name w:val="页脚 Char"/>
    <w:basedOn w:val="11"/>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436C0-1B24-4390-8427-CC337B1297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885</Words>
  <Characters>5049</Characters>
  <Lines>42</Lines>
  <Paragraphs>11</Paragraphs>
  <TotalTime>4</TotalTime>
  <ScaleCrop>false</ScaleCrop>
  <LinksUpToDate>false</LinksUpToDate>
  <CharactersWithSpaces>5923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2019-10-11T08:53:00Z</dcterms:created>
  <dc:creator>s</dc:creator>
  <cp:lastModifiedBy>315</cp:lastModifiedBy>
  <cp:lastPrinted>2020-10-21T06:15:00Z</cp:lastPrinted>
  <dcterms:modified xsi:type="dcterms:W3CDTF">2021-05-12T01:25:48Z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9AEAE046711D40DBA42FE08190CC0F88</vt:lpwstr>
  </property>
</Properties>
</file>