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Cs/>
          <w:sz w:val="48"/>
          <w:szCs w:val="48"/>
        </w:rPr>
      </w:pPr>
      <w:r>
        <w:rPr>
          <w:rFonts w:hint="eastAsia" w:ascii="隶书" w:hAnsi="Arial" w:eastAsia="隶书" w:cs="Arial"/>
          <w:bCs/>
          <w:sz w:val="48"/>
          <w:szCs w:val="48"/>
        </w:rPr>
        <w:t>绍兴文理学院附属医院科教研一体化</w:t>
      </w:r>
    </w:p>
    <w:p>
      <w:pPr>
        <w:jc w:val="center"/>
        <w:outlineLvl w:val="0"/>
        <w:rPr>
          <w:rFonts w:ascii="隶书" w:hAnsi="Arial" w:eastAsia="隶书" w:cs="Arial"/>
          <w:bCs/>
          <w:color w:val="000000" w:themeColor="text1"/>
          <w:sz w:val="48"/>
          <w:szCs w:val="48"/>
          <w14:textFill>
            <w14:solidFill>
              <w14:schemeClr w14:val="tx1"/>
            </w14:solidFill>
          </w14:textFill>
        </w:rPr>
      </w:pPr>
      <w:r>
        <w:rPr>
          <w:rFonts w:hint="eastAsia" w:ascii="隶书" w:hAnsi="Arial" w:eastAsia="隶书" w:cs="Arial"/>
          <w:bCs/>
          <w:sz w:val="48"/>
          <w:szCs w:val="48"/>
        </w:rPr>
        <w:t>平台项目</w:t>
      </w:r>
    </w:p>
    <w:p>
      <w:pPr>
        <w:jc w:val="center"/>
        <w:outlineLvl w:val="0"/>
        <w:rPr>
          <w:rFonts w:ascii="隶书" w:hAnsi="Arial" w:eastAsia="隶书" w:cs="Arial"/>
          <w:b/>
          <w:color w:val="000000" w:themeColor="text1"/>
          <w:sz w:val="44"/>
          <w:szCs w:val="44"/>
          <w14:textFill>
            <w14:solidFill>
              <w14:schemeClr w14:val="tx1"/>
            </w14:solidFill>
          </w14:textFill>
        </w:rPr>
      </w:pPr>
    </w:p>
    <w:p>
      <w:pPr>
        <w:jc w:val="center"/>
        <w:outlineLvl w:val="0"/>
        <w:rPr>
          <w:rFonts w:cs="Arial" w:asciiTheme="minorEastAsia" w:hAnsiTheme="minorEastAsia" w:eastAsiaTheme="minorEastAsia"/>
          <w:b/>
          <w:sz w:val="72"/>
          <w:szCs w:val="72"/>
        </w:rPr>
      </w:pPr>
      <w:r>
        <w:rPr>
          <w:rFonts w:hint="eastAsia" w:cs="Arial" w:asciiTheme="minorEastAsia" w:hAnsiTheme="minorEastAsia" w:eastAsiaTheme="minorEastAsia"/>
          <w:b/>
          <w:sz w:val="72"/>
          <w:szCs w:val="72"/>
        </w:rPr>
        <w:t>公</w:t>
      </w:r>
    </w:p>
    <w:p>
      <w:pPr>
        <w:jc w:val="center"/>
        <w:outlineLvl w:val="0"/>
        <w:rPr>
          <w:rFonts w:cs="Arial" w:asciiTheme="minorEastAsia" w:hAnsiTheme="minorEastAsia" w:eastAsiaTheme="minorEastAsia"/>
          <w:b/>
          <w:sz w:val="72"/>
          <w:szCs w:val="72"/>
        </w:rPr>
      </w:pPr>
      <w:r>
        <w:rPr>
          <w:rFonts w:hint="eastAsia" w:cs="Arial" w:asciiTheme="minorEastAsia" w:hAnsiTheme="minorEastAsia" w:eastAsiaTheme="minorEastAsia"/>
          <w:b/>
          <w:sz w:val="72"/>
          <w:szCs w:val="72"/>
        </w:rPr>
        <w:t>开</w:t>
      </w:r>
    </w:p>
    <w:p>
      <w:pPr>
        <w:jc w:val="center"/>
        <w:outlineLvl w:val="0"/>
        <w:rPr>
          <w:rFonts w:cs="Arial" w:asciiTheme="minorEastAsia" w:hAnsiTheme="minorEastAsia" w:eastAsiaTheme="minorEastAsia"/>
          <w:b/>
          <w:sz w:val="72"/>
          <w:szCs w:val="72"/>
        </w:rPr>
      </w:pPr>
      <w:r>
        <w:rPr>
          <w:rFonts w:hint="eastAsia" w:cs="Arial" w:asciiTheme="minorEastAsia" w:hAnsiTheme="minorEastAsia" w:eastAsiaTheme="minorEastAsia"/>
          <w:b/>
          <w:sz w:val="72"/>
          <w:szCs w:val="72"/>
        </w:rPr>
        <w:t>招</w:t>
      </w:r>
    </w:p>
    <w:p>
      <w:pPr>
        <w:jc w:val="center"/>
        <w:outlineLvl w:val="0"/>
        <w:rPr>
          <w:rFonts w:cs="Arial" w:asciiTheme="minorEastAsia" w:hAnsiTheme="minorEastAsia" w:eastAsiaTheme="minorEastAsia"/>
          <w:b/>
          <w:sz w:val="72"/>
          <w:szCs w:val="72"/>
        </w:rPr>
      </w:pPr>
      <w:r>
        <w:rPr>
          <w:rFonts w:hint="eastAsia" w:cs="Arial" w:asciiTheme="minorEastAsia" w:hAnsiTheme="minorEastAsia" w:eastAsiaTheme="minorEastAsia"/>
          <w:b/>
          <w:sz w:val="72"/>
          <w:szCs w:val="72"/>
        </w:rPr>
        <w:t>标</w:t>
      </w:r>
    </w:p>
    <w:p>
      <w:pPr>
        <w:jc w:val="center"/>
        <w:outlineLvl w:val="0"/>
        <w:rPr>
          <w:rFonts w:asciiTheme="minorEastAsia" w:hAnsiTheme="minorEastAsia" w:eastAsiaTheme="minorEastAsia"/>
          <w:b/>
          <w:sz w:val="72"/>
          <w:szCs w:val="72"/>
        </w:rPr>
      </w:pPr>
      <w:r>
        <w:rPr>
          <w:rFonts w:hint="eastAsia" w:asciiTheme="minorEastAsia" w:hAnsiTheme="minorEastAsia" w:eastAsiaTheme="minorEastAsia"/>
          <w:b/>
          <w:sz w:val="72"/>
          <w:szCs w:val="72"/>
        </w:rPr>
        <w:t>文</w:t>
      </w:r>
    </w:p>
    <w:p>
      <w:pPr>
        <w:jc w:val="center"/>
        <w:outlineLvl w:val="0"/>
        <w:rPr>
          <w:rFonts w:asciiTheme="minorEastAsia" w:hAnsiTheme="minorEastAsia" w:eastAsiaTheme="minorEastAsia"/>
          <w:sz w:val="44"/>
        </w:rPr>
      </w:pPr>
      <w:r>
        <w:rPr>
          <w:rFonts w:hint="eastAsia" w:asciiTheme="minorEastAsia" w:hAnsiTheme="minorEastAsia" w:eastAsiaTheme="minorEastAsia"/>
          <w:b/>
          <w:sz w:val="72"/>
          <w:szCs w:val="72"/>
        </w:rPr>
        <w:t>件</w:t>
      </w:r>
    </w:p>
    <w:p>
      <w:pPr>
        <w:jc w:val="center"/>
        <w:outlineLvl w:val="0"/>
        <w:rPr>
          <w:rFonts w:ascii="隶书" w:eastAsia="隶书"/>
          <w:color w:val="000000" w:themeColor="text1"/>
          <w:sz w:val="44"/>
          <w14:textFill>
            <w14:solidFill>
              <w14:schemeClr w14:val="tx1"/>
            </w14:solidFill>
          </w14:textFill>
        </w:rPr>
      </w:pPr>
    </w:p>
    <w:p>
      <w:pPr>
        <w:jc w:val="center"/>
        <w:outlineLvl w:val="0"/>
        <w:rPr>
          <w:rFonts w:ascii="隶书" w:eastAsia="隶书"/>
          <w:color w:val="000000" w:themeColor="text1"/>
          <w:sz w:val="44"/>
          <w14:textFill>
            <w14:solidFill>
              <w14:schemeClr w14:val="tx1"/>
            </w14:solidFill>
          </w14:textFill>
        </w:rPr>
      </w:pPr>
    </w:p>
    <w:tbl>
      <w:tblPr>
        <w:tblStyle w:val="39"/>
        <w:tblW w:w="7801" w:type="dxa"/>
        <w:jc w:val="center"/>
        <w:tblLayout w:type="fixed"/>
        <w:tblCellMar>
          <w:top w:w="0" w:type="dxa"/>
          <w:left w:w="108" w:type="dxa"/>
          <w:bottom w:w="0" w:type="dxa"/>
          <w:right w:w="108" w:type="dxa"/>
        </w:tblCellMar>
      </w:tblPr>
      <w:tblGrid>
        <w:gridCol w:w="7801"/>
      </w:tblGrid>
      <w:tr>
        <w:tblPrEx>
          <w:tblCellMar>
            <w:top w:w="0" w:type="dxa"/>
            <w:left w:w="108" w:type="dxa"/>
            <w:bottom w:w="0" w:type="dxa"/>
            <w:right w:w="108" w:type="dxa"/>
          </w:tblCellMar>
        </w:tblPrEx>
        <w:trPr>
          <w:trHeight w:val="397" w:hRule="atLeast"/>
          <w:jc w:val="center"/>
        </w:trPr>
        <w:tc>
          <w:tcPr>
            <w:tcW w:w="7801" w:type="dxa"/>
          </w:tcPr>
          <w:p>
            <w:pPr>
              <w:jc w:val="center"/>
              <w:rPr>
                <w:rFonts w:asciiTheme="minorEastAsia" w:hAnsiTheme="minorEastAsia" w:eastAsiaTheme="minorEastAsia"/>
                <w:b/>
                <w:color w:val="auto"/>
                <w:sz w:val="28"/>
                <w:szCs w:val="28"/>
              </w:rPr>
            </w:pPr>
            <w:r>
              <w:rPr>
                <w:rFonts w:hint="eastAsia" w:asciiTheme="minorEastAsia" w:hAnsiTheme="minorEastAsia" w:eastAsiaTheme="minorEastAsia"/>
                <w:b/>
                <w:sz w:val="28"/>
                <w:szCs w:val="28"/>
              </w:rPr>
              <w:t>招标编号:</w:t>
            </w:r>
            <w:r>
              <w:rPr>
                <w:rFonts w:hint="eastAsia" w:asciiTheme="minorEastAsia" w:hAnsiTheme="minorEastAsia" w:eastAsiaTheme="minorEastAsia"/>
                <w:b/>
                <w:color w:val="auto"/>
                <w:sz w:val="28"/>
                <w:szCs w:val="28"/>
              </w:rPr>
              <w:t xml:space="preserve">SXDZ-2020-8-21 </w:t>
            </w:r>
          </w:p>
          <w:tbl>
            <w:tblPr>
              <w:tblStyle w:val="39"/>
              <w:tblW w:w="0" w:type="auto"/>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Theme="minorEastAsia" w:hAnsiTheme="minorEastAsia" w:eastAsiaTheme="minorEastAsia"/>
                      <w:sz w:val="28"/>
                      <w:szCs w:val="28"/>
                    </w:rPr>
                  </w:pPr>
                  <w:r>
                    <w:rPr>
                      <w:rFonts w:hint="eastAsia" w:asciiTheme="minorEastAsia" w:hAnsiTheme="minorEastAsia" w:eastAsiaTheme="minorEastAsia"/>
                      <w:spacing w:val="93"/>
                      <w:kern w:val="0"/>
                      <w:sz w:val="28"/>
                      <w:szCs w:val="28"/>
                    </w:rPr>
                    <w:t>采购单</w:t>
                  </w:r>
                  <w:r>
                    <w:rPr>
                      <w:rFonts w:hint="eastAsia" w:asciiTheme="minorEastAsia" w:hAnsiTheme="minorEastAsia" w:eastAsiaTheme="minorEastAsia"/>
                      <w:spacing w:val="1"/>
                      <w:kern w:val="0"/>
                      <w:sz w:val="28"/>
                      <w:szCs w:val="28"/>
                    </w:rPr>
                    <w:t>位</w:t>
                  </w:r>
                  <w:r>
                    <w:rPr>
                      <w:rFonts w:hint="eastAsia" w:asciiTheme="minorEastAsia" w:hAnsiTheme="minorEastAsia" w:eastAsiaTheme="minorEastAsia"/>
                      <w:sz w:val="28"/>
                      <w:szCs w:val="28"/>
                    </w:rPr>
                    <w:t>：</w:t>
                  </w:r>
                </w:p>
              </w:tc>
              <w:tc>
                <w:tcPr>
                  <w:tcW w:w="5445" w:type="dxa"/>
                  <w:vAlign w:val="center"/>
                </w:tcPr>
                <w:p>
                  <w:pPr>
                    <w:spacing w:line="320" w:lineRule="exact"/>
                    <w:outlineLvl w:val="0"/>
                    <w:rPr>
                      <w:rFonts w:asciiTheme="minorEastAsia" w:hAnsiTheme="minorEastAsia" w:eastAsiaTheme="minorEastAsia"/>
                      <w:sz w:val="28"/>
                      <w:szCs w:val="28"/>
                    </w:rPr>
                  </w:pPr>
                  <w:r>
                    <w:rPr>
                      <w:rFonts w:hint="eastAsia" w:asciiTheme="minorEastAsia" w:hAnsiTheme="minorEastAsia" w:eastAsiaTheme="minorEastAsia"/>
                      <w:sz w:val="28"/>
                      <w:szCs w:val="28"/>
                    </w:rPr>
                    <w:t>绍兴文理学院附属医院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Theme="minorEastAsia" w:hAnsiTheme="minorEastAsia" w:eastAsiaTheme="minorEastAsia"/>
                      <w:sz w:val="28"/>
                      <w:szCs w:val="28"/>
                    </w:rPr>
                  </w:pPr>
                  <w:r>
                    <w:rPr>
                      <w:rFonts w:hint="eastAsia" w:asciiTheme="minorEastAsia" w:hAnsiTheme="minorEastAsia" w:eastAsiaTheme="minorEastAsia"/>
                      <w:spacing w:val="12"/>
                      <w:w w:val="93"/>
                      <w:kern w:val="0"/>
                      <w:sz w:val="28"/>
                      <w:szCs w:val="28"/>
                    </w:rPr>
                    <w:t>采购代理机</w:t>
                  </w:r>
                  <w:r>
                    <w:rPr>
                      <w:rFonts w:hint="eastAsia" w:asciiTheme="minorEastAsia" w:hAnsiTheme="minorEastAsia" w:eastAsiaTheme="minorEastAsia"/>
                      <w:w w:val="93"/>
                      <w:kern w:val="0"/>
                      <w:sz w:val="28"/>
                      <w:szCs w:val="28"/>
                    </w:rPr>
                    <w:t>构</w:t>
                  </w:r>
                  <w:r>
                    <w:rPr>
                      <w:rFonts w:hint="eastAsia" w:asciiTheme="minorEastAsia" w:hAnsiTheme="minorEastAsia" w:eastAsiaTheme="minorEastAsia"/>
                      <w:sz w:val="28"/>
                      <w:szCs w:val="28"/>
                    </w:rPr>
                    <w:t>：</w:t>
                  </w:r>
                </w:p>
              </w:tc>
              <w:tc>
                <w:tcPr>
                  <w:tcW w:w="5445" w:type="dxa"/>
                </w:tcPr>
                <w:p>
                  <w:pPr>
                    <w:spacing w:after="100" w:afterAutospacing="1"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绍兴市鼎正建设工程咨询有限公司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Theme="minorEastAsia" w:hAnsiTheme="minorEastAsia" w:eastAsiaTheme="minorEastAsia"/>
                      <w:sz w:val="28"/>
                      <w:szCs w:val="28"/>
                    </w:rPr>
                  </w:pPr>
                  <w:r>
                    <w:rPr>
                      <w:rFonts w:hint="eastAsia" w:asciiTheme="minorEastAsia" w:hAnsiTheme="minorEastAsia" w:eastAsiaTheme="minorEastAsia"/>
                      <w:spacing w:val="93"/>
                      <w:kern w:val="0"/>
                      <w:sz w:val="28"/>
                      <w:szCs w:val="28"/>
                    </w:rPr>
                    <w:t>监督单</w:t>
                  </w:r>
                  <w:r>
                    <w:rPr>
                      <w:rFonts w:hint="eastAsia" w:asciiTheme="minorEastAsia" w:hAnsiTheme="minorEastAsia" w:eastAsiaTheme="minorEastAsia"/>
                      <w:spacing w:val="1"/>
                      <w:kern w:val="0"/>
                      <w:sz w:val="28"/>
                      <w:szCs w:val="28"/>
                    </w:rPr>
                    <w:t>位</w:t>
                  </w:r>
                  <w:r>
                    <w:rPr>
                      <w:rFonts w:hint="eastAsia" w:asciiTheme="minorEastAsia" w:hAnsiTheme="minorEastAsia" w:eastAsiaTheme="minorEastAsia"/>
                      <w:sz w:val="28"/>
                      <w:szCs w:val="28"/>
                    </w:rPr>
                    <w:t>：</w:t>
                  </w:r>
                </w:p>
              </w:tc>
              <w:tc>
                <w:tcPr>
                  <w:tcW w:w="5445" w:type="dxa"/>
                </w:tcPr>
                <w:p>
                  <w:pPr>
                    <w:spacing w:after="100" w:afterAutospacing="1"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Theme="minorEastAsia" w:hAnsiTheme="minorEastAsia" w:eastAsiaTheme="minorEastAsia"/>
                      <w:sz w:val="28"/>
                      <w:szCs w:val="28"/>
                    </w:rPr>
                  </w:pPr>
                </w:p>
              </w:tc>
              <w:tc>
                <w:tcPr>
                  <w:tcW w:w="5445" w:type="dxa"/>
                </w:tcPr>
                <w:p>
                  <w:pPr>
                    <w:spacing w:after="100" w:afterAutospacing="1"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二○二○年九月</w:t>
                  </w:r>
                </w:p>
              </w:tc>
            </w:tr>
          </w:tbl>
          <w:p>
            <w:pPr>
              <w:spacing w:after="100" w:afterAutospacing="1" w:line="440" w:lineRule="exact"/>
              <w:jc w:val="center"/>
              <w:rPr>
                <w:rFonts w:ascii="隶书" w:hAnsi="宋体" w:eastAsia="隶书"/>
                <w:color w:val="000000" w:themeColor="text1"/>
                <w:sz w:val="28"/>
                <w:szCs w:val="28"/>
                <w14:textFill>
                  <w14:solidFill>
                    <w14:schemeClr w14:val="tx1"/>
                  </w14:solidFill>
                </w14:textFill>
              </w:rPr>
            </w:pPr>
          </w:p>
        </w:tc>
      </w:tr>
    </w:tbl>
    <w:p>
      <w:pPr>
        <w:jc w:val="center"/>
        <w:rPr>
          <w:rFonts w:ascii="隶书" w:eastAsia="隶书"/>
          <w:b/>
          <w:color w:val="000000" w:themeColor="text1"/>
          <w:sz w:val="44"/>
          <w:szCs w:val="44"/>
          <w14:textFill>
            <w14:solidFill>
              <w14:schemeClr w14:val="tx1"/>
            </w14:solidFill>
          </w14:textFill>
        </w:rPr>
      </w:pPr>
    </w:p>
    <w:p>
      <w:pPr>
        <w:jc w:val="center"/>
        <w:rPr>
          <w:rFonts w:ascii="仿宋" w:hAnsi="仿宋" w:eastAsia="仿宋"/>
          <w:b/>
          <w:color w:val="000000" w:themeColor="text1"/>
          <w:sz w:val="44"/>
          <w:szCs w:val="44"/>
          <w14:textFill>
            <w14:solidFill>
              <w14:schemeClr w14:val="tx1"/>
            </w14:solidFill>
          </w14:textFill>
        </w:rPr>
      </w:pPr>
    </w:p>
    <w:p>
      <w:pPr>
        <w:jc w:val="center"/>
        <w:rPr>
          <w:rFonts w:ascii="仿宋" w:hAnsi="仿宋" w:eastAsia="仿宋"/>
          <w:b/>
          <w:color w:val="000000" w:themeColor="text1"/>
          <w:sz w:val="44"/>
          <w:szCs w:val="44"/>
          <w14:textFill>
            <w14:solidFill>
              <w14:schemeClr w14:val="tx1"/>
            </w14:solidFill>
          </w14:textFill>
        </w:rPr>
      </w:pPr>
      <w:r>
        <w:rPr>
          <w:rFonts w:hint="eastAsia" w:ascii="仿宋" w:hAnsi="仿宋" w:eastAsia="仿宋"/>
          <w:b/>
          <w:color w:val="000000" w:themeColor="text1"/>
          <w:sz w:val="44"/>
          <w:szCs w:val="44"/>
          <w14:textFill>
            <w14:solidFill>
              <w14:schemeClr w14:val="tx1"/>
            </w14:solidFill>
          </w14:textFill>
        </w:rPr>
        <w:t>目录</w:t>
      </w:r>
    </w:p>
    <w:p>
      <w:pPr>
        <w:jc w:val="center"/>
        <w:rPr>
          <w:rFonts w:ascii="仿宋" w:hAnsi="仿宋" w:eastAsia="仿宋"/>
          <w:b/>
          <w:color w:val="000000" w:themeColor="text1"/>
          <w:sz w:val="44"/>
          <w:szCs w:val="44"/>
          <w14:textFill>
            <w14:solidFill>
              <w14:schemeClr w14:val="tx1"/>
            </w14:solidFill>
          </w14:textFill>
        </w:rPr>
      </w:pPr>
    </w:p>
    <w:p>
      <w:pPr>
        <w:jc w:val="center"/>
        <w:rPr>
          <w:rFonts w:ascii="仿宋" w:hAnsi="仿宋" w:eastAsia="仿宋"/>
          <w:color w:val="000000" w:themeColor="text1"/>
          <w14:textFill>
            <w14:solidFill>
              <w14:schemeClr w14:val="tx1"/>
            </w14:solidFill>
          </w14:textFill>
        </w:rPr>
      </w:pPr>
    </w:p>
    <w:p>
      <w:pPr>
        <w:snapToGrid w:val="0"/>
        <w:spacing w:line="480" w:lineRule="auto"/>
        <w:ind w:firstLine="1807" w:firstLineChars="5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第一部分    招标公告</w:t>
      </w:r>
    </w:p>
    <w:p>
      <w:pPr>
        <w:snapToGrid w:val="0"/>
        <w:spacing w:line="480" w:lineRule="auto"/>
        <w:ind w:firstLine="1807" w:firstLineChars="5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第二部分    投标须知</w:t>
      </w:r>
    </w:p>
    <w:p>
      <w:pPr>
        <w:snapToGrid w:val="0"/>
        <w:spacing w:line="480" w:lineRule="auto"/>
        <w:ind w:firstLine="1807" w:firstLineChars="5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第三部分    招标项目范围及要求</w:t>
      </w:r>
    </w:p>
    <w:p>
      <w:pPr>
        <w:snapToGrid w:val="0"/>
        <w:spacing w:line="480" w:lineRule="auto"/>
        <w:ind w:firstLine="1807" w:firstLineChars="5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第四部分    授予合同</w:t>
      </w:r>
    </w:p>
    <w:p>
      <w:pPr>
        <w:snapToGrid w:val="0"/>
        <w:spacing w:line="480" w:lineRule="auto"/>
        <w:ind w:firstLine="1807" w:firstLineChars="5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第五部分    评标方法及标准</w:t>
      </w:r>
    </w:p>
    <w:p>
      <w:pPr>
        <w:snapToGrid w:val="0"/>
        <w:spacing w:line="480" w:lineRule="auto"/>
        <w:ind w:firstLine="1807" w:firstLineChars="5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第六部分    投标文件及其附件格式</w:t>
      </w:r>
    </w:p>
    <w:p>
      <w:pPr>
        <w:snapToGrid w:val="0"/>
        <w:spacing w:line="480" w:lineRule="auto"/>
        <w:jc w:val="left"/>
        <w:rPr>
          <w:rFonts w:ascii="仿宋" w:hAnsi="仿宋" w:eastAsia="仿宋"/>
          <w:color w:val="000000" w:themeColor="text1"/>
          <w:sz w:val="36"/>
          <w:szCs w:val="36"/>
          <w14:textFill>
            <w14:solidFill>
              <w14:schemeClr w14:val="tx1"/>
            </w14:solidFill>
          </w14:textFill>
        </w:rPr>
      </w:pPr>
    </w:p>
    <w:p>
      <w:pPr>
        <w:jc w:val="center"/>
        <w:rPr>
          <w:rFonts w:ascii="仿宋" w:hAnsi="仿宋" w:eastAsia="仿宋"/>
          <w:b/>
          <w:color w:val="000000" w:themeColor="text1"/>
          <w:sz w:val="36"/>
          <w:szCs w:val="36"/>
          <w14:textFill>
            <w14:solidFill>
              <w14:schemeClr w14:val="tx1"/>
            </w14:solidFill>
          </w14:textFill>
        </w:rPr>
      </w:pPr>
    </w:p>
    <w:p>
      <w:pPr>
        <w:jc w:val="center"/>
        <w:rPr>
          <w:rFonts w:ascii="仿宋" w:hAnsi="仿宋" w:eastAsia="仿宋"/>
          <w:b/>
          <w:color w:val="000000" w:themeColor="text1"/>
          <w:sz w:val="36"/>
          <w:szCs w:val="36"/>
          <w14:textFill>
            <w14:solidFill>
              <w14:schemeClr w14:val="tx1"/>
            </w14:solidFill>
          </w14:textFill>
        </w:rPr>
      </w:pPr>
    </w:p>
    <w:p>
      <w:pPr>
        <w:jc w:val="center"/>
        <w:rPr>
          <w:rFonts w:ascii="仿宋" w:hAnsi="仿宋" w:eastAsia="仿宋"/>
          <w:b/>
          <w:color w:val="000000" w:themeColor="text1"/>
          <w:sz w:val="36"/>
          <w:szCs w:val="36"/>
          <w14:textFill>
            <w14:solidFill>
              <w14:schemeClr w14:val="tx1"/>
            </w14:solidFill>
          </w14:textFill>
        </w:rPr>
      </w:pPr>
    </w:p>
    <w:p>
      <w:pPr>
        <w:jc w:val="center"/>
        <w:rPr>
          <w:rFonts w:ascii="仿宋" w:hAnsi="仿宋" w:eastAsia="仿宋"/>
          <w:b/>
          <w:color w:val="000000" w:themeColor="text1"/>
          <w:sz w:val="36"/>
          <w:szCs w:val="36"/>
          <w14:textFill>
            <w14:solidFill>
              <w14:schemeClr w14:val="tx1"/>
            </w14:solidFill>
          </w14:textFill>
        </w:rPr>
      </w:pPr>
    </w:p>
    <w:p>
      <w:pPr>
        <w:jc w:val="center"/>
        <w:rPr>
          <w:rFonts w:ascii="仿宋" w:hAnsi="仿宋" w:eastAsia="仿宋"/>
          <w:b/>
          <w:color w:val="000000" w:themeColor="text1"/>
          <w:sz w:val="36"/>
          <w:szCs w:val="36"/>
          <w14:textFill>
            <w14:solidFill>
              <w14:schemeClr w14:val="tx1"/>
            </w14:solidFill>
          </w14:textFill>
        </w:rPr>
      </w:pPr>
    </w:p>
    <w:p>
      <w:pPr>
        <w:jc w:val="center"/>
        <w:rPr>
          <w:rFonts w:ascii="仿宋" w:hAnsi="仿宋" w:eastAsia="仿宋"/>
          <w:b/>
          <w:color w:val="000000" w:themeColor="text1"/>
          <w:sz w:val="36"/>
          <w:szCs w:val="36"/>
          <w14:textFill>
            <w14:solidFill>
              <w14:schemeClr w14:val="tx1"/>
            </w14:solidFill>
          </w14:textFill>
        </w:rPr>
      </w:pPr>
    </w:p>
    <w:p>
      <w:pPr>
        <w:jc w:val="center"/>
        <w:rPr>
          <w:rFonts w:ascii="仿宋" w:hAnsi="仿宋" w:eastAsia="仿宋"/>
          <w:b/>
          <w:color w:val="000000" w:themeColor="text1"/>
          <w:sz w:val="36"/>
          <w:szCs w:val="36"/>
          <w14:textFill>
            <w14:solidFill>
              <w14:schemeClr w14:val="tx1"/>
            </w14:solidFill>
          </w14:textFill>
        </w:rPr>
      </w:pPr>
    </w:p>
    <w:p>
      <w:pPr>
        <w:jc w:val="center"/>
        <w:rPr>
          <w:rFonts w:ascii="仿宋" w:hAnsi="仿宋" w:eastAsia="仿宋"/>
          <w:b/>
          <w:color w:val="000000" w:themeColor="text1"/>
          <w:sz w:val="36"/>
          <w:szCs w:val="36"/>
          <w14:textFill>
            <w14:solidFill>
              <w14:schemeClr w14:val="tx1"/>
            </w14:solidFill>
          </w14:textFill>
        </w:rPr>
      </w:pPr>
    </w:p>
    <w:p>
      <w:pPr>
        <w:jc w:val="center"/>
        <w:rPr>
          <w:rFonts w:ascii="仿宋" w:hAnsi="仿宋" w:eastAsia="仿宋"/>
          <w:color w:val="000000" w:themeColor="text1"/>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第一部分 招标公告</w:t>
      </w:r>
    </w:p>
    <w:tbl>
      <w:tblPr>
        <w:tblStyle w:val="39"/>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897" w:type="dxa"/>
          </w:tcPr>
          <w:p>
            <w:pPr>
              <w:widowControl/>
              <w:snapToGrid w:val="0"/>
              <w:spacing w:line="44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项目概况：</w:t>
            </w:r>
            <w:r>
              <w:rPr>
                <w:rFonts w:ascii="仿宋" w:hAnsi="新宋体" w:eastAsia="仿宋"/>
                <w:color w:val="000000" w:themeColor="text1"/>
                <w:kern w:val="0"/>
                <w:sz w:val="24"/>
                <w14:textFill>
                  <w14:solidFill>
                    <w14:schemeClr w14:val="tx1"/>
                  </w14:solidFill>
                </w14:textFill>
              </w:rPr>
              <w:t>  </w:t>
            </w:r>
          </w:p>
          <w:p>
            <w:pPr>
              <w:widowControl/>
              <w:snapToGrid w:val="0"/>
              <w:spacing w:line="44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绍兴文理学院附属医院科教研一体化平台项目的潜在投标人应在网上报名获取（下载）招标文件，并于2020年</w:t>
            </w:r>
            <w:r>
              <w:rPr>
                <w:rFonts w:hint="eastAsia" w:ascii="仿宋" w:hAnsi="仿宋" w:eastAsia="仿宋"/>
                <w:color w:val="000000" w:themeColor="text1"/>
                <w:kern w:val="0"/>
                <w:sz w:val="24"/>
                <w:lang w:val="en-US" w:eastAsia="zh-CN"/>
                <w14:textFill>
                  <w14:solidFill>
                    <w14:schemeClr w14:val="tx1"/>
                  </w14:solidFill>
                </w14:textFill>
              </w:rPr>
              <w:t>10</w:t>
            </w:r>
            <w:r>
              <w:rPr>
                <w:rFonts w:hint="eastAsia" w:ascii="仿宋" w:hAnsi="仿宋" w:eastAsia="仿宋"/>
                <w:color w:val="000000" w:themeColor="text1"/>
                <w:kern w:val="0"/>
                <w:sz w:val="24"/>
                <w14:textFill>
                  <w14:solidFill>
                    <w14:schemeClr w14:val="tx1"/>
                  </w14:solidFill>
                </w14:textFill>
              </w:rPr>
              <w:t>月</w:t>
            </w:r>
            <w:r>
              <w:rPr>
                <w:rFonts w:hint="eastAsia" w:ascii="仿宋" w:hAnsi="仿宋" w:eastAsia="仿宋"/>
                <w:color w:val="000000" w:themeColor="text1"/>
                <w:kern w:val="0"/>
                <w:sz w:val="24"/>
                <w:lang w:val="en-US" w:eastAsia="zh-CN"/>
                <w14:textFill>
                  <w14:solidFill>
                    <w14:schemeClr w14:val="tx1"/>
                  </w14:solidFill>
                </w14:textFill>
              </w:rPr>
              <w:t>9</w:t>
            </w:r>
            <w:r>
              <w:rPr>
                <w:rFonts w:hint="eastAsia" w:ascii="仿宋" w:hAnsi="仿宋" w:eastAsia="仿宋"/>
                <w:color w:val="000000" w:themeColor="text1"/>
                <w:kern w:val="0"/>
                <w:sz w:val="24"/>
                <w14:textFill>
                  <w14:solidFill>
                    <w14:schemeClr w14:val="tx1"/>
                  </w14:solidFill>
                </w14:textFill>
              </w:rPr>
              <w:t>日 09:</w:t>
            </w:r>
            <w:r>
              <w:rPr>
                <w:rFonts w:hint="eastAsia" w:ascii="仿宋" w:hAnsi="仿宋" w:eastAsia="仿宋"/>
                <w:color w:val="000000" w:themeColor="text1"/>
                <w:kern w:val="0"/>
                <w:sz w:val="24"/>
                <w:lang w:val="en-US" w:eastAsia="zh-CN"/>
                <w14:textFill>
                  <w14:solidFill>
                    <w14:schemeClr w14:val="tx1"/>
                  </w14:solidFill>
                </w14:textFill>
              </w:rPr>
              <w:t>3</w:t>
            </w:r>
            <w:r>
              <w:rPr>
                <w:rFonts w:hint="eastAsia" w:ascii="仿宋" w:hAnsi="仿宋" w:eastAsia="仿宋"/>
                <w:color w:val="000000" w:themeColor="text1"/>
                <w:kern w:val="0"/>
                <w:sz w:val="24"/>
                <w14:textFill>
                  <w14:solidFill>
                    <w14:schemeClr w14:val="tx1"/>
                  </w14:solidFill>
                </w14:textFill>
              </w:rPr>
              <w:t>0（北京时间）前递交（上传）投标文件。</w:t>
            </w:r>
          </w:p>
        </w:tc>
      </w:tr>
    </w:tbl>
    <w:p>
      <w:pPr>
        <w:widowControl/>
        <w:snapToGrid w:val="0"/>
        <w:spacing w:line="440" w:lineRule="exact"/>
        <w:ind w:firstLine="480" w:firstLineChars="200"/>
        <w:jc w:val="lef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一、项目基本情况</w:t>
      </w:r>
      <w:r>
        <w:rPr>
          <w:rFonts w:ascii="仿宋" w:hAnsi="新宋体" w:eastAsia="仿宋"/>
          <w:color w:val="000000" w:themeColor="text1"/>
          <w:kern w:val="0"/>
          <w:sz w:val="24"/>
          <w14:textFill>
            <w14:solidFill>
              <w14:schemeClr w14:val="tx1"/>
            </w14:solidFill>
          </w14:textFill>
        </w:rPr>
        <w:t> </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项目编号：SXDZ-2020-8-21</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项目名称：绍兴文理学院附属医院科教研一体化平台项目</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预算金额（元）：600000</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最高限价（元）：600000</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采购需求：详见采购文件</w:t>
      </w:r>
    </w:p>
    <w:p>
      <w:pPr>
        <w:widowControl/>
        <w:snapToGrid w:val="0"/>
        <w:spacing w:line="440" w:lineRule="exact"/>
        <w:ind w:firstLine="480" w:firstLineChars="200"/>
        <w:rPr>
          <w:rFonts w:ascii="仿宋" w:hAnsi="新宋体"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标项一:</w:t>
      </w:r>
      <w:r>
        <w:rPr>
          <w:rFonts w:hint="eastAsia" w:ascii="仿宋" w:hAnsi="仿宋" w:eastAsia="仿宋"/>
          <w:color w:val="000000" w:themeColor="text1"/>
          <w:kern w:val="0"/>
          <w:sz w:val="24"/>
          <w14:textFill>
            <w14:solidFill>
              <w14:schemeClr w14:val="tx1"/>
            </w14:solidFill>
          </w14:textFill>
        </w:rPr>
        <w:br w:type="textWrapping"/>
      </w:r>
      <w:r>
        <w:rPr>
          <w:rFonts w:ascii="仿宋" w:hAnsi="新宋体" w:eastAsia="仿宋"/>
          <w:color w:val="000000" w:themeColor="text1"/>
          <w:kern w:val="0"/>
          <w:sz w:val="24"/>
          <w14:textFill>
            <w14:solidFill>
              <w14:schemeClr w14:val="tx1"/>
            </w14:solidFill>
          </w14:textFill>
        </w:rPr>
        <w:t>  </w:t>
      </w:r>
      <w:r>
        <w:rPr>
          <w:rFonts w:hint="eastAsia" w:ascii="仿宋" w:hAnsi="仿宋" w:eastAsia="仿宋"/>
          <w:color w:val="000000" w:themeColor="text1"/>
          <w:kern w:val="0"/>
          <w:sz w:val="24"/>
          <w14:textFill>
            <w14:solidFill>
              <w14:schemeClr w14:val="tx1"/>
            </w14:solidFill>
          </w14:textFill>
        </w:rPr>
        <w:t>标项名称:绍兴文理学院附属医院科教研一体化平台项目</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数量:1</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预算金额（元）:600000</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简要规格描述或项目基本概况介绍、用途：详见采购文件</w:t>
      </w:r>
      <w:r>
        <w:rPr>
          <w:rFonts w:ascii="仿宋" w:hAnsi="新宋体" w:eastAsia="仿宋"/>
          <w:color w:val="000000" w:themeColor="text1"/>
          <w:kern w:val="0"/>
          <w:sz w:val="24"/>
          <w14:textFill>
            <w14:solidFill>
              <w14:schemeClr w14:val="tx1"/>
            </w14:solidFill>
          </w14:textFill>
        </w:rPr>
        <w:t> </w:t>
      </w:r>
    </w:p>
    <w:p>
      <w:pPr>
        <w:pStyle w:val="54"/>
        <w:spacing w:afterLines="0" w:line="440" w:lineRule="exact"/>
        <w:ind w:left="479" w:leftChars="228" w:firstLine="0" w:firstLineChars="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备注：无。</w:t>
      </w:r>
    </w:p>
    <w:p>
      <w:pPr>
        <w:pStyle w:val="54"/>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合同履约期限：按双方合同约定条款执行。</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本项目（否）接受联合体投标。</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二、申请人的资格要求：</w:t>
      </w:r>
    </w:p>
    <w:p>
      <w:pPr>
        <w:widowControl/>
        <w:snapToGrid w:val="0"/>
        <w:spacing w:line="440" w:lineRule="exact"/>
        <w:ind w:firstLine="480" w:firstLineChars="200"/>
        <w:rPr>
          <w:rFonts w:ascii="仿宋" w:hAnsi="新宋体" w:eastAsia="仿宋"/>
          <w:color w:val="000000" w:themeColor="text1"/>
          <w:kern w:val="0"/>
          <w:sz w:val="24"/>
          <w14:textFill>
            <w14:solidFill>
              <w14:schemeClr w14:val="tx1"/>
            </w14:solidFill>
          </w14:textFill>
        </w:rPr>
      </w:pPr>
      <w:r>
        <w:rPr>
          <w:rFonts w:hint="eastAsia" w:ascii="仿宋" w:hAnsi="新宋体" w:eastAsia="仿宋"/>
          <w:color w:val="000000" w:themeColor="text1"/>
          <w:kern w:val="0"/>
          <w:sz w:val="24"/>
          <w14:textFill>
            <w14:solidFill>
              <w14:schemeClr w14:val="tx1"/>
            </w14:solidFill>
          </w14:textFill>
        </w:rPr>
        <w:t>1.</w:t>
      </w:r>
      <w:r>
        <w:rPr>
          <w:rFonts w:ascii="仿宋" w:hAnsi="新宋体" w:eastAsia="仿宋"/>
          <w:color w:val="000000" w:themeColor="text1"/>
          <w:kern w:val="0"/>
          <w:sz w:val="24"/>
          <w14:textFill>
            <w14:solidFill>
              <w14:schemeClr w14:val="tx1"/>
            </w14:solidFill>
          </w14:textFill>
        </w:rPr>
        <w:t xml:space="preserve"> 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440" w:lineRule="exact"/>
        <w:ind w:firstLine="480" w:firstLineChars="200"/>
        <w:jc w:val="lef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2.落实政府采购政策需满足的资格要求：</w:t>
      </w:r>
      <w:r>
        <w:rPr>
          <w:rFonts w:hint="eastAsia" w:ascii="仿宋" w:hAnsi="仿宋" w:eastAsia="仿宋"/>
          <w:color w:val="000000" w:themeColor="text1"/>
          <w:kern w:val="0"/>
          <w:sz w:val="24"/>
          <w:szCs w:val="20"/>
          <w14:textFill>
            <w14:solidFill>
              <w14:schemeClr w14:val="tx1"/>
            </w14:solidFill>
          </w14:textFill>
        </w:rPr>
        <w:t>无。</w:t>
      </w:r>
      <w:r>
        <w:rPr>
          <w:rFonts w:ascii="仿宋" w:hAnsi="新宋体" w:eastAsia="仿宋"/>
          <w:color w:val="000000" w:themeColor="text1"/>
          <w:kern w:val="0"/>
          <w:sz w:val="24"/>
          <w14:textFill>
            <w14:solidFill>
              <w14:schemeClr w14:val="tx1"/>
            </w14:solidFill>
          </w14:textFill>
        </w:rPr>
        <w:t> </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3.本项目的特定资格要求：</w:t>
      </w:r>
      <w:r>
        <w:rPr>
          <w:rFonts w:hint="eastAsia" w:ascii="仿宋" w:hAnsi="仿宋" w:eastAsia="仿宋"/>
          <w:color w:val="000000" w:themeColor="text1"/>
          <w:kern w:val="0"/>
          <w:sz w:val="24"/>
          <w:szCs w:val="20"/>
          <w14:textFill>
            <w14:solidFill>
              <w14:schemeClr w14:val="tx1"/>
            </w14:solidFill>
          </w14:textFill>
        </w:rPr>
        <w:t>无。</w:t>
      </w:r>
      <w:r>
        <w:rPr>
          <w:rFonts w:ascii="仿宋" w:hAnsi="新宋体" w:eastAsia="仿宋"/>
          <w:color w:val="000000" w:themeColor="text1"/>
          <w:kern w:val="0"/>
          <w:sz w:val="24"/>
          <w14:textFill>
            <w14:solidFill>
              <w14:schemeClr w14:val="tx1"/>
            </w14:solidFill>
          </w14:textFill>
        </w:rPr>
        <w:t> </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三、获取招标文件</w:t>
      </w:r>
      <w:r>
        <w:rPr>
          <w:rFonts w:ascii="仿宋" w:hAnsi="新宋体" w:eastAsia="仿宋"/>
          <w:color w:val="000000" w:themeColor="text1"/>
          <w:kern w:val="0"/>
          <w:sz w:val="24"/>
          <w14:textFill>
            <w14:solidFill>
              <w14:schemeClr w14:val="tx1"/>
            </w14:solidFill>
          </w14:textFill>
        </w:rPr>
        <w:t> </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时间：</w:t>
      </w:r>
      <w:r>
        <w:rPr>
          <w:rFonts w:hint="eastAsia" w:ascii="仿宋" w:hAnsi="仿宋" w:eastAsia="仿宋"/>
          <w:color w:val="000000" w:themeColor="text1"/>
          <w:kern w:val="0"/>
          <w:sz w:val="24"/>
          <w:lang w:val="en-US" w:eastAsia="zh-CN"/>
          <w14:textFill>
            <w14:solidFill>
              <w14:schemeClr w14:val="tx1"/>
            </w14:solidFill>
          </w14:textFill>
        </w:rPr>
        <w:t>/</w:t>
      </w:r>
      <w:r>
        <w:rPr>
          <w:rFonts w:hint="eastAsia" w:ascii="仿宋" w:hAnsi="仿宋" w:eastAsia="仿宋"/>
          <w:color w:val="000000" w:themeColor="text1"/>
          <w:kern w:val="0"/>
          <w:sz w:val="24"/>
          <w14:textFill>
            <w14:solidFill>
              <w14:schemeClr w14:val="tx1"/>
            </w14:solidFill>
          </w14:textFill>
        </w:rPr>
        <w:t>至2020年</w:t>
      </w:r>
      <w:r>
        <w:rPr>
          <w:rFonts w:hint="eastAsia" w:ascii="仿宋" w:hAnsi="仿宋" w:eastAsia="仿宋"/>
          <w:color w:val="000000" w:themeColor="text1"/>
          <w:kern w:val="0"/>
          <w:sz w:val="24"/>
          <w:lang w:val="en-US" w:eastAsia="zh-CN"/>
          <w14:textFill>
            <w14:solidFill>
              <w14:schemeClr w14:val="tx1"/>
            </w14:solidFill>
          </w14:textFill>
        </w:rPr>
        <w:t>10</w:t>
      </w:r>
      <w:r>
        <w:rPr>
          <w:rFonts w:hint="eastAsia" w:ascii="仿宋" w:hAnsi="仿宋" w:eastAsia="仿宋"/>
          <w:color w:val="000000" w:themeColor="text1"/>
          <w:kern w:val="0"/>
          <w:sz w:val="24"/>
          <w14:textFill>
            <w14:solidFill>
              <w14:schemeClr w14:val="tx1"/>
            </w14:solidFill>
          </w14:textFill>
        </w:rPr>
        <w:t>月</w:t>
      </w:r>
      <w:r>
        <w:rPr>
          <w:rFonts w:hint="eastAsia" w:ascii="仿宋" w:hAnsi="仿宋" w:eastAsia="仿宋"/>
          <w:color w:val="000000" w:themeColor="text1"/>
          <w:kern w:val="0"/>
          <w:sz w:val="24"/>
          <w:lang w:val="en-US" w:eastAsia="zh-CN"/>
          <w14:textFill>
            <w14:solidFill>
              <w14:schemeClr w14:val="tx1"/>
            </w14:solidFill>
          </w14:textFill>
        </w:rPr>
        <w:t>9</w:t>
      </w:r>
      <w:r>
        <w:rPr>
          <w:rFonts w:hint="eastAsia" w:ascii="仿宋" w:hAnsi="仿宋" w:eastAsia="仿宋"/>
          <w:color w:val="000000" w:themeColor="text1"/>
          <w:kern w:val="0"/>
          <w:sz w:val="24"/>
          <w14:textFill>
            <w14:solidFill>
              <w14:schemeClr w14:val="tx1"/>
            </w14:solidFill>
          </w14:textFill>
        </w:rPr>
        <w:t>日，每天上午00:00至12:00</w:t>
      </w:r>
      <w:r>
        <w:rPr>
          <w:rFonts w:ascii="仿宋" w:hAnsi="新宋体" w:eastAsia="仿宋"/>
          <w:color w:val="000000" w:themeColor="text1"/>
          <w:kern w:val="0"/>
          <w:sz w:val="24"/>
          <w14:textFill>
            <w14:solidFill>
              <w14:schemeClr w14:val="tx1"/>
            </w14:solidFill>
          </w14:textFill>
        </w:rPr>
        <w:t> </w:t>
      </w:r>
      <w:r>
        <w:rPr>
          <w:rFonts w:hint="eastAsia" w:ascii="仿宋" w:hAnsi="仿宋" w:eastAsia="仿宋"/>
          <w:color w:val="000000" w:themeColor="text1"/>
          <w:kern w:val="0"/>
          <w:sz w:val="24"/>
          <w14:textFill>
            <w14:solidFill>
              <w14:schemeClr w14:val="tx1"/>
            </w14:solidFill>
          </w14:textFill>
        </w:rPr>
        <w:t>，下午12:00至23:59（北京时间，线上获取法定节假日均可，线下获取文件法定节假日除外）</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地点（网址）：</w:t>
      </w:r>
      <w:r>
        <w:rPr>
          <w:rFonts w:ascii="仿宋" w:hAnsi="仿宋" w:eastAsia="仿宋" w:cs="Arial"/>
          <w:bCs/>
          <w:color w:val="000000" w:themeColor="text1"/>
          <w:kern w:val="0"/>
          <w:sz w:val="24"/>
          <w:szCs w:val="20"/>
          <w14:textFill>
            <w14:solidFill>
              <w14:schemeClr w14:val="tx1"/>
            </w14:solidFill>
          </w14:textFill>
        </w:rPr>
        <w:t>http://www</w:t>
      </w:r>
      <w:r>
        <w:rPr>
          <w:rFonts w:hint="eastAsia" w:ascii="仿宋" w:hAnsi="仿宋" w:eastAsia="仿宋" w:cs="Arial"/>
          <w:bCs/>
          <w:color w:val="000000" w:themeColor="text1"/>
          <w:kern w:val="0"/>
          <w:sz w:val="24"/>
          <w:szCs w:val="20"/>
          <w14:textFill>
            <w14:solidFill>
              <w14:schemeClr w14:val="tx1"/>
            </w14:solidFill>
          </w14:textFill>
        </w:rPr>
        <w:t>.</w:t>
      </w:r>
      <w:r>
        <w:rPr>
          <w:rFonts w:ascii="仿宋" w:hAnsi="仿宋" w:eastAsia="仿宋" w:cs="Arial"/>
          <w:bCs/>
          <w:color w:val="000000" w:themeColor="text1"/>
          <w:kern w:val="0"/>
          <w:sz w:val="24"/>
          <w:szCs w:val="20"/>
          <w14:textFill>
            <w14:solidFill>
              <w14:schemeClr w14:val="tx1"/>
            </w14:solidFill>
          </w14:textFill>
        </w:rPr>
        <w:t>zcygov.cn/</w:t>
      </w:r>
      <w:r>
        <w:rPr>
          <w:rFonts w:ascii="仿宋" w:hAnsi="新宋体" w:eastAsia="仿宋"/>
          <w:color w:val="000000" w:themeColor="text1"/>
          <w:kern w:val="0"/>
          <w:sz w:val="24"/>
          <w14:textFill>
            <w14:solidFill>
              <w14:schemeClr w14:val="tx1"/>
            </w14:solidFill>
          </w14:textFill>
        </w:rPr>
        <w:t> </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方式：</w:t>
      </w:r>
      <w:r>
        <w:rPr>
          <w:rFonts w:hint="eastAsia" w:ascii="仿宋" w:hAnsi="仿宋" w:eastAsia="仿宋" w:cs="Arial"/>
          <w:bCs/>
          <w:color w:val="000000" w:themeColor="text1"/>
          <w:kern w:val="0"/>
          <w:sz w:val="24"/>
          <w:szCs w:val="20"/>
          <w14:textFill>
            <w14:solidFill>
              <w14:schemeClr w14:val="tx1"/>
            </w14:solidFill>
          </w14:textFill>
        </w:rPr>
        <w:t>供应商登陆政采云平台</w:t>
      </w:r>
      <w:r>
        <w:rPr>
          <w:rFonts w:ascii="仿宋" w:hAnsi="仿宋" w:eastAsia="仿宋" w:cs="Arial"/>
          <w:bCs/>
          <w:color w:val="000000" w:themeColor="text1"/>
          <w:kern w:val="0"/>
          <w:sz w:val="24"/>
          <w:szCs w:val="20"/>
          <w14:textFill>
            <w14:solidFill>
              <w14:schemeClr w14:val="tx1"/>
            </w14:solidFill>
          </w14:textFill>
        </w:rPr>
        <w:t>http://www</w:t>
      </w:r>
      <w:r>
        <w:rPr>
          <w:rFonts w:hint="eastAsia" w:ascii="仿宋" w:hAnsi="仿宋" w:eastAsia="仿宋" w:cs="Arial"/>
          <w:bCs/>
          <w:color w:val="000000" w:themeColor="text1"/>
          <w:kern w:val="0"/>
          <w:sz w:val="24"/>
          <w:szCs w:val="20"/>
          <w14:textFill>
            <w14:solidFill>
              <w14:schemeClr w14:val="tx1"/>
            </w14:solidFill>
          </w14:textFill>
        </w:rPr>
        <w:t>.</w:t>
      </w:r>
      <w:r>
        <w:rPr>
          <w:rFonts w:ascii="仿宋" w:hAnsi="仿宋" w:eastAsia="仿宋" w:cs="Arial"/>
          <w:bCs/>
          <w:color w:val="000000" w:themeColor="text1"/>
          <w:kern w:val="0"/>
          <w:sz w:val="24"/>
          <w:szCs w:val="20"/>
          <w14:textFill>
            <w14:solidFill>
              <w14:schemeClr w14:val="tx1"/>
            </w14:solidFill>
          </w14:textFill>
        </w:rPr>
        <w:t>zcygov.cn/</w:t>
      </w:r>
      <w:r>
        <w:rPr>
          <w:rFonts w:hint="eastAsia" w:ascii="仿宋" w:hAnsi="仿宋" w:eastAsia="仿宋" w:cs="Arial"/>
          <w:bCs/>
          <w:color w:val="000000" w:themeColor="text1"/>
          <w:kern w:val="0"/>
          <w:sz w:val="24"/>
          <w:szCs w:val="20"/>
          <w14:textFill>
            <w14:solidFill>
              <w14:schemeClr w14:val="tx1"/>
            </w14:solidFill>
          </w14:textFill>
        </w:rPr>
        <w:t>，在线申请获取采购文件（进入“项目采购”应用，在获取采购文件菜单中选择项目，申请获取采购文件）</w:t>
      </w:r>
      <w:r>
        <w:rPr>
          <w:rFonts w:ascii="仿宋" w:hAnsi="仿宋" w:eastAsia="仿宋" w:cs="Arial"/>
          <w:bCs/>
          <w:color w:val="000000" w:themeColor="text1"/>
          <w:kern w:val="0"/>
          <w:sz w:val="24"/>
          <w:szCs w:val="20"/>
          <w14:textFill>
            <w14:solidFill>
              <w14:schemeClr w14:val="tx1"/>
            </w14:solidFill>
          </w14:textFill>
        </w:rPr>
        <w:t>。</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售价（元）：0</w:t>
      </w:r>
      <w:r>
        <w:rPr>
          <w:rFonts w:ascii="仿宋" w:hAnsi="新宋体" w:eastAsia="仿宋"/>
          <w:color w:val="000000" w:themeColor="text1"/>
          <w:kern w:val="0"/>
          <w:sz w:val="24"/>
          <w14:textFill>
            <w14:solidFill>
              <w14:schemeClr w14:val="tx1"/>
            </w14:solidFill>
          </w14:textFill>
        </w:rPr>
        <w:t> </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四、提交投标文件截止时间、开标时间和地点</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提交投标文件截止时间：2020年</w:t>
      </w:r>
      <w:r>
        <w:rPr>
          <w:rFonts w:hint="eastAsia" w:ascii="仿宋" w:hAnsi="仿宋" w:eastAsia="仿宋"/>
          <w:color w:val="000000" w:themeColor="text1"/>
          <w:kern w:val="0"/>
          <w:sz w:val="24"/>
          <w:lang w:val="en-US" w:eastAsia="zh-CN"/>
          <w14:textFill>
            <w14:solidFill>
              <w14:schemeClr w14:val="tx1"/>
            </w14:solidFill>
          </w14:textFill>
        </w:rPr>
        <w:t>10</w:t>
      </w:r>
      <w:r>
        <w:rPr>
          <w:rFonts w:hint="eastAsia" w:ascii="仿宋" w:hAnsi="仿宋" w:eastAsia="仿宋"/>
          <w:color w:val="000000" w:themeColor="text1"/>
          <w:kern w:val="0"/>
          <w:sz w:val="24"/>
          <w14:textFill>
            <w14:solidFill>
              <w14:schemeClr w14:val="tx1"/>
            </w14:solidFill>
          </w14:textFill>
        </w:rPr>
        <w:t>月</w:t>
      </w:r>
      <w:r>
        <w:rPr>
          <w:rFonts w:hint="eastAsia" w:ascii="仿宋" w:hAnsi="仿宋" w:eastAsia="仿宋"/>
          <w:color w:val="000000" w:themeColor="text1"/>
          <w:kern w:val="0"/>
          <w:sz w:val="24"/>
          <w:lang w:val="en-US" w:eastAsia="zh-CN"/>
          <w14:textFill>
            <w14:solidFill>
              <w14:schemeClr w14:val="tx1"/>
            </w14:solidFill>
          </w14:textFill>
        </w:rPr>
        <w:t>9</w:t>
      </w:r>
      <w:r>
        <w:rPr>
          <w:rFonts w:hint="eastAsia" w:ascii="仿宋" w:hAnsi="仿宋" w:eastAsia="仿宋"/>
          <w:color w:val="000000" w:themeColor="text1"/>
          <w:kern w:val="0"/>
          <w:sz w:val="24"/>
          <w14:textFill>
            <w14:solidFill>
              <w14:schemeClr w14:val="tx1"/>
            </w14:solidFill>
          </w14:textFill>
        </w:rPr>
        <w:t xml:space="preserve"> 日 09:</w:t>
      </w:r>
      <w:r>
        <w:rPr>
          <w:rFonts w:hint="eastAsia" w:ascii="仿宋" w:hAnsi="仿宋" w:eastAsia="仿宋"/>
          <w:color w:val="000000" w:themeColor="text1"/>
          <w:kern w:val="0"/>
          <w:sz w:val="24"/>
          <w:lang w:val="en-US" w:eastAsia="zh-CN"/>
          <w14:textFill>
            <w14:solidFill>
              <w14:schemeClr w14:val="tx1"/>
            </w14:solidFill>
          </w14:textFill>
        </w:rPr>
        <w:t>30</w:t>
      </w:r>
      <w:r>
        <w:rPr>
          <w:rFonts w:hint="eastAsia" w:ascii="仿宋" w:hAnsi="仿宋" w:eastAsia="仿宋"/>
          <w:color w:val="000000" w:themeColor="text1"/>
          <w:kern w:val="0"/>
          <w:sz w:val="24"/>
          <w14:textFill>
            <w14:solidFill>
              <w14:schemeClr w14:val="tx1"/>
            </w14:solidFill>
          </w14:textFill>
        </w:rPr>
        <w:t>（北京时间）</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投标地点（网址）：</w:t>
      </w:r>
      <w:r>
        <w:rPr>
          <w:rFonts w:ascii="仿宋" w:hAnsi="仿宋" w:eastAsia="仿宋" w:cs="Arial"/>
          <w:bCs/>
          <w:color w:val="000000" w:themeColor="text1"/>
          <w:kern w:val="0"/>
          <w:sz w:val="24"/>
          <w:szCs w:val="20"/>
          <w14:textFill>
            <w14:solidFill>
              <w14:schemeClr w14:val="tx1"/>
            </w14:solidFill>
          </w14:textFill>
        </w:rPr>
        <w:t>http://www</w:t>
      </w:r>
      <w:r>
        <w:rPr>
          <w:rFonts w:hint="eastAsia" w:ascii="仿宋" w:hAnsi="仿宋" w:eastAsia="仿宋" w:cs="Arial"/>
          <w:bCs/>
          <w:color w:val="000000" w:themeColor="text1"/>
          <w:kern w:val="0"/>
          <w:sz w:val="24"/>
          <w:szCs w:val="20"/>
          <w14:textFill>
            <w14:solidFill>
              <w14:schemeClr w14:val="tx1"/>
            </w14:solidFill>
          </w14:textFill>
        </w:rPr>
        <w:t>.</w:t>
      </w:r>
      <w:r>
        <w:rPr>
          <w:rFonts w:ascii="仿宋" w:hAnsi="仿宋" w:eastAsia="仿宋" w:cs="Arial"/>
          <w:bCs/>
          <w:color w:val="000000" w:themeColor="text1"/>
          <w:kern w:val="0"/>
          <w:sz w:val="24"/>
          <w:szCs w:val="20"/>
          <w14:textFill>
            <w14:solidFill>
              <w14:schemeClr w14:val="tx1"/>
            </w14:solidFill>
          </w14:textFill>
        </w:rPr>
        <w:t>zcygov.cn/</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开标时间：2020年</w:t>
      </w:r>
      <w:r>
        <w:rPr>
          <w:rFonts w:hint="eastAsia" w:ascii="仿宋" w:hAnsi="仿宋" w:eastAsia="仿宋"/>
          <w:color w:val="000000" w:themeColor="text1"/>
          <w:kern w:val="0"/>
          <w:sz w:val="24"/>
          <w:lang w:val="en-US" w:eastAsia="zh-CN"/>
          <w14:textFill>
            <w14:solidFill>
              <w14:schemeClr w14:val="tx1"/>
            </w14:solidFill>
          </w14:textFill>
        </w:rPr>
        <w:t>10</w:t>
      </w:r>
      <w:r>
        <w:rPr>
          <w:rFonts w:hint="eastAsia" w:ascii="仿宋" w:hAnsi="仿宋" w:eastAsia="仿宋"/>
          <w:color w:val="000000" w:themeColor="text1"/>
          <w:kern w:val="0"/>
          <w:sz w:val="24"/>
          <w14:textFill>
            <w14:solidFill>
              <w14:schemeClr w14:val="tx1"/>
            </w14:solidFill>
          </w14:textFill>
        </w:rPr>
        <w:t>月</w:t>
      </w:r>
      <w:r>
        <w:rPr>
          <w:rFonts w:hint="eastAsia" w:ascii="仿宋" w:hAnsi="仿宋" w:eastAsia="仿宋"/>
          <w:color w:val="000000" w:themeColor="text1"/>
          <w:kern w:val="0"/>
          <w:sz w:val="24"/>
          <w:lang w:val="en-US" w:eastAsia="zh-CN"/>
          <w14:textFill>
            <w14:solidFill>
              <w14:schemeClr w14:val="tx1"/>
            </w14:solidFill>
          </w14:textFill>
        </w:rPr>
        <w:t>9</w:t>
      </w:r>
      <w:r>
        <w:rPr>
          <w:rFonts w:hint="eastAsia" w:ascii="仿宋" w:hAnsi="仿宋" w:eastAsia="仿宋"/>
          <w:color w:val="000000" w:themeColor="text1"/>
          <w:kern w:val="0"/>
          <w:sz w:val="24"/>
          <w14:textFill>
            <w14:solidFill>
              <w14:schemeClr w14:val="tx1"/>
            </w14:solidFill>
          </w14:textFill>
        </w:rPr>
        <w:t>日 09:</w:t>
      </w:r>
      <w:r>
        <w:rPr>
          <w:rFonts w:hint="eastAsia" w:ascii="仿宋" w:hAnsi="仿宋" w:eastAsia="仿宋"/>
          <w:color w:val="000000" w:themeColor="text1"/>
          <w:kern w:val="0"/>
          <w:sz w:val="24"/>
          <w:lang w:val="en-US" w:eastAsia="zh-CN"/>
          <w14:textFill>
            <w14:solidFill>
              <w14:schemeClr w14:val="tx1"/>
            </w14:solidFill>
          </w14:textFill>
        </w:rPr>
        <w:t>30</w:t>
      </w:r>
      <w:r>
        <w:rPr>
          <w:rFonts w:ascii="仿宋" w:hAnsi="新宋体" w:eastAsia="仿宋"/>
          <w:color w:val="000000" w:themeColor="text1"/>
          <w:kern w:val="0"/>
          <w:sz w:val="24"/>
          <w14:textFill>
            <w14:solidFill>
              <w14:schemeClr w14:val="tx1"/>
            </w14:solidFill>
          </w14:textFill>
        </w:rPr>
        <w:t> </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开标地点（网址）：绍兴市鼎正建设工程咨询有限公司（绍兴市二环北路135号金德隆北区B座四楼）会议室。</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五、公告期限</w:t>
      </w:r>
      <w:r>
        <w:rPr>
          <w:rFonts w:ascii="仿宋" w:hAnsi="新宋体" w:eastAsia="仿宋"/>
          <w:color w:val="000000" w:themeColor="text1"/>
          <w:kern w:val="0"/>
          <w:sz w:val="24"/>
          <w14:textFill>
            <w14:solidFill>
              <w14:schemeClr w14:val="tx1"/>
            </w14:solidFill>
          </w14:textFill>
        </w:rPr>
        <w:t> </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自本公告发布之日起5个工作日。</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六、其他补充事宜</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2.其他事项：无</w:t>
      </w:r>
      <w:r>
        <w:rPr>
          <w:rFonts w:ascii="仿宋" w:hAnsi="新宋体" w:eastAsia="仿宋"/>
          <w:color w:val="000000" w:themeColor="text1"/>
          <w:kern w:val="0"/>
          <w:sz w:val="24"/>
          <w14:textFill>
            <w14:solidFill>
              <w14:schemeClr w14:val="tx1"/>
            </w14:solidFill>
          </w14:textFill>
        </w:rPr>
        <w:t>  </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七、对本次采购提出询问、质疑、投诉，请按以下方式联系</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1.采购人信息</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名 称：绍兴文理学院附属医院</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地址：</w:t>
      </w:r>
      <w:bookmarkStart w:id="0" w:name="_Toc28359009"/>
      <w:bookmarkStart w:id="1" w:name="_Toc28359086"/>
      <w:r>
        <w:rPr>
          <w:rFonts w:hint="eastAsia" w:ascii="仿宋" w:hAnsi="仿宋" w:eastAsia="仿宋"/>
          <w:color w:val="000000" w:themeColor="text1"/>
          <w:kern w:val="0"/>
          <w:sz w:val="24"/>
          <w14:textFill>
            <w14:solidFill>
              <w14:schemeClr w14:val="tx1"/>
            </w14:solidFill>
          </w14:textFill>
        </w:rPr>
        <w:t>绍兴市越城区中兴南路999号</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联系人：蒋秀娥   电话：88293115</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2、采购代理机构信息</w:t>
      </w:r>
      <w:bookmarkEnd w:id="0"/>
      <w:bookmarkEnd w:id="1"/>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名 称：绍兴市鼎正建设工程咨询有限公司</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地　址：绍兴市二环北路135号金德隆北区B座楼</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联系方式：</w:t>
      </w:r>
      <w:bookmarkStart w:id="2" w:name="_Toc28359010"/>
      <w:bookmarkStart w:id="3" w:name="_Toc28359087"/>
      <w:r>
        <w:rPr>
          <w:rFonts w:hint="eastAsia" w:ascii="仿宋" w:hAnsi="仿宋" w:eastAsia="仿宋"/>
          <w:color w:val="000000" w:themeColor="text1"/>
          <w:kern w:val="0"/>
          <w:sz w:val="24"/>
          <w14:textFill>
            <w14:solidFill>
              <w14:schemeClr w14:val="tx1"/>
            </w14:solidFill>
          </w14:textFill>
        </w:rPr>
        <w:t>0575-85176866</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3、项目联系方式</w:t>
      </w:r>
      <w:bookmarkEnd w:id="2"/>
      <w:bookmarkEnd w:id="3"/>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项目联系人：夏建挺</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联系电话：15005856979</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传真：0575-85155500</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 xml:space="preserve">3.同级政府采购监督管理部门       </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 xml:space="preserve">名称：绍兴市财政局       </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 xml:space="preserve">地址：绍兴市越城区凤林西路151号       </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 xml:space="preserve">传真：0575-85209806       </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 xml:space="preserve">联系人 ：应春兴       </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 xml:space="preserve">监督投诉电话：0575-85209806       </w:t>
      </w:r>
    </w:p>
    <w:p>
      <w:pPr>
        <w:widowControl/>
        <w:snapToGrid w:val="0"/>
        <w:spacing w:line="440" w:lineRule="exact"/>
        <w:ind w:firstLine="480" w:firstLineChars="200"/>
        <w:rPr>
          <w:rFonts w:ascii="仿宋" w:hAnsi="新宋体"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若对项目采购电子交易系统操作有疑问，可登录政采云（https://www.zcygov.cn/），点击右侧咨询小采，获取采小蜜智能服务管家帮助，或拨打政采云服务热线400-881-7190获取热线服务帮助。</w:t>
      </w:r>
      <w:r>
        <w:rPr>
          <w:rFonts w:ascii="仿宋" w:hAnsi="新宋体" w:eastAsia="仿宋"/>
          <w:color w:val="000000" w:themeColor="text1"/>
          <w:kern w:val="0"/>
          <w:sz w:val="24"/>
          <w14:textFill>
            <w14:solidFill>
              <w14:schemeClr w14:val="tx1"/>
            </w14:solidFill>
          </w14:textFill>
        </w:rPr>
        <w:t>    </w:t>
      </w:r>
    </w:p>
    <w:p>
      <w:pPr>
        <w:widowControl/>
        <w:snapToGrid w:val="0"/>
        <w:spacing w:line="44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CA问题联系电话（人工）：汇信CA 400-888-4636；天谷CA 400-087-8198。</w:t>
      </w:r>
    </w:p>
    <w:p>
      <w:pPr>
        <w:spacing w:line="420" w:lineRule="exact"/>
        <w:ind w:right="-78" w:rightChars="-37" w:firstLine="105" w:firstLineChars="50"/>
        <w:rPr>
          <w:rFonts w:ascii="仿宋" w:hAnsi="仿宋" w:eastAsia="仿宋"/>
          <w:color w:val="000000" w:themeColor="text1"/>
          <w14:textFill>
            <w14:solidFill>
              <w14:schemeClr w14:val="tx1"/>
            </w14:solidFill>
          </w14:textFill>
        </w:rPr>
      </w:pPr>
    </w:p>
    <w:p>
      <w:pPr>
        <w:pageBreakBefore/>
        <w:spacing w:line="440" w:lineRule="exact"/>
        <w:ind w:firstLine="2530" w:firstLineChars="700"/>
        <w:outlineLvl w:val="0"/>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第二部分 投标须知</w:t>
      </w:r>
    </w:p>
    <w:p>
      <w:pPr>
        <w:ind w:left="238"/>
        <w:jc w:val="center"/>
        <w:rPr>
          <w:rFonts w:ascii="仿宋" w:hAnsi="仿宋" w:eastAsia="仿宋"/>
          <w:b/>
          <w:color w:val="000000" w:themeColor="text1"/>
          <w:sz w:val="30"/>
          <w:szCs w:val="36"/>
          <w14:textFill>
            <w14:solidFill>
              <w14:schemeClr w14:val="tx1"/>
            </w14:solidFill>
          </w14:textFill>
        </w:rPr>
      </w:pPr>
      <w:r>
        <w:rPr>
          <w:rFonts w:hint="eastAsia" w:ascii="仿宋" w:hAnsi="仿宋" w:eastAsia="仿宋"/>
          <w:b/>
          <w:color w:val="000000" w:themeColor="text1"/>
          <w:sz w:val="30"/>
          <w:szCs w:val="36"/>
          <w14:textFill>
            <w14:solidFill>
              <w14:schemeClr w14:val="tx1"/>
            </w14:solidFill>
          </w14:textFill>
        </w:rPr>
        <w:t>前附表</w:t>
      </w:r>
    </w:p>
    <w:tbl>
      <w:tblPr>
        <w:tblStyle w:val="39"/>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序号</w:t>
            </w:r>
          </w:p>
        </w:tc>
        <w:tc>
          <w:tcPr>
            <w:tcW w:w="8371"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8371"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投标人应当提交的资格、资信证明文件：</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相关证明文件：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pacing w:line="44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（2）资信证明文件（如果有，按招标文件第三部分招标项目范围及要求和第五部分评分标准提供）。</w:t>
            </w:r>
          </w:p>
          <w:p>
            <w:pPr>
              <w:spacing w:line="44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（3）特许资格、资信证明文件（如果有）：</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p>
        </w:tc>
        <w:tc>
          <w:tcPr>
            <w:tcW w:w="8371"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资格审查方式：</w:t>
            </w:r>
          </w:p>
          <w:p>
            <w:pPr>
              <w:spacing w:line="44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1.资格后审。</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8371"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投标有效期：投标有效期为从提交投标文件的截止之日起90天。投标人的投标文件中承诺的投标有效期少于招标文件中载明的投标有效期的，投标无效。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w:t>
            </w:r>
          </w:p>
        </w:tc>
        <w:tc>
          <w:tcPr>
            <w:tcW w:w="8371"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分包或转包：（1）采购人不同意分包。（2）本项目不得转包。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p>
        </w:tc>
        <w:tc>
          <w:tcPr>
            <w:tcW w:w="8371"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投标文件份数：本项目实行网上投标，供应商于“政采云”上提供电子投标文件。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w:t>
            </w:r>
          </w:p>
        </w:tc>
        <w:tc>
          <w:tcPr>
            <w:tcW w:w="8371"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开标前答疑会或现场考察：无。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w:t>
            </w:r>
          </w:p>
        </w:tc>
        <w:tc>
          <w:tcPr>
            <w:tcW w:w="8371"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w:t>
            </w:r>
          </w:p>
        </w:tc>
        <w:tc>
          <w:tcPr>
            <w:tcW w:w="8371"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演示(讲解)：供应商在2020年</w:t>
            </w:r>
            <w:r>
              <w:rPr>
                <w:rFonts w:hint="eastAsia" w:ascii="仿宋" w:hAnsi="仿宋" w:eastAsia="仿宋" w:cs="仿宋_GB2312"/>
                <w:b/>
                <w:bCs/>
                <w:color w:val="000000" w:themeColor="text1"/>
                <w:sz w:val="24"/>
                <w:lang w:val="en-US" w:eastAsia="zh-CN"/>
                <w14:textFill>
                  <w14:solidFill>
                    <w14:schemeClr w14:val="tx1"/>
                  </w14:solidFill>
                </w14:textFill>
              </w:rPr>
              <w:t>10</w:t>
            </w:r>
            <w:r>
              <w:rPr>
                <w:rFonts w:hint="eastAsia" w:ascii="仿宋" w:hAnsi="仿宋" w:eastAsia="仿宋" w:cs="仿宋_GB2312"/>
                <w:b/>
                <w:bCs/>
                <w:color w:val="000000" w:themeColor="text1"/>
                <w:sz w:val="24"/>
                <w14:textFill>
                  <w14:solidFill>
                    <w14:schemeClr w14:val="tx1"/>
                  </w14:solidFill>
                </w14:textFill>
              </w:rPr>
              <w:t xml:space="preserve">月 </w:t>
            </w:r>
            <w:r>
              <w:rPr>
                <w:rFonts w:hint="eastAsia" w:ascii="仿宋" w:hAnsi="仿宋" w:eastAsia="仿宋" w:cs="仿宋_GB2312"/>
                <w:b/>
                <w:bCs/>
                <w:color w:val="000000" w:themeColor="text1"/>
                <w:sz w:val="24"/>
                <w:lang w:val="en-US" w:eastAsia="zh-CN"/>
                <w14:textFill>
                  <w14:solidFill>
                    <w14:schemeClr w14:val="tx1"/>
                  </w14:solidFill>
                </w14:textFill>
              </w:rPr>
              <w:t>9</w:t>
            </w:r>
            <w:r>
              <w:rPr>
                <w:rFonts w:hint="eastAsia" w:ascii="仿宋" w:hAnsi="仿宋" w:eastAsia="仿宋" w:cs="仿宋_GB2312"/>
                <w:b/>
                <w:bCs/>
                <w:color w:val="000000" w:themeColor="text1"/>
                <w:sz w:val="24"/>
                <w14:textFill>
                  <w14:solidFill>
                    <w14:schemeClr w14:val="tx1"/>
                  </w14:solidFill>
                </w14:textFill>
              </w:rPr>
              <w:t>日上午9:</w:t>
            </w:r>
            <w:r>
              <w:rPr>
                <w:rFonts w:hint="eastAsia" w:ascii="仿宋" w:hAnsi="仿宋" w:eastAsia="仿宋" w:cs="仿宋_GB2312"/>
                <w:b/>
                <w:bCs/>
                <w:color w:val="000000" w:themeColor="text1"/>
                <w:sz w:val="24"/>
                <w:lang w:val="en-US" w:eastAsia="zh-CN"/>
                <w14:textFill>
                  <w14:solidFill>
                    <w14:schemeClr w14:val="tx1"/>
                  </w14:solidFill>
                </w14:textFill>
              </w:rPr>
              <w:t>30</w:t>
            </w:r>
            <w:r>
              <w:rPr>
                <w:rFonts w:hint="eastAsia" w:ascii="仿宋" w:hAnsi="仿宋" w:eastAsia="仿宋" w:cs="仿宋_GB2312"/>
                <w:b/>
                <w:bCs/>
                <w:color w:val="000000" w:themeColor="text1"/>
                <w:sz w:val="24"/>
                <w14:textFill>
                  <w14:solidFill>
                    <w14:schemeClr w14:val="tx1"/>
                  </w14:solidFill>
                </w14:textFill>
              </w:rPr>
              <w:t>之前把讲解的内容刻录成视频，存储到U盘里，每个供应商讲解的时间不超过10分钟。U盘必须密封封装，并明确注明“项目名称、供应商名称、讲解文件资料”字样，同时封口处加盖骑缝单位公章。邮寄至绍兴市鼎正建设工程咨询有限公司（绍兴市二环北路135号金德隆北区B座四楼），联系人;夏建挺，联系电话：15005856979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p>
        </w:tc>
        <w:tc>
          <w:tcPr>
            <w:tcW w:w="855" w:type="dxa"/>
            <w:vAlign w:val="center"/>
          </w:tcPr>
          <w:p>
            <w:pPr>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进口产品</w:t>
            </w:r>
          </w:p>
        </w:tc>
        <w:tc>
          <w:tcPr>
            <w:tcW w:w="7516" w:type="dxa"/>
            <w:vAlign w:val="center"/>
          </w:tcPr>
          <w:p>
            <w:pPr>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本项不允许采购进口产品，供应商所提供的货物和服务须在我国境内合法生产、销售。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w:t>
            </w:r>
          </w:p>
        </w:tc>
        <w:tc>
          <w:tcPr>
            <w:tcW w:w="855" w:type="dxa"/>
            <w:vMerge w:val="restart"/>
            <w:vAlign w:val="center"/>
          </w:tcPr>
          <w:p>
            <w:pPr>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投标人信用信息事项</w:t>
            </w:r>
          </w:p>
        </w:tc>
        <w:tc>
          <w:tcPr>
            <w:tcW w:w="7516" w:type="dxa"/>
            <w:vAlign w:val="center"/>
          </w:tcPr>
          <w:p>
            <w:pPr>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信用信息查询渠道及截止时间：</w:t>
            </w:r>
            <w:r>
              <w:rPr>
                <w:rFonts w:hint="eastAsia" w:ascii="仿宋" w:hAnsi="仿宋" w:eastAsia="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_GB2312"/>
                <w:b/>
                <w:color w:val="000000" w:themeColor="text1"/>
                <w:sz w:val="24"/>
                <w14:textFill>
                  <w14:solidFill>
                    <w14:schemeClr w14:val="tx1"/>
                  </w14:solidFill>
                </w14:textFill>
              </w:rPr>
              <w:t>投标截止时间前</w:t>
            </w:r>
            <w:r>
              <w:rPr>
                <w:rFonts w:hint="eastAsia" w:ascii="仿宋" w:hAnsi="仿宋" w:eastAsia="仿宋"/>
                <w:color w:val="000000" w:themeColor="text1"/>
                <w:sz w:val="24"/>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color w:val="000000" w:themeColor="text1"/>
                <w:sz w:val="24"/>
                <w14:textFill>
                  <w14:solidFill>
                    <w14:schemeClr w14:val="tx1"/>
                  </w14:solidFill>
                </w14:textFill>
              </w:rPr>
            </w:pPr>
          </w:p>
        </w:tc>
        <w:tc>
          <w:tcPr>
            <w:tcW w:w="855" w:type="dxa"/>
            <w:vMerge w:val="continue"/>
            <w:vAlign w:val="center"/>
          </w:tcPr>
          <w:p>
            <w:pPr>
              <w:snapToGrid w:val="0"/>
              <w:spacing w:line="420" w:lineRule="exact"/>
              <w:rPr>
                <w:rFonts w:ascii="仿宋" w:hAnsi="仿宋" w:eastAsia="仿宋" w:cs="仿宋_GB2312"/>
                <w:b/>
                <w:color w:val="000000" w:themeColor="text1"/>
                <w:sz w:val="24"/>
                <w14:textFill>
                  <w14:solidFill>
                    <w14:schemeClr w14:val="tx1"/>
                  </w14:solidFill>
                </w14:textFill>
              </w:rPr>
            </w:pPr>
          </w:p>
        </w:tc>
        <w:tc>
          <w:tcPr>
            <w:tcW w:w="7516" w:type="dxa"/>
            <w:vAlign w:val="center"/>
          </w:tcPr>
          <w:p>
            <w:pPr>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信用信息查询记录和证据留存的具体方式：</w:t>
            </w:r>
            <w:r>
              <w:rPr>
                <w:rFonts w:hint="eastAsia" w:ascii="仿宋" w:hAnsi="仿宋" w:eastAsia="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color w:val="000000" w:themeColor="text1"/>
                <w:sz w:val="24"/>
                <w14:textFill>
                  <w14:solidFill>
                    <w14:schemeClr w14:val="tx1"/>
                  </w14:solidFill>
                </w14:textFill>
              </w:rPr>
            </w:pPr>
          </w:p>
        </w:tc>
        <w:tc>
          <w:tcPr>
            <w:tcW w:w="855" w:type="dxa"/>
            <w:vMerge w:val="continue"/>
            <w:vAlign w:val="center"/>
          </w:tcPr>
          <w:p>
            <w:pPr>
              <w:snapToGrid w:val="0"/>
              <w:spacing w:line="420" w:lineRule="exact"/>
              <w:rPr>
                <w:rFonts w:ascii="仿宋" w:hAnsi="仿宋" w:eastAsia="仿宋" w:cs="仿宋_GB2312"/>
                <w:b/>
                <w:color w:val="000000" w:themeColor="text1"/>
                <w:sz w:val="24"/>
                <w14:textFill>
                  <w14:solidFill>
                    <w14:schemeClr w14:val="tx1"/>
                  </w14:solidFill>
                </w14:textFill>
              </w:rPr>
            </w:pPr>
          </w:p>
        </w:tc>
        <w:tc>
          <w:tcPr>
            <w:tcW w:w="7516" w:type="dxa"/>
            <w:vAlign w:val="center"/>
          </w:tcPr>
          <w:p>
            <w:pPr>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信用信息的使用规则：</w:t>
            </w:r>
            <w:r>
              <w:rPr>
                <w:rFonts w:hint="eastAsia" w:ascii="仿宋" w:hAnsi="仿宋" w:eastAsia="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869" w:type="dxa"/>
            <w:vAlign w:val="center"/>
          </w:tcPr>
          <w:p>
            <w:pPr>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w:t>
            </w:r>
          </w:p>
        </w:tc>
        <w:tc>
          <w:tcPr>
            <w:tcW w:w="8371" w:type="dxa"/>
            <w:gridSpan w:val="2"/>
            <w:vAlign w:val="center"/>
          </w:tcPr>
          <w:p>
            <w:pPr>
              <w:snapToGrid w:val="0"/>
              <w:spacing w:line="24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扰乱公共资源交易市场秩序行为：</w:t>
            </w:r>
          </w:p>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869" w:type="dxa"/>
            <w:vAlign w:val="center"/>
          </w:tcPr>
          <w:p>
            <w:pPr>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w:t>
            </w:r>
          </w:p>
        </w:tc>
        <w:tc>
          <w:tcPr>
            <w:tcW w:w="8371" w:type="dxa"/>
            <w:gridSpan w:val="2"/>
            <w:vAlign w:val="center"/>
          </w:tcPr>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w:t>
            </w:r>
          </w:p>
        </w:tc>
        <w:tc>
          <w:tcPr>
            <w:tcW w:w="8371" w:type="dxa"/>
            <w:gridSpan w:val="2"/>
            <w:vAlign w:val="center"/>
          </w:tcPr>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w:t>
            </w:r>
          </w:p>
        </w:tc>
        <w:tc>
          <w:tcPr>
            <w:tcW w:w="8371" w:type="dxa"/>
            <w:gridSpan w:val="2"/>
            <w:vAlign w:val="center"/>
          </w:tcPr>
          <w:p>
            <w:pPr>
              <w:snapToGrid w:val="0"/>
              <w:spacing w:line="40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投标与开标注意事项：</w:t>
            </w:r>
          </w:p>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1.本项目实行网上投标，采用电子投标文件。若供应商参与投标，自行承担投标一切费用。</w:t>
            </w:r>
          </w:p>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供应商将政采云电子交易客户端下载、安装完成后，可通过账号密码或CA登录客户端进行投标文件制作。在使用政采云投标客户端时，建议使用WIN7及以上操作系统。</w:t>
            </w:r>
          </w:p>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0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《CA申领操作指南》：https://help.zcygov.cn/web/site_2/2018/11-29/2452.html</w:t>
            </w:r>
          </w:p>
          <w:p>
            <w:pPr>
              <w:snapToGrid w:val="0"/>
              <w:spacing w:line="40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《CA管理操作指南》：https://help.zcygov.cn/web/site_2/2019/08-20/3405.html</w:t>
            </w:r>
          </w:p>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《CA驱动和申领流程》:</w:t>
            </w:r>
          </w:p>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http://zfcg.czt.zj.gov.cn//bidClientTemplate/2019-05-27/12945.html</w:t>
            </w:r>
          </w:p>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3.投标文件制作、递交、解密：</w:t>
            </w:r>
          </w:p>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0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46"/>
                <w:rFonts w:hint="eastAsia" w:ascii="仿宋" w:hAnsi="仿宋" w:eastAsia="仿宋"/>
                <w:color w:val="000000" w:themeColor="text1"/>
                <w:sz w:val="24"/>
                <w14:textFill>
                  <w14:solidFill>
                    <w14:schemeClr w14:val="tx1"/>
                  </w14:solidFill>
                </w14:textFill>
              </w:rPr>
              <w:t>https://help.zcygov.cn/web/site_2/2018/12-28/2573.html</w:t>
            </w:r>
            <w:r>
              <w:rPr>
                <w:rStyle w:val="46"/>
                <w:rFonts w:hint="eastAsia" w:ascii="仿宋" w:hAnsi="仿宋" w:eastAsia="仿宋"/>
                <w:color w:val="000000" w:themeColor="text1"/>
                <w:sz w:val="24"/>
                <w14:textFill>
                  <w14:solidFill>
                    <w14:schemeClr w14:val="tx1"/>
                  </w14:solidFill>
                </w14:textFill>
              </w:rPr>
              <w:fldChar w:fldCharType="end"/>
            </w:r>
            <w:r>
              <w:rPr>
                <w:rFonts w:hint="eastAsia" w:ascii="仿宋" w:hAnsi="仿宋" w:eastAsia="仿宋"/>
                <w:color w:val="000000" w:themeColor="text1"/>
                <w:sz w:val="24"/>
                <w14:textFill>
                  <w14:solidFill>
                    <w14:schemeClr w14:val="tx1"/>
                  </w14:solidFill>
                </w14:textFill>
              </w:rPr>
              <w:t>”。</w:t>
            </w:r>
          </w:p>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w:t>
            </w:r>
            <w:r>
              <w:rPr>
                <w:rFonts w:hint="eastAsia" w:ascii="仿宋" w:hAnsi="仿宋" w:eastAsia="仿宋" w:cs="Arial"/>
                <w:color w:val="000000" w:themeColor="text1"/>
                <w:sz w:val="24"/>
                <w14:textFill>
                  <w14:solidFill>
                    <w14:schemeClr w14:val="tx1"/>
                  </w14:solidFill>
                </w14:textFill>
              </w:rPr>
              <w:t>开</w:t>
            </w:r>
            <w:r>
              <w:rPr>
                <w:rFonts w:hint="eastAsia" w:ascii="仿宋" w:hAnsi="仿宋" w:eastAsia="仿宋" w:cs="Arial"/>
                <w:color w:val="FF0000"/>
                <w:sz w:val="24"/>
              </w:rPr>
              <w:t>标时间后</w:t>
            </w:r>
            <w:r>
              <w:rPr>
                <w:rFonts w:hint="eastAsia" w:ascii="仿宋" w:hAnsi="仿宋" w:eastAsia="仿宋" w:cs="Arial"/>
                <w:color w:val="FF0000"/>
                <w:sz w:val="24"/>
                <w:lang w:val="en-US" w:eastAsia="zh-CN"/>
              </w:rPr>
              <w:t>0.5</w:t>
            </w:r>
            <w:r>
              <w:rPr>
                <w:rFonts w:hint="eastAsia" w:ascii="仿宋" w:hAnsi="仿宋" w:eastAsia="仿宋" w:cs="Arial"/>
                <w:color w:val="FF0000"/>
                <w:sz w:val="24"/>
              </w:rPr>
              <w:t>小时内供应商可以登录“政采云”平台</w:t>
            </w:r>
            <w:r>
              <w:rPr>
                <w:rFonts w:hint="eastAsia" w:ascii="仿宋" w:hAnsi="仿宋" w:eastAsia="仿宋" w:cs="Arial"/>
                <w:color w:val="000000" w:themeColor="text1"/>
                <w:sz w:val="24"/>
                <w14:textFill>
                  <w14:solidFill>
                    <w14:schemeClr w14:val="tx1"/>
                  </w14:solidFill>
                </w14:textFill>
              </w:rPr>
              <w:t>，用“项目采购-开标评标”功能进行解密投标文件。若供应商</w:t>
            </w:r>
            <w:r>
              <w:rPr>
                <w:rFonts w:hint="eastAsia" w:ascii="仿宋" w:hAnsi="仿宋" w:eastAsia="仿宋"/>
                <w:b/>
                <w:color w:val="000000" w:themeColor="text1"/>
                <w:sz w:val="24"/>
                <w:u w:val="single"/>
                <w14:textFill>
                  <w14:solidFill>
                    <w14:schemeClr w14:val="tx1"/>
                  </w14:solidFill>
                </w14:textFill>
              </w:rPr>
              <w:t>未按时解密的</w:t>
            </w:r>
            <w:r>
              <w:rPr>
                <w:rFonts w:hint="eastAsia" w:ascii="仿宋" w:hAnsi="仿宋" w:eastAsia="仿宋" w:cs="Arial"/>
                <w:color w:val="000000" w:themeColor="text1"/>
                <w:sz w:val="24"/>
                <w14:textFill>
                  <w14:solidFill>
                    <w14:schemeClr w14:val="tx1"/>
                  </w14:solidFill>
                </w14:textFill>
              </w:rPr>
              <w:t>，</w:t>
            </w:r>
            <w:r>
              <w:rPr>
                <w:rFonts w:hint="eastAsia" w:ascii="仿宋" w:hAnsi="仿宋" w:eastAsia="仿宋"/>
                <w:b/>
                <w:color w:val="000000" w:themeColor="text1"/>
                <w:sz w:val="24"/>
                <w:u w:val="single"/>
                <w14:textFill>
                  <w14:solidFill>
                    <w14:schemeClr w14:val="tx1"/>
                  </w14:solidFill>
                </w14:textFill>
              </w:rPr>
              <w:t>视为投标文件撤回</w:t>
            </w:r>
            <w:r>
              <w:rPr>
                <w:rFonts w:hint="eastAsia" w:ascii="仿宋" w:hAnsi="仿宋" w:eastAsia="仿宋" w:cs="Arial"/>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w:t>
            </w:r>
          </w:p>
        </w:tc>
        <w:tc>
          <w:tcPr>
            <w:tcW w:w="855" w:type="dxa"/>
            <w:vAlign w:val="center"/>
          </w:tcPr>
          <w:p>
            <w:pPr>
              <w:snapToGrid w:val="0"/>
              <w:spacing w:line="42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代理服务费</w:t>
            </w:r>
          </w:p>
        </w:tc>
        <w:tc>
          <w:tcPr>
            <w:tcW w:w="7516" w:type="dxa"/>
            <w:vAlign w:val="center"/>
          </w:tcPr>
          <w:p>
            <w:pPr>
              <w:spacing w:line="360" w:lineRule="auto"/>
              <w:rPr>
                <w:rFonts w:ascii="宋体" w:hAnsi="宋体"/>
                <w:sz w:val="22"/>
              </w:rPr>
            </w:pPr>
            <w:r>
              <w:rPr>
                <w:rFonts w:hint="eastAsia" w:ascii="宋体" w:hAnsi="宋体"/>
                <w:sz w:val="22"/>
              </w:rPr>
              <w:t>中标人须向采购代理机构按如下标准和规定交纳代理服务费，并在投标报价中自行考虑：</w:t>
            </w:r>
          </w:p>
          <w:p>
            <w:pPr>
              <w:numPr>
                <w:ilvl w:val="0"/>
                <w:numId w:val="7"/>
              </w:numPr>
              <w:spacing w:line="360" w:lineRule="auto"/>
              <w:ind w:left="360" w:hanging="360"/>
              <w:rPr>
                <w:rFonts w:ascii="宋体" w:hAnsi="宋体" w:cs="宋体"/>
                <w:sz w:val="22"/>
              </w:rPr>
            </w:pPr>
            <w:r>
              <w:rPr>
                <w:rFonts w:hint="eastAsia" w:ascii="宋体" w:hAnsi="宋体"/>
                <w:sz w:val="22"/>
              </w:rPr>
              <w:t>以中标通知中确定的中标总金额作为代理服务费的计算基数，</w:t>
            </w:r>
            <w:r>
              <w:rPr>
                <w:rFonts w:hint="eastAsia" w:ascii="宋体" w:hAnsi="宋体" w:cs="宋体"/>
                <w:sz w:val="22"/>
              </w:rPr>
              <w:t>具体比例参照《国家计委关于印发&lt;招标代理服务收费管理暂行办法&gt;的通知》（计价格[2002]1980号）规定的标准的60%进行收费。</w:t>
            </w:r>
          </w:p>
          <w:p>
            <w:pPr>
              <w:spacing w:line="360" w:lineRule="auto"/>
              <w:rPr>
                <w:rFonts w:ascii="宋体" w:hAnsi="宋体"/>
                <w:sz w:val="22"/>
              </w:rPr>
            </w:pPr>
            <w:r>
              <w:rPr>
                <w:rFonts w:hint="eastAsia" w:ascii="宋体" w:hAnsi="宋体"/>
                <w:sz w:val="22"/>
              </w:rPr>
              <w:t>（2）代理服务费的交纳方式：</w:t>
            </w:r>
          </w:p>
          <w:p>
            <w:pPr>
              <w:spacing w:line="360" w:lineRule="auto"/>
              <w:ind w:firstLine="440" w:firstLineChars="200"/>
              <w:rPr>
                <w:rFonts w:ascii="宋体" w:hAnsi="宋体" w:cs="宋体"/>
                <w:sz w:val="22"/>
              </w:rPr>
            </w:pPr>
            <w:r>
              <w:rPr>
                <w:rFonts w:hint="eastAsia" w:ascii="宋体" w:hAnsi="宋体" w:cs="宋体"/>
                <w:sz w:val="22"/>
              </w:rPr>
              <w:t>用银行支票、汇票、电汇、现金等付款方式直接交纳代理服务费。</w:t>
            </w:r>
          </w:p>
          <w:p>
            <w:pPr>
              <w:spacing w:line="360" w:lineRule="auto"/>
              <w:ind w:firstLine="440" w:firstLineChars="200"/>
              <w:rPr>
                <w:rFonts w:ascii="宋体" w:hAnsi="宋体"/>
                <w:sz w:val="22"/>
              </w:rPr>
            </w:pPr>
            <w:r>
              <w:rPr>
                <w:rFonts w:hint="eastAsia" w:ascii="宋体" w:hAnsi="宋体"/>
                <w:sz w:val="22"/>
              </w:rPr>
              <w:t>公司名称：绍兴市鼎正建设工程咨询有限公司</w:t>
            </w:r>
          </w:p>
          <w:p>
            <w:pPr>
              <w:spacing w:line="360" w:lineRule="auto"/>
              <w:ind w:firstLine="440" w:firstLineChars="200"/>
              <w:rPr>
                <w:rFonts w:ascii="宋体" w:hAnsi="宋体"/>
                <w:sz w:val="22"/>
              </w:rPr>
            </w:pPr>
            <w:r>
              <w:rPr>
                <w:rFonts w:hint="eastAsia" w:ascii="宋体" w:hAnsi="宋体"/>
                <w:sz w:val="22"/>
              </w:rPr>
              <w:t>账号:</w:t>
            </w:r>
            <w:r>
              <w:rPr>
                <w:rFonts w:ascii="宋体" w:hAnsi="宋体"/>
                <w:sz w:val="22"/>
              </w:rPr>
              <w:t>0915000828327300010</w:t>
            </w:r>
          </w:p>
          <w:p>
            <w:pPr>
              <w:spacing w:line="360" w:lineRule="auto"/>
              <w:ind w:firstLine="440" w:firstLineChars="200"/>
              <w:rPr>
                <w:rFonts w:ascii="宋体" w:hAnsi="宋体"/>
                <w:sz w:val="22"/>
              </w:rPr>
            </w:pPr>
            <w:r>
              <w:rPr>
                <w:rFonts w:hint="eastAsia" w:ascii="宋体" w:hAnsi="宋体"/>
                <w:sz w:val="22"/>
              </w:rPr>
              <w:t>开户银行: 绍兴银行城中支行</w:t>
            </w:r>
          </w:p>
          <w:p>
            <w:pPr>
              <w:snapToGrid w:val="0"/>
              <w:spacing w:line="420" w:lineRule="exact"/>
              <w:rPr>
                <w:rFonts w:ascii="仿宋" w:hAnsi="仿宋" w:eastAsia="仿宋"/>
                <w:color w:val="000000" w:themeColor="text1"/>
                <w:sz w:val="24"/>
                <w14:textFill>
                  <w14:solidFill>
                    <w14:schemeClr w14:val="tx1"/>
                  </w14:solidFill>
                </w14:textFill>
              </w:rPr>
            </w:pPr>
            <w:r>
              <w:rPr>
                <w:rFonts w:hint="eastAsia" w:ascii="宋体" w:hAnsi="宋体"/>
                <w:sz w:val="22"/>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注：中标人放弃中标资格或因质疑、投诉被取消中标资格或不能履行合同的，本项目重新开展政府采购活动。</w:t>
            </w:r>
          </w:p>
        </w:tc>
      </w:tr>
    </w:tbl>
    <w:p>
      <w:pPr>
        <w:ind w:left="238"/>
        <w:jc w:val="center"/>
        <w:rPr>
          <w:rFonts w:ascii="仿宋" w:hAnsi="仿宋" w:eastAsia="仿宋"/>
          <w:b/>
          <w:color w:val="000000" w:themeColor="text1"/>
          <w:sz w:val="30"/>
          <w:szCs w:val="36"/>
          <w14:textFill>
            <w14:solidFill>
              <w14:schemeClr w14:val="tx1"/>
            </w14:solidFill>
          </w14:textFill>
        </w:rPr>
      </w:pPr>
    </w:p>
    <w:p>
      <w:pPr>
        <w:pageBreakBefore/>
        <w:tabs>
          <w:tab w:val="left" w:pos="3519"/>
          <w:tab w:val="center" w:pos="4371"/>
        </w:tabs>
        <w:snapToGrid w:val="0"/>
        <w:spacing w:line="300" w:lineRule="auto"/>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一、总则</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 项目说明</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1.4本招标文件所称公章是指单位法定名称章或者冠以法定名称的投标业务专用章或单位法定名称电子公章。</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 定义</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2.1政府采购当事人及监管部门：绍兴文理学院附属医院为本项目的采购人（合同中的甲方），绍兴市鼎正建设工程咨询有限公司为分散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2.3“服务”系指招标文件规定投标人须承担的安装、调试、技术协助、校准、培训、技术指导以及其他类似的义务。</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2.4 “项目”系指投标人按招标文件规定向采购人提供的产品和服务。</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 “授权代表”系指法定代表人的被授权委托人。</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3.采购项目需要落实的政府采购政策</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 节能环保要求</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3.2.1</w:t>
      </w:r>
      <w:r>
        <w:rPr>
          <w:rFonts w:ascii="仿宋" w:hAnsi="仿宋" w:eastAsia="仿宋"/>
          <w:color w:val="000000" w:themeColor="text1"/>
          <w:sz w:val="24"/>
          <w14:textFill>
            <w14:solidFill>
              <w14:schemeClr w14:val="tx1"/>
            </w14:solidFill>
          </w14:textFill>
        </w:rPr>
        <w:t>采购人拟采购的产品属于品目清单范围的，采购人及其委托的采购代理机构</w:t>
      </w:r>
      <w:r>
        <w:rPr>
          <w:rFonts w:hint="eastAsia" w:ascii="仿宋" w:hAnsi="仿宋" w:eastAsia="仿宋"/>
          <w:color w:val="000000" w:themeColor="text1"/>
          <w:sz w:val="24"/>
          <w14:textFill>
            <w14:solidFill>
              <w14:schemeClr w14:val="tx1"/>
            </w14:solidFill>
          </w14:textFill>
        </w:rPr>
        <w:t>将</w:t>
      </w:r>
      <w:r>
        <w:rPr>
          <w:rFonts w:ascii="仿宋" w:hAnsi="仿宋" w:eastAsia="仿宋"/>
          <w:color w:val="000000" w:themeColor="text1"/>
          <w:sz w:val="24"/>
          <w14:textFill>
            <w14:solidFill>
              <w14:schemeClr w14:val="tx1"/>
            </w14:solidFill>
          </w14:textFill>
        </w:rPr>
        <w:t>依据国家确定的认证机构出具的、处于有效期之内的节能产品、环境标志产品认证证书，对获得证书的产品实施政府优先采购或强制采购。</w:t>
      </w:r>
      <w:r>
        <w:rPr>
          <w:rFonts w:hint="eastAsia" w:ascii="仿宋" w:hAnsi="仿宋" w:eastAsia="仿宋"/>
          <w:color w:val="000000" w:themeColor="text1"/>
          <w:sz w:val="24"/>
          <w14:textFill>
            <w14:solidFill>
              <w14:schemeClr w14:val="tx1"/>
            </w14:solidFill>
          </w14:textFill>
        </w:rPr>
        <w:t>投标人须按招标文件要求提供相关产品认证证书。</w:t>
      </w:r>
    </w:p>
    <w:p>
      <w:pPr>
        <w:spacing w:line="440" w:lineRule="exac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3.2.2</w:t>
      </w:r>
      <w:r>
        <w:rPr>
          <w:rFonts w:ascii="仿宋" w:hAnsi="仿宋" w:eastAsia="仿宋"/>
          <w:b/>
          <w:color w:val="000000" w:themeColor="text1"/>
          <w:sz w:val="24"/>
          <w14:textFill>
            <w14:solidFill>
              <w14:schemeClr w14:val="tx1"/>
            </w14:solidFill>
          </w14:textFill>
        </w:rPr>
        <w:t>采购人拟采购的产品属于</w:t>
      </w:r>
      <w:r>
        <w:rPr>
          <w:rFonts w:hint="eastAsia" w:ascii="仿宋" w:hAnsi="仿宋" w:eastAsia="仿宋"/>
          <w:b/>
          <w:color w:val="000000" w:themeColor="text1"/>
          <w:sz w:val="24"/>
          <w14:textFill>
            <w14:solidFill>
              <w14:schemeClr w14:val="tx1"/>
            </w14:solidFill>
          </w14:textFill>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w:t>
      </w:r>
      <w:r>
        <w:rPr>
          <w:rFonts w:hint="eastAsia" w:ascii="仿宋" w:hAnsi="仿宋" w:eastAsia="仿宋"/>
          <w:bCs/>
          <w:color w:val="000000" w:themeColor="text1"/>
          <w:sz w:val="24"/>
          <w14:textFill>
            <w14:solidFill>
              <w14:schemeClr w14:val="tx1"/>
            </w14:solidFill>
          </w14:textFill>
        </w:rPr>
        <w:t>小型、微型</w:t>
      </w:r>
      <w:r>
        <w:rPr>
          <w:rFonts w:hint="eastAsia" w:ascii="仿宋" w:hAnsi="仿宋" w:eastAsia="仿宋"/>
          <w:color w:val="000000" w:themeColor="text1"/>
          <w:sz w:val="24"/>
          <w14:textFill>
            <w14:solidFill>
              <w14:schemeClr w14:val="tx1"/>
            </w14:solidFill>
          </w14:textFill>
        </w:rPr>
        <w:t>企业价格扣除。</w:t>
      </w:r>
    </w:p>
    <w:p>
      <w:pPr>
        <w:spacing w:line="440" w:lineRule="exact"/>
        <w:rPr>
          <w:rFonts w:ascii="仿宋" w:hAnsi="仿宋" w:eastAsia="仿宋"/>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3.3.1</w:t>
      </w:r>
      <w:r>
        <w:rPr>
          <w:rFonts w:hint="eastAsia" w:ascii="仿宋" w:hAnsi="仿宋" w:eastAsia="仿宋"/>
          <w:bCs/>
          <w:color w:val="000000" w:themeColor="text1"/>
          <w:sz w:val="24"/>
          <w14:textFill>
            <w14:solidFill>
              <w14:schemeClr w14:val="tx1"/>
            </w14:solidFill>
          </w14:textFill>
        </w:rPr>
        <w:t>小型、微型企业应当同时符合以下条件：</w:t>
      </w:r>
    </w:p>
    <w:p>
      <w:pPr>
        <w:spacing w:line="440" w:lineRule="exac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（1）符合中小企业划分标准；</w:t>
      </w:r>
    </w:p>
    <w:p>
      <w:pPr>
        <w:spacing w:line="440" w:lineRule="exac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w:t>
      </w:r>
      <w:r>
        <w:rPr>
          <w:rFonts w:hint="eastAsia" w:ascii="仿宋" w:hAnsi="仿宋" w:eastAsia="仿宋"/>
          <w:b/>
          <w:bCs/>
          <w:color w:val="000000" w:themeColor="text1"/>
          <w:sz w:val="24"/>
          <w14:textFill>
            <w14:solidFill>
              <w14:schemeClr w14:val="tx1"/>
            </w14:solidFill>
          </w14:textFill>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3.3.2小型、微型企业应按照招标文件格式要求提供《中小企业声明函》。</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3.3.3对于非专门面向此类企业的项目，对小型和微型企业产品的投标价格给予6 %的扣除，用扣除后的价格参与评审。</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44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联合体各方均为小型、微型企业的，联合体视同为小型、微型企业。</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3.3.5符合《关于促进残疾人就业政府采购政策的通知》（财库〔2017〕141号）规定的条件并提供《残疾人福利性单位声明函》（附件1）的残疾人福利性单位视同小型、微型企业；</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★4.特别说明：</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156" w:beforeLines="50" w:after="156" w:afterLines="50"/>
        <w:jc w:val="center"/>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二、招标文件</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1．招标方式</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 本次招标采用</w:t>
      </w:r>
      <w:r>
        <w:rPr>
          <w:rFonts w:hint="eastAsia" w:ascii="仿宋" w:hAnsi="仿宋" w:eastAsia="仿宋"/>
          <w:b/>
          <w:color w:val="000000" w:themeColor="text1"/>
          <w:kern w:val="0"/>
          <w:sz w:val="24"/>
          <w14:textFill>
            <w14:solidFill>
              <w14:schemeClr w14:val="tx1"/>
            </w14:solidFill>
          </w14:textFill>
        </w:rPr>
        <w:t>公开招标</w:t>
      </w:r>
      <w:r>
        <w:rPr>
          <w:rFonts w:hint="eastAsia" w:ascii="仿宋" w:hAnsi="仿宋" w:eastAsia="仿宋"/>
          <w:color w:val="000000" w:themeColor="text1"/>
          <w:sz w:val="24"/>
          <w14:textFill>
            <w14:solidFill>
              <w14:schemeClr w14:val="tx1"/>
            </w14:solidFill>
          </w14:textFill>
        </w:rPr>
        <w:t>方式进行。</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2.授权委托</w:t>
      </w:r>
    </w:p>
    <w:p>
      <w:pPr>
        <w:pStyle w:val="13"/>
        <w:tabs>
          <w:tab w:val="clear" w:pos="454"/>
        </w:tabs>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本项目为电子投标项目，投标人的法定代表人或其授权代表或个体工商户不需要参加现场投标和开标。</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 投标费用</w:t>
      </w:r>
    </w:p>
    <w:p>
      <w:pPr>
        <w:pStyle w:val="13"/>
        <w:tabs>
          <w:tab w:val="clear" w:pos="454"/>
        </w:tabs>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 招标文件的修改</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4.1 </w:t>
      </w:r>
      <w:r>
        <w:rPr>
          <w:rFonts w:hint="eastAsia" w:ascii="仿宋" w:hAnsi="仿宋" w:eastAsia="仿宋"/>
          <w:bCs/>
          <w:color w:val="000000" w:themeColor="text1"/>
          <w:sz w:val="24"/>
          <w14:textFill>
            <w14:solidFill>
              <w14:schemeClr w14:val="tx1"/>
            </w14:solidFill>
          </w14:textFill>
        </w:rPr>
        <w:t>招标文件包括本招标文件及所有的招标答疑记录（澄清、修改）和发出的补充通知</w:t>
      </w:r>
      <w:r>
        <w:rPr>
          <w:rFonts w:hint="eastAsia" w:ascii="仿宋" w:hAnsi="仿宋" w:eastAsia="仿宋"/>
          <w:color w:val="000000" w:themeColor="text1"/>
          <w:sz w:val="24"/>
          <w14:textFill>
            <w14:solidFill>
              <w14:schemeClr w14:val="tx1"/>
            </w14:solidFill>
          </w14:textFill>
        </w:rPr>
        <w:t>。</w:t>
      </w:r>
    </w:p>
    <w:p>
      <w:pPr>
        <w:pStyle w:val="13"/>
        <w:widowControl w:val="0"/>
        <w:tabs>
          <w:tab w:val="clear" w:pos="454"/>
        </w:tabs>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4.2招标文件的澄清 </w:t>
      </w:r>
    </w:p>
    <w:p>
      <w:pPr>
        <w:pStyle w:val="13"/>
        <w:widowControl w:val="0"/>
        <w:tabs>
          <w:tab w:val="clear" w:pos="454"/>
        </w:tabs>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4.3招标文件的修改</w:t>
      </w:r>
    </w:p>
    <w:p>
      <w:pPr>
        <w:pStyle w:val="13"/>
        <w:tabs>
          <w:tab w:val="clear" w:pos="454"/>
        </w:tabs>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5.参考品牌</w:t>
      </w:r>
    </w:p>
    <w:p>
      <w:pPr>
        <w:snapToGrid w:val="0"/>
        <w:spacing w:line="440" w:lineRule="exac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三、投标文件</w:t>
      </w:r>
    </w:p>
    <w:p>
      <w:pPr>
        <w:numPr>
          <w:ilvl w:val="0"/>
          <w:numId w:val="8"/>
        </w:num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投标文件的语言及计量单位</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投标文件以及投标方与招标方就有关投标事宜的所有来往函电，均应以中文书写（技术术语除外）。</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 投标计量单位，除招标文件中有特殊要求外，应采用中华人民共和国法定计量单位，货币单位：人民币元。</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1.4不按招标文件的要求提供的投标文件可能导致被拒绝。</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1.5投标文件的形式和效力</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pPr>
        <w:snapToGrid w:val="0"/>
        <w:spacing w:line="440" w:lineRule="exact"/>
        <w:jc w:val="left"/>
        <w:rPr>
          <w:rFonts w:ascii="仿宋" w:hAnsi="仿宋" w:eastAsia="仿宋"/>
          <w:b/>
          <w:color w:val="000000" w:themeColor="text1"/>
          <w:sz w:val="24"/>
          <w:u w:val="single"/>
          <w14:textFill>
            <w14:solidFill>
              <w14:schemeClr w14:val="tx1"/>
            </w14:solidFill>
          </w14:textFill>
        </w:rPr>
      </w:pPr>
      <w:r>
        <w:rPr>
          <w:rFonts w:hint="eastAsia" w:ascii="仿宋" w:hAnsi="仿宋" w:eastAsia="仿宋"/>
          <w:b/>
          <w:color w:val="000000" w:themeColor="text1"/>
          <w:sz w:val="24"/>
          <w:u w:val="single"/>
          <w14:textFill>
            <w14:solidFill>
              <w14:schemeClr w14:val="tx1"/>
            </w14:solidFill>
          </w14:textFill>
        </w:rPr>
        <w:t>1.5.2投标文件的效力：</w:t>
      </w:r>
    </w:p>
    <w:p>
      <w:pPr>
        <w:snapToGrid w:val="0"/>
        <w:spacing w:line="440" w:lineRule="exact"/>
        <w:jc w:val="left"/>
        <w:rPr>
          <w:rFonts w:ascii="仿宋" w:hAnsi="仿宋" w:eastAsia="仿宋"/>
          <w:b/>
          <w:color w:val="000000" w:themeColor="text1"/>
          <w:sz w:val="24"/>
          <w:u w:val="single"/>
          <w14:textFill>
            <w14:solidFill>
              <w14:schemeClr w14:val="tx1"/>
            </w14:solidFill>
          </w14:textFill>
        </w:rPr>
      </w:pPr>
      <w:r>
        <w:rPr>
          <w:rFonts w:hint="eastAsia" w:ascii="仿宋" w:hAnsi="仿宋" w:eastAsia="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 投标文件的组成</w:t>
      </w:r>
    </w:p>
    <w:p>
      <w:pPr>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投标文件由“报价文件资料”、“商务技术（资信）文件资料”两部分组成，其中</w:t>
      </w:r>
      <w:r>
        <w:rPr>
          <w:rFonts w:hint="eastAsia" w:ascii="仿宋" w:hAnsi="仿宋" w:eastAsia="仿宋"/>
          <w:b/>
          <w:color w:val="000000" w:themeColor="text1"/>
          <w:sz w:val="24"/>
          <w14:textFill>
            <w14:solidFill>
              <w14:schemeClr w14:val="tx1"/>
            </w14:solidFill>
          </w14:textFill>
        </w:rPr>
        <w:t>电子投标文件中所须加盖公章部分均应采用电子签章。</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 “报价文件资料”应包含以下内容：</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2.1.1投标响应函（格式见第六部分附件）； </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2.1.2开标一览表（格式见第六部分附件）；</w:t>
      </w:r>
    </w:p>
    <w:p>
      <w:pPr>
        <w:pStyle w:val="22"/>
        <w:spacing w:line="440" w:lineRule="exact"/>
        <w:rPr>
          <w:rFonts w:ascii="仿宋" w:hAnsi="仿宋" w:eastAsia="仿宋"/>
          <w:b w:val="0"/>
          <w:color w:val="000000" w:themeColor="text1"/>
          <w:sz w:val="24"/>
          <w14:textFill>
            <w14:solidFill>
              <w14:schemeClr w14:val="tx1"/>
            </w14:solidFill>
          </w14:textFill>
        </w:rPr>
      </w:pPr>
      <w:r>
        <w:rPr>
          <w:rFonts w:hint="eastAsia" w:ascii="仿宋" w:hAnsi="仿宋" w:eastAsia="仿宋"/>
          <w:b w:val="0"/>
          <w:color w:val="000000" w:themeColor="text1"/>
          <w:sz w:val="24"/>
          <w14:textFill>
            <w14:solidFill>
              <w14:schemeClr w14:val="tx1"/>
            </w14:solidFill>
          </w14:textFill>
        </w:rPr>
        <w:t>2.1.3小微企业声明函及证明资料（如有，格式见第六部分附件）；</w:t>
      </w:r>
    </w:p>
    <w:p>
      <w:pPr>
        <w:pStyle w:val="22"/>
        <w:spacing w:line="440" w:lineRule="exact"/>
        <w:rPr>
          <w:rFonts w:ascii="仿宋" w:hAnsi="仿宋" w:eastAsia="仿宋"/>
          <w:b w:val="0"/>
          <w:color w:val="000000" w:themeColor="text1"/>
          <w:sz w:val="24"/>
          <w14:textFill>
            <w14:solidFill>
              <w14:schemeClr w14:val="tx1"/>
            </w14:solidFill>
          </w14:textFill>
        </w:rPr>
      </w:pPr>
      <w:r>
        <w:rPr>
          <w:rFonts w:hint="eastAsia" w:ascii="仿宋" w:hAnsi="仿宋" w:eastAsia="仿宋"/>
          <w:b w:val="0"/>
          <w:color w:val="000000" w:themeColor="text1"/>
          <w:sz w:val="24"/>
          <w14:textFill>
            <w14:solidFill>
              <w14:schemeClr w14:val="tx1"/>
            </w14:solidFill>
          </w14:textFill>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 “商务技术（资信）文件资料”应包括以下内容（正本用原件）：</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2.2.1法定代表人授权委托书(格式见第六部分附件)；</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2.2.2授权代表社保证明（格式见第六部分附件）；</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2.2.3法定代表人身份证明书（格式见第六部分附件）；</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2.2.4 企业法人营业执照副本复印件（加盖单位公章）；</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2.2.5相关资质证明或文件复印件（加盖单位公章）；（均需加盖公章）：证明其符合《中华人民共和国政府采购法》规定的供应商基本条件和采购项目对供应商的特定要求（如果项目要求）的有关资格证明文件。</w:t>
      </w:r>
    </w:p>
    <w:p>
      <w:pPr>
        <w:tabs>
          <w:tab w:val="left" w:pos="3870"/>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bookmarkStart w:id="4" w:name="_Hlt68073093"/>
      <w:bookmarkEnd w:id="4"/>
      <w:bookmarkStart w:id="5" w:name="_Hlt68403820"/>
      <w:bookmarkEnd w:id="5"/>
      <w:bookmarkStart w:id="6" w:name="_Hlt68072998"/>
      <w:bookmarkEnd w:id="6"/>
      <w:r>
        <w:rPr>
          <w:rFonts w:hint="eastAsia" w:ascii="仿宋" w:hAnsi="仿宋" w:eastAsia="仿宋"/>
          <w:color w:val="000000" w:themeColor="text1"/>
          <w:sz w:val="24"/>
          <w14:textFill>
            <w14:solidFill>
              <w14:schemeClr w14:val="tx1"/>
            </w14:solidFill>
          </w14:textFill>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tabs>
          <w:tab w:val="left" w:pos="3870"/>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tabs>
          <w:tab w:val="left" w:pos="3870"/>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（2）2019年度资产负债表等财务报表资料文件(新成立的公司提供情况证明)；</w:t>
      </w:r>
    </w:p>
    <w:p>
      <w:pPr>
        <w:tabs>
          <w:tab w:val="left" w:pos="3870"/>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（3）具有履行合同所必需的设备和专业技术能力的承诺函；</w:t>
      </w:r>
    </w:p>
    <w:p>
      <w:pPr>
        <w:tabs>
          <w:tab w:val="left" w:pos="3870"/>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（4）参加本次政府采购活动前三年内，在经营活动中没有重大违法记录的声明（需要特别声明“没有因违反《浙江省政府采购供应商注册及诚信管理暂行办法》被列入‘黑名单’，在处罚有效期”）；</w:t>
      </w:r>
    </w:p>
    <w:p>
      <w:pPr>
        <w:tabs>
          <w:tab w:val="left" w:pos="3870"/>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tabs>
          <w:tab w:val="left" w:pos="3870"/>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(6)提供依法缴纳税收和社会保障资金的良好记录证明，税收和社保证明打印时间不得早于投标截止时间前1个月；</w:t>
      </w:r>
    </w:p>
    <w:p>
      <w:pPr>
        <w:tabs>
          <w:tab w:val="left" w:pos="3870"/>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(7)符合特定资格条件（如果项目要求）的有关证明材料（复印件）；</w:t>
      </w:r>
    </w:p>
    <w:p>
      <w:pPr>
        <w:tabs>
          <w:tab w:val="left" w:pos="3870"/>
          <w:tab w:val="left" w:pos="4085"/>
        </w:tabs>
        <w:snapToGrid w:val="0"/>
        <w:spacing w:line="440" w:lineRule="exact"/>
        <w:jc w:val="left"/>
        <w:rPr>
          <w:rFonts w:ascii="仿宋" w:hAnsi="仿宋" w:eastAsia="仿宋"/>
          <w:color w:val="000000" w:themeColor="text1"/>
          <w:sz w:val="24"/>
          <w:lang w:val="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2.2.6</w:t>
      </w:r>
      <w:r>
        <w:rPr>
          <w:rFonts w:hint="eastAsia" w:ascii="仿宋" w:hAnsi="仿宋" w:eastAsia="仿宋"/>
          <w:color w:val="000000" w:themeColor="text1"/>
          <w:sz w:val="24"/>
          <w:lang w:val="zh-CN"/>
          <w14:textFill>
            <w14:solidFill>
              <w14:schemeClr w14:val="tx1"/>
            </w14:solidFill>
          </w14:textFill>
        </w:rPr>
        <w:t>投标人应提供针对项目的完整技术解决方案：</w:t>
      </w:r>
    </w:p>
    <w:p>
      <w:pPr>
        <w:tabs>
          <w:tab w:val="left" w:pos="3870"/>
          <w:tab w:val="left" w:pos="4085"/>
        </w:tabs>
        <w:snapToGrid w:val="0"/>
        <w:spacing w:line="440" w:lineRule="exact"/>
        <w:ind w:firstLine="480" w:firstLineChars="200"/>
        <w:jc w:val="left"/>
        <w:rPr>
          <w:rFonts w:ascii="仿宋" w:hAnsi="仿宋" w:eastAsia="仿宋"/>
          <w:color w:val="000000" w:themeColor="text1"/>
          <w:sz w:val="24"/>
          <w:lang w:val="zh-CN"/>
          <w14:textFill>
            <w14:solidFill>
              <w14:schemeClr w14:val="tx1"/>
            </w14:solidFill>
          </w14:textFill>
        </w:rPr>
      </w:pPr>
      <w:r>
        <w:rPr>
          <w:rFonts w:hint="eastAsia" w:ascii="仿宋" w:hAnsi="仿宋" w:eastAsia="仿宋"/>
          <w:color w:val="000000" w:themeColor="text1"/>
          <w:sz w:val="24"/>
          <w:lang w:val="zh-CN"/>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投标人作出中文注释，否则</w:t>
      </w:r>
      <w:r>
        <w:rPr>
          <w:rFonts w:hint="eastAsia" w:ascii="仿宋" w:hAnsi="仿宋" w:eastAsia="仿宋"/>
          <w:color w:val="000000" w:themeColor="text1"/>
          <w:sz w:val="24"/>
          <w:lang w:val="zh-CN"/>
          <w14:textFill>
            <w14:solidFill>
              <w14:schemeClr w14:val="tx1"/>
            </w14:solidFill>
          </w14:textFill>
        </w:rPr>
        <w:t>任何含糊不清的</w:t>
      </w:r>
      <w:r>
        <w:rPr>
          <w:rFonts w:hint="eastAsia" w:ascii="仿宋" w:hAnsi="仿宋" w:eastAsia="仿宋"/>
          <w:color w:val="000000" w:themeColor="text1"/>
          <w:sz w:val="24"/>
          <w14:textFill>
            <w14:solidFill>
              <w14:schemeClr w14:val="tx1"/>
            </w14:solidFill>
          </w14:textFill>
        </w:rPr>
        <w:t>表述导致</w:t>
      </w:r>
      <w:r>
        <w:rPr>
          <w:rFonts w:hint="eastAsia" w:ascii="仿宋" w:hAnsi="仿宋" w:eastAsia="仿宋"/>
          <w:color w:val="000000" w:themeColor="text1"/>
          <w:sz w:val="24"/>
          <w:lang w:val="zh-CN"/>
          <w14:textFill>
            <w14:solidFill>
              <w14:schemeClr w14:val="tx1"/>
            </w14:solidFill>
          </w14:textFill>
        </w:rPr>
        <w:t>评标委员会技术扣分直至认定为投标无效都将是投标人的责任）</w:t>
      </w:r>
      <w:r>
        <w:rPr>
          <w:rFonts w:hint="eastAsia" w:ascii="仿宋" w:hAnsi="仿宋" w:eastAsia="仿宋"/>
          <w:color w:val="000000" w:themeColor="text1"/>
          <w:sz w:val="24"/>
          <w14:textFill>
            <w14:solidFill>
              <w14:schemeClr w14:val="tx1"/>
            </w14:solidFill>
          </w14:textFill>
        </w:rPr>
        <w:t>。</w:t>
      </w:r>
    </w:p>
    <w:p>
      <w:pPr>
        <w:tabs>
          <w:tab w:val="left" w:pos="3870"/>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tabs>
          <w:tab w:val="left" w:pos="3870"/>
          <w:tab w:val="left" w:pos="4085"/>
        </w:tabs>
        <w:snapToGrid w:val="0"/>
        <w:spacing w:line="440" w:lineRule="exact"/>
        <w:jc w:val="left"/>
        <w:rPr>
          <w:rFonts w:ascii="仿宋" w:hAnsi="仿宋" w:eastAsia="仿宋"/>
          <w:color w:val="000000" w:themeColor="text1"/>
          <w:sz w:val="24"/>
          <w:lang w:val="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2.2.9投标人在投标文件技术偏离说明表中，</w:t>
      </w:r>
      <w:r>
        <w:rPr>
          <w:rFonts w:hint="eastAsia" w:ascii="仿宋" w:hAnsi="仿宋" w:eastAsia="仿宋"/>
          <w:color w:val="000000" w:themeColor="text1"/>
          <w:sz w:val="24"/>
          <w:lang w:val="zh-CN"/>
          <w14:textFill>
            <w14:solidFill>
              <w14:schemeClr w14:val="tx1"/>
            </w14:solidFill>
          </w14:textFill>
        </w:rPr>
        <w:t>应对</w:t>
      </w:r>
      <w:r>
        <w:rPr>
          <w:rFonts w:hint="eastAsia" w:ascii="仿宋" w:hAnsi="仿宋" w:eastAsia="仿宋"/>
          <w:color w:val="000000" w:themeColor="text1"/>
          <w:sz w:val="24"/>
          <w14:textFill>
            <w14:solidFill>
              <w14:schemeClr w14:val="tx1"/>
            </w14:solidFill>
          </w14:textFill>
        </w:rPr>
        <w:t>项目技术规范和服务要求</w:t>
      </w:r>
      <w:r>
        <w:rPr>
          <w:rFonts w:hint="eastAsia" w:ascii="仿宋" w:hAnsi="仿宋" w:eastAsia="仿宋"/>
          <w:color w:val="000000" w:themeColor="text1"/>
          <w:sz w:val="24"/>
          <w:lang w:val="zh-CN"/>
          <w14:textFill>
            <w14:solidFill>
              <w14:schemeClr w14:val="tx1"/>
            </w14:solidFill>
          </w14:textFill>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tabs>
          <w:tab w:val="left" w:pos="3870"/>
          <w:tab w:val="left" w:pos="4085"/>
        </w:tabs>
        <w:snapToGrid w:val="0"/>
        <w:spacing w:line="440" w:lineRule="exact"/>
        <w:jc w:val="left"/>
        <w:rPr>
          <w:rFonts w:ascii="仿宋" w:hAnsi="仿宋" w:eastAsia="仿宋"/>
          <w:color w:val="000000" w:themeColor="text1"/>
          <w:sz w:val="24"/>
          <w:lang w:val="zh-CN"/>
          <w14:textFill>
            <w14:solidFill>
              <w14:schemeClr w14:val="tx1"/>
            </w14:solidFill>
          </w14:textFill>
        </w:rPr>
      </w:pPr>
      <w:r>
        <w:rPr>
          <w:rFonts w:hint="eastAsia" w:ascii="仿宋" w:hAnsi="仿宋" w:eastAsia="仿宋"/>
          <w:color w:val="000000" w:themeColor="text1"/>
          <w:sz w:val="24"/>
          <w:lang w:val="zh-CN"/>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pPr>
        <w:tabs>
          <w:tab w:val="left" w:pos="3870"/>
          <w:tab w:val="left" w:pos="4085"/>
        </w:tabs>
        <w:snapToGrid w:val="0"/>
        <w:spacing w:line="440" w:lineRule="exact"/>
        <w:jc w:val="left"/>
        <w:rPr>
          <w:rFonts w:ascii="仿宋" w:hAnsi="仿宋" w:eastAsia="仿宋"/>
          <w:color w:val="000000" w:themeColor="text1"/>
          <w:sz w:val="24"/>
          <w:lang w:val="zh-CN"/>
          <w14:textFill>
            <w14:solidFill>
              <w14:schemeClr w14:val="tx1"/>
            </w14:solidFill>
          </w14:textFill>
        </w:rPr>
      </w:pPr>
      <w:r>
        <w:rPr>
          <w:rFonts w:hint="eastAsia" w:ascii="仿宋" w:hAnsi="仿宋" w:eastAsia="仿宋"/>
          <w:color w:val="000000" w:themeColor="text1"/>
          <w:sz w:val="24"/>
          <w:lang w:val="zh-CN"/>
          <w14:textFill>
            <w14:solidFill>
              <w14:schemeClr w14:val="tx1"/>
            </w14:solidFill>
          </w14:textFill>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tabs>
          <w:tab w:val="left" w:pos="3870"/>
          <w:tab w:val="left" w:pos="4085"/>
        </w:tabs>
        <w:snapToGrid w:val="0"/>
        <w:spacing w:line="440" w:lineRule="exact"/>
        <w:jc w:val="left"/>
        <w:rPr>
          <w:rFonts w:ascii="仿宋" w:hAnsi="仿宋" w:eastAsia="仿宋"/>
          <w:color w:val="000000" w:themeColor="text1"/>
          <w:sz w:val="24"/>
          <w:lang w:val="zh-CN"/>
          <w14:textFill>
            <w14:solidFill>
              <w14:schemeClr w14:val="tx1"/>
            </w14:solidFill>
          </w14:textFill>
        </w:rPr>
      </w:pPr>
      <w:r>
        <w:rPr>
          <w:rFonts w:hint="eastAsia" w:ascii="仿宋" w:hAnsi="仿宋" w:eastAsia="仿宋"/>
          <w:color w:val="000000" w:themeColor="text1"/>
          <w:sz w:val="24"/>
          <w:lang w:val="zh-CN"/>
          <w14:textFill>
            <w14:solidFill>
              <w14:schemeClr w14:val="tx1"/>
            </w14:solidFill>
          </w14:textFill>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3870"/>
          <w:tab w:val="left" w:pos="4085"/>
        </w:tabs>
        <w:snapToGrid w:val="0"/>
        <w:spacing w:line="440" w:lineRule="exact"/>
        <w:jc w:val="left"/>
        <w:rPr>
          <w:rFonts w:ascii="仿宋" w:hAnsi="仿宋" w:eastAsia="仿宋"/>
          <w:color w:val="000000" w:themeColor="text1"/>
          <w:sz w:val="24"/>
          <w:lang w:val="zh-CN"/>
          <w14:textFill>
            <w14:solidFill>
              <w14:schemeClr w14:val="tx1"/>
            </w14:solidFill>
          </w14:textFill>
        </w:rPr>
      </w:pPr>
      <w:r>
        <w:rPr>
          <w:rFonts w:hint="eastAsia" w:ascii="仿宋" w:hAnsi="仿宋" w:eastAsia="仿宋"/>
          <w:color w:val="000000" w:themeColor="text1"/>
          <w:sz w:val="24"/>
          <w:lang w:val="zh-CN"/>
          <w14:textFill>
            <w14:solidFill>
              <w14:schemeClr w14:val="tx1"/>
            </w14:solidFill>
          </w14:textFill>
        </w:rPr>
        <w:t>2.2.13备品备件清单（含随机自带的备品备件和质保期后供采购人选择的备品备件及配套零部件，明细备品备件及价格，且供货价格不高于中标价格；中标货物设备应提供易损部件的备件和整机备品）；（如果有）</w:t>
      </w:r>
    </w:p>
    <w:p>
      <w:pPr>
        <w:tabs>
          <w:tab w:val="left" w:pos="3870"/>
          <w:tab w:val="left" w:pos="4085"/>
        </w:tabs>
        <w:snapToGrid w:val="0"/>
        <w:spacing w:line="440" w:lineRule="exact"/>
        <w:jc w:val="left"/>
        <w:rPr>
          <w:rFonts w:ascii="仿宋" w:hAnsi="仿宋" w:eastAsia="仿宋"/>
          <w:color w:val="000000" w:themeColor="text1"/>
          <w:sz w:val="24"/>
          <w:lang w:val="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2.2.14</w:t>
      </w:r>
      <w:r>
        <w:rPr>
          <w:rFonts w:hint="eastAsia" w:ascii="仿宋" w:hAnsi="仿宋" w:eastAsia="仿宋"/>
          <w:color w:val="000000" w:themeColor="text1"/>
          <w:sz w:val="24"/>
          <w:lang w:val="zh-CN"/>
          <w14:textFill>
            <w14:solidFill>
              <w14:schemeClr w14:val="tx1"/>
            </w14:solidFill>
          </w14:textFill>
        </w:rPr>
        <w:t>培训计划；（如果有）</w:t>
      </w:r>
    </w:p>
    <w:p>
      <w:pPr>
        <w:tabs>
          <w:tab w:val="left" w:pos="3870"/>
          <w:tab w:val="left" w:pos="4085"/>
        </w:tabs>
        <w:snapToGrid w:val="0"/>
        <w:spacing w:line="440" w:lineRule="exact"/>
        <w:jc w:val="left"/>
        <w:rPr>
          <w:rFonts w:ascii="仿宋" w:hAnsi="仿宋" w:eastAsia="仿宋"/>
          <w:color w:val="000000" w:themeColor="text1"/>
          <w:sz w:val="24"/>
          <w:lang w:val="zh-CN"/>
          <w14:textFill>
            <w14:solidFill>
              <w14:schemeClr w14:val="tx1"/>
            </w14:solidFill>
          </w14:textFill>
        </w:rPr>
      </w:pPr>
      <w:r>
        <w:rPr>
          <w:rFonts w:hint="eastAsia" w:ascii="仿宋" w:hAnsi="仿宋" w:eastAsia="仿宋"/>
          <w:color w:val="000000" w:themeColor="text1"/>
          <w:sz w:val="24"/>
          <w:lang w:val="zh-CN"/>
          <w14:textFill>
            <w14:solidFill>
              <w14:schemeClr w14:val="tx1"/>
            </w14:solidFill>
          </w14:textFill>
        </w:rPr>
        <w:t>2.2.15验收方案；</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2.2.16非本地投标人售后服务机构证明材料。非本地投标人</w:t>
      </w:r>
      <w:r>
        <w:rPr>
          <w:rFonts w:hint="eastAsia" w:ascii="仿宋" w:hAnsi="仿宋" w:eastAsia="仿宋"/>
          <w:color w:val="000000" w:themeColor="text1"/>
          <w:sz w:val="24"/>
          <w:lang w:val="zh-CN"/>
          <w14:textFill>
            <w14:solidFill>
              <w14:schemeClr w14:val="tx1"/>
            </w14:solidFill>
          </w14:textFill>
        </w:rPr>
        <w:t>在绍兴的分公司</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zh-CN"/>
          <w14:textFill>
            <w14:solidFill>
              <w14:schemeClr w14:val="tx1"/>
            </w14:solidFill>
          </w14:textFill>
        </w:rPr>
        <w:t>需提供本地工商注册</w:t>
      </w:r>
      <w:r>
        <w:rPr>
          <w:rFonts w:hint="eastAsia" w:ascii="仿宋" w:hAnsi="仿宋" w:eastAsia="仿宋"/>
          <w:color w:val="000000" w:themeColor="text1"/>
          <w:sz w:val="24"/>
          <w14:textFill>
            <w14:solidFill>
              <w14:schemeClr w14:val="tx1"/>
            </w14:solidFill>
          </w14:textFill>
        </w:rPr>
        <w:t>登记</w:t>
      </w:r>
      <w:r>
        <w:rPr>
          <w:rFonts w:hint="eastAsia" w:ascii="仿宋" w:hAnsi="仿宋" w:eastAsia="仿宋"/>
          <w:color w:val="000000" w:themeColor="text1"/>
          <w:sz w:val="24"/>
          <w:lang w:val="zh-CN"/>
          <w14:textFill>
            <w14:solidFill>
              <w14:schemeClr w14:val="tx1"/>
            </w14:solidFill>
          </w14:textFill>
        </w:rPr>
        <w:t>资料）或办事处</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zh-CN"/>
          <w14:textFill>
            <w14:solidFill>
              <w14:schemeClr w14:val="tx1"/>
            </w14:solidFill>
          </w14:textFill>
        </w:rPr>
        <w:t>需提供本地国内经济合作办注册资料</w:t>
      </w:r>
      <w:r>
        <w:rPr>
          <w:rFonts w:hint="eastAsia" w:ascii="仿宋" w:hAnsi="仿宋" w:eastAsia="仿宋"/>
          <w:color w:val="000000" w:themeColor="text1"/>
          <w:sz w:val="24"/>
          <w14:textFill>
            <w14:solidFill>
              <w14:schemeClr w14:val="tx1"/>
            </w14:solidFill>
          </w14:textFill>
        </w:rPr>
        <w:t>）或符合本项目服务能力并签订合作协议的第三方机构或者在中标（成交）公示后在本地设立售后服务机构作</w:t>
      </w:r>
      <w:r>
        <w:rPr>
          <w:rFonts w:hint="eastAsia" w:ascii="仿宋" w:hAnsi="仿宋" w:eastAsia="仿宋"/>
          <w:color w:val="000000" w:themeColor="text1"/>
          <w:sz w:val="24"/>
          <w:lang w:val="zh-CN"/>
          <w14:textFill>
            <w14:solidFill>
              <w14:schemeClr w14:val="tx1"/>
            </w14:solidFill>
          </w14:textFill>
        </w:rPr>
        <w:t>为常驻服务和技术支持机构；</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2.2.17未尽事宜请各投标单位按评分细则和相对应标项相关要求制作(重要)；</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2.2.18投标人需要说明的其他文件和说明（格式自拟）。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105" w:right="-78" w:rightChars="-37" w:firstLine="480" w:firstLineChars="200"/>
        <w:rPr>
          <w:rFonts w:ascii="仿宋" w:hAnsi="仿宋" w:eastAsia="仿宋"/>
          <w:b/>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投标人不按招标文件的要求提供的投标文件，可能会被评标委员会视为未实质性响应，其风险应由投标人自行承担。</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 投标报价</w:t>
      </w:r>
    </w:p>
    <w:p>
      <w:pPr>
        <w:pStyle w:val="21"/>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3.1投标人应按招标文件中《开标一览表》等附表要求填写。</w:t>
      </w:r>
    </w:p>
    <w:p>
      <w:pPr>
        <w:pStyle w:val="21"/>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3.2报价为采购人可以合格使用产品的价格，包括货款、包装、运输、保险、货到就位以及安装、调试、培训、保修及产品知识产权等一切费用。</w:t>
      </w:r>
    </w:p>
    <w:p>
      <w:pPr>
        <w:pStyle w:val="21"/>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3.3招标文件未列明，而投标人认为必需的费用也需列入报价。</w:t>
      </w:r>
    </w:p>
    <w:p>
      <w:pPr>
        <w:pStyle w:val="21"/>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3.5</w:t>
      </w:r>
      <w:r>
        <w:rPr>
          <w:rFonts w:hint="eastAsia" w:ascii="仿宋" w:hAnsi="仿宋" w:eastAsia="仿宋"/>
          <w:b/>
          <w:i/>
          <w:color w:val="000000" w:themeColor="text1"/>
          <w:sz w:val="24"/>
          <w14:textFill>
            <w14:solidFill>
              <w14:schemeClr w14:val="tx1"/>
            </w14:solidFill>
          </w14:textFill>
        </w:rPr>
        <w:t>投标报价只允许有一个报价，有选择的报价将不予接受（除指定外）。</w:t>
      </w:r>
    </w:p>
    <w:p>
      <w:pPr>
        <w:pStyle w:val="13"/>
        <w:widowControl w:val="0"/>
        <w:tabs>
          <w:tab w:val="clear" w:pos="454"/>
        </w:tabs>
        <w:spacing w:afterLines="0" w:line="440" w:lineRule="atLeast"/>
        <w:ind w:left="0"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4.投标文件的有效期</w:t>
      </w:r>
    </w:p>
    <w:p>
      <w:pPr>
        <w:pStyle w:val="13"/>
        <w:widowControl w:val="0"/>
        <w:tabs>
          <w:tab w:val="clear" w:pos="454"/>
        </w:tabs>
        <w:spacing w:afterLines="0" w:line="440" w:lineRule="atLeas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4.1</w:t>
      </w:r>
      <w:r>
        <w:rPr>
          <w:rFonts w:hint="eastAsia" w:ascii="仿宋" w:hAnsi="仿宋" w:eastAsia="仿宋" w:cs="仿宋_GB2312"/>
          <w:color w:val="000000" w:themeColor="text1"/>
          <w14:textFill>
            <w14:solidFill>
              <w14:schemeClr w14:val="tx1"/>
            </w14:solidFill>
          </w14:textFill>
        </w:rPr>
        <w:t>投标有效期为从提交投标文件的截止之日起90天。</w:t>
      </w:r>
      <w:r>
        <w:rPr>
          <w:rFonts w:hint="eastAsia" w:ascii="仿宋" w:hAnsi="仿宋" w:eastAsia="仿宋" w:cs="仿宋_GB2312"/>
          <w:b/>
          <w:color w:val="000000" w:themeColor="text1"/>
          <w14:textFill>
            <w14:solidFill>
              <w14:schemeClr w14:val="tx1"/>
            </w14:solidFill>
          </w14:textFill>
        </w:rPr>
        <w:t>投标人的投标文件中承</w:t>
      </w:r>
      <w:r>
        <w:rPr>
          <w:rFonts w:hint="eastAsia" w:ascii="仿宋" w:hAnsi="仿宋" w:eastAsia="仿宋" w:cs="仿宋_GB2312"/>
          <w:b/>
          <w:color w:val="000000" w:themeColor="text1"/>
          <w:szCs w:val="21"/>
          <w14:textFill>
            <w14:solidFill>
              <w14:schemeClr w14:val="tx1"/>
            </w14:solidFill>
          </w14:textFill>
        </w:rPr>
        <w:t>诺的投标有效期少于招标文件中载明的投标有效期的，投标无效。</w:t>
      </w:r>
    </w:p>
    <w:p>
      <w:pPr>
        <w:pStyle w:val="13"/>
        <w:widowControl w:val="0"/>
        <w:tabs>
          <w:tab w:val="clear" w:pos="454"/>
        </w:tabs>
        <w:spacing w:afterLines="0" w:line="440" w:lineRule="atLeas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4.3投标人可拒绝接受延期要求而不会导致投标保证金被没收。同意延长有效期的投标人不能修改投标文件。</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5.投标文件的规定</w:t>
      </w:r>
    </w:p>
    <w:p>
      <w:pPr>
        <w:pStyle w:val="21"/>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5.1投标文件由“商务技术（资信）文件资料”、“报价文件资料”两部分文件组成，应按统一格式填写。</w:t>
      </w:r>
    </w:p>
    <w:p>
      <w:pPr>
        <w:pStyle w:val="21"/>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5.2投标文件须按附件格式要求进行电子签章，投标人应写全称。</w:t>
      </w:r>
    </w:p>
    <w:p>
      <w:pPr>
        <w:pStyle w:val="21"/>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5.3投标文件不得涂改，若有修改错漏处，须加盖单位公章或者法定代表人或其授权代表签字或盖章。</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5.4投标文件因字迹潦草或表达不清所引起的后果由投标人负责。</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5.5投标人应认真阅读招标文件中所有的内容。如果投标人编制的投标文件实质上不响应招标文件的要求，其投标文件将被招标人拒绝。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 xml:space="preserve">6. </w:t>
      </w:r>
      <w:r>
        <w:rPr>
          <w:rFonts w:hint="eastAsia" w:ascii="仿宋" w:hAnsi="仿宋" w:eastAsia="仿宋"/>
          <w:b/>
          <w:color w:val="000000" w:themeColor="text1"/>
          <w:kern w:val="0"/>
          <w:sz w:val="24"/>
          <w14:textFill>
            <w14:solidFill>
              <w14:schemeClr w14:val="tx1"/>
            </w14:solidFill>
          </w14:textFill>
        </w:rPr>
        <w:t>投标文件的提交</w:t>
      </w:r>
    </w:p>
    <w:p>
      <w:pPr>
        <w:snapToGrid w:val="0"/>
        <w:spacing w:line="440" w:lineRule="exact"/>
        <w:ind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投标人应按“招标公告”规定的时间、方式将投标文件提交给采购机构，</w:t>
      </w:r>
      <w:r>
        <w:rPr>
          <w:rFonts w:hint="eastAsia" w:ascii="仿宋" w:hAnsi="仿宋" w:eastAsia="仿宋"/>
          <w:b/>
          <w:color w:val="000000" w:themeColor="text1"/>
          <w:sz w:val="24"/>
          <w14:textFill>
            <w14:solidFill>
              <w14:schemeClr w14:val="tx1"/>
            </w14:solidFill>
          </w14:textFill>
        </w:rPr>
        <w:t>采购机构将拒绝接受逾期提交的投标文件。</w:t>
      </w:r>
    </w:p>
    <w:p>
      <w:pPr>
        <w:widowControl/>
        <w:snapToGrid w:val="0"/>
        <w:spacing w:line="440" w:lineRule="exac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7．</w:t>
      </w:r>
      <w:r>
        <w:rPr>
          <w:rFonts w:hint="eastAsia" w:ascii="仿宋" w:hAnsi="仿宋" w:eastAsia="仿宋"/>
          <w:b/>
          <w:color w:val="000000" w:themeColor="text1"/>
          <w:kern w:val="0"/>
          <w:sz w:val="24"/>
          <w14:textFill>
            <w14:solidFill>
              <w14:schemeClr w14:val="tx1"/>
            </w14:solidFill>
          </w14:textFill>
        </w:rPr>
        <w:t>投标文件的补充和修改</w:t>
      </w:r>
    </w:p>
    <w:p>
      <w:pPr>
        <w:spacing w:line="440" w:lineRule="exact"/>
        <w:ind w:firstLine="480" w:firstLineChars="200"/>
        <w:jc w:val="lef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四、开标和评标</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1．电子招投标开标及评审程序</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1.1投标截止时间后，主持人宣布开标会开始。</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1.2投标人登录政采云平台，用“项目采购-开标评标”功能对电子投标文件进行在线解密。</w:t>
      </w:r>
      <w:r>
        <w:rPr>
          <w:rFonts w:hint="eastAsia" w:ascii="仿宋" w:hAnsi="仿宋" w:eastAsia="仿宋"/>
          <w:color w:val="FF0000"/>
          <w:sz w:val="24"/>
        </w:rPr>
        <w:t>在线解密电子投标文件时间为开标时间起0.5小时内。</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1.3评标委员会对资格和商务技术响应文件进行评审；</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1.4主持人宣布商务技术得分及无效（废）投标情形（如有），</w:t>
      </w:r>
      <w:r>
        <w:rPr>
          <w:rFonts w:hint="eastAsia" w:ascii="仿宋" w:hAnsi="仿宋" w:eastAsia="仿宋" w:cs="Arial"/>
          <w:color w:val="000000" w:themeColor="text1"/>
          <w:sz w:val="24"/>
          <w14:textFill>
            <w14:solidFill>
              <w14:schemeClr w14:val="tx1"/>
            </w14:solidFill>
          </w14:textFill>
        </w:rPr>
        <w:t>公布经商务技术（资信）评审符合招标文件要求的投标人名单及其商务技术得分。</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1.5启封</w:t>
      </w:r>
      <w:r>
        <w:rPr>
          <w:rFonts w:hint="eastAsia" w:ascii="仿宋" w:hAnsi="仿宋" w:eastAsia="仿宋" w:cs="Arial"/>
          <w:color w:val="000000" w:themeColor="text1"/>
          <w:sz w:val="24"/>
          <w14:textFill>
            <w14:solidFill>
              <w14:schemeClr w14:val="tx1"/>
            </w14:solidFill>
          </w14:textFill>
        </w:rPr>
        <w:t>报价文件资料</w:t>
      </w:r>
      <w:r>
        <w:rPr>
          <w:rFonts w:hint="eastAsia" w:ascii="仿宋" w:hAnsi="仿宋" w:eastAsia="仿宋"/>
          <w:color w:val="000000" w:themeColor="text1"/>
          <w:sz w:val="24"/>
          <w14:textFill>
            <w14:solidFill>
              <w14:schemeClr w14:val="tx1"/>
            </w14:solidFill>
          </w14:textFill>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1.6评标委员会对投标文件</w:t>
      </w:r>
      <w:r>
        <w:rPr>
          <w:rFonts w:hint="eastAsia" w:ascii="仿宋" w:hAnsi="仿宋" w:eastAsia="仿宋" w:cs="Arial"/>
          <w:color w:val="000000" w:themeColor="text1"/>
          <w:sz w:val="24"/>
          <w14:textFill>
            <w14:solidFill>
              <w14:schemeClr w14:val="tx1"/>
            </w14:solidFill>
          </w14:textFill>
        </w:rPr>
        <w:t>报价文件资料</w:t>
      </w:r>
      <w:r>
        <w:rPr>
          <w:rFonts w:hint="eastAsia" w:ascii="仿宋" w:hAnsi="仿宋" w:eastAsia="仿宋"/>
          <w:color w:val="000000" w:themeColor="text1"/>
          <w:sz w:val="24"/>
          <w14:textFill>
            <w14:solidFill>
              <w14:schemeClr w14:val="tx1"/>
            </w14:solidFill>
          </w14:textFill>
        </w:rPr>
        <w:t>进行评审，核准投标报价及计算价格分，汇总商务技术分、价格分，根据得分排序确定中标候选人并出具评审报告。</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1.7主持人公布评标结果。</w:t>
      </w:r>
    </w:p>
    <w:p>
      <w:pPr>
        <w:snapToGrid w:val="0"/>
        <w:spacing w:line="48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特别说明：政采云公司如对电子化开标及评审程序有调整的，按调整后的程序操作。</w:t>
      </w:r>
    </w:p>
    <w:p>
      <w:pPr>
        <w:snapToGrid w:val="0"/>
        <w:spacing w:line="48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2.1电子交易平台发生故障而无法登录访问的； </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2.2电子交易平台应用或数据库出现错误，不能进行正常操作的；</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2.3电子交易平台发现严重安全漏洞，有潜在泄密危险的；</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2.4病毒发作导致不能进行正常操作的； </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2.5其他无法保证电子交易的公平、公正和安全的情况。</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3．评标</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w:t>
      </w:r>
      <w:r>
        <w:rPr>
          <w:rFonts w:hint="eastAsia" w:ascii="仿宋" w:hAnsi="仿宋" w:eastAsia="仿宋" w:cs="宋体"/>
          <w:color w:val="000000" w:themeColor="text1"/>
          <w:sz w:val="24"/>
          <w14:textFill>
            <w14:solidFill>
              <w14:schemeClr w14:val="tx1"/>
            </w14:solidFill>
          </w14:textFill>
        </w:rPr>
        <w:t>评标委员会由招标采购单位依法组建，负责评标活动。评标委员会遵循公开、公平、公正、科学合理、竞争择优的原则。</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3.2评标委员会由采购人代表和有关方面的专家组成，成员人数为五人以上单数。</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3.3评标委员会负责对投标人资格的最终审定。</w:t>
      </w:r>
    </w:p>
    <w:p>
      <w:pPr>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供应商通过政采云平台交换的数据电文必须进行电子签章。</w:t>
      </w:r>
    </w:p>
    <w:p>
      <w:pPr>
        <w:widowControl/>
        <w:snapToGrid w:val="0"/>
        <w:spacing w:line="48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3.5</w:t>
      </w:r>
      <w:r>
        <w:rPr>
          <w:rFonts w:hint="eastAsia" w:ascii="仿宋" w:hAnsi="仿宋" w:eastAsia="仿宋"/>
          <w:color w:val="000000" w:themeColor="text1"/>
          <w:sz w:val="24"/>
          <w14:textFill>
            <w14:solidFill>
              <w14:schemeClr w14:val="tx1"/>
            </w14:solidFill>
          </w14:textFill>
        </w:rPr>
        <w:t>评标委员会</w:t>
      </w:r>
      <w:r>
        <w:rPr>
          <w:rFonts w:hint="eastAsia" w:ascii="仿宋" w:hAnsi="仿宋" w:eastAsia="仿宋"/>
          <w:color w:val="000000" w:themeColor="text1"/>
          <w:kern w:val="0"/>
          <w:sz w:val="24"/>
          <w14:textFill>
            <w14:solidFill>
              <w14:schemeClr w14:val="tx1"/>
            </w14:solidFill>
          </w14:textFill>
        </w:rPr>
        <w:t>对投标文件的判定，只依据投标文件和招标文件内容本身，不依据任何外来证明。</w:t>
      </w:r>
    </w:p>
    <w:p>
      <w:pPr>
        <w:widowControl/>
        <w:snapToGrid w:val="0"/>
        <w:spacing w:line="48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3.6评标委员会不向落标方解释落标的原因。</w:t>
      </w:r>
    </w:p>
    <w:p>
      <w:pPr>
        <w:snapToGrid w:val="0"/>
        <w:spacing w:line="48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4．投标文件的初审鉴定</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4.1资格性审查</w:t>
      </w:r>
    </w:p>
    <w:p>
      <w:pPr>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4.1.1依据法律、法规和招标文件规定，评标委员会对投标人进行资格审查，以确定投标人是否具备投标资格。</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4.2符合性审查</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 w:hAnsi="仿宋" w:eastAsia="仿宋" w:cs="仿宋_GB2312"/>
          <w:color w:val="000000" w:themeColor="text1"/>
          <w:sz w:val="24"/>
          <w14:textFill>
            <w14:solidFill>
              <w14:schemeClr w14:val="tx1"/>
            </w14:solidFill>
          </w14:textFill>
        </w:rPr>
        <w:t>评标委员会决定投标文件的响应性只根据投标文件本身的内容，而不寻求外部证据。</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宋体"/>
          <w:b/>
          <w:color w:val="000000" w:themeColor="text1"/>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 xml:space="preserve">5. </w:t>
      </w:r>
      <w:r>
        <w:rPr>
          <w:rFonts w:hint="eastAsia" w:ascii="仿宋" w:hAnsi="仿宋" w:eastAsia="仿宋" w:cs="宋体"/>
          <w:b/>
          <w:color w:val="000000" w:themeColor="text1"/>
          <w:sz w:val="24"/>
          <w14:textFill>
            <w14:solidFill>
              <w14:schemeClr w14:val="tx1"/>
            </w14:solidFill>
          </w14:textFill>
        </w:rPr>
        <w:t>投标文件报价出现前后不一致的，按照下列规定修正：</w:t>
      </w:r>
    </w:p>
    <w:p>
      <w:pPr>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5.1投标文件中开标一览表（报价表）内容与投标文件中相应内容不一致的，以开标一览表（报价表）为准；</w:t>
      </w:r>
    </w:p>
    <w:p>
      <w:pPr>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5.2大写金额和小写金额不一致的，以大写金额为准；</w:t>
      </w:r>
    </w:p>
    <w:p>
      <w:pPr>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5.3单价金额小数点或者百分比有明显错位的，以开标一览表的总价为准，并修改单价；</w:t>
      </w:r>
    </w:p>
    <w:p>
      <w:pPr>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5.4总价金额与按单价汇总金额不一致的，以单价金额计算结果为准。</w:t>
      </w:r>
    </w:p>
    <w:p>
      <w:pPr>
        <w:spacing w:line="440" w:lineRule="exact"/>
        <w:ind w:firstLine="480"/>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同时出现两种以上不一致的，按照前款规定的顺序修正。</w:t>
      </w:r>
      <w:r>
        <w:rPr>
          <w:rFonts w:hint="eastAsia" w:ascii="仿宋" w:hAnsi="仿宋" w:eastAsia="仿宋" w:cs="仿宋_GB2312"/>
          <w:bCs/>
          <w:color w:val="000000" w:themeColor="text1"/>
          <w:sz w:val="24"/>
          <w14:textFill>
            <w14:solidFill>
              <w14:schemeClr w14:val="tx1"/>
            </w14:solidFill>
          </w14:textFill>
        </w:rPr>
        <w:t>修正后的报价按照财政部公布第87号令 《政府采购货物和服务招标投标管理办法》</w:t>
      </w:r>
      <w:r>
        <w:rPr>
          <w:rFonts w:hint="eastAsia" w:ascii="仿宋" w:hAnsi="仿宋" w:eastAsia="仿宋" w:cs="宋体"/>
          <w:color w:val="000000" w:themeColor="text1"/>
          <w:sz w:val="24"/>
          <w14:textFill>
            <w14:solidFill>
              <w14:schemeClr w14:val="tx1"/>
            </w14:solidFill>
          </w14:textFill>
        </w:rPr>
        <w:t>第五十一条第二款的规定经投标人确认后产生约束力，投标人不确认的，其投标无效。</w:t>
      </w:r>
    </w:p>
    <w:p>
      <w:pPr>
        <w:spacing w:line="440" w:lineRule="exact"/>
        <w:jc w:val="left"/>
        <w:rPr>
          <w:rFonts w:ascii="仿宋" w:hAnsi="仿宋" w:eastAsia="仿宋" w:cs="宋体"/>
          <w:b/>
          <w:color w:val="000000" w:themeColor="text1"/>
          <w:sz w:val="24"/>
          <w14:textFill>
            <w14:solidFill>
              <w14:schemeClr w14:val="tx1"/>
            </w14:solidFill>
          </w14:textFill>
        </w:rPr>
      </w:pPr>
      <w:r>
        <w:rPr>
          <w:rFonts w:hint="eastAsia" w:ascii="仿宋" w:hAnsi="仿宋" w:eastAsia="仿宋" w:cs="宋体"/>
          <w:b/>
          <w:color w:val="000000" w:themeColor="text1"/>
          <w:sz w:val="24"/>
          <w14:textFill>
            <w14:solidFill>
              <w14:schemeClr w14:val="tx1"/>
            </w14:solidFill>
          </w14:textFill>
        </w:rPr>
        <w:t>6.投标文件的评审、比较和否决</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6.1评标委员会将对在实质上响应招标文件要求的投标文件进行评估和比较。</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w:t>
      </w:r>
      <w:r>
        <w:rPr>
          <w:rFonts w:hint="eastAsia" w:ascii="仿宋" w:hAnsi="仿宋" w:eastAsia="仿宋"/>
          <w:color w:val="000000" w:themeColor="text1"/>
          <w:sz w:val="24"/>
          <w14:textFill>
            <w14:solidFill>
              <w14:schemeClr w14:val="tx1"/>
            </w14:solidFill>
          </w14:textFill>
        </w:rPr>
        <w:t>不得超过投标文件的范围或者改变投标文件的实质性内容。</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6.3在评标过程中，如发现与招标文件要求相偏离的，评标委员会可对其偏离情形进行必要的核实。</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6.5</w:t>
      </w:r>
      <w:r>
        <w:rPr>
          <w:rFonts w:ascii="仿宋" w:hAnsi="仿宋" w:eastAsia="仿宋" w:cs="宋体"/>
          <w:color w:val="000000" w:themeColor="text1"/>
          <w:sz w:val="24"/>
          <w14:textFill>
            <w14:solidFill>
              <w14:schemeClr w14:val="tx1"/>
            </w14:solidFill>
          </w14:textFill>
        </w:rPr>
        <w:t>比较与评价</w:t>
      </w:r>
      <w:r>
        <w:rPr>
          <w:rFonts w:hint="eastAsia" w:ascii="仿宋" w:hAnsi="仿宋" w:eastAsia="仿宋" w:cs="宋体"/>
          <w:color w:val="000000" w:themeColor="text1"/>
          <w:sz w:val="24"/>
          <w14:textFill>
            <w14:solidFill>
              <w14:schemeClr w14:val="tx1"/>
            </w14:solidFill>
          </w14:textFill>
        </w:rPr>
        <w:t>。评</w:t>
      </w:r>
      <w:r>
        <w:rPr>
          <w:rFonts w:ascii="仿宋" w:hAnsi="仿宋" w:eastAsia="仿宋" w:cs="宋体"/>
          <w:color w:val="000000" w:themeColor="text1"/>
          <w:sz w:val="24"/>
          <w14:textFill>
            <w14:solidFill>
              <w14:schemeClr w14:val="tx1"/>
            </w14:solidFill>
          </w14:textFill>
        </w:rPr>
        <w:t>标委员会应当按照评标标准，对符合性审查合格的投标文件进行商务和技术评估，综合比较与评价。</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6.6</w:t>
      </w:r>
      <w:r>
        <w:rPr>
          <w:rFonts w:ascii="仿宋" w:hAnsi="仿宋" w:eastAsia="仿宋" w:cs="宋体"/>
          <w:color w:val="000000" w:themeColor="text1"/>
          <w:sz w:val="24"/>
          <w14:textFill>
            <w14:solidFill>
              <w14:schemeClr w14:val="tx1"/>
            </w14:solidFill>
          </w14:textFill>
        </w:rPr>
        <w:t>汇总</w:t>
      </w:r>
      <w:r>
        <w:rPr>
          <w:rFonts w:hint="eastAsia" w:ascii="仿宋" w:hAnsi="仿宋" w:eastAsia="仿宋" w:cs="宋体"/>
          <w:color w:val="000000" w:themeColor="text1"/>
          <w:sz w:val="24"/>
          <w14:textFill>
            <w14:solidFill>
              <w14:schemeClr w14:val="tx1"/>
            </w14:solidFill>
          </w14:textFill>
        </w:rPr>
        <w:t>（商务技术得分情况）。</w:t>
      </w:r>
      <w:r>
        <w:rPr>
          <w:rFonts w:ascii="仿宋" w:hAnsi="仿宋" w:eastAsia="仿宋" w:cs="宋体"/>
          <w:color w:val="000000" w:themeColor="text1"/>
          <w:sz w:val="24"/>
          <w14:textFill>
            <w14:solidFill>
              <w14:schemeClr w14:val="tx1"/>
            </w14:solidFill>
          </w14:textFill>
        </w:rPr>
        <w:t>评标委员会各成员应当独立对每个投标人的</w:t>
      </w:r>
      <w:r>
        <w:rPr>
          <w:rFonts w:hint="eastAsia" w:ascii="仿宋" w:hAnsi="仿宋" w:eastAsia="仿宋" w:cs="宋体"/>
          <w:color w:val="000000" w:themeColor="text1"/>
          <w:sz w:val="24"/>
          <w14:textFill>
            <w14:solidFill>
              <w14:schemeClr w14:val="tx1"/>
            </w14:solidFill>
          </w14:textFill>
        </w:rPr>
        <w:t>商务技术（资信）文件</w:t>
      </w:r>
      <w:r>
        <w:rPr>
          <w:rFonts w:ascii="仿宋" w:hAnsi="仿宋" w:eastAsia="仿宋" w:cs="宋体"/>
          <w:color w:val="000000" w:themeColor="text1"/>
          <w:sz w:val="24"/>
          <w14:textFill>
            <w14:solidFill>
              <w14:schemeClr w14:val="tx1"/>
            </w14:solidFill>
          </w14:textFill>
        </w:rPr>
        <w:t>进行评价，并汇总</w:t>
      </w:r>
      <w:r>
        <w:rPr>
          <w:rFonts w:hint="eastAsia" w:ascii="仿宋" w:hAnsi="仿宋" w:eastAsia="仿宋" w:cs="宋体"/>
          <w:color w:val="000000" w:themeColor="text1"/>
          <w:sz w:val="24"/>
          <w14:textFill>
            <w14:solidFill>
              <w14:schemeClr w14:val="tx1"/>
            </w14:solidFill>
          </w14:textFill>
        </w:rPr>
        <w:t>商务技术得分情况</w:t>
      </w:r>
      <w:r>
        <w:rPr>
          <w:rFonts w:ascii="仿宋" w:hAnsi="仿宋" w:eastAsia="仿宋" w:cs="宋体"/>
          <w:color w:val="000000" w:themeColor="text1"/>
          <w:sz w:val="24"/>
          <w14:textFill>
            <w14:solidFill>
              <w14:schemeClr w14:val="tx1"/>
            </w14:solidFill>
          </w14:textFill>
        </w:rPr>
        <w:t>。</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 报价审核。对符合采购需求且通过商务技术（资信）评审的投标人的报价的合理性、准确性等进行审查核实。</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6.7.3如需投标价格修正，按财政部87号令第五十九条的规定对投标价格进行修正。</w:t>
      </w:r>
    </w:p>
    <w:p>
      <w:pPr>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6.8评标委员会依据招标文件规定的评标标准和方法，对投标文件进行评审和比较后，向本中心提供书面评标报告，并按得分高低排序推荐中标候选供应商。</w:t>
      </w:r>
    </w:p>
    <w:p>
      <w:pPr>
        <w:pStyle w:val="13"/>
        <w:widowControl w:val="0"/>
        <w:tabs>
          <w:tab w:val="clear" w:pos="454"/>
        </w:tabs>
        <w:spacing w:afterLines="0" w:line="440" w:lineRule="exact"/>
        <w:ind w:left="0" w:firstLine="0"/>
        <w:rPr>
          <w:rFonts w:ascii="仿宋" w:hAnsi="仿宋" w:eastAsia="仿宋"/>
          <w:b/>
          <w:color w:val="000000" w:themeColor="text1"/>
          <w14:textFill>
            <w14:solidFill>
              <w14:schemeClr w14:val="tx1"/>
            </w14:solidFill>
          </w14:textFill>
        </w:rPr>
      </w:pPr>
      <w:r>
        <w:rPr>
          <w:rFonts w:ascii="仿宋" w:hAnsi="仿宋" w:eastAsia="仿宋"/>
          <w:b/>
          <w:color w:val="000000" w:themeColor="text1"/>
          <w14:textFill>
            <w14:solidFill>
              <w14:schemeClr w14:val="tx1"/>
            </w14:solidFill>
          </w14:textFill>
        </w:rPr>
        <w:t>7</w:t>
      </w:r>
      <w:r>
        <w:rPr>
          <w:rFonts w:hint="eastAsia" w:ascii="仿宋" w:hAnsi="仿宋" w:eastAsia="仿宋"/>
          <w:b/>
          <w:color w:val="000000" w:themeColor="text1"/>
          <w14:textFill>
            <w14:solidFill>
              <w14:schemeClr w14:val="tx1"/>
            </w14:solidFill>
          </w14:textFill>
        </w:rPr>
        <w:t>.投标文件的澄清</w:t>
      </w:r>
    </w:p>
    <w:p>
      <w:pPr>
        <w:pStyle w:val="13"/>
        <w:widowControl w:val="0"/>
        <w:tabs>
          <w:tab w:val="clear" w:pos="454"/>
        </w:tabs>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s="仿宋_GB2312"/>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1"/>
        <w:snapToGrid w:val="0"/>
        <w:spacing w:line="440" w:lineRule="exact"/>
        <w:jc w:val="left"/>
        <w:rPr>
          <w:rFonts w:ascii="仿宋" w:hAnsi="仿宋" w:eastAsia="仿宋"/>
          <w:b/>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8</w:t>
      </w:r>
      <w:r>
        <w:rPr>
          <w:rFonts w:hint="eastAsia" w:ascii="仿宋" w:hAnsi="仿宋" w:eastAsia="仿宋"/>
          <w:b/>
          <w:color w:val="000000" w:themeColor="text1"/>
          <w:sz w:val="24"/>
          <w:szCs w:val="24"/>
          <w14:textFill>
            <w14:solidFill>
              <w14:schemeClr w14:val="tx1"/>
            </w14:solidFill>
          </w14:textFill>
        </w:rPr>
        <w:t>．无效投标的情形</w:t>
      </w:r>
    </w:p>
    <w:p>
      <w:pPr>
        <w:tabs>
          <w:tab w:val="left" w:pos="4085"/>
        </w:tabs>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投标文件有下列情形之一的作无效投标处理：</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.1未按照招标文件规定要求签署、盖章的；</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.2单位负责人为同一人或者存在直接控股、管理关系的不同供应商参加同一合同项下的政府采购活动的（均无效）；</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 xml:space="preserve">.3为采购项目提供整体设计、规范编制或者项目管理、监理、检测等服务的供应商参加该采购项目的其他采购活动的；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kern w:val="0"/>
          <w:sz w:val="24"/>
          <w14:textFill>
            <w14:solidFill>
              <w14:schemeClr w14:val="tx1"/>
            </w14:solidFill>
          </w14:textFill>
        </w:rPr>
        <w:t>8</w:t>
      </w:r>
      <w:r>
        <w:rPr>
          <w:rFonts w:hint="eastAsia" w:ascii="仿宋" w:hAnsi="仿宋" w:eastAsia="仿宋"/>
          <w:b/>
          <w:color w:val="000000" w:themeColor="text1"/>
          <w:kern w:val="0"/>
          <w:sz w:val="24"/>
          <w14:textFill>
            <w14:solidFill>
              <w14:schemeClr w14:val="tx1"/>
            </w14:solidFill>
          </w14:textFill>
        </w:rPr>
        <w:t>.5《法定代表人身份证明书》与提供的身份证复印件信息不符的；《法定代表人授权委托书》与提供的身份证复印件信息不符的；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ascii="仿宋" w:hAnsi="仿宋" w:eastAsia="仿宋"/>
          <w:b/>
          <w:color w:val="000000" w:themeColor="text1"/>
          <w:kern w:val="0"/>
          <w:sz w:val="24"/>
          <w14:textFill>
            <w14:solidFill>
              <w14:schemeClr w14:val="tx1"/>
            </w14:solidFill>
          </w14:textFill>
        </w:rPr>
        <w:t>8</w:t>
      </w:r>
      <w:r>
        <w:rPr>
          <w:rFonts w:hint="eastAsia" w:ascii="仿宋" w:hAnsi="仿宋" w:eastAsia="仿宋"/>
          <w:b/>
          <w:color w:val="000000" w:themeColor="text1"/>
          <w:kern w:val="0"/>
          <w:sz w:val="24"/>
          <w14:textFill>
            <w14:solidFill>
              <w14:schemeClr w14:val="tx1"/>
            </w14:solidFill>
          </w14:textFill>
        </w:rPr>
        <w:t>.6《法定代表人授权委托书》或《法定代表人身份证明书》填写不全、错误、未加盖公章(《法定代表人授权委托书》要求“盖章”和“签字或盖章”缺一不可）的；</w:t>
      </w:r>
    </w:p>
    <w:p>
      <w:pPr>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ascii="仿宋" w:hAnsi="仿宋" w:eastAsia="仿宋"/>
          <w:b/>
          <w:color w:val="000000" w:themeColor="text1"/>
          <w:kern w:val="0"/>
          <w:sz w:val="24"/>
          <w14:textFill>
            <w14:solidFill>
              <w14:schemeClr w14:val="tx1"/>
            </w14:solidFill>
          </w14:textFill>
        </w:rPr>
        <w:t>8</w:t>
      </w:r>
      <w:r>
        <w:rPr>
          <w:rFonts w:hint="eastAsia" w:ascii="仿宋" w:hAnsi="仿宋" w:eastAsia="仿宋"/>
          <w:b/>
          <w:color w:val="000000" w:themeColor="text1"/>
          <w:kern w:val="0"/>
          <w:sz w:val="24"/>
          <w14:textFill>
            <w14:solidFill>
              <w14:schemeClr w14:val="tx1"/>
            </w14:solidFill>
          </w14:textFill>
        </w:rPr>
        <w:t>.7授权代表非投标单位正式职工的（以</w:t>
      </w:r>
      <w:r>
        <w:rPr>
          <w:rFonts w:ascii="仿宋" w:hAnsi="仿宋" w:eastAsia="仿宋"/>
          <w:b/>
          <w:color w:val="000000" w:themeColor="text1"/>
          <w:kern w:val="0"/>
          <w:sz w:val="24"/>
          <w14:textFill>
            <w14:solidFill>
              <w14:schemeClr w14:val="tx1"/>
            </w14:solidFill>
          </w14:textFill>
        </w:rPr>
        <w:t>社保证明</w:t>
      </w:r>
      <w:r>
        <w:rPr>
          <w:rFonts w:hint="eastAsia" w:ascii="仿宋" w:hAnsi="仿宋" w:eastAsia="仿宋"/>
          <w:b/>
          <w:color w:val="000000" w:themeColor="text1"/>
          <w:kern w:val="0"/>
          <w:sz w:val="24"/>
          <w14:textFill>
            <w14:solidFill>
              <w14:schemeClr w14:val="tx1"/>
            </w14:solidFill>
          </w14:textFill>
        </w:rPr>
        <w:t>为准，如授权代表为</w:t>
      </w:r>
      <w:r>
        <w:rPr>
          <w:rFonts w:ascii="仿宋" w:hAnsi="仿宋" w:eastAsia="仿宋"/>
          <w:b/>
          <w:color w:val="000000" w:themeColor="text1"/>
          <w:kern w:val="0"/>
          <w:sz w:val="24"/>
          <w14:textFill>
            <w14:solidFill>
              <w14:schemeClr w14:val="tx1"/>
            </w14:solidFill>
          </w14:textFill>
        </w:rPr>
        <w:t>离退休返聘人员的，</w:t>
      </w:r>
      <w:r>
        <w:rPr>
          <w:rFonts w:hint="eastAsia" w:ascii="仿宋" w:hAnsi="仿宋" w:eastAsia="仿宋"/>
          <w:b/>
          <w:color w:val="000000" w:themeColor="text1"/>
          <w:kern w:val="0"/>
          <w:sz w:val="24"/>
          <w14:textFill>
            <w14:solidFill>
              <w14:schemeClr w14:val="tx1"/>
            </w14:solidFill>
          </w14:textFill>
        </w:rPr>
        <w:t>需提供</w:t>
      </w:r>
      <w:r>
        <w:rPr>
          <w:rFonts w:ascii="仿宋" w:hAnsi="仿宋" w:eastAsia="仿宋"/>
          <w:b/>
          <w:color w:val="000000" w:themeColor="text1"/>
          <w:kern w:val="0"/>
          <w:sz w:val="24"/>
          <w14:textFill>
            <w14:solidFill>
              <w14:schemeClr w14:val="tx1"/>
            </w14:solidFill>
          </w14:textFill>
        </w:rPr>
        <w:t>退休证明及单位聘用证明</w:t>
      </w:r>
      <w:r>
        <w:rPr>
          <w:rFonts w:hint="eastAsia" w:ascii="仿宋" w:hAnsi="仿宋" w:eastAsia="仿宋"/>
          <w:b/>
          <w:color w:val="000000" w:themeColor="text1"/>
          <w:kern w:val="0"/>
          <w:sz w:val="24"/>
          <w14:textFill>
            <w14:solidFill>
              <w14:schemeClr w14:val="tx1"/>
            </w14:solidFill>
          </w14:textFill>
        </w:rPr>
        <w:t>）；</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.8投标文件中的投标函未加盖投标人的企业公章或填写不全的；</w:t>
      </w:r>
    </w:p>
    <w:p>
      <w:pPr>
        <w:tabs>
          <w:tab w:val="left" w:pos="3870"/>
          <w:tab w:val="left" w:pos="4085"/>
        </w:tabs>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ascii="仿宋" w:hAnsi="仿宋" w:eastAsia="仿宋"/>
          <w:b/>
          <w:color w:val="000000" w:themeColor="text1"/>
          <w:kern w:val="0"/>
          <w:sz w:val="24"/>
          <w14:textFill>
            <w14:solidFill>
              <w14:schemeClr w14:val="tx1"/>
            </w14:solidFill>
          </w14:textFill>
        </w:rPr>
        <w:t>8</w:t>
      </w:r>
      <w:r>
        <w:rPr>
          <w:rFonts w:hint="eastAsia" w:ascii="仿宋" w:hAnsi="仿宋" w:eastAsia="仿宋"/>
          <w:b/>
          <w:color w:val="000000" w:themeColor="text1"/>
          <w:kern w:val="0"/>
          <w:sz w:val="24"/>
          <w14:textFill>
            <w14:solidFill>
              <w14:schemeClr w14:val="tx1"/>
            </w14:solidFill>
          </w14:textFill>
        </w:rPr>
        <w:t>.9报</w:t>
      </w:r>
      <w:r>
        <w:rPr>
          <w:rFonts w:hint="eastAsia" w:ascii="仿宋" w:hAnsi="仿宋" w:eastAsia="仿宋"/>
          <w:b/>
          <w:color w:val="000000" w:themeColor="text1"/>
          <w:sz w:val="24"/>
          <w14:textFill>
            <w14:solidFill>
              <w14:schemeClr w14:val="tx1"/>
            </w14:solidFill>
          </w14:textFill>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kern w:val="0"/>
          <w:sz w:val="24"/>
          <w14:textFill>
            <w14:solidFill>
              <w14:schemeClr w14:val="tx1"/>
            </w14:solidFill>
          </w14:textFill>
        </w:rPr>
        <w:t>8</w:t>
      </w:r>
      <w:r>
        <w:rPr>
          <w:rFonts w:hint="eastAsia" w:ascii="仿宋" w:hAnsi="仿宋" w:eastAsia="仿宋"/>
          <w:b/>
          <w:color w:val="000000" w:themeColor="text1"/>
          <w:kern w:val="0"/>
          <w:sz w:val="24"/>
          <w14:textFill>
            <w14:solidFill>
              <w14:schemeClr w14:val="tx1"/>
            </w14:solidFill>
          </w14:textFill>
        </w:rPr>
        <w:t>.10</w:t>
      </w:r>
      <w:r>
        <w:rPr>
          <w:rFonts w:hint="eastAsia" w:ascii="仿宋" w:hAnsi="仿宋" w:eastAsia="仿宋"/>
          <w:b/>
          <w:color w:val="000000" w:themeColor="text1"/>
          <w:sz w:val="24"/>
          <w14:textFill>
            <w14:solidFill>
              <w14:schemeClr w14:val="tx1"/>
            </w14:solidFill>
          </w14:textFill>
        </w:rPr>
        <w:t>未按招标文件规定的格式填写，或</w:t>
      </w:r>
      <w:r>
        <w:rPr>
          <w:rFonts w:hint="eastAsia" w:ascii="仿宋" w:hAnsi="仿宋" w:eastAsia="仿宋"/>
          <w:b/>
          <w:color w:val="000000" w:themeColor="text1"/>
          <w:sz w:val="24"/>
          <w:szCs w:val="20"/>
          <w14:textFill>
            <w14:solidFill>
              <w14:schemeClr w14:val="tx1"/>
            </w14:solidFill>
          </w14:textFill>
        </w:rPr>
        <w:t>对招标</w:t>
      </w:r>
      <w:r>
        <w:rPr>
          <w:rFonts w:hint="eastAsia" w:ascii="仿宋" w:hAnsi="仿宋" w:eastAsia="仿宋"/>
          <w:b/>
          <w:color w:val="000000" w:themeColor="text1"/>
          <w:sz w:val="24"/>
          <w14:textFill>
            <w14:solidFill>
              <w14:schemeClr w14:val="tx1"/>
            </w14:solidFill>
          </w14:textFill>
        </w:rPr>
        <w:t>服务或技术或产品等要求</w:t>
      </w:r>
      <w:r>
        <w:rPr>
          <w:rFonts w:hint="eastAsia" w:ascii="仿宋" w:hAnsi="仿宋" w:eastAsia="仿宋"/>
          <w:b/>
          <w:color w:val="000000" w:themeColor="text1"/>
          <w:sz w:val="24"/>
          <w:szCs w:val="20"/>
          <w14:textFill>
            <w14:solidFill>
              <w14:schemeClr w14:val="tx1"/>
            </w14:solidFill>
          </w14:textFill>
        </w:rPr>
        <w:t>未详细应答或应答</w:t>
      </w:r>
      <w:r>
        <w:rPr>
          <w:rFonts w:hint="eastAsia" w:ascii="仿宋" w:hAnsi="仿宋" w:eastAsia="仿宋"/>
          <w:b/>
          <w:color w:val="000000" w:themeColor="text1"/>
          <w:sz w:val="24"/>
          <w14:textFill>
            <w14:solidFill>
              <w14:schemeClr w14:val="tx1"/>
            </w14:solidFill>
          </w14:textFill>
        </w:rPr>
        <w:t>内容不全、有缺失的,经评标委员会认定为无法评审的；</w:t>
      </w:r>
    </w:p>
    <w:p>
      <w:pPr>
        <w:pStyle w:val="21"/>
        <w:snapToGrid w:val="0"/>
        <w:spacing w:line="440" w:lineRule="exact"/>
        <w:jc w:val="left"/>
        <w:rPr>
          <w:rFonts w:ascii="仿宋" w:hAnsi="仿宋" w:eastAsia="仿宋"/>
          <w:b/>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8</w:t>
      </w:r>
      <w:r>
        <w:rPr>
          <w:rFonts w:hint="eastAsia" w:ascii="仿宋" w:hAnsi="仿宋" w:eastAsia="仿宋"/>
          <w:b/>
          <w:color w:val="000000" w:themeColor="text1"/>
          <w:sz w:val="24"/>
          <w:szCs w:val="24"/>
          <w14:textFill>
            <w14:solidFill>
              <w14:schemeClr w14:val="tx1"/>
            </w14:solidFill>
          </w14:textFill>
        </w:rPr>
        <w:t>.11出现同一标的物或本次招标产品(服务)内的主要产品(重要组成部分)出现</w:t>
      </w:r>
      <w:r>
        <w:rPr>
          <w:rFonts w:hint="eastAsia" w:ascii="仿宋" w:hAnsi="仿宋" w:eastAsia="仿宋"/>
          <w:b/>
          <w:color w:val="000000" w:themeColor="text1"/>
          <w:sz w:val="24"/>
          <w14:textFill>
            <w14:solidFill>
              <w14:schemeClr w14:val="tx1"/>
            </w14:solidFill>
          </w14:textFill>
        </w:rPr>
        <w:t>商务技术（资信）文件资料</w:t>
      </w:r>
      <w:r>
        <w:rPr>
          <w:rFonts w:hint="eastAsia"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报价文件资料</w:t>
      </w:r>
      <w:r>
        <w:rPr>
          <w:rFonts w:hint="eastAsia" w:ascii="仿宋" w:hAnsi="仿宋" w:eastAsia="仿宋"/>
          <w:b/>
          <w:color w:val="000000" w:themeColor="text1"/>
          <w:sz w:val="24"/>
          <w:szCs w:val="24"/>
          <w14:textFill>
            <w14:solidFill>
              <w14:schemeClr w14:val="tx1"/>
            </w14:solidFill>
          </w14:textFill>
        </w:rPr>
        <w:t>描述不一致或前后描述不一致，经评标委员会认定后为无法评审的；</w:t>
      </w:r>
    </w:p>
    <w:p>
      <w:pPr>
        <w:pStyle w:val="21"/>
        <w:snapToGrid w:val="0"/>
        <w:spacing w:line="440" w:lineRule="exact"/>
        <w:jc w:val="left"/>
        <w:rPr>
          <w:rFonts w:ascii="仿宋" w:hAnsi="仿宋" w:eastAsia="仿宋"/>
          <w:b/>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8</w:t>
      </w:r>
      <w:r>
        <w:rPr>
          <w:rFonts w:hint="eastAsia" w:ascii="仿宋" w:hAnsi="仿宋" w:eastAsia="仿宋"/>
          <w:b/>
          <w:color w:val="000000" w:themeColor="text1"/>
          <w:sz w:val="24"/>
          <w:szCs w:val="24"/>
          <w14:textFill>
            <w14:solidFill>
              <w14:schemeClr w14:val="tx1"/>
            </w14:solidFill>
          </w14:textFill>
        </w:rPr>
        <w:t>.12《技</w:t>
      </w:r>
      <w:r>
        <w:rPr>
          <w:rFonts w:hint="eastAsia" w:ascii="仿宋" w:hAnsi="仿宋" w:eastAsia="仿宋"/>
          <w:b/>
          <w:color w:val="000000" w:themeColor="text1"/>
          <w:sz w:val="24"/>
          <w14:textFill>
            <w14:solidFill>
              <w14:schemeClr w14:val="tx1"/>
            </w14:solidFill>
          </w14:textFill>
        </w:rPr>
        <w:t>术偏离说明表</w:t>
      </w:r>
      <w:r>
        <w:rPr>
          <w:rFonts w:hint="eastAsia"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不真实填写或弄虚作假的；</w:t>
      </w:r>
    </w:p>
    <w:p>
      <w:pPr>
        <w:tabs>
          <w:tab w:val="left" w:pos="3870"/>
          <w:tab w:val="left" w:pos="4085"/>
        </w:tabs>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.13投</w:t>
      </w:r>
      <w:r>
        <w:rPr>
          <w:rFonts w:hint="eastAsia" w:ascii="仿宋" w:hAnsi="仿宋" w:eastAsia="仿宋"/>
          <w:b/>
          <w:color w:val="000000" w:themeColor="text1"/>
          <w:kern w:val="0"/>
          <w:sz w:val="24"/>
          <w14:textFill>
            <w14:solidFill>
              <w14:schemeClr w14:val="tx1"/>
            </w14:solidFill>
          </w14:textFill>
        </w:rPr>
        <w:t>标文件含有采购人不能接受的附加条件；</w:t>
      </w:r>
    </w:p>
    <w:p>
      <w:pPr>
        <w:tabs>
          <w:tab w:val="left" w:pos="3870"/>
          <w:tab w:val="left" w:pos="4085"/>
        </w:tabs>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ascii="仿宋" w:hAnsi="仿宋" w:eastAsia="仿宋"/>
          <w:b/>
          <w:color w:val="000000" w:themeColor="text1"/>
          <w:kern w:val="0"/>
          <w:sz w:val="24"/>
          <w14:textFill>
            <w14:solidFill>
              <w14:schemeClr w14:val="tx1"/>
            </w14:solidFill>
          </w14:textFill>
        </w:rPr>
        <w:t>8</w:t>
      </w:r>
      <w:r>
        <w:rPr>
          <w:rFonts w:hint="eastAsia" w:ascii="仿宋" w:hAnsi="仿宋" w:eastAsia="仿宋"/>
          <w:b/>
          <w:color w:val="000000" w:themeColor="text1"/>
          <w:kern w:val="0"/>
          <w:sz w:val="24"/>
          <w14:textFill>
            <w14:solidFill>
              <w14:schemeClr w14:val="tx1"/>
            </w14:solidFill>
          </w14:textFill>
        </w:rPr>
        <w:t>.14评</w:t>
      </w:r>
      <w:r>
        <w:rPr>
          <w:rFonts w:hint="eastAsia" w:ascii="仿宋" w:hAnsi="仿宋" w:eastAsia="仿宋"/>
          <w:b/>
          <w:color w:val="000000" w:themeColor="text1"/>
          <w:sz w:val="24"/>
          <w14:textFill>
            <w14:solidFill>
              <w14:schemeClr w14:val="tx1"/>
            </w14:solidFill>
          </w14:textFill>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.15报价超过招标文件中规定的预算金额或最高限价的；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color w:val="000000" w:themeColor="text1"/>
          <w:sz w:val="24"/>
          <w:szCs w:val="21"/>
          <w14:textFill>
            <w14:solidFill>
              <w14:schemeClr w14:val="tx1"/>
            </w14:solidFill>
          </w14:textFill>
        </w:rPr>
      </w:pPr>
      <w:r>
        <w:rPr>
          <w:rFonts w:ascii="仿宋" w:hAnsi="仿宋" w:eastAsia="仿宋" w:cs="仿宋_GB2312"/>
          <w:b/>
          <w:color w:val="000000" w:themeColor="text1"/>
          <w:sz w:val="24"/>
          <w:szCs w:val="21"/>
          <w14:textFill>
            <w14:solidFill>
              <w14:schemeClr w14:val="tx1"/>
            </w14:solidFill>
          </w14:textFill>
        </w:rPr>
        <w:t>8</w:t>
      </w:r>
      <w:r>
        <w:rPr>
          <w:rFonts w:hint="eastAsia" w:ascii="仿宋" w:hAnsi="仿宋" w:eastAsia="仿宋" w:cs="仿宋_GB2312"/>
          <w:b/>
          <w:color w:val="000000" w:themeColor="text1"/>
          <w:sz w:val="24"/>
          <w:szCs w:val="21"/>
          <w14:textFill>
            <w14:solidFill>
              <w14:schemeClr w14:val="tx1"/>
            </w14:solidFill>
          </w14:textFill>
        </w:rPr>
        <w:t>.17采</w:t>
      </w:r>
      <w:r>
        <w:rPr>
          <w:rFonts w:ascii="仿宋" w:hAnsi="仿宋" w:eastAsia="仿宋" w:cs="仿宋_GB2312"/>
          <w:b/>
          <w:color w:val="000000" w:themeColor="text1"/>
          <w:sz w:val="24"/>
          <w:szCs w:val="21"/>
          <w14:textFill>
            <w14:solidFill>
              <w14:schemeClr w14:val="tx1"/>
            </w14:solidFill>
          </w14:textFill>
        </w:rPr>
        <w:t>购人拟采购的产品属于</w:t>
      </w:r>
      <w:r>
        <w:rPr>
          <w:rFonts w:hint="eastAsia" w:ascii="仿宋" w:hAnsi="仿宋" w:eastAsia="仿宋" w:cs="仿宋_GB2312"/>
          <w:b/>
          <w:color w:val="000000" w:themeColor="text1"/>
          <w:sz w:val="24"/>
          <w:szCs w:val="21"/>
          <w14:textFill>
            <w14:solidFill>
              <w14:schemeClr w14:val="tx1"/>
            </w14:solidFill>
          </w14:textFill>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.19投标人对根据修正原则修正后的报价不确认的；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.20.1使用伪造、变造的许可证件；</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.20.2提供虚假的财务状况或者业绩；</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.20.3提供虚假的项目负责人或者主要技术人员简历、劳动关系证明；</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.20.4提供虚假的信用状况；</w:t>
      </w:r>
    </w:p>
    <w:p>
      <w:pPr>
        <w:tabs>
          <w:tab w:val="left" w:pos="3870"/>
          <w:tab w:val="left" w:pos="4085"/>
        </w:tabs>
        <w:snapToGrid w:val="0"/>
        <w:spacing w:line="440" w:lineRule="exact"/>
        <w:ind w:firstLine="480"/>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.20.5其他弄虚作假的行为。</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.21.5不同投标人的投标文件相互混装；</w:t>
      </w:r>
    </w:p>
    <w:p>
      <w:pPr>
        <w:tabs>
          <w:tab w:val="left" w:pos="3870"/>
          <w:tab w:val="left" w:pos="4085"/>
        </w:tabs>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.22有下列情形之一的，属于恶意串通，其投标无效：</w:t>
      </w:r>
    </w:p>
    <w:p>
      <w:pPr>
        <w:spacing w:line="360" w:lineRule="auto"/>
        <w:ind w:firstLine="480" w:firstLineChars="200"/>
        <w:rPr>
          <w:rFonts w:ascii="仿宋" w:hAnsi="仿宋" w:eastAsia="仿宋" w:cs="仿宋_GB2312"/>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.22.1</w:t>
      </w:r>
      <w:r>
        <w:rPr>
          <w:rFonts w:hint="eastAsia" w:ascii="仿宋" w:hAnsi="仿宋" w:eastAsia="仿宋" w:cs="仿宋_GB2312"/>
          <w:color w:val="000000" w:themeColor="text1"/>
          <w:sz w:val="24"/>
          <w14:textFill>
            <w14:solidFill>
              <w14:schemeClr w14:val="tx1"/>
            </w14:solidFill>
          </w14:textFill>
        </w:rPr>
        <w:t>供应商直接或者间接从采购人或者采购机构处获得其他供应商的相关情况并修改其投标文件或者响应文件；</w:t>
      </w:r>
    </w:p>
    <w:p>
      <w:pPr>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ascii="仿宋" w:hAnsi="仿宋" w:eastAsia="仿宋" w:cs="仿宋_GB2312"/>
          <w:color w:val="000000" w:themeColor="text1"/>
          <w:sz w:val="24"/>
          <w:szCs w:val="21"/>
          <w14:textFill>
            <w14:solidFill>
              <w14:schemeClr w14:val="tx1"/>
            </w14:solidFill>
          </w14:textFill>
        </w:rPr>
        <w:t>8</w:t>
      </w:r>
      <w:r>
        <w:rPr>
          <w:rFonts w:hint="eastAsia" w:ascii="仿宋" w:hAnsi="仿宋" w:eastAsia="仿宋" w:cs="仿宋_GB2312"/>
          <w:color w:val="000000" w:themeColor="text1"/>
          <w:sz w:val="24"/>
          <w:szCs w:val="21"/>
          <w14:textFill>
            <w14:solidFill>
              <w14:schemeClr w14:val="tx1"/>
            </w14:solidFill>
          </w14:textFill>
        </w:rPr>
        <w:t>.22.2供应商按照采购人或者采购机构的授意撤换、修改投标文件或者响应文件；</w:t>
      </w:r>
    </w:p>
    <w:p>
      <w:pPr>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ascii="仿宋" w:hAnsi="仿宋" w:eastAsia="仿宋" w:cs="仿宋_GB2312"/>
          <w:color w:val="000000" w:themeColor="text1"/>
          <w:sz w:val="24"/>
          <w:szCs w:val="21"/>
          <w14:textFill>
            <w14:solidFill>
              <w14:schemeClr w14:val="tx1"/>
            </w14:solidFill>
          </w14:textFill>
        </w:rPr>
        <w:t>8</w:t>
      </w:r>
      <w:r>
        <w:rPr>
          <w:rFonts w:hint="eastAsia" w:ascii="仿宋" w:hAnsi="仿宋" w:eastAsia="仿宋" w:cs="仿宋_GB2312"/>
          <w:color w:val="000000" w:themeColor="text1"/>
          <w:sz w:val="24"/>
          <w:szCs w:val="21"/>
          <w14:textFill>
            <w14:solidFill>
              <w14:schemeClr w14:val="tx1"/>
            </w14:solidFill>
          </w14:textFill>
        </w:rPr>
        <w:t>.22.3供应商之间协商报价、技术方案等投标文件或者响应文件的实质性内容；</w:t>
      </w:r>
    </w:p>
    <w:p>
      <w:pPr>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ascii="仿宋" w:hAnsi="仿宋" w:eastAsia="仿宋" w:cs="仿宋_GB2312"/>
          <w:color w:val="000000" w:themeColor="text1"/>
          <w:sz w:val="24"/>
          <w:szCs w:val="21"/>
          <w14:textFill>
            <w14:solidFill>
              <w14:schemeClr w14:val="tx1"/>
            </w14:solidFill>
          </w14:textFill>
        </w:rPr>
        <w:t>8</w:t>
      </w:r>
      <w:r>
        <w:rPr>
          <w:rFonts w:hint="eastAsia" w:ascii="仿宋" w:hAnsi="仿宋" w:eastAsia="仿宋" w:cs="仿宋_GB2312"/>
          <w:color w:val="000000" w:themeColor="text1"/>
          <w:sz w:val="24"/>
          <w:szCs w:val="21"/>
          <w14:textFill>
            <w14:solidFill>
              <w14:schemeClr w14:val="tx1"/>
            </w14:solidFill>
          </w14:textFill>
        </w:rPr>
        <w:t>.22.4属于同一集团、协会、商会等组织成员的供应商按照该组织要求协同参加政府采购活动；</w:t>
      </w:r>
    </w:p>
    <w:p>
      <w:pPr>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ascii="仿宋" w:hAnsi="仿宋" w:eastAsia="仿宋" w:cs="仿宋_GB2312"/>
          <w:color w:val="000000" w:themeColor="text1"/>
          <w:sz w:val="24"/>
          <w:szCs w:val="21"/>
          <w14:textFill>
            <w14:solidFill>
              <w14:schemeClr w14:val="tx1"/>
            </w14:solidFill>
          </w14:textFill>
        </w:rPr>
        <w:t>8</w:t>
      </w:r>
      <w:r>
        <w:rPr>
          <w:rFonts w:hint="eastAsia" w:ascii="仿宋" w:hAnsi="仿宋" w:eastAsia="仿宋" w:cs="仿宋_GB2312"/>
          <w:color w:val="000000" w:themeColor="text1"/>
          <w:sz w:val="24"/>
          <w:szCs w:val="21"/>
          <w14:textFill>
            <w14:solidFill>
              <w14:schemeClr w14:val="tx1"/>
            </w14:solidFill>
          </w14:textFill>
        </w:rPr>
        <w:t>.22.5供应商之间事先约定由某一特定供应商中标、成交；</w:t>
      </w:r>
    </w:p>
    <w:p>
      <w:pPr>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ascii="仿宋" w:hAnsi="仿宋" w:eastAsia="仿宋" w:cs="仿宋_GB2312"/>
          <w:color w:val="000000" w:themeColor="text1"/>
          <w:sz w:val="24"/>
          <w:szCs w:val="21"/>
          <w14:textFill>
            <w14:solidFill>
              <w14:schemeClr w14:val="tx1"/>
            </w14:solidFill>
          </w14:textFill>
        </w:rPr>
        <w:t>8</w:t>
      </w:r>
      <w:r>
        <w:rPr>
          <w:rFonts w:hint="eastAsia" w:ascii="仿宋" w:hAnsi="仿宋" w:eastAsia="仿宋" w:cs="仿宋_GB2312"/>
          <w:color w:val="000000" w:themeColor="text1"/>
          <w:sz w:val="24"/>
          <w:szCs w:val="21"/>
          <w14:textFill>
            <w14:solidFill>
              <w14:schemeClr w14:val="tx1"/>
            </w14:solidFill>
          </w14:textFill>
        </w:rPr>
        <w:t>.22.6供应商之间商定部分供应商放弃参加政府采购活动或者放弃中标、成交；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_GB2312"/>
          <w:color w:val="000000" w:themeColor="text1"/>
          <w:sz w:val="24"/>
          <w:szCs w:val="21"/>
          <w14:textFill>
            <w14:solidFill>
              <w14:schemeClr w14:val="tx1"/>
            </w14:solidFill>
          </w14:textFill>
        </w:rPr>
      </w:pPr>
      <w:r>
        <w:rPr>
          <w:rFonts w:ascii="仿宋" w:hAnsi="仿宋" w:eastAsia="仿宋" w:cs="仿宋_GB2312"/>
          <w:color w:val="000000" w:themeColor="text1"/>
          <w:sz w:val="24"/>
          <w:szCs w:val="21"/>
          <w14:textFill>
            <w14:solidFill>
              <w14:schemeClr w14:val="tx1"/>
            </w14:solidFill>
          </w14:textFill>
        </w:rPr>
        <w:t>8</w:t>
      </w:r>
      <w:r>
        <w:rPr>
          <w:rFonts w:hint="eastAsia" w:ascii="仿宋" w:hAnsi="仿宋" w:eastAsia="仿宋" w:cs="仿宋_GB2312"/>
          <w:color w:val="000000" w:themeColor="text1"/>
          <w:sz w:val="24"/>
          <w:szCs w:val="21"/>
          <w14:textFill>
            <w14:solidFill>
              <w14:schemeClr w14:val="tx1"/>
            </w14:solidFill>
          </w14:textFill>
        </w:rPr>
        <w:t>.22.7供应商与采购人或者采购机构之间、供应商相互之间，为谋求特定供应商中标、成交或者排斥其他供应商的其他串通行为。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ascii="仿宋" w:hAnsi="仿宋" w:eastAsia="仿宋" w:cs="仿宋_GB2312"/>
          <w:b/>
          <w:color w:val="000000" w:themeColor="text1"/>
          <w:sz w:val="24"/>
          <w:szCs w:val="21"/>
          <w14:textFill>
            <w14:solidFill>
              <w14:schemeClr w14:val="tx1"/>
            </w14:solidFill>
          </w14:textFill>
        </w:rPr>
        <w:t>8</w:t>
      </w:r>
      <w:r>
        <w:rPr>
          <w:rFonts w:hint="eastAsia" w:ascii="仿宋" w:hAnsi="仿宋" w:eastAsia="仿宋" w:cs="仿宋_GB2312"/>
          <w:b/>
          <w:color w:val="000000" w:themeColor="text1"/>
          <w:sz w:val="24"/>
          <w:szCs w:val="21"/>
          <w14:textFill>
            <w14:solidFill>
              <w14:schemeClr w14:val="tx1"/>
            </w14:solidFill>
          </w14:textFill>
        </w:rPr>
        <w:t>.23</w:t>
      </w:r>
      <w:r>
        <w:rPr>
          <w:rFonts w:hint="eastAsia" w:ascii="仿宋" w:hAnsi="仿宋" w:eastAsia="仿宋"/>
          <w:b/>
          <w:color w:val="000000" w:themeColor="text1"/>
          <w:sz w:val="24"/>
          <w14:textFill>
            <w14:solidFill>
              <w14:schemeClr w14:val="tx1"/>
            </w14:solidFill>
          </w14:textFill>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.24报价文件中出现2个(含)以上的报价或方案的；</w:t>
      </w:r>
    </w:p>
    <w:p>
      <w:pPr>
        <w:spacing w:line="440" w:lineRule="exact"/>
        <w:rPr>
          <w:rFonts w:ascii="仿宋" w:hAnsi="仿宋" w:eastAsia="仿宋"/>
          <w:color w:val="000000" w:themeColor="text1"/>
          <w14:textFill>
            <w14:solidFill>
              <w14:schemeClr w14:val="tx1"/>
            </w14:solidFill>
          </w14:textFill>
        </w:rPr>
      </w:pPr>
      <w:r>
        <w:rPr>
          <w:rFonts w:ascii="仿宋" w:hAnsi="仿宋" w:eastAsia="仿宋"/>
          <w:b/>
          <w:color w:val="000000" w:themeColor="text1"/>
          <w:sz w:val="24"/>
          <w14:textFill>
            <w14:solidFill>
              <w14:schemeClr w14:val="tx1"/>
            </w14:solidFill>
          </w14:textFill>
        </w:rPr>
        <w:t>8</w:t>
      </w:r>
      <w:r>
        <w:rPr>
          <w:rFonts w:hint="eastAsia" w:ascii="仿宋" w:hAnsi="仿宋" w:eastAsia="仿宋"/>
          <w:b/>
          <w:color w:val="000000" w:themeColor="text1"/>
          <w:sz w:val="24"/>
          <w14:textFill>
            <w14:solidFill>
              <w14:schemeClr w14:val="tx1"/>
            </w14:solidFill>
          </w14:textFill>
        </w:rPr>
        <w:t>.25其他违反法律、法规的情形。</w:t>
      </w:r>
    </w:p>
    <w:p>
      <w:pPr>
        <w:snapToGrid w:val="0"/>
        <w:spacing w:line="440" w:lineRule="exact"/>
        <w:rPr>
          <w:rFonts w:ascii="仿宋" w:hAnsi="仿宋" w:eastAsia="仿宋"/>
          <w:b/>
          <w:color w:val="000000" w:themeColor="text1"/>
          <w:kern w:val="0"/>
          <w:sz w:val="24"/>
          <w14:textFill>
            <w14:solidFill>
              <w14:schemeClr w14:val="tx1"/>
            </w14:solidFill>
          </w14:textFill>
        </w:rPr>
      </w:pPr>
      <w:r>
        <w:rPr>
          <w:rFonts w:ascii="仿宋" w:hAnsi="仿宋" w:eastAsia="仿宋"/>
          <w:b/>
          <w:color w:val="000000" w:themeColor="text1"/>
          <w:kern w:val="0"/>
          <w:sz w:val="24"/>
          <w14:textFill>
            <w14:solidFill>
              <w14:schemeClr w14:val="tx1"/>
            </w14:solidFill>
          </w14:textFill>
        </w:rPr>
        <w:t>9</w:t>
      </w:r>
      <w:r>
        <w:rPr>
          <w:rFonts w:hint="eastAsia" w:ascii="仿宋" w:hAnsi="仿宋" w:eastAsia="仿宋"/>
          <w:b/>
          <w:color w:val="000000" w:themeColor="text1"/>
          <w:kern w:val="0"/>
          <w:sz w:val="24"/>
          <w14:textFill>
            <w14:solidFill>
              <w14:schemeClr w14:val="tx1"/>
            </w14:solidFill>
          </w14:textFill>
        </w:rPr>
        <w:t>. 评标过程保密</w:t>
      </w:r>
    </w:p>
    <w:p>
      <w:pPr>
        <w:snapToGrid w:val="0"/>
        <w:spacing w:line="440" w:lineRule="exact"/>
        <w:rPr>
          <w:rFonts w:ascii="仿宋" w:hAnsi="仿宋" w:eastAsia="仿宋"/>
          <w:color w:val="000000" w:themeColor="text1"/>
          <w:kern w:val="0"/>
          <w:sz w:val="24"/>
          <w14:textFill>
            <w14:solidFill>
              <w14:schemeClr w14:val="tx1"/>
            </w14:solidFill>
          </w14:textFill>
        </w:rPr>
      </w:pPr>
      <w:r>
        <w:rPr>
          <w:rFonts w:ascii="仿宋" w:hAnsi="仿宋" w:eastAsia="仿宋"/>
          <w:color w:val="000000" w:themeColor="text1"/>
          <w:kern w:val="0"/>
          <w:sz w:val="24"/>
          <w14:textFill>
            <w14:solidFill>
              <w14:schemeClr w14:val="tx1"/>
            </w14:solidFill>
          </w14:textFill>
        </w:rPr>
        <w:t>9</w:t>
      </w:r>
      <w:r>
        <w:rPr>
          <w:rFonts w:hint="eastAsia" w:ascii="仿宋" w:hAnsi="仿宋" w:eastAsia="仿宋"/>
          <w:color w:val="000000" w:themeColor="text1"/>
          <w:kern w:val="0"/>
          <w:sz w:val="24"/>
          <w14:textFill>
            <w14:solidFill>
              <w14:schemeClr w14:val="tx1"/>
            </w14:solidFill>
          </w14:textFill>
        </w:rPr>
        <w:t>.1</w:t>
      </w:r>
      <w:r>
        <w:rPr>
          <w:rFonts w:hint="eastAsia" w:ascii="仿宋" w:hAnsi="仿宋" w:eastAsia="仿宋" w:cs="仿宋_GB2312"/>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color w:val="000000" w:themeColor="text1"/>
          <w:kern w:val="0"/>
          <w:sz w:val="24"/>
          <w14:textFill>
            <w14:solidFill>
              <w14:schemeClr w14:val="tx1"/>
            </w14:solidFill>
          </w14:textFill>
        </w:rPr>
      </w:pPr>
      <w:r>
        <w:rPr>
          <w:rFonts w:ascii="仿宋" w:hAnsi="仿宋" w:eastAsia="仿宋"/>
          <w:color w:val="000000" w:themeColor="text1"/>
          <w:kern w:val="0"/>
          <w:sz w:val="24"/>
          <w14:textFill>
            <w14:solidFill>
              <w14:schemeClr w14:val="tx1"/>
            </w14:solidFill>
          </w14:textFill>
        </w:rPr>
        <w:t>9</w:t>
      </w:r>
      <w:r>
        <w:rPr>
          <w:rFonts w:hint="eastAsia" w:ascii="仿宋" w:hAnsi="仿宋" w:eastAsia="仿宋"/>
          <w:color w:val="000000" w:themeColor="text1"/>
          <w:kern w:val="0"/>
          <w:sz w:val="24"/>
          <w14:textFill>
            <w14:solidFill>
              <w14:schemeClr w14:val="tx1"/>
            </w14:solidFill>
          </w14:textFill>
        </w:rPr>
        <w:t>.2 在评标期间，投标人企图影响招标人或</w:t>
      </w:r>
      <w:r>
        <w:rPr>
          <w:rFonts w:hint="eastAsia" w:ascii="仿宋" w:hAnsi="仿宋" w:eastAsia="仿宋"/>
          <w:color w:val="000000" w:themeColor="text1"/>
          <w:sz w:val="24"/>
          <w14:textFill>
            <w14:solidFill>
              <w14:schemeClr w14:val="tx1"/>
            </w14:solidFill>
          </w14:textFill>
        </w:rPr>
        <w:t>评标委员会</w:t>
      </w:r>
      <w:r>
        <w:rPr>
          <w:rFonts w:hint="eastAsia" w:ascii="仿宋" w:hAnsi="仿宋" w:eastAsia="仿宋"/>
          <w:color w:val="000000" w:themeColor="text1"/>
          <w:kern w:val="0"/>
          <w:sz w:val="24"/>
          <w14:textFill>
            <w14:solidFill>
              <w14:schemeClr w14:val="tx1"/>
            </w14:solidFill>
          </w14:textFill>
        </w:rPr>
        <w:t>的任何活动，都将导致投标被拒绝，并由其承担相应的法律责任。</w:t>
      </w:r>
    </w:p>
    <w:p>
      <w:pPr>
        <w:pStyle w:val="21"/>
        <w:spacing w:line="800" w:lineRule="exact"/>
        <w:ind w:firstLine="726"/>
        <w:jc w:val="center"/>
        <w:rPr>
          <w:rFonts w:ascii="仿宋" w:hAnsi="仿宋" w:eastAsia="仿宋"/>
          <w:b/>
          <w:color w:val="000000" w:themeColor="text1"/>
          <w:sz w:val="36"/>
          <w:szCs w:val="36"/>
          <w14:textFill>
            <w14:solidFill>
              <w14:schemeClr w14:val="tx1"/>
            </w14:solidFill>
          </w14:textFill>
        </w:rPr>
      </w:pPr>
      <w:bookmarkStart w:id="7" w:name="_Toc84325929"/>
      <w:bookmarkStart w:id="8" w:name="_Toc81372953"/>
      <w:bookmarkStart w:id="9" w:name="_Toc81372776"/>
      <w:r>
        <w:rPr>
          <w:rFonts w:hint="eastAsia" w:ascii="仿宋" w:hAnsi="仿宋" w:eastAsia="仿宋"/>
          <w:b/>
          <w:color w:val="000000" w:themeColor="text1"/>
          <w:sz w:val="36"/>
          <w:szCs w:val="36"/>
          <w14:textFill>
            <w14:solidFill>
              <w14:schemeClr w14:val="tx1"/>
            </w14:solidFill>
          </w14:textFill>
        </w:rPr>
        <w:t>五、授予合同</w:t>
      </w:r>
    </w:p>
    <w:p>
      <w:pPr>
        <w:pStyle w:val="13"/>
        <w:tabs>
          <w:tab w:val="clear" w:pos="454"/>
        </w:tabs>
        <w:spacing w:afterLines="0" w:line="440" w:lineRule="exact"/>
        <w:ind w:left="0"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1.中标条件</w:t>
      </w:r>
    </w:p>
    <w:p>
      <w:pPr>
        <w:pStyle w:val="13"/>
        <w:tabs>
          <w:tab w:val="clear" w:pos="454"/>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1.1投标文件基本符合招标文件要求；</w:t>
      </w:r>
    </w:p>
    <w:p>
      <w:pPr>
        <w:pStyle w:val="13"/>
        <w:tabs>
          <w:tab w:val="clear" w:pos="454"/>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1.2投标人有很好的执行合同的能力；</w:t>
      </w:r>
    </w:p>
    <w:p>
      <w:pPr>
        <w:pStyle w:val="13"/>
        <w:tabs>
          <w:tab w:val="clear" w:pos="454"/>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1.3实施方案最合理并对招标人最为有利，最大限度满足招标文件的要求；</w:t>
      </w:r>
    </w:p>
    <w:p>
      <w:pPr>
        <w:pStyle w:val="13"/>
        <w:tabs>
          <w:tab w:val="clear" w:pos="454"/>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1.4投标人能够提供质量技术、商务经济占综合优势的系统及服务。</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1.5招标人将把中标通知书授予最佳投标者，但最低价不是中标的绝对保证。</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2.中标确认</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2.3采购人应在确认中标人前再次对资格条件和相关证件材料进一步查验核实。</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3．中标通知</w:t>
      </w:r>
    </w:p>
    <w:bookmarkEnd w:id="7"/>
    <w:bookmarkEnd w:id="8"/>
    <w:bookmarkEnd w:id="9"/>
    <w:p>
      <w:pPr>
        <w:pStyle w:val="147"/>
        <w:tabs>
          <w:tab w:val="left" w:pos="0"/>
        </w:tabs>
        <w:spacing w:before="0" w:line="440" w:lineRule="exact"/>
        <w:ind w:firstLine="0" w:firstLineChars="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3.1</w:t>
      </w:r>
      <w:r>
        <w:rPr>
          <w:rFonts w:hint="eastAsia" w:ascii="仿宋" w:hAnsi="仿宋" w:eastAsia="仿宋" w:cs="Helvetica"/>
          <w:color w:val="000000" w:themeColor="text1"/>
          <w:kern w:val="0"/>
          <w14:textFill>
            <w14:solidFill>
              <w14:schemeClr w14:val="tx1"/>
            </w14:solidFill>
          </w14:textFill>
        </w:rPr>
        <w:t>采购代理机构</w:t>
      </w:r>
      <w:r>
        <w:rPr>
          <w:rFonts w:hint="eastAsia" w:ascii="仿宋" w:hAnsi="仿宋" w:eastAsia="仿宋"/>
          <w:color w:val="000000" w:themeColor="text1"/>
          <w14:textFill>
            <w14:solidFill>
              <w14:schemeClr w14:val="tx1"/>
            </w14:solidFill>
          </w14:textFill>
        </w:rPr>
        <w:t>对中标结果在指定媒体</w:t>
      </w:r>
      <w:r>
        <w:rPr>
          <w:rFonts w:hint="eastAsia" w:ascii="仿宋" w:hAnsi="仿宋" w:eastAsia="仿宋" w:cs="Helvetica"/>
          <w:color w:val="000000" w:themeColor="text1"/>
          <w:kern w:val="0"/>
          <w14:textFill>
            <w14:solidFill>
              <w14:schemeClr w14:val="tx1"/>
            </w14:solidFill>
          </w14:textFill>
        </w:rPr>
        <w:t>（浙江政府采购网</w:t>
      </w:r>
      <w:r>
        <w:fldChar w:fldCharType="begin"/>
      </w:r>
      <w:r>
        <w:instrText xml:space="preserve"> HYPERLINK "http://www.zjzfcg.gov.cn" </w:instrText>
      </w:r>
      <w:r>
        <w:fldChar w:fldCharType="separate"/>
      </w:r>
      <w:r>
        <w:rPr>
          <w:rStyle w:val="46"/>
          <w:rFonts w:hint="eastAsia" w:ascii="仿宋" w:hAnsi="仿宋" w:eastAsia="仿宋" w:cs="Helvetica"/>
          <w:color w:val="000000" w:themeColor="text1"/>
          <w:kern w:val="0"/>
          <w14:textFill>
            <w14:solidFill>
              <w14:schemeClr w14:val="tx1"/>
            </w14:solidFill>
          </w14:textFill>
        </w:rPr>
        <w:t>http://zfcg.czt.zj.gov.cn/</w:t>
      </w:r>
      <w:r>
        <w:rPr>
          <w:rStyle w:val="46"/>
          <w:rFonts w:hint="eastAsia" w:ascii="仿宋" w:hAnsi="仿宋" w:eastAsia="仿宋" w:cs="Helvetica"/>
          <w:color w:val="000000" w:themeColor="text1"/>
          <w:kern w:val="0"/>
          <w14:textFill>
            <w14:solidFill>
              <w14:schemeClr w14:val="tx1"/>
            </w14:solidFill>
          </w14:textFill>
        </w:rPr>
        <w:fldChar w:fldCharType="end"/>
      </w:r>
      <w:r>
        <w:rPr>
          <w:rFonts w:hint="eastAsia" w:ascii="仿宋" w:hAnsi="仿宋" w:eastAsia="仿宋" w:cs="Helvetica"/>
          <w:color w:val="000000" w:themeColor="text1"/>
          <w:kern w:val="0"/>
          <w14:textFill>
            <w14:solidFill>
              <w14:schemeClr w14:val="tx1"/>
            </w14:solidFill>
          </w14:textFill>
        </w:rPr>
        <w:t>、绍兴公共资源交易网</w:t>
      </w:r>
      <w:r>
        <w:fldChar w:fldCharType="begin"/>
      </w:r>
      <w:r>
        <w:instrText xml:space="preserve"> HYPERLINK "http://ggb.sx.gov.cn" </w:instrText>
      </w:r>
      <w:r>
        <w:fldChar w:fldCharType="separate"/>
      </w:r>
      <w:r>
        <w:rPr>
          <w:rStyle w:val="46"/>
          <w:rFonts w:hint="eastAsia" w:ascii="仿宋" w:hAnsi="仿宋" w:eastAsia="仿宋"/>
          <w:color w:val="000000" w:themeColor="text1"/>
          <w14:textFill>
            <w14:solidFill>
              <w14:schemeClr w14:val="tx1"/>
            </w14:solidFill>
          </w14:textFill>
        </w:rPr>
        <w:t>http://ggb.sx.gov.cn</w:t>
      </w:r>
      <w:r>
        <w:rPr>
          <w:rStyle w:val="46"/>
          <w:rFonts w:hint="eastAsia" w:ascii="仿宋" w:hAnsi="仿宋" w:eastAsia="仿宋"/>
          <w:color w:val="000000" w:themeColor="text1"/>
          <w14:textFill>
            <w14:solidFill>
              <w14:schemeClr w14:val="tx1"/>
            </w14:solidFill>
          </w14:textFill>
        </w:rPr>
        <w:fldChar w:fldCharType="end"/>
      </w:r>
      <w:r>
        <w:rPr>
          <w:rFonts w:hint="eastAsia" w:ascii="仿宋" w:hAnsi="仿宋" w:eastAsia="仿宋" w:cs="Helvetica"/>
          <w:color w:val="000000" w:themeColor="text1"/>
          <w:kern w:val="0"/>
          <w14:textFill>
            <w14:solidFill>
              <w14:schemeClr w14:val="tx1"/>
            </w14:solidFill>
          </w14:textFill>
        </w:rPr>
        <w:t>）发布中标公告，中标公告期限为1个工作日。</w:t>
      </w:r>
    </w:p>
    <w:p>
      <w:pPr>
        <w:tabs>
          <w:tab w:val="left" w:pos="0"/>
        </w:tabs>
        <w:spacing w:line="440" w:lineRule="exac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_GB2312"/>
          <w:color w:val="000000" w:themeColor="text1"/>
          <w:kern w:val="0"/>
          <w:sz w:val="24"/>
          <w:lang w:val="zh-CN"/>
          <w14:textFill>
            <w14:solidFill>
              <w14:schemeClr w14:val="tx1"/>
            </w14:solidFill>
          </w14:textFill>
        </w:rPr>
        <w:t>。</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3.3采购代理机构对中标结果不作任何说明和解释，也不回答任何提问。</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4．履约保证金</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4.2供应商在履行完合同约定事项后，采购人应及时退还履约保证金。</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4.3供应商以银行、保险公司出具保函形式提交履约保证金的，采购人不得拒收。</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5．合同备案</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b/>
          <w:color w:val="000000" w:themeColor="text1"/>
          <w:sz w:val="24"/>
          <w14:textFill>
            <w14:solidFill>
              <w14:schemeClr w14:val="tx1"/>
            </w14:solidFill>
          </w14:textFill>
        </w:rPr>
        <w:t>3个工作日内</w:t>
      </w:r>
      <w:r>
        <w:rPr>
          <w:rFonts w:hint="eastAsia" w:ascii="仿宋" w:hAnsi="仿宋" w:eastAsia="仿宋"/>
          <w:color w:val="000000" w:themeColor="text1"/>
          <w:sz w:val="24"/>
          <w14:textFill>
            <w14:solidFill>
              <w14:schemeClr w14:val="tx1"/>
            </w14:solidFill>
          </w14:textFill>
        </w:rPr>
        <w:t>，将</w:t>
      </w:r>
      <w:r>
        <w:rPr>
          <w:rFonts w:hint="eastAsia" w:ascii="仿宋" w:hAnsi="仿宋" w:eastAsia="仿宋"/>
          <w:b/>
          <w:color w:val="000000" w:themeColor="text1"/>
          <w:sz w:val="24"/>
          <w14:textFill>
            <w14:solidFill>
              <w14:schemeClr w14:val="tx1"/>
            </w14:solidFill>
          </w14:textFill>
        </w:rPr>
        <w:t>采购合同原件</w:t>
      </w:r>
      <w:r>
        <w:rPr>
          <w:rFonts w:hint="eastAsia" w:ascii="仿宋" w:hAnsi="仿宋" w:eastAsia="仿宋"/>
          <w:color w:val="000000" w:themeColor="text1"/>
          <w:sz w:val="24"/>
          <w14:textFill>
            <w14:solidFill>
              <w14:schemeClr w14:val="tx1"/>
            </w14:solidFill>
          </w14:textFill>
        </w:rPr>
        <w:t>报市公共资源交易中心备案。</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5.2未领取中标通知书，采购双方自行签订的合同不予备案。</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6.验收</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7. 售后服务考核</w:t>
      </w:r>
    </w:p>
    <w:p>
      <w:pPr>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仿宋_GB2312"/>
          <w:b/>
          <w:color w:val="000000" w:themeColor="text1"/>
          <w:sz w:val="36"/>
          <w:szCs w:val="36"/>
          <w14:textFill>
            <w14:solidFill>
              <w14:schemeClr w14:val="tx1"/>
            </w14:solidFill>
          </w14:textFill>
        </w:rPr>
      </w:pPr>
      <w:r>
        <w:rPr>
          <w:rFonts w:hint="eastAsia" w:ascii="仿宋" w:hAnsi="仿宋" w:eastAsia="仿宋" w:cs="仿宋_GB2312"/>
          <w:b/>
          <w:color w:val="000000" w:themeColor="text1"/>
          <w:sz w:val="36"/>
          <w:szCs w:val="36"/>
          <w14:textFill>
            <w14:solidFill>
              <w14:schemeClr w14:val="tx1"/>
            </w14:solidFill>
          </w14:textFill>
        </w:rPr>
        <w:t>六、质疑与投诉</w:t>
      </w:r>
    </w:p>
    <w:p>
      <w:pPr>
        <w:pStyle w:val="21"/>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微软雅黑"/>
          <w:b/>
          <w:color w:val="000000" w:themeColor="text1"/>
          <w:kern w:val="0"/>
          <w:sz w:val="24"/>
          <w:lang w:val="zh-CN"/>
          <w14:textFill>
            <w14:solidFill>
              <w14:schemeClr w14:val="tx1"/>
            </w14:solidFill>
          </w14:textFill>
        </w:rPr>
      </w:pPr>
      <w:r>
        <w:rPr>
          <w:rFonts w:hint="eastAsia" w:ascii="仿宋" w:hAnsi="仿宋" w:eastAsia="仿宋" w:cs="微软雅黑"/>
          <w:b/>
          <w:color w:val="000000" w:themeColor="text1"/>
          <w:kern w:val="0"/>
          <w:sz w:val="24"/>
          <w:lang w:val="zh-CN"/>
          <w14:textFill>
            <w14:solidFill>
              <w14:schemeClr w14:val="tx1"/>
            </w14:solidFill>
          </w14:textFill>
        </w:rPr>
        <w:t>1.供应商询问</w:t>
      </w:r>
    </w:p>
    <w:p>
      <w:pPr>
        <w:pStyle w:val="21"/>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微软雅黑"/>
          <w:b/>
          <w:color w:val="000000" w:themeColor="text1"/>
          <w:kern w:val="0"/>
          <w:sz w:val="24"/>
          <w:lang w:val="zh-CN"/>
          <w14:textFill>
            <w14:solidFill>
              <w14:schemeClr w14:val="tx1"/>
            </w14:solidFill>
          </w14:textFill>
        </w:rPr>
      </w:pPr>
      <w:r>
        <w:rPr>
          <w:rFonts w:hint="eastAsia" w:ascii="仿宋" w:hAnsi="仿宋" w:eastAsia="仿宋" w:cs="微软雅黑"/>
          <w:b/>
          <w:color w:val="000000" w:themeColor="text1"/>
          <w:kern w:val="0"/>
          <w:sz w:val="24"/>
          <w:lang w:val="zh-CN"/>
          <w14:textFill>
            <w14:solidFill>
              <w14:schemeClr w14:val="tx1"/>
            </w14:solidFill>
          </w14:textFill>
        </w:rPr>
        <w:t>2.供应商质疑</w:t>
      </w:r>
    </w:p>
    <w:p>
      <w:pPr>
        <w:pStyle w:val="21"/>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2.1供应商认为采购文件、采购过程和成交结果使自己的权益受到损害的，可以在知道或者应知其权益受到损害之日起七个工作日内，以书面形式向采购机构提出质疑，否则，采购机构不予受理：</w:t>
      </w:r>
    </w:p>
    <w:p>
      <w:pPr>
        <w:pStyle w:val="21"/>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1"/>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（2）对采购过程提出质疑的，质疑期限为各采购程序环节结束之日起计算。</w:t>
      </w:r>
    </w:p>
    <w:p>
      <w:pPr>
        <w:pStyle w:val="21"/>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（3）对采购结果提出质疑的，质疑期限自采购结果公告（包括公示、预公告、结果变更公告等）期限届满之日起计算。</w:t>
      </w:r>
    </w:p>
    <w:p>
      <w:pPr>
        <w:pStyle w:val="21"/>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（4）供应商应在法定质疑期内一次性提出针对同一采购程序环节的质疑。</w:t>
      </w:r>
    </w:p>
    <w:p>
      <w:pPr>
        <w:pStyle w:val="21"/>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 供应商提交提出质疑应当提交质疑书和必要的证明材料，质疑书需一式三份，质疑书至少应包括下列主要内容：</w:t>
      </w:r>
    </w:p>
    <w:p>
      <w:pPr>
        <w:pStyle w:val="21"/>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（1）质疑人的名称、地址、邮政编码、联系人、联系电话，以及被质疑人名称及联系方式；</w:t>
      </w:r>
    </w:p>
    <w:p>
      <w:pPr>
        <w:pStyle w:val="21"/>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（2）被质疑采购项目名称、编号及采购内容；</w:t>
      </w:r>
    </w:p>
    <w:p>
      <w:pPr>
        <w:pStyle w:val="21"/>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（3）具体、明确的质疑事项和与质疑事项相关的请求</w:t>
      </w:r>
    </w:p>
    <w:p>
      <w:pPr>
        <w:pStyle w:val="21"/>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（4）事实依据；</w:t>
      </w:r>
    </w:p>
    <w:p>
      <w:pPr>
        <w:pStyle w:val="21"/>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（5）必要的法律依据；</w:t>
      </w:r>
    </w:p>
    <w:p>
      <w:pPr>
        <w:pStyle w:val="21"/>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（6）认为自己合法权益受到损害或可能受到损害的相关证据材料；</w:t>
      </w:r>
    </w:p>
    <w:p>
      <w:pPr>
        <w:pStyle w:val="21"/>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（7）提出质疑的日期。</w:t>
      </w:r>
    </w:p>
    <w:p>
      <w:pPr>
        <w:pStyle w:val="21"/>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（8）质疑书应当署名。质疑人为自然人的，应当由本人签字并附有效身份证明；质疑人为法人或其他组织的，应当由法定代表人或主要负责人签字（或盖章）并加盖单位公章。</w:t>
      </w:r>
    </w:p>
    <w:p>
      <w:pPr>
        <w:pStyle w:val="21"/>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（9）质疑人因故不能自行办理质疑事项的，可以委托代理人办理质疑事宜，但应当向被质疑人提交授权委托书，并载明委托代理的具体权限和事项。</w:t>
      </w:r>
    </w:p>
    <w:p>
      <w:pPr>
        <w:pStyle w:val="21"/>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（10）质疑人提供的相关材料中有外文资料的，应当将与质疑相关的外文资料完整、客观、真实地翻译为中文，并注明翻译人员姓名、工作单位、联系方式等信息。</w:t>
      </w:r>
    </w:p>
    <w:p>
      <w:pPr>
        <w:pStyle w:val="21"/>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4.采购机构应当在收到供应商的书面质疑后七个工作日内作出答复，并以书面形式通知质疑供应商和其他与质疑处理结果有利害关系的政府采购当事人，但答复的内容不得涉及商业秘密。</w:t>
      </w:r>
    </w:p>
    <w:p>
      <w:pPr>
        <w:pStyle w:val="21"/>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5.询问或者质疑事项可能影响采购结果的，采购人应当暂停签订合同，已经签订合同的，应当中止履行合同。</w:t>
      </w:r>
    </w:p>
    <w:p>
      <w:pPr>
        <w:snapToGrid w:val="0"/>
        <w:spacing w:line="800" w:lineRule="exact"/>
        <w:jc w:val="center"/>
        <w:rPr>
          <w:rFonts w:ascii="仿宋" w:hAnsi="仿宋" w:eastAsia="仿宋"/>
          <w:b/>
          <w:color w:val="000000" w:themeColor="text1"/>
          <w:sz w:val="36"/>
          <w:szCs w:val="36"/>
          <w14:textFill>
            <w14:solidFill>
              <w14:schemeClr w14:val="tx1"/>
            </w14:solidFill>
          </w14:textFill>
        </w:rPr>
      </w:pPr>
    </w:p>
    <w:p>
      <w:pPr>
        <w:snapToGrid w:val="0"/>
        <w:spacing w:line="800" w:lineRule="exact"/>
        <w:jc w:val="center"/>
        <w:rPr>
          <w:rFonts w:ascii="仿宋" w:hAnsi="仿宋" w:eastAsia="仿宋"/>
          <w:b/>
          <w:color w:val="000000" w:themeColor="text1"/>
          <w:sz w:val="36"/>
          <w:szCs w:val="36"/>
          <w14:textFill>
            <w14:solidFill>
              <w14:schemeClr w14:val="tx1"/>
            </w14:solidFill>
          </w14:textFill>
        </w:rPr>
      </w:pPr>
    </w:p>
    <w:p>
      <w:pPr>
        <w:snapToGrid w:val="0"/>
        <w:spacing w:line="800" w:lineRule="exact"/>
        <w:jc w:val="center"/>
        <w:rPr>
          <w:rFonts w:ascii="仿宋" w:hAnsi="仿宋" w:eastAsia="仿宋"/>
          <w:b/>
          <w:color w:val="000000" w:themeColor="text1"/>
          <w:sz w:val="36"/>
          <w:szCs w:val="36"/>
          <w14:textFill>
            <w14:solidFill>
              <w14:schemeClr w14:val="tx1"/>
            </w14:solidFill>
          </w14:textFill>
        </w:rPr>
      </w:pPr>
    </w:p>
    <w:p>
      <w:pPr>
        <w:pageBreakBefore/>
        <w:snapToGrid w:val="0"/>
        <w:spacing w:line="800" w:lineRule="exact"/>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第三部分 招标项目范围及要求</w:t>
      </w:r>
    </w:p>
    <w:p>
      <w:pPr>
        <w:snapToGrid w:val="0"/>
        <w:spacing w:line="440" w:lineRule="exact"/>
        <w:jc w:val="left"/>
        <w:rPr>
          <w:rFonts w:ascii="仿宋" w:hAnsi="仿宋" w:eastAsia="仿宋"/>
          <w:b/>
          <w:color w:val="000000" w:themeColor="text1"/>
          <w:sz w:val="24"/>
          <w14:textFill>
            <w14:solidFill>
              <w14:schemeClr w14:val="tx1"/>
            </w14:solidFill>
          </w14:textFill>
        </w:rPr>
      </w:pPr>
      <w:bookmarkStart w:id="10" w:name="_Toc151354173"/>
      <w:bookmarkStart w:id="11" w:name="_Toc80157775"/>
      <w:bookmarkStart w:id="12" w:name="_Toc81372964"/>
      <w:bookmarkStart w:id="13" w:name="_Toc84325981"/>
      <w:bookmarkStart w:id="14" w:name="_Toc81372787"/>
      <w:r>
        <w:rPr>
          <w:rFonts w:hint="eastAsia" w:ascii="仿宋" w:hAnsi="仿宋" w:eastAsia="仿宋"/>
          <w:b/>
          <w:color w:val="000000" w:themeColor="text1"/>
          <w:sz w:val="24"/>
          <w14:textFill>
            <w14:solidFill>
              <w14:schemeClr w14:val="tx1"/>
            </w14:solidFill>
          </w14:textFill>
        </w:rPr>
        <w:t>1. 项目实施人员费用</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中标人应自行承担选派专业人员的住宿、就餐和交通等费用。</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2.招标项目设备名称及数量：</w:t>
      </w:r>
    </w:p>
    <w:p>
      <w:pPr>
        <w:ind w:right="-288" w:rightChars="-137"/>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bdr w:val="single" w:color="auto" w:sz="4" w:space="0"/>
          <w14:textFill>
            <w14:solidFill>
              <w14:schemeClr w14:val="tx1"/>
            </w14:solidFill>
          </w14:textFill>
        </w:rPr>
        <w:t>01标</w:t>
      </w:r>
      <w:r>
        <w:rPr>
          <w:rFonts w:hint="eastAsia" w:ascii="仿宋" w:hAnsi="仿宋" w:eastAsia="仿宋"/>
          <w:b/>
          <w:color w:val="000000" w:themeColor="text1"/>
          <w:sz w:val="24"/>
          <w14:textFill>
            <w14:solidFill>
              <w14:schemeClr w14:val="tx1"/>
            </w14:solidFill>
          </w14:textFill>
        </w:rPr>
        <w:t xml:space="preserve">绍兴文理学院附属医院科教研一体化平台项目       </w:t>
      </w:r>
    </w:p>
    <w:p>
      <w:pPr>
        <w:ind w:right="-288" w:rightChars="-137"/>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预算金额：600000元</w:t>
      </w:r>
    </w:p>
    <w:p>
      <w:pPr>
        <w:spacing w:line="360" w:lineRule="auto"/>
        <w:jc w:val="left"/>
        <w:rPr>
          <w:rFonts w:ascii="仿宋_GB2312" w:hAnsi="仿宋_GB2312" w:eastAsia="仿宋" w:cs="宋体"/>
          <w:kern w:val="1"/>
          <w:sz w:val="24"/>
        </w:rPr>
      </w:pPr>
      <w:r>
        <w:rPr>
          <w:rFonts w:hint="eastAsia" w:ascii="仿宋_GB2312" w:hAnsi="仿宋_GB2312" w:eastAsia="仿宋" w:cs="宋体"/>
          <w:kern w:val="1"/>
          <w:sz w:val="24"/>
        </w:rPr>
        <w:t>1、总体要求</w:t>
      </w:r>
    </w:p>
    <w:p>
      <w:pPr>
        <w:spacing w:line="360" w:lineRule="auto"/>
        <w:jc w:val="left"/>
        <w:rPr>
          <w:rFonts w:ascii="仿宋_GB2312" w:hAnsi="仿宋_GB2312" w:eastAsia="仿宋" w:cs="宋体"/>
          <w:kern w:val="1"/>
          <w:sz w:val="24"/>
        </w:rPr>
      </w:pPr>
      <w:r>
        <w:rPr>
          <w:rFonts w:hint="eastAsia" w:ascii="仿宋_GB2312" w:hAnsi="仿宋_GB2312" w:eastAsia="仿宋" w:cs="宋体"/>
          <w:kern w:val="1"/>
          <w:sz w:val="24"/>
        </w:rPr>
        <w:t>（1）标准化：全面采用国际、国家与地方各种标准和规范。以卫生部《医院信息系统基本功能规范》和我院的相关要求为依据，最符合医院实际需求为准。减少跨系统使用困难，保证与其他各子系统可以方便集成。</w:t>
      </w:r>
    </w:p>
    <w:p>
      <w:pPr>
        <w:spacing w:line="360" w:lineRule="auto"/>
        <w:jc w:val="left"/>
        <w:rPr>
          <w:rFonts w:ascii="仿宋_GB2312" w:hAnsi="仿宋_GB2312" w:eastAsia="仿宋" w:cs="宋体"/>
          <w:kern w:val="1"/>
          <w:sz w:val="24"/>
        </w:rPr>
      </w:pPr>
      <w:r>
        <w:rPr>
          <w:rFonts w:hint="eastAsia" w:ascii="仿宋_GB2312" w:hAnsi="仿宋_GB2312" w:eastAsia="仿宋" w:cs="宋体"/>
          <w:kern w:val="1"/>
          <w:sz w:val="24"/>
        </w:rPr>
        <w:t>（2）技术稳定性：成熟可靠，性能稳定，能提供持续的版本升级服务。</w:t>
      </w:r>
    </w:p>
    <w:p>
      <w:pPr>
        <w:spacing w:line="360" w:lineRule="auto"/>
        <w:jc w:val="left"/>
        <w:rPr>
          <w:rFonts w:ascii="仿宋_GB2312" w:hAnsi="仿宋_GB2312" w:eastAsia="仿宋" w:cs="宋体"/>
          <w:kern w:val="1"/>
          <w:sz w:val="24"/>
        </w:rPr>
      </w:pPr>
      <w:r>
        <w:rPr>
          <w:rFonts w:hint="eastAsia" w:ascii="仿宋_GB2312" w:hAnsi="仿宋_GB2312" w:eastAsia="仿宋" w:cs="宋体"/>
          <w:kern w:val="1"/>
          <w:sz w:val="24"/>
        </w:rPr>
        <w:t>（3）开放性设计：所投软件产品为投标公司自主研发，并能够根据医院实际需求进行系统的功能重组、修改与二次开发。</w:t>
      </w:r>
    </w:p>
    <w:p>
      <w:pPr>
        <w:rPr>
          <w:rFonts w:ascii="仿宋" w:hAnsi="仿宋" w:eastAsia="仿宋" w:cs="宋体"/>
          <w:sz w:val="24"/>
          <w:lang w:val="zh-CN"/>
        </w:rPr>
      </w:pPr>
      <w:r>
        <w:rPr>
          <w:rFonts w:hint="eastAsia" w:ascii="仿宋_GB2312" w:hAnsi="宋体" w:eastAsia="仿宋_GB2312"/>
          <w:sz w:val="24"/>
        </w:rPr>
        <w:t>2、主要技术参数（</w:t>
      </w:r>
      <w:r>
        <w:rPr>
          <w:rFonts w:hint="eastAsia" w:ascii="仿宋" w:hAnsi="仿宋" w:eastAsia="仿宋" w:cs="宋体"/>
          <w:sz w:val="24"/>
          <w:lang w:val="zh-CN"/>
        </w:rPr>
        <w:t>对应指标，详细说明，否则视为不符要求）</w:t>
      </w:r>
    </w:p>
    <w:p>
      <w:pPr>
        <w:rPr>
          <w:rFonts w:ascii="宋体" w:hAnsi="宋体"/>
          <w:bCs/>
          <w:sz w:val="24"/>
        </w:rPr>
      </w:pPr>
      <w:r>
        <w:rPr>
          <w:rFonts w:hint="eastAsia" w:ascii="宋体" w:hAnsi="宋体"/>
          <w:bCs/>
          <w:sz w:val="24"/>
        </w:rPr>
        <w:t>（1）</w:t>
      </w:r>
      <w:r>
        <w:rPr>
          <w:rFonts w:hint="eastAsia" w:ascii="仿宋" w:hAnsi="仿宋" w:eastAsia="仿宋"/>
          <w:sz w:val="24"/>
        </w:rPr>
        <w:t>科教研一体化平台</w:t>
      </w:r>
    </w:p>
    <w:p>
      <w:pPr>
        <w:numPr>
          <w:ilvl w:val="0"/>
          <w:numId w:val="9"/>
        </w:numPr>
        <w:rPr>
          <w:rFonts w:ascii="宋体" w:hAnsi="宋体"/>
          <w:bCs/>
          <w:sz w:val="24"/>
        </w:rPr>
      </w:pPr>
      <w:r>
        <w:rPr>
          <w:rFonts w:hint="eastAsia" w:ascii="宋体" w:hAnsi="宋体"/>
          <w:bCs/>
          <w:sz w:val="24"/>
        </w:rPr>
        <w:t>教学管理信息系统功能需求清单</w:t>
      </w:r>
    </w:p>
    <w:tbl>
      <w:tblPr>
        <w:tblStyle w:val="39"/>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296"/>
        <w:gridCol w:w="5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12" w:type="dxa"/>
            <w:shd w:val="clear" w:color="auto" w:fill="auto"/>
            <w:vAlign w:val="center"/>
          </w:tcPr>
          <w:p>
            <w:pPr>
              <w:widowControl/>
              <w:spacing w:line="440" w:lineRule="exact"/>
              <w:jc w:val="center"/>
              <w:rPr>
                <w:rFonts w:ascii="仿宋" w:hAnsi="仿宋" w:eastAsia="仿宋" w:cs="Courier New"/>
                <w:bCs/>
                <w:szCs w:val="21"/>
              </w:rPr>
            </w:pPr>
            <w:r>
              <w:rPr>
                <w:rFonts w:ascii="仿宋" w:hAnsi="仿宋" w:eastAsia="仿宋" w:cs="Courier New"/>
                <w:bCs/>
                <w:szCs w:val="21"/>
              </w:rPr>
              <w:t>产品名称</w:t>
            </w:r>
            <w:r>
              <w:rPr>
                <w:rFonts w:hint="eastAsia" w:ascii="仿宋" w:hAnsi="仿宋" w:eastAsia="仿宋" w:cs="Courier New"/>
                <w:bCs/>
                <w:szCs w:val="21"/>
              </w:rPr>
              <w:t>/</w:t>
            </w:r>
          </w:p>
          <w:p>
            <w:pPr>
              <w:widowControl/>
              <w:spacing w:line="440" w:lineRule="exact"/>
              <w:jc w:val="center"/>
              <w:rPr>
                <w:rFonts w:ascii="仿宋" w:hAnsi="仿宋" w:eastAsia="仿宋" w:cs="Courier New"/>
                <w:bCs/>
                <w:szCs w:val="21"/>
              </w:rPr>
            </w:pPr>
            <w:r>
              <w:rPr>
                <w:rFonts w:hint="eastAsia" w:ascii="仿宋" w:hAnsi="仿宋" w:eastAsia="仿宋" w:cs="Courier New"/>
                <w:bCs/>
                <w:szCs w:val="21"/>
              </w:rPr>
              <w:t>功能模块</w:t>
            </w:r>
          </w:p>
        </w:tc>
        <w:tc>
          <w:tcPr>
            <w:tcW w:w="1296" w:type="dxa"/>
            <w:shd w:val="clear" w:color="auto" w:fill="auto"/>
            <w:vAlign w:val="center"/>
          </w:tcPr>
          <w:p>
            <w:pPr>
              <w:widowControl/>
              <w:spacing w:line="440" w:lineRule="exact"/>
              <w:jc w:val="center"/>
              <w:rPr>
                <w:rFonts w:ascii="仿宋" w:hAnsi="仿宋" w:eastAsia="仿宋" w:cs="Courier New"/>
                <w:bCs/>
                <w:szCs w:val="21"/>
              </w:rPr>
            </w:pPr>
            <w:r>
              <w:rPr>
                <w:rFonts w:ascii="仿宋" w:hAnsi="仿宋" w:eastAsia="仿宋" w:cs="Courier New"/>
                <w:bCs/>
                <w:szCs w:val="21"/>
              </w:rPr>
              <w:t>规格说明</w:t>
            </w:r>
          </w:p>
        </w:tc>
        <w:tc>
          <w:tcPr>
            <w:tcW w:w="5452" w:type="dxa"/>
            <w:shd w:val="clear" w:color="auto" w:fill="auto"/>
            <w:vAlign w:val="center"/>
          </w:tcPr>
          <w:p>
            <w:pPr>
              <w:widowControl/>
              <w:spacing w:line="440" w:lineRule="exact"/>
              <w:rPr>
                <w:rFonts w:ascii="仿宋" w:hAnsi="仿宋" w:eastAsia="仿宋" w:cs="Courier New"/>
                <w:bCs/>
                <w:szCs w:val="21"/>
              </w:rPr>
            </w:pPr>
            <w:r>
              <w:rPr>
                <w:rFonts w:hint="eastAsia" w:ascii="仿宋" w:hAnsi="仿宋" w:eastAsia="仿宋" w:cs="Courier New"/>
                <w:bCs/>
                <w:szCs w:val="21"/>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restart"/>
            <w:shd w:val="clear" w:color="auto" w:fill="auto"/>
            <w:vAlign w:val="center"/>
          </w:tcPr>
          <w:p>
            <w:pPr>
              <w:snapToGrid w:val="0"/>
              <w:spacing w:after="120" w:line="320" w:lineRule="exact"/>
              <w:rPr>
                <w:rFonts w:ascii="仿宋" w:hAnsi="仿宋" w:eastAsia="仿宋" w:cs="Courier New"/>
                <w:b/>
                <w:szCs w:val="21"/>
              </w:rPr>
            </w:pPr>
          </w:p>
          <w:p>
            <w:pPr>
              <w:snapToGrid w:val="0"/>
              <w:spacing w:after="120" w:line="320" w:lineRule="exact"/>
              <w:rPr>
                <w:rFonts w:ascii="仿宋" w:hAnsi="仿宋" w:eastAsia="仿宋" w:cs="Courier New"/>
                <w:b/>
                <w:szCs w:val="21"/>
              </w:rPr>
            </w:pPr>
          </w:p>
          <w:p>
            <w:pPr>
              <w:snapToGrid w:val="0"/>
              <w:spacing w:after="120" w:line="320" w:lineRule="exact"/>
              <w:rPr>
                <w:rFonts w:ascii="仿宋" w:hAnsi="仿宋" w:eastAsia="仿宋" w:cs="Courier New"/>
                <w:b/>
                <w:szCs w:val="21"/>
              </w:rPr>
            </w:pPr>
            <w:r>
              <w:rPr>
                <w:rFonts w:hint="eastAsia" w:ascii="仿宋" w:hAnsi="仿宋" w:eastAsia="仿宋"/>
                <w:bCs/>
                <w:szCs w:val="21"/>
              </w:rPr>
              <w:t>系统管理</w:t>
            </w:r>
          </w:p>
        </w:tc>
        <w:tc>
          <w:tcPr>
            <w:tcW w:w="1296" w:type="dxa"/>
            <w:vMerge w:val="restart"/>
            <w:shd w:val="clear" w:color="auto" w:fill="auto"/>
            <w:vAlign w:val="center"/>
          </w:tcPr>
          <w:p>
            <w:pPr>
              <w:snapToGrid w:val="0"/>
              <w:spacing w:after="120" w:line="320" w:lineRule="exact"/>
              <w:rPr>
                <w:rFonts w:ascii="仿宋" w:hAnsi="仿宋" w:eastAsia="仿宋"/>
                <w:bCs/>
                <w:szCs w:val="21"/>
              </w:rPr>
            </w:pPr>
          </w:p>
          <w:p>
            <w:pPr>
              <w:snapToGrid w:val="0"/>
              <w:spacing w:after="120" w:line="320" w:lineRule="exact"/>
              <w:rPr>
                <w:rFonts w:ascii="仿宋" w:hAnsi="仿宋" w:eastAsia="仿宋"/>
                <w:bCs/>
                <w:szCs w:val="21"/>
              </w:rPr>
            </w:pPr>
            <w:r>
              <w:rPr>
                <w:rFonts w:hint="eastAsia" w:ascii="仿宋" w:hAnsi="仿宋" w:eastAsia="仿宋"/>
                <w:bCs/>
                <w:szCs w:val="21"/>
              </w:rPr>
              <w:t>医院基本</w:t>
            </w:r>
          </w:p>
          <w:p>
            <w:pPr>
              <w:snapToGrid w:val="0"/>
              <w:spacing w:after="120" w:line="320" w:lineRule="exact"/>
              <w:rPr>
                <w:rFonts w:ascii="仿宋" w:hAnsi="仿宋" w:eastAsia="仿宋"/>
                <w:bCs/>
                <w:szCs w:val="21"/>
              </w:rPr>
            </w:pPr>
            <w:r>
              <w:rPr>
                <w:rFonts w:hint="eastAsia" w:ascii="仿宋" w:hAnsi="仿宋" w:eastAsia="仿宋"/>
                <w:bCs/>
                <w:szCs w:val="21"/>
              </w:rPr>
              <w:t>信息设置</w:t>
            </w:r>
          </w:p>
        </w:tc>
        <w:tc>
          <w:tcPr>
            <w:tcW w:w="5452" w:type="dxa"/>
            <w:shd w:val="clear" w:color="auto" w:fill="auto"/>
            <w:vAlign w:val="center"/>
          </w:tcPr>
          <w:p>
            <w:pPr>
              <w:snapToGrid w:val="0"/>
              <w:spacing w:after="120" w:line="320" w:lineRule="exact"/>
              <w:rPr>
                <w:rFonts w:ascii="仿宋" w:hAnsi="仿宋" w:eastAsia="仿宋"/>
                <w:bCs/>
                <w:szCs w:val="21"/>
              </w:rPr>
            </w:pPr>
            <w:r>
              <w:rPr>
                <w:rFonts w:hint="eastAsia" w:ascii="仿宋" w:hAnsi="仿宋" w:eastAsia="仿宋"/>
                <w:bCs/>
                <w:szCs w:val="21"/>
              </w:rPr>
              <w:t>医院组织架构的管理，对科室进行增删改查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continue"/>
            <w:shd w:val="clear" w:color="auto" w:fill="auto"/>
            <w:vAlign w:val="center"/>
          </w:tcPr>
          <w:p>
            <w:pPr>
              <w:widowControl/>
              <w:spacing w:line="320" w:lineRule="exact"/>
              <w:rPr>
                <w:rFonts w:ascii="仿宋" w:hAnsi="仿宋" w:eastAsia="仿宋"/>
                <w:bCs/>
                <w:szCs w:val="21"/>
              </w:rPr>
            </w:pPr>
          </w:p>
        </w:tc>
        <w:tc>
          <w:tcPr>
            <w:tcW w:w="1296" w:type="dxa"/>
            <w:vMerge w:val="continue"/>
            <w:shd w:val="clear" w:color="auto" w:fill="auto"/>
            <w:vAlign w:val="center"/>
          </w:tcPr>
          <w:p>
            <w:pPr>
              <w:widowControl/>
              <w:spacing w:line="320" w:lineRule="exact"/>
              <w:rPr>
                <w:rFonts w:ascii="仿宋" w:hAnsi="仿宋" w:eastAsia="仿宋"/>
                <w:bCs/>
                <w:szCs w:val="21"/>
              </w:rPr>
            </w:pPr>
          </w:p>
        </w:tc>
        <w:tc>
          <w:tcPr>
            <w:tcW w:w="5452" w:type="dxa"/>
            <w:shd w:val="clear" w:color="auto" w:fill="auto"/>
            <w:vAlign w:val="center"/>
          </w:tcPr>
          <w:p>
            <w:pPr>
              <w:snapToGrid w:val="0"/>
              <w:spacing w:after="120" w:line="320" w:lineRule="exact"/>
              <w:rPr>
                <w:rFonts w:ascii="仿宋" w:hAnsi="仿宋" w:eastAsia="仿宋"/>
                <w:bCs/>
                <w:szCs w:val="21"/>
              </w:rPr>
            </w:pPr>
            <w:r>
              <w:rPr>
                <w:rFonts w:hint="eastAsia" w:ascii="仿宋" w:hAnsi="仿宋" w:eastAsia="仿宋"/>
                <w:bCs/>
                <w:szCs w:val="21"/>
              </w:rPr>
              <w:t>支持树形结构分布，可将科室分成多个组别，允许一个科室秘书管理其科室及下属多个不同科室。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continue"/>
            <w:shd w:val="clear" w:color="auto" w:fill="auto"/>
            <w:vAlign w:val="center"/>
          </w:tcPr>
          <w:p>
            <w:pPr>
              <w:widowControl/>
              <w:spacing w:line="320" w:lineRule="exact"/>
              <w:rPr>
                <w:rFonts w:ascii="仿宋" w:hAnsi="仿宋" w:eastAsia="仿宋"/>
                <w:bCs/>
                <w:szCs w:val="21"/>
              </w:rPr>
            </w:pPr>
          </w:p>
        </w:tc>
        <w:tc>
          <w:tcPr>
            <w:tcW w:w="1296" w:type="dxa"/>
            <w:vMerge w:val="continue"/>
            <w:shd w:val="clear" w:color="auto" w:fill="auto"/>
            <w:vAlign w:val="center"/>
          </w:tcPr>
          <w:p>
            <w:pPr>
              <w:widowControl/>
              <w:spacing w:line="320" w:lineRule="exact"/>
              <w:rPr>
                <w:rFonts w:ascii="仿宋" w:hAnsi="仿宋" w:eastAsia="仿宋"/>
                <w:bCs/>
                <w:szCs w:val="21"/>
              </w:rPr>
            </w:pPr>
          </w:p>
        </w:tc>
        <w:tc>
          <w:tcPr>
            <w:tcW w:w="5452" w:type="dxa"/>
            <w:shd w:val="clear" w:color="auto" w:fill="auto"/>
            <w:vAlign w:val="center"/>
          </w:tcPr>
          <w:p>
            <w:pPr>
              <w:snapToGrid w:val="0"/>
              <w:spacing w:after="120" w:line="320" w:lineRule="exact"/>
              <w:rPr>
                <w:rFonts w:ascii="仿宋" w:hAnsi="仿宋" w:eastAsia="仿宋"/>
                <w:bCs/>
                <w:szCs w:val="21"/>
              </w:rPr>
            </w:pPr>
            <w:r>
              <w:rPr>
                <w:rFonts w:hint="eastAsia" w:ascii="仿宋" w:hAnsi="仿宋" w:eastAsia="仿宋"/>
                <w:bCs/>
                <w:szCs w:val="21"/>
              </w:rPr>
              <w:t>基地群组管理，可将多个专业基地设为一个基地组，方便教学活动的开展。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continue"/>
            <w:shd w:val="clear" w:color="auto" w:fill="auto"/>
            <w:vAlign w:val="center"/>
          </w:tcPr>
          <w:p>
            <w:pPr>
              <w:widowControl/>
              <w:spacing w:line="320" w:lineRule="exact"/>
              <w:rPr>
                <w:rFonts w:ascii="仿宋" w:hAnsi="仿宋" w:eastAsia="仿宋"/>
                <w:bCs/>
                <w:szCs w:val="21"/>
              </w:rPr>
            </w:pPr>
          </w:p>
        </w:tc>
        <w:tc>
          <w:tcPr>
            <w:tcW w:w="1296" w:type="dxa"/>
            <w:vMerge w:val="continue"/>
            <w:shd w:val="clear" w:color="auto" w:fill="auto"/>
            <w:vAlign w:val="center"/>
          </w:tcPr>
          <w:p>
            <w:pPr>
              <w:widowControl/>
              <w:spacing w:line="320" w:lineRule="exact"/>
              <w:rPr>
                <w:rFonts w:ascii="仿宋" w:hAnsi="仿宋" w:eastAsia="仿宋"/>
                <w:bCs/>
                <w:szCs w:val="21"/>
              </w:rPr>
            </w:pPr>
          </w:p>
        </w:tc>
        <w:tc>
          <w:tcPr>
            <w:tcW w:w="5452" w:type="dxa"/>
            <w:shd w:val="clear" w:color="auto" w:fill="auto"/>
            <w:vAlign w:val="center"/>
          </w:tcPr>
          <w:p>
            <w:pPr>
              <w:snapToGrid w:val="0"/>
              <w:spacing w:after="120" w:line="320" w:lineRule="exact"/>
              <w:rPr>
                <w:rFonts w:ascii="仿宋" w:hAnsi="仿宋" w:eastAsia="仿宋"/>
                <w:bCs/>
                <w:szCs w:val="21"/>
              </w:rPr>
            </w:pPr>
            <w:r>
              <w:rPr>
                <w:rFonts w:hint="eastAsia" w:ascii="仿宋" w:hAnsi="仿宋" w:eastAsia="仿宋"/>
                <w:bCs/>
                <w:szCs w:val="21"/>
              </w:rPr>
              <w:t>科室群组管理，可将多个科室设为一个科室组，方便教学活动的开展。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continue"/>
            <w:shd w:val="clear" w:color="auto" w:fill="auto"/>
            <w:vAlign w:val="center"/>
          </w:tcPr>
          <w:p>
            <w:pPr>
              <w:widowControl/>
              <w:spacing w:line="320" w:lineRule="exact"/>
              <w:rPr>
                <w:rFonts w:ascii="仿宋" w:hAnsi="仿宋" w:eastAsia="仿宋"/>
                <w:bCs/>
                <w:szCs w:val="21"/>
              </w:rPr>
            </w:pPr>
          </w:p>
        </w:tc>
        <w:tc>
          <w:tcPr>
            <w:tcW w:w="1296" w:type="dxa"/>
            <w:vMerge w:val="continue"/>
            <w:shd w:val="clear" w:color="auto" w:fill="auto"/>
            <w:vAlign w:val="center"/>
          </w:tcPr>
          <w:p>
            <w:pPr>
              <w:widowControl/>
              <w:spacing w:line="320" w:lineRule="exact"/>
              <w:rPr>
                <w:rFonts w:ascii="仿宋" w:hAnsi="仿宋" w:eastAsia="仿宋"/>
                <w:bCs/>
                <w:szCs w:val="21"/>
              </w:rPr>
            </w:pPr>
          </w:p>
        </w:tc>
        <w:tc>
          <w:tcPr>
            <w:tcW w:w="5452" w:type="dxa"/>
            <w:shd w:val="clear" w:color="auto" w:fill="auto"/>
            <w:vAlign w:val="center"/>
          </w:tcPr>
          <w:p>
            <w:pPr>
              <w:snapToGrid w:val="0"/>
              <w:spacing w:after="120" w:line="320" w:lineRule="exact"/>
              <w:rPr>
                <w:rFonts w:ascii="仿宋" w:hAnsi="仿宋" w:eastAsia="仿宋"/>
                <w:bCs/>
                <w:szCs w:val="21"/>
              </w:rPr>
            </w:pPr>
            <w:r>
              <w:rPr>
                <w:rFonts w:hint="eastAsia" w:ascii="仿宋" w:hAnsi="仿宋" w:eastAsia="仿宋"/>
                <w:bCs/>
                <w:szCs w:val="21"/>
              </w:rPr>
              <w:t>小班化管理，可创建班级，将学员归纳进入小班化管理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continue"/>
            <w:shd w:val="clear" w:color="auto" w:fill="auto"/>
            <w:vAlign w:val="center"/>
          </w:tcPr>
          <w:p>
            <w:pPr>
              <w:widowControl/>
              <w:spacing w:line="320" w:lineRule="exact"/>
              <w:rPr>
                <w:rFonts w:ascii="仿宋" w:hAnsi="仿宋" w:eastAsia="仿宋"/>
                <w:bCs/>
                <w:szCs w:val="21"/>
              </w:rPr>
            </w:pPr>
          </w:p>
        </w:tc>
        <w:tc>
          <w:tcPr>
            <w:tcW w:w="1296" w:type="dxa"/>
            <w:vMerge w:val="restart"/>
            <w:shd w:val="clear" w:color="auto" w:fill="auto"/>
            <w:vAlign w:val="center"/>
          </w:tcPr>
          <w:p>
            <w:pPr>
              <w:widowControl/>
              <w:spacing w:line="320" w:lineRule="exact"/>
              <w:rPr>
                <w:rFonts w:ascii="仿宋" w:hAnsi="仿宋" w:eastAsia="仿宋"/>
                <w:bCs/>
                <w:szCs w:val="21"/>
              </w:rPr>
            </w:pPr>
          </w:p>
          <w:p>
            <w:pPr>
              <w:widowControl/>
              <w:spacing w:line="320" w:lineRule="exact"/>
              <w:rPr>
                <w:rFonts w:ascii="仿宋" w:hAnsi="仿宋" w:eastAsia="仿宋"/>
                <w:bCs/>
                <w:szCs w:val="21"/>
              </w:rPr>
            </w:pPr>
          </w:p>
          <w:p>
            <w:pPr>
              <w:widowControl/>
              <w:spacing w:line="320" w:lineRule="exact"/>
              <w:rPr>
                <w:rFonts w:ascii="仿宋" w:hAnsi="仿宋" w:eastAsia="仿宋"/>
                <w:bCs/>
                <w:szCs w:val="21"/>
              </w:rPr>
            </w:pPr>
          </w:p>
          <w:p>
            <w:pPr>
              <w:widowControl/>
              <w:spacing w:line="320" w:lineRule="exact"/>
              <w:rPr>
                <w:rFonts w:ascii="仿宋" w:hAnsi="仿宋" w:eastAsia="仿宋"/>
                <w:bCs/>
                <w:szCs w:val="21"/>
              </w:rPr>
            </w:pPr>
          </w:p>
          <w:p>
            <w:pPr>
              <w:widowControl/>
              <w:spacing w:line="320" w:lineRule="exact"/>
              <w:rPr>
                <w:rFonts w:ascii="仿宋" w:hAnsi="仿宋" w:eastAsia="仿宋"/>
                <w:bCs/>
                <w:szCs w:val="21"/>
              </w:rPr>
            </w:pPr>
          </w:p>
          <w:p>
            <w:pPr>
              <w:widowControl/>
              <w:spacing w:line="320" w:lineRule="exact"/>
              <w:rPr>
                <w:rFonts w:ascii="仿宋" w:hAnsi="仿宋" w:eastAsia="仿宋"/>
                <w:bCs/>
                <w:szCs w:val="21"/>
              </w:rPr>
            </w:pPr>
            <w:r>
              <w:rPr>
                <w:rFonts w:hint="eastAsia" w:ascii="仿宋" w:hAnsi="仿宋" w:eastAsia="仿宋"/>
                <w:bCs/>
                <w:szCs w:val="21"/>
              </w:rPr>
              <w:t>用户管理</w:t>
            </w:r>
          </w:p>
        </w:tc>
        <w:tc>
          <w:tcPr>
            <w:tcW w:w="5452" w:type="dxa"/>
            <w:shd w:val="clear" w:color="auto" w:fill="auto"/>
            <w:vAlign w:val="center"/>
          </w:tcPr>
          <w:p>
            <w:pPr>
              <w:snapToGrid w:val="0"/>
              <w:spacing w:after="120" w:line="320" w:lineRule="exact"/>
              <w:rPr>
                <w:rFonts w:ascii="仿宋" w:hAnsi="仿宋" w:eastAsia="仿宋"/>
                <w:bCs/>
                <w:szCs w:val="21"/>
              </w:rPr>
            </w:pPr>
            <w:r>
              <w:rPr>
                <w:rFonts w:hint="eastAsia" w:ascii="仿宋" w:hAnsi="仿宋" w:eastAsia="仿宋"/>
                <w:bCs/>
                <w:szCs w:val="21"/>
              </w:rPr>
              <w:t>支持对系统用户进行增删改查，并通过导入EXCEL的方式导入学员、导入教师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continue"/>
            <w:shd w:val="clear" w:color="auto" w:fill="auto"/>
            <w:vAlign w:val="center"/>
          </w:tcPr>
          <w:p>
            <w:pPr>
              <w:widowControl/>
              <w:spacing w:line="320" w:lineRule="exact"/>
              <w:rPr>
                <w:rFonts w:ascii="仿宋" w:hAnsi="仿宋" w:eastAsia="仿宋"/>
                <w:bCs/>
                <w:szCs w:val="21"/>
              </w:rPr>
            </w:pPr>
          </w:p>
        </w:tc>
        <w:tc>
          <w:tcPr>
            <w:tcW w:w="1296" w:type="dxa"/>
            <w:vMerge w:val="continue"/>
            <w:shd w:val="clear" w:color="auto" w:fill="auto"/>
            <w:vAlign w:val="center"/>
          </w:tcPr>
          <w:p>
            <w:pPr>
              <w:widowControl/>
              <w:spacing w:line="320" w:lineRule="exact"/>
              <w:rPr>
                <w:rFonts w:ascii="仿宋" w:hAnsi="仿宋" w:eastAsia="仿宋"/>
                <w:bCs/>
                <w:szCs w:val="21"/>
              </w:rPr>
            </w:pPr>
          </w:p>
        </w:tc>
        <w:tc>
          <w:tcPr>
            <w:tcW w:w="5452" w:type="dxa"/>
            <w:shd w:val="clear" w:color="auto" w:fill="auto"/>
            <w:vAlign w:val="center"/>
          </w:tcPr>
          <w:p>
            <w:pPr>
              <w:snapToGrid w:val="0"/>
              <w:spacing w:after="120" w:line="320" w:lineRule="exact"/>
              <w:rPr>
                <w:rFonts w:ascii="仿宋" w:hAnsi="仿宋" w:eastAsia="仿宋"/>
                <w:bCs/>
                <w:szCs w:val="21"/>
              </w:rPr>
            </w:pPr>
            <w:r>
              <w:rPr>
                <w:rFonts w:hint="eastAsia" w:ascii="仿宋" w:hAnsi="仿宋" w:eastAsia="仿宋"/>
                <w:bCs/>
                <w:szCs w:val="21"/>
              </w:rPr>
              <w:t>密码重置，可对用户的密码进行初始化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continue"/>
            <w:shd w:val="clear" w:color="auto" w:fill="auto"/>
            <w:vAlign w:val="center"/>
          </w:tcPr>
          <w:p>
            <w:pPr>
              <w:widowControl/>
              <w:spacing w:line="320" w:lineRule="exact"/>
              <w:rPr>
                <w:rFonts w:ascii="仿宋" w:hAnsi="仿宋" w:eastAsia="仿宋"/>
                <w:bCs/>
                <w:szCs w:val="21"/>
              </w:rPr>
            </w:pPr>
          </w:p>
        </w:tc>
        <w:tc>
          <w:tcPr>
            <w:tcW w:w="1296" w:type="dxa"/>
            <w:vMerge w:val="continue"/>
            <w:shd w:val="clear" w:color="auto" w:fill="auto"/>
            <w:vAlign w:val="center"/>
          </w:tcPr>
          <w:p>
            <w:pPr>
              <w:widowControl/>
              <w:spacing w:line="320" w:lineRule="exact"/>
              <w:rPr>
                <w:rFonts w:ascii="仿宋" w:hAnsi="仿宋" w:eastAsia="仿宋"/>
                <w:bCs/>
                <w:szCs w:val="21"/>
              </w:rPr>
            </w:pPr>
          </w:p>
        </w:tc>
        <w:tc>
          <w:tcPr>
            <w:tcW w:w="5452" w:type="dxa"/>
            <w:shd w:val="clear" w:color="auto" w:fill="auto"/>
            <w:vAlign w:val="center"/>
          </w:tcPr>
          <w:p>
            <w:pPr>
              <w:snapToGrid w:val="0"/>
              <w:spacing w:after="120" w:line="320" w:lineRule="exact"/>
              <w:rPr>
                <w:rFonts w:ascii="仿宋" w:hAnsi="仿宋" w:eastAsia="仿宋"/>
                <w:bCs/>
                <w:szCs w:val="21"/>
              </w:rPr>
            </w:pPr>
            <w:r>
              <w:rPr>
                <w:rFonts w:hint="eastAsia" w:ascii="仿宋" w:hAnsi="仿宋" w:eastAsia="仿宋"/>
                <w:bCs/>
                <w:szCs w:val="21"/>
              </w:rPr>
              <w:t>手机微信绑定查询，可对用户微信是否绑定启用手机端小程序进行查询和筛选，同时保证用户和账号的唯一性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continue"/>
            <w:shd w:val="clear" w:color="auto" w:fill="auto"/>
            <w:vAlign w:val="center"/>
          </w:tcPr>
          <w:p>
            <w:pPr>
              <w:widowControl/>
              <w:spacing w:line="320" w:lineRule="exact"/>
              <w:rPr>
                <w:rFonts w:ascii="仿宋" w:hAnsi="仿宋" w:eastAsia="仿宋"/>
                <w:bCs/>
                <w:szCs w:val="21"/>
              </w:rPr>
            </w:pPr>
          </w:p>
        </w:tc>
        <w:tc>
          <w:tcPr>
            <w:tcW w:w="1296" w:type="dxa"/>
            <w:vMerge w:val="continue"/>
            <w:shd w:val="clear" w:color="auto" w:fill="auto"/>
            <w:vAlign w:val="center"/>
          </w:tcPr>
          <w:p>
            <w:pPr>
              <w:widowControl/>
              <w:spacing w:line="320" w:lineRule="exact"/>
              <w:rPr>
                <w:rFonts w:ascii="仿宋" w:hAnsi="仿宋" w:eastAsia="仿宋"/>
                <w:bCs/>
                <w:szCs w:val="21"/>
              </w:rPr>
            </w:pPr>
          </w:p>
        </w:tc>
        <w:tc>
          <w:tcPr>
            <w:tcW w:w="5452" w:type="dxa"/>
            <w:shd w:val="clear" w:color="auto" w:fill="auto"/>
            <w:vAlign w:val="center"/>
          </w:tcPr>
          <w:p>
            <w:pPr>
              <w:snapToGrid w:val="0"/>
              <w:spacing w:after="120" w:line="320" w:lineRule="exact"/>
              <w:rPr>
                <w:rFonts w:ascii="仿宋" w:hAnsi="仿宋" w:eastAsia="仿宋"/>
                <w:bCs/>
                <w:szCs w:val="21"/>
              </w:rPr>
            </w:pPr>
            <w:r>
              <w:rPr>
                <w:rFonts w:hint="eastAsia" w:ascii="仿宋" w:hAnsi="仿宋" w:eastAsia="仿宋"/>
                <w:bCs/>
                <w:szCs w:val="21"/>
              </w:rPr>
              <w:t>解除绑定，可将用户与绑定关系进行解除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continue"/>
            <w:shd w:val="clear" w:color="auto" w:fill="auto"/>
            <w:vAlign w:val="center"/>
          </w:tcPr>
          <w:p>
            <w:pPr>
              <w:widowControl/>
              <w:spacing w:line="320" w:lineRule="exact"/>
              <w:rPr>
                <w:rFonts w:ascii="仿宋" w:hAnsi="仿宋" w:eastAsia="仿宋"/>
                <w:bCs/>
                <w:szCs w:val="21"/>
              </w:rPr>
            </w:pPr>
          </w:p>
        </w:tc>
        <w:tc>
          <w:tcPr>
            <w:tcW w:w="1296" w:type="dxa"/>
            <w:vMerge w:val="continue"/>
            <w:shd w:val="clear" w:color="auto" w:fill="auto"/>
            <w:vAlign w:val="center"/>
          </w:tcPr>
          <w:p>
            <w:pPr>
              <w:widowControl/>
              <w:spacing w:line="320" w:lineRule="exact"/>
              <w:rPr>
                <w:rFonts w:ascii="仿宋" w:hAnsi="仿宋" w:eastAsia="仿宋"/>
                <w:bCs/>
                <w:szCs w:val="21"/>
              </w:rPr>
            </w:pPr>
          </w:p>
        </w:tc>
        <w:tc>
          <w:tcPr>
            <w:tcW w:w="5452" w:type="dxa"/>
            <w:shd w:val="clear" w:color="auto" w:fill="auto"/>
            <w:vAlign w:val="center"/>
          </w:tcPr>
          <w:p>
            <w:pPr>
              <w:widowControl/>
              <w:spacing w:line="320" w:lineRule="exact"/>
              <w:rPr>
                <w:rFonts w:ascii="仿宋" w:hAnsi="仿宋" w:eastAsia="仿宋"/>
                <w:bCs/>
                <w:szCs w:val="21"/>
              </w:rPr>
            </w:pPr>
            <w:r>
              <w:rPr>
                <w:rFonts w:hint="eastAsia" w:ascii="仿宋" w:hAnsi="仿宋" w:eastAsia="仿宋"/>
                <w:bCs/>
                <w:szCs w:val="21"/>
              </w:rPr>
              <w:t>用户自定义类别，可在系统中创建全新的用户类别，从而在教学管理中加以区分，例如系统中原先没有某一类学员，可自行创建某类人员的用户类别，在教学活动中单独通知该类人员这个自定义类别，包括消息通知、值班、考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1512" w:type="dxa"/>
            <w:vMerge w:val="continue"/>
            <w:shd w:val="clear" w:color="auto" w:fill="auto"/>
            <w:vAlign w:val="center"/>
          </w:tcPr>
          <w:p>
            <w:pPr>
              <w:widowControl/>
              <w:spacing w:line="320" w:lineRule="exact"/>
              <w:rPr>
                <w:rFonts w:ascii="仿宋" w:hAnsi="仿宋" w:eastAsia="仿宋"/>
                <w:bCs/>
                <w:szCs w:val="21"/>
              </w:rPr>
            </w:pPr>
          </w:p>
        </w:tc>
        <w:tc>
          <w:tcPr>
            <w:tcW w:w="1296" w:type="dxa"/>
            <w:shd w:val="clear" w:color="auto" w:fill="auto"/>
            <w:vAlign w:val="center"/>
          </w:tcPr>
          <w:p>
            <w:pPr>
              <w:widowControl/>
              <w:spacing w:line="320" w:lineRule="exact"/>
              <w:rPr>
                <w:rFonts w:ascii="仿宋" w:hAnsi="仿宋" w:eastAsia="仿宋"/>
                <w:bCs/>
                <w:szCs w:val="21"/>
              </w:rPr>
            </w:pPr>
            <w:r>
              <w:rPr>
                <w:rFonts w:hint="eastAsia" w:ascii="仿宋" w:hAnsi="仿宋" w:eastAsia="仿宋"/>
                <w:bCs/>
                <w:szCs w:val="21"/>
              </w:rPr>
              <w:t>数据端口</w:t>
            </w:r>
          </w:p>
        </w:tc>
        <w:tc>
          <w:tcPr>
            <w:tcW w:w="5452" w:type="dxa"/>
            <w:shd w:val="clear" w:color="auto" w:fill="auto"/>
            <w:vAlign w:val="center"/>
          </w:tcPr>
          <w:p>
            <w:pPr>
              <w:pStyle w:val="71"/>
              <w:spacing w:line="320" w:lineRule="exact"/>
              <w:jc w:val="both"/>
              <w:rPr>
                <w:rFonts w:ascii="仿宋" w:hAnsi="仿宋" w:eastAsia="仿宋"/>
                <w:bCs/>
                <w:sz w:val="21"/>
                <w:szCs w:val="21"/>
              </w:rPr>
            </w:pPr>
            <w:r>
              <w:rPr>
                <w:rFonts w:hint="eastAsia" w:ascii="仿宋" w:hAnsi="仿宋" w:eastAsia="仿宋"/>
                <w:sz w:val="21"/>
                <w:szCs w:val="21"/>
              </w:rPr>
              <w:t>教学管理系统支持与医院其他软件系统对接提供所有数据接口</w:t>
            </w:r>
          </w:p>
          <w:p>
            <w:pPr>
              <w:pStyle w:val="71"/>
              <w:spacing w:line="320" w:lineRule="exact"/>
              <w:jc w:val="both"/>
              <w:rPr>
                <w:rFonts w:ascii="仿宋" w:hAnsi="仿宋" w:eastAsia="仿宋"/>
                <w:bCs/>
                <w:sz w:val="21"/>
                <w:szCs w:val="21"/>
              </w:rPr>
            </w:pPr>
            <w:r>
              <w:rPr>
                <w:rFonts w:hint="eastAsia" w:ascii="仿宋" w:hAnsi="仿宋" w:eastAsia="仿宋"/>
                <w:sz w:val="21"/>
                <w:szCs w:val="21"/>
              </w:rPr>
              <w:t>开放数据结构，提供比较完整数据结构文档。</w:t>
            </w:r>
          </w:p>
          <w:p>
            <w:pPr>
              <w:pStyle w:val="71"/>
              <w:spacing w:line="320" w:lineRule="exact"/>
              <w:jc w:val="both"/>
              <w:rPr>
                <w:rFonts w:ascii="仿宋" w:hAnsi="仿宋" w:eastAsia="仿宋"/>
                <w:bCs/>
                <w:sz w:val="21"/>
                <w:szCs w:val="21"/>
              </w:rPr>
            </w:pPr>
            <w:r>
              <w:rPr>
                <w:rFonts w:hint="eastAsia" w:ascii="仿宋" w:hAnsi="仿宋" w:eastAsia="仿宋"/>
                <w:sz w:val="21"/>
                <w:szCs w:val="21"/>
              </w:rPr>
              <w:t>能够提供无偿咨询服务。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continue"/>
            <w:shd w:val="clear" w:color="auto" w:fill="auto"/>
            <w:vAlign w:val="center"/>
          </w:tcPr>
          <w:p>
            <w:pPr>
              <w:widowControl/>
              <w:spacing w:line="320" w:lineRule="exact"/>
              <w:rPr>
                <w:rFonts w:ascii="仿宋" w:hAnsi="仿宋" w:eastAsia="仿宋"/>
                <w:bCs/>
                <w:szCs w:val="21"/>
              </w:rPr>
            </w:pPr>
          </w:p>
        </w:tc>
        <w:tc>
          <w:tcPr>
            <w:tcW w:w="1296" w:type="dxa"/>
            <w:vMerge w:val="restart"/>
            <w:shd w:val="clear" w:color="auto" w:fill="auto"/>
            <w:vAlign w:val="center"/>
          </w:tcPr>
          <w:p>
            <w:pPr>
              <w:snapToGrid w:val="0"/>
              <w:spacing w:after="120" w:line="320" w:lineRule="exact"/>
              <w:rPr>
                <w:rFonts w:ascii="仿宋" w:hAnsi="仿宋" w:eastAsia="仿宋"/>
                <w:b/>
                <w:bCs/>
                <w:szCs w:val="21"/>
              </w:rPr>
            </w:pPr>
            <w:r>
              <w:rPr>
                <w:rFonts w:hint="eastAsia" w:ascii="仿宋" w:hAnsi="仿宋" w:eastAsia="仿宋"/>
                <w:bCs/>
                <w:szCs w:val="21"/>
              </w:rPr>
              <w:t>角色管理</w:t>
            </w:r>
          </w:p>
          <w:p>
            <w:pPr>
              <w:widowControl/>
              <w:spacing w:line="320" w:lineRule="exact"/>
              <w:rPr>
                <w:rFonts w:ascii="仿宋" w:hAnsi="仿宋" w:eastAsia="仿宋"/>
                <w:bCs/>
                <w:szCs w:val="21"/>
              </w:rPr>
            </w:pPr>
          </w:p>
        </w:tc>
        <w:tc>
          <w:tcPr>
            <w:tcW w:w="5452" w:type="dxa"/>
            <w:shd w:val="clear" w:color="auto" w:fill="auto"/>
            <w:vAlign w:val="center"/>
          </w:tcPr>
          <w:p>
            <w:pPr>
              <w:snapToGrid w:val="0"/>
              <w:spacing w:after="120" w:line="320" w:lineRule="exact"/>
              <w:rPr>
                <w:rFonts w:ascii="仿宋" w:hAnsi="仿宋" w:eastAsia="仿宋"/>
                <w:szCs w:val="21"/>
              </w:rPr>
            </w:pPr>
            <w:r>
              <w:rPr>
                <w:rFonts w:hint="eastAsia" w:ascii="仿宋" w:hAnsi="仿宋" w:eastAsia="仿宋"/>
                <w:szCs w:val="21"/>
              </w:rPr>
              <w:t>科教管理人员：拥有系统的最高权限</w:t>
            </w:r>
          </w:p>
          <w:p>
            <w:pPr>
              <w:widowControl/>
              <w:spacing w:line="320" w:lineRule="exact"/>
              <w:rPr>
                <w:rFonts w:ascii="仿宋" w:hAnsi="仿宋" w:eastAsia="仿宋"/>
                <w:szCs w:val="21"/>
              </w:rPr>
            </w:pPr>
            <w:r>
              <w:rPr>
                <w:rFonts w:hint="eastAsia" w:ascii="仿宋" w:hAnsi="仿宋" w:eastAsia="仿宋"/>
                <w:szCs w:val="21"/>
              </w:rPr>
              <w:t>可对所有用户进行编辑、导入、停用、解除手机小程序（或微信等）绑定；</w:t>
            </w:r>
          </w:p>
          <w:p>
            <w:pPr>
              <w:widowControl/>
              <w:spacing w:line="320" w:lineRule="exact"/>
              <w:rPr>
                <w:rFonts w:ascii="仿宋" w:hAnsi="仿宋" w:eastAsia="仿宋"/>
                <w:szCs w:val="21"/>
              </w:rPr>
            </w:pPr>
            <w:r>
              <w:rPr>
                <w:rFonts w:hint="eastAsia" w:ascii="仿宋" w:hAnsi="仿宋" w:eastAsia="仿宋"/>
                <w:szCs w:val="21"/>
              </w:rPr>
              <w:t>允许发送全院通知，包括手机短信和手机小程序（或微信等）；</w:t>
            </w:r>
          </w:p>
          <w:p>
            <w:pPr>
              <w:snapToGrid w:val="0"/>
              <w:spacing w:after="120" w:line="320" w:lineRule="exact"/>
              <w:rPr>
                <w:rFonts w:ascii="仿宋" w:hAnsi="仿宋" w:eastAsia="仿宋"/>
                <w:szCs w:val="21"/>
              </w:rPr>
            </w:pPr>
            <w:r>
              <w:rPr>
                <w:rFonts w:hint="eastAsia" w:ascii="仿宋" w:hAnsi="仿宋" w:eastAsia="仿宋"/>
                <w:szCs w:val="21"/>
              </w:rPr>
              <w:t>对所有轮转信息进行增删改查，查看所有轮转信息统计结果；</w:t>
            </w:r>
          </w:p>
          <w:p>
            <w:pPr>
              <w:pStyle w:val="71"/>
              <w:spacing w:line="320" w:lineRule="exact"/>
              <w:jc w:val="both"/>
              <w:rPr>
                <w:rFonts w:ascii="仿宋" w:hAnsi="仿宋" w:eastAsia="仿宋"/>
                <w:sz w:val="21"/>
                <w:szCs w:val="21"/>
              </w:rPr>
            </w:pPr>
            <w:r>
              <w:rPr>
                <w:rFonts w:hint="eastAsia" w:ascii="仿宋" w:hAnsi="仿宋" w:eastAsia="仿宋"/>
                <w:sz w:val="21"/>
                <w:szCs w:val="21"/>
              </w:rPr>
              <w:t>管理所有科室的教学活动，设定教学活动开展绩效考核计算方式；</w:t>
            </w:r>
          </w:p>
          <w:p>
            <w:pPr>
              <w:pStyle w:val="71"/>
              <w:spacing w:line="320" w:lineRule="exact"/>
              <w:jc w:val="both"/>
              <w:rPr>
                <w:rFonts w:ascii="仿宋" w:hAnsi="仿宋" w:eastAsia="仿宋"/>
                <w:sz w:val="21"/>
                <w:szCs w:val="21"/>
              </w:rPr>
            </w:pPr>
            <w:r>
              <w:rPr>
                <w:rFonts w:hint="eastAsia" w:ascii="仿宋" w:hAnsi="仿宋" w:eastAsia="仿宋"/>
                <w:sz w:val="21"/>
                <w:szCs w:val="21"/>
              </w:rPr>
              <w:t>查看带教教师绩效月报、年报统计结果；</w:t>
            </w:r>
          </w:p>
          <w:p>
            <w:pPr>
              <w:snapToGrid w:val="0"/>
              <w:spacing w:after="120" w:line="320" w:lineRule="exact"/>
              <w:rPr>
                <w:rFonts w:ascii="仿宋" w:hAnsi="仿宋" w:eastAsia="仿宋"/>
                <w:szCs w:val="21"/>
              </w:rPr>
            </w:pPr>
            <w:r>
              <w:rPr>
                <w:rFonts w:hint="eastAsia" w:ascii="仿宋" w:hAnsi="仿宋" w:eastAsia="仿宋"/>
                <w:szCs w:val="21"/>
              </w:rPr>
              <w:t>查看所有360°评价的详细记录，决定是否开展评测，调整评测维度、评测表单；</w:t>
            </w:r>
          </w:p>
          <w:p>
            <w:pPr>
              <w:snapToGrid w:val="0"/>
              <w:spacing w:after="120" w:line="320" w:lineRule="exact"/>
              <w:rPr>
                <w:rFonts w:ascii="仿宋" w:hAnsi="仿宋" w:eastAsia="仿宋"/>
                <w:szCs w:val="21"/>
              </w:rPr>
            </w:pPr>
            <w:r>
              <w:rPr>
                <w:rFonts w:hint="eastAsia" w:ascii="仿宋" w:hAnsi="仿宋" w:eastAsia="仿宋"/>
                <w:szCs w:val="21"/>
              </w:rPr>
              <w:t>查看所有科室的考勤情况；</w:t>
            </w:r>
          </w:p>
          <w:p>
            <w:pPr>
              <w:snapToGrid w:val="0"/>
              <w:spacing w:after="120" w:line="320" w:lineRule="exact"/>
              <w:rPr>
                <w:rFonts w:ascii="仿宋" w:hAnsi="仿宋" w:eastAsia="仿宋"/>
                <w:szCs w:val="21"/>
              </w:rPr>
            </w:pPr>
            <w:r>
              <w:rPr>
                <w:rFonts w:hint="eastAsia" w:ascii="仿宋" w:hAnsi="仿宋" w:eastAsia="仿宋"/>
                <w:szCs w:val="21"/>
              </w:rPr>
              <w:t>查看所有科室的值班情况；</w:t>
            </w:r>
          </w:p>
          <w:p>
            <w:pPr>
              <w:snapToGrid w:val="0"/>
              <w:spacing w:after="120" w:line="320" w:lineRule="exact"/>
              <w:rPr>
                <w:rFonts w:ascii="仿宋" w:hAnsi="仿宋" w:eastAsia="仿宋"/>
                <w:szCs w:val="21"/>
              </w:rPr>
            </w:pPr>
            <w:r>
              <w:rPr>
                <w:rFonts w:hint="eastAsia" w:ascii="仿宋" w:hAnsi="仿宋" w:eastAsia="仿宋"/>
                <w:szCs w:val="21"/>
              </w:rPr>
              <w:t>管理文档中心中的资料；</w:t>
            </w:r>
          </w:p>
          <w:p>
            <w:pPr>
              <w:snapToGrid w:val="0"/>
              <w:spacing w:after="120" w:line="320" w:lineRule="exact"/>
              <w:rPr>
                <w:rFonts w:ascii="仿宋" w:hAnsi="仿宋" w:eastAsia="仿宋"/>
                <w:szCs w:val="21"/>
              </w:rPr>
            </w:pPr>
            <w:r>
              <w:rPr>
                <w:rFonts w:hint="eastAsia" w:ascii="仿宋" w:hAnsi="仿宋" w:eastAsia="仿宋"/>
                <w:szCs w:val="21"/>
              </w:rPr>
              <w:t>编辑医院的科室组织架构；</w:t>
            </w:r>
          </w:p>
          <w:p>
            <w:pPr>
              <w:snapToGrid w:val="0"/>
              <w:spacing w:after="120" w:line="320" w:lineRule="exact"/>
              <w:rPr>
                <w:rFonts w:ascii="仿宋" w:hAnsi="仿宋" w:eastAsia="仿宋"/>
                <w:szCs w:val="21"/>
              </w:rPr>
            </w:pPr>
            <w:r>
              <w:rPr>
                <w:rFonts w:hint="eastAsia" w:ascii="仿宋" w:hAnsi="仿宋" w:eastAsia="仿宋"/>
                <w:szCs w:val="21"/>
              </w:rPr>
              <w:t>查询系统的使用日志；</w:t>
            </w:r>
          </w:p>
          <w:p>
            <w:pPr>
              <w:snapToGrid w:val="0"/>
              <w:spacing w:after="120" w:line="320" w:lineRule="exact"/>
              <w:rPr>
                <w:rFonts w:ascii="仿宋" w:hAnsi="仿宋" w:eastAsia="仿宋"/>
                <w:szCs w:val="21"/>
              </w:rPr>
            </w:pPr>
            <w:r>
              <w:rPr>
                <w:rFonts w:hint="eastAsia" w:ascii="仿宋" w:hAnsi="仿宋" w:eastAsia="仿宋"/>
                <w:szCs w:val="21"/>
              </w:rPr>
              <w:t>查看所有学员及带教老师个体的培训轨迹，能按不同时间段及内容汇总数据</w:t>
            </w:r>
          </w:p>
          <w:p>
            <w:pPr>
              <w:snapToGrid w:val="0"/>
              <w:spacing w:after="120" w:line="320" w:lineRule="exact"/>
              <w:rPr>
                <w:rFonts w:ascii="仿宋" w:hAnsi="仿宋" w:eastAsia="仿宋"/>
                <w:szCs w:val="21"/>
              </w:rPr>
            </w:pPr>
            <w:r>
              <w:rPr>
                <w:rFonts w:hint="eastAsia" w:ascii="仿宋" w:hAnsi="仿宋" w:eastAsia="仿宋"/>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continue"/>
            <w:shd w:val="clear" w:color="auto" w:fill="auto"/>
            <w:vAlign w:val="center"/>
          </w:tcPr>
          <w:p>
            <w:pPr>
              <w:widowControl/>
              <w:spacing w:line="320" w:lineRule="exact"/>
              <w:rPr>
                <w:rFonts w:ascii="仿宋" w:hAnsi="仿宋" w:eastAsia="仿宋"/>
                <w:bCs/>
                <w:szCs w:val="21"/>
              </w:rPr>
            </w:pPr>
          </w:p>
        </w:tc>
        <w:tc>
          <w:tcPr>
            <w:tcW w:w="1296" w:type="dxa"/>
            <w:vMerge w:val="continue"/>
            <w:shd w:val="clear" w:color="auto" w:fill="auto"/>
            <w:vAlign w:val="center"/>
          </w:tcPr>
          <w:p>
            <w:pPr>
              <w:widowControl/>
              <w:spacing w:line="320" w:lineRule="exact"/>
              <w:rPr>
                <w:rFonts w:ascii="仿宋" w:hAnsi="仿宋" w:eastAsia="仿宋"/>
                <w:bCs/>
                <w:szCs w:val="21"/>
              </w:rPr>
            </w:pPr>
          </w:p>
        </w:tc>
        <w:tc>
          <w:tcPr>
            <w:tcW w:w="5452" w:type="dxa"/>
            <w:shd w:val="clear" w:color="auto" w:fill="auto"/>
            <w:vAlign w:val="center"/>
          </w:tcPr>
          <w:p>
            <w:pPr>
              <w:snapToGrid w:val="0"/>
              <w:spacing w:after="120" w:line="320" w:lineRule="exact"/>
              <w:rPr>
                <w:rFonts w:ascii="仿宋" w:hAnsi="仿宋" w:eastAsia="仿宋"/>
                <w:szCs w:val="21"/>
              </w:rPr>
            </w:pPr>
            <w:r>
              <w:rPr>
                <w:rFonts w:hint="eastAsia" w:ascii="仿宋" w:hAnsi="仿宋" w:eastAsia="仿宋"/>
                <w:szCs w:val="21"/>
              </w:rPr>
              <w:t>基地秘书:</w:t>
            </w:r>
          </w:p>
          <w:p>
            <w:pPr>
              <w:snapToGrid w:val="0"/>
              <w:spacing w:after="120" w:line="320" w:lineRule="exact"/>
              <w:rPr>
                <w:rFonts w:ascii="仿宋" w:hAnsi="仿宋" w:eastAsia="仿宋"/>
                <w:szCs w:val="21"/>
              </w:rPr>
            </w:pPr>
            <w:r>
              <w:rPr>
                <w:rFonts w:hint="eastAsia" w:ascii="仿宋" w:hAnsi="仿宋" w:eastAsia="仿宋"/>
                <w:szCs w:val="21"/>
              </w:rPr>
              <w:t>允许发送专业基地通知，包括短信和手机小程序（或微信等）；</w:t>
            </w:r>
          </w:p>
          <w:p>
            <w:pPr>
              <w:snapToGrid w:val="0"/>
              <w:spacing w:after="120" w:line="320" w:lineRule="exact"/>
              <w:rPr>
                <w:rFonts w:ascii="仿宋" w:hAnsi="仿宋" w:eastAsia="仿宋"/>
                <w:szCs w:val="21"/>
              </w:rPr>
            </w:pPr>
            <w:r>
              <w:rPr>
                <w:rFonts w:hint="eastAsia" w:ascii="仿宋" w:hAnsi="仿宋" w:eastAsia="仿宋"/>
                <w:szCs w:val="21"/>
              </w:rPr>
              <w:t>管理所属科室（专业基地）的教学活动，能阶段性汇总教学活动信息（次数及主持老师）；</w:t>
            </w:r>
          </w:p>
          <w:p>
            <w:pPr>
              <w:snapToGrid w:val="0"/>
              <w:spacing w:after="120" w:line="320" w:lineRule="exact"/>
              <w:rPr>
                <w:rFonts w:ascii="仿宋" w:hAnsi="仿宋" w:eastAsia="仿宋"/>
                <w:szCs w:val="21"/>
              </w:rPr>
            </w:pPr>
            <w:r>
              <w:rPr>
                <w:rFonts w:hint="eastAsia" w:ascii="仿宋" w:hAnsi="仿宋" w:eastAsia="仿宋"/>
                <w:szCs w:val="21"/>
              </w:rPr>
              <w:t>查看所属科室（专业基地）的带教教师绩效月报、年报统计结果；</w:t>
            </w:r>
          </w:p>
          <w:p>
            <w:pPr>
              <w:snapToGrid w:val="0"/>
              <w:spacing w:after="120" w:line="320" w:lineRule="exact"/>
              <w:rPr>
                <w:rFonts w:ascii="仿宋" w:hAnsi="仿宋" w:eastAsia="仿宋"/>
                <w:szCs w:val="21"/>
              </w:rPr>
            </w:pPr>
            <w:r>
              <w:rPr>
                <w:rFonts w:hint="eastAsia" w:ascii="仿宋" w:hAnsi="仿宋" w:eastAsia="仿宋"/>
                <w:szCs w:val="21"/>
              </w:rPr>
              <w:t>查看所属科室（专业基地）每月或年度360°评价的情况</w:t>
            </w:r>
          </w:p>
          <w:p>
            <w:pPr>
              <w:snapToGrid w:val="0"/>
              <w:spacing w:after="120" w:line="320" w:lineRule="exact"/>
              <w:rPr>
                <w:rFonts w:ascii="仿宋" w:hAnsi="仿宋" w:eastAsia="仿宋"/>
                <w:szCs w:val="21"/>
              </w:rPr>
            </w:pPr>
            <w:r>
              <w:rPr>
                <w:rFonts w:hint="eastAsia" w:ascii="仿宋" w:hAnsi="仿宋" w:eastAsia="仿宋"/>
                <w:szCs w:val="21"/>
              </w:rPr>
              <w:t>查看所属科室（专业基地）每月或年度的考勤情况；</w:t>
            </w:r>
          </w:p>
          <w:p>
            <w:pPr>
              <w:snapToGrid w:val="0"/>
              <w:spacing w:after="120" w:line="320" w:lineRule="exact"/>
              <w:rPr>
                <w:rFonts w:ascii="仿宋" w:hAnsi="仿宋" w:eastAsia="仿宋"/>
                <w:szCs w:val="21"/>
              </w:rPr>
            </w:pPr>
            <w:r>
              <w:rPr>
                <w:rFonts w:hint="eastAsia" w:ascii="仿宋" w:hAnsi="仿宋" w:eastAsia="仿宋"/>
                <w:szCs w:val="21"/>
              </w:rPr>
              <w:t>查看所属科室（专业基地）的值班情况；</w:t>
            </w:r>
          </w:p>
          <w:p>
            <w:pPr>
              <w:snapToGrid w:val="0"/>
              <w:spacing w:after="120" w:line="320" w:lineRule="exact"/>
              <w:rPr>
                <w:rFonts w:ascii="仿宋" w:hAnsi="仿宋" w:eastAsia="仿宋"/>
                <w:szCs w:val="21"/>
              </w:rPr>
            </w:pPr>
            <w:r>
              <w:rPr>
                <w:rFonts w:hint="eastAsia" w:ascii="仿宋" w:hAnsi="仿宋" w:eastAsia="仿宋"/>
                <w:szCs w:val="21"/>
              </w:rPr>
              <w:t>对个人信息进行维护；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continue"/>
            <w:shd w:val="clear" w:color="auto" w:fill="auto"/>
            <w:vAlign w:val="center"/>
          </w:tcPr>
          <w:p>
            <w:pPr>
              <w:widowControl/>
              <w:spacing w:line="320" w:lineRule="exact"/>
              <w:rPr>
                <w:rFonts w:ascii="仿宋" w:hAnsi="仿宋" w:eastAsia="仿宋"/>
                <w:bCs/>
                <w:szCs w:val="21"/>
              </w:rPr>
            </w:pPr>
          </w:p>
        </w:tc>
        <w:tc>
          <w:tcPr>
            <w:tcW w:w="1296" w:type="dxa"/>
            <w:vMerge w:val="continue"/>
            <w:shd w:val="clear" w:color="auto" w:fill="auto"/>
            <w:vAlign w:val="center"/>
          </w:tcPr>
          <w:p>
            <w:pPr>
              <w:widowControl/>
              <w:spacing w:line="320" w:lineRule="exact"/>
              <w:rPr>
                <w:rFonts w:ascii="仿宋" w:hAnsi="仿宋" w:eastAsia="仿宋"/>
                <w:bCs/>
                <w:szCs w:val="21"/>
              </w:rPr>
            </w:pPr>
          </w:p>
        </w:tc>
        <w:tc>
          <w:tcPr>
            <w:tcW w:w="5452" w:type="dxa"/>
            <w:shd w:val="clear" w:color="auto" w:fill="auto"/>
            <w:vAlign w:val="center"/>
          </w:tcPr>
          <w:p>
            <w:pPr>
              <w:snapToGrid w:val="0"/>
              <w:spacing w:after="120" w:line="320" w:lineRule="exact"/>
              <w:rPr>
                <w:rFonts w:ascii="仿宋" w:hAnsi="仿宋" w:eastAsia="仿宋"/>
                <w:szCs w:val="21"/>
              </w:rPr>
            </w:pPr>
            <w:r>
              <w:rPr>
                <w:rFonts w:hint="eastAsia" w:ascii="仿宋" w:hAnsi="仿宋" w:eastAsia="仿宋"/>
                <w:szCs w:val="21"/>
              </w:rPr>
              <w:t>科室主任、教学秘书（科教干事）:</w:t>
            </w:r>
          </w:p>
          <w:p>
            <w:pPr>
              <w:snapToGrid w:val="0"/>
              <w:spacing w:after="120" w:line="320" w:lineRule="exact"/>
              <w:rPr>
                <w:rFonts w:ascii="仿宋" w:hAnsi="仿宋" w:eastAsia="仿宋"/>
                <w:szCs w:val="21"/>
              </w:rPr>
            </w:pPr>
            <w:r>
              <w:rPr>
                <w:rFonts w:hint="eastAsia" w:ascii="仿宋" w:hAnsi="仿宋" w:eastAsia="仿宋"/>
                <w:szCs w:val="21"/>
              </w:rPr>
              <w:t>允许发送科室通知，包括短信和手机小程序（或微信等）；</w:t>
            </w:r>
          </w:p>
          <w:p>
            <w:pPr>
              <w:snapToGrid w:val="0"/>
              <w:spacing w:after="120" w:line="320" w:lineRule="exact"/>
              <w:rPr>
                <w:rFonts w:ascii="仿宋" w:hAnsi="仿宋" w:eastAsia="仿宋"/>
                <w:szCs w:val="21"/>
              </w:rPr>
            </w:pPr>
            <w:r>
              <w:rPr>
                <w:rFonts w:hint="eastAsia" w:ascii="仿宋" w:hAnsi="仿宋" w:eastAsia="仿宋"/>
                <w:szCs w:val="21"/>
              </w:rPr>
              <w:t>指定学员的带教老师</w:t>
            </w:r>
          </w:p>
          <w:p>
            <w:pPr>
              <w:snapToGrid w:val="0"/>
              <w:spacing w:after="120" w:line="320" w:lineRule="exact"/>
              <w:rPr>
                <w:rFonts w:ascii="仿宋" w:hAnsi="仿宋" w:eastAsia="仿宋"/>
                <w:szCs w:val="21"/>
              </w:rPr>
            </w:pPr>
            <w:r>
              <w:rPr>
                <w:rFonts w:hint="eastAsia" w:ascii="仿宋" w:hAnsi="仿宋" w:eastAsia="仿宋"/>
                <w:szCs w:val="21"/>
              </w:rPr>
              <w:t>管理所属科室的教学活动（教学活动通知及活动照片提交）；</w:t>
            </w:r>
          </w:p>
          <w:p>
            <w:pPr>
              <w:snapToGrid w:val="0"/>
              <w:spacing w:after="120" w:line="320" w:lineRule="exact"/>
              <w:rPr>
                <w:rFonts w:ascii="仿宋" w:hAnsi="仿宋" w:eastAsia="仿宋"/>
                <w:szCs w:val="21"/>
              </w:rPr>
            </w:pPr>
            <w:r>
              <w:rPr>
                <w:rFonts w:hint="eastAsia" w:ascii="仿宋" w:hAnsi="仿宋" w:eastAsia="仿宋"/>
                <w:szCs w:val="21"/>
              </w:rPr>
              <w:t>查看所属科室的带教教师绩效月报、年报统计结果；</w:t>
            </w:r>
          </w:p>
          <w:p>
            <w:pPr>
              <w:snapToGrid w:val="0"/>
              <w:spacing w:after="120" w:line="320" w:lineRule="exact"/>
              <w:rPr>
                <w:rFonts w:ascii="仿宋" w:hAnsi="仿宋" w:eastAsia="仿宋"/>
                <w:szCs w:val="21"/>
              </w:rPr>
            </w:pPr>
            <w:r>
              <w:rPr>
                <w:rFonts w:hint="eastAsia" w:ascii="仿宋" w:hAnsi="仿宋" w:eastAsia="仿宋"/>
                <w:szCs w:val="21"/>
              </w:rPr>
              <w:t>查看所属科室360°评价的情况</w:t>
            </w:r>
          </w:p>
          <w:p>
            <w:pPr>
              <w:snapToGrid w:val="0"/>
              <w:spacing w:after="120" w:line="320" w:lineRule="exact"/>
              <w:rPr>
                <w:rFonts w:ascii="仿宋" w:hAnsi="仿宋" w:eastAsia="仿宋"/>
                <w:szCs w:val="21"/>
              </w:rPr>
            </w:pPr>
            <w:r>
              <w:rPr>
                <w:rFonts w:hint="eastAsia" w:ascii="仿宋" w:hAnsi="仿宋" w:eastAsia="仿宋"/>
                <w:szCs w:val="21"/>
              </w:rPr>
              <w:t>查看所属科室的考勤情况；</w:t>
            </w:r>
          </w:p>
          <w:p>
            <w:pPr>
              <w:snapToGrid w:val="0"/>
              <w:spacing w:after="120" w:line="320" w:lineRule="exact"/>
              <w:rPr>
                <w:rFonts w:ascii="仿宋" w:hAnsi="仿宋" w:eastAsia="仿宋"/>
                <w:szCs w:val="21"/>
              </w:rPr>
            </w:pPr>
            <w:r>
              <w:rPr>
                <w:rFonts w:hint="eastAsia" w:ascii="仿宋" w:hAnsi="仿宋" w:eastAsia="仿宋"/>
                <w:szCs w:val="21"/>
              </w:rPr>
              <w:t>查看所属科室的值班情况；</w:t>
            </w:r>
          </w:p>
          <w:p>
            <w:pPr>
              <w:snapToGrid w:val="0"/>
              <w:spacing w:after="120" w:line="320" w:lineRule="exact"/>
              <w:rPr>
                <w:rFonts w:ascii="仿宋" w:hAnsi="仿宋" w:eastAsia="仿宋"/>
                <w:szCs w:val="21"/>
              </w:rPr>
            </w:pPr>
            <w:r>
              <w:rPr>
                <w:rFonts w:hint="eastAsia" w:ascii="仿宋" w:hAnsi="仿宋" w:eastAsia="仿宋"/>
                <w:szCs w:val="21"/>
              </w:rPr>
              <w:t>对个人信息进行维护；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continue"/>
            <w:shd w:val="clear" w:color="auto" w:fill="auto"/>
            <w:vAlign w:val="center"/>
          </w:tcPr>
          <w:p>
            <w:pPr>
              <w:widowControl/>
              <w:spacing w:line="320" w:lineRule="exact"/>
              <w:rPr>
                <w:rFonts w:ascii="仿宋" w:hAnsi="仿宋" w:eastAsia="仿宋"/>
                <w:bCs/>
                <w:szCs w:val="21"/>
              </w:rPr>
            </w:pPr>
          </w:p>
        </w:tc>
        <w:tc>
          <w:tcPr>
            <w:tcW w:w="1296" w:type="dxa"/>
            <w:vMerge w:val="continue"/>
            <w:shd w:val="clear" w:color="auto" w:fill="auto"/>
            <w:vAlign w:val="center"/>
          </w:tcPr>
          <w:p>
            <w:pPr>
              <w:widowControl/>
              <w:spacing w:line="320" w:lineRule="exact"/>
              <w:rPr>
                <w:rFonts w:ascii="仿宋" w:hAnsi="仿宋" w:eastAsia="仿宋"/>
                <w:bCs/>
                <w:szCs w:val="21"/>
              </w:rPr>
            </w:pPr>
          </w:p>
        </w:tc>
        <w:tc>
          <w:tcPr>
            <w:tcW w:w="5452" w:type="dxa"/>
            <w:shd w:val="clear" w:color="auto" w:fill="auto"/>
            <w:vAlign w:val="center"/>
          </w:tcPr>
          <w:p>
            <w:pPr>
              <w:snapToGrid w:val="0"/>
              <w:spacing w:after="120" w:line="320" w:lineRule="exact"/>
              <w:rPr>
                <w:rFonts w:ascii="仿宋" w:hAnsi="仿宋" w:eastAsia="仿宋"/>
                <w:bCs/>
                <w:szCs w:val="21"/>
              </w:rPr>
            </w:pPr>
            <w:r>
              <w:rPr>
                <w:rFonts w:hint="eastAsia" w:ascii="仿宋" w:hAnsi="仿宋" w:eastAsia="仿宋"/>
                <w:bCs/>
                <w:szCs w:val="21"/>
              </w:rPr>
              <w:t>带教老师:</w:t>
            </w:r>
          </w:p>
          <w:p>
            <w:pPr>
              <w:snapToGrid w:val="0"/>
              <w:spacing w:after="120" w:line="320" w:lineRule="exact"/>
              <w:rPr>
                <w:rFonts w:ascii="仿宋" w:hAnsi="仿宋" w:eastAsia="仿宋"/>
                <w:bCs/>
                <w:szCs w:val="21"/>
              </w:rPr>
            </w:pPr>
            <w:r>
              <w:rPr>
                <w:rFonts w:hint="eastAsia" w:ascii="仿宋" w:hAnsi="仿宋" w:eastAsia="仿宋"/>
                <w:bCs/>
                <w:szCs w:val="21"/>
              </w:rPr>
              <w:t>管理个人的教学活动；</w:t>
            </w:r>
          </w:p>
          <w:p>
            <w:pPr>
              <w:snapToGrid w:val="0"/>
              <w:spacing w:after="120" w:line="320" w:lineRule="exact"/>
              <w:rPr>
                <w:rFonts w:ascii="仿宋" w:hAnsi="仿宋" w:eastAsia="仿宋"/>
                <w:bCs/>
                <w:szCs w:val="21"/>
              </w:rPr>
            </w:pPr>
            <w:r>
              <w:rPr>
                <w:rFonts w:hint="eastAsia" w:ascii="仿宋" w:hAnsi="仿宋" w:eastAsia="仿宋"/>
                <w:bCs/>
                <w:szCs w:val="21"/>
              </w:rPr>
              <w:t>对学员开展360度评价；</w:t>
            </w:r>
          </w:p>
          <w:p>
            <w:pPr>
              <w:snapToGrid w:val="0"/>
              <w:spacing w:after="120" w:line="320" w:lineRule="exact"/>
              <w:rPr>
                <w:rFonts w:ascii="仿宋" w:hAnsi="仿宋" w:eastAsia="仿宋"/>
                <w:bCs/>
                <w:szCs w:val="21"/>
              </w:rPr>
            </w:pPr>
            <w:r>
              <w:rPr>
                <w:rFonts w:hint="eastAsia" w:ascii="仿宋" w:hAnsi="仿宋" w:eastAsia="仿宋"/>
                <w:bCs/>
                <w:szCs w:val="21"/>
              </w:rPr>
              <w:t>查看带教学员的个人情况；</w:t>
            </w:r>
          </w:p>
          <w:p>
            <w:pPr>
              <w:snapToGrid w:val="0"/>
              <w:spacing w:after="120" w:line="320" w:lineRule="exact"/>
              <w:rPr>
                <w:rFonts w:ascii="仿宋" w:hAnsi="仿宋" w:eastAsia="仿宋"/>
                <w:bCs/>
                <w:szCs w:val="21"/>
              </w:rPr>
            </w:pPr>
            <w:r>
              <w:rPr>
                <w:rFonts w:hint="eastAsia" w:ascii="仿宋" w:hAnsi="仿宋" w:eastAsia="仿宋"/>
                <w:bCs/>
                <w:szCs w:val="21"/>
              </w:rPr>
              <w:t>查看带教学员的考勤情况；</w:t>
            </w:r>
          </w:p>
          <w:p>
            <w:pPr>
              <w:snapToGrid w:val="0"/>
              <w:spacing w:after="120" w:line="320" w:lineRule="exact"/>
              <w:rPr>
                <w:rFonts w:ascii="仿宋" w:hAnsi="仿宋" w:eastAsia="仿宋"/>
                <w:bCs/>
                <w:szCs w:val="21"/>
              </w:rPr>
            </w:pPr>
            <w:r>
              <w:rPr>
                <w:rFonts w:hint="eastAsia" w:ascii="仿宋" w:hAnsi="仿宋" w:eastAsia="仿宋"/>
                <w:bCs/>
                <w:szCs w:val="21"/>
              </w:rPr>
              <w:t>查看科室的值班情况；</w:t>
            </w:r>
          </w:p>
          <w:p>
            <w:pPr>
              <w:snapToGrid w:val="0"/>
              <w:spacing w:after="120" w:line="320" w:lineRule="exact"/>
              <w:rPr>
                <w:rFonts w:ascii="仿宋" w:hAnsi="仿宋" w:eastAsia="仿宋"/>
                <w:bCs/>
                <w:szCs w:val="21"/>
              </w:rPr>
            </w:pPr>
            <w:r>
              <w:rPr>
                <w:rFonts w:hint="eastAsia" w:ascii="仿宋" w:hAnsi="仿宋" w:eastAsia="仿宋"/>
                <w:bCs/>
                <w:szCs w:val="21"/>
              </w:rPr>
              <w:t>对个人信息进行维护；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continue"/>
            <w:shd w:val="clear" w:color="auto" w:fill="auto"/>
            <w:vAlign w:val="center"/>
          </w:tcPr>
          <w:p>
            <w:pPr>
              <w:widowControl/>
              <w:spacing w:line="320" w:lineRule="exact"/>
              <w:rPr>
                <w:rFonts w:ascii="仿宋" w:hAnsi="仿宋" w:eastAsia="仿宋"/>
                <w:bCs/>
                <w:szCs w:val="21"/>
              </w:rPr>
            </w:pPr>
          </w:p>
        </w:tc>
        <w:tc>
          <w:tcPr>
            <w:tcW w:w="1296" w:type="dxa"/>
            <w:vMerge w:val="continue"/>
            <w:shd w:val="clear" w:color="auto" w:fill="auto"/>
            <w:vAlign w:val="center"/>
          </w:tcPr>
          <w:p>
            <w:pPr>
              <w:widowControl/>
              <w:spacing w:line="320" w:lineRule="exact"/>
              <w:rPr>
                <w:rFonts w:ascii="仿宋" w:hAnsi="仿宋" w:eastAsia="仿宋"/>
                <w:bCs/>
                <w:szCs w:val="21"/>
              </w:rPr>
            </w:pPr>
          </w:p>
        </w:tc>
        <w:tc>
          <w:tcPr>
            <w:tcW w:w="5452" w:type="dxa"/>
            <w:shd w:val="clear" w:color="auto" w:fill="auto"/>
            <w:vAlign w:val="center"/>
          </w:tcPr>
          <w:p>
            <w:pPr>
              <w:snapToGrid w:val="0"/>
              <w:spacing w:after="120" w:line="320" w:lineRule="exact"/>
              <w:rPr>
                <w:rFonts w:ascii="仿宋" w:hAnsi="仿宋" w:eastAsia="仿宋"/>
                <w:szCs w:val="21"/>
              </w:rPr>
            </w:pPr>
            <w:r>
              <w:rPr>
                <w:rFonts w:hint="eastAsia" w:ascii="仿宋" w:hAnsi="仿宋" w:eastAsia="仿宋"/>
                <w:szCs w:val="21"/>
              </w:rPr>
              <w:t>住培生、实习生、进修生、护理人员等:</w:t>
            </w:r>
          </w:p>
          <w:p>
            <w:pPr>
              <w:snapToGrid w:val="0"/>
              <w:spacing w:after="120" w:line="320" w:lineRule="exact"/>
              <w:rPr>
                <w:rFonts w:ascii="仿宋" w:hAnsi="仿宋" w:eastAsia="仿宋"/>
                <w:bCs/>
                <w:szCs w:val="21"/>
              </w:rPr>
            </w:pPr>
            <w:r>
              <w:rPr>
                <w:rFonts w:hint="eastAsia" w:ascii="仿宋" w:hAnsi="仿宋" w:eastAsia="仿宋"/>
                <w:bCs/>
                <w:szCs w:val="21"/>
              </w:rPr>
              <w:t>绑定手机小程序（或微信等）号；</w:t>
            </w:r>
          </w:p>
          <w:p>
            <w:pPr>
              <w:snapToGrid w:val="0"/>
              <w:spacing w:after="120" w:line="320" w:lineRule="exact"/>
              <w:rPr>
                <w:rFonts w:ascii="仿宋" w:hAnsi="仿宋" w:eastAsia="仿宋"/>
                <w:bCs/>
                <w:szCs w:val="21"/>
              </w:rPr>
            </w:pPr>
            <w:r>
              <w:rPr>
                <w:rFonts w:hint="eastAsia" w:ascii="仿宋" w:hAnsi="仿宋" w:eastAsia="仿宋"/>
                <w:bCs/>
                <w:szCs w:val="21"/>
              </w:rPr>
              <w:t>接收活动通知；</w:t>
            </w:r>
          </w:p>
          <w:p>
            <w:pPr>
              <w:snapToGrid w:val="0"/>
              <w:spacing w:after="120" w:line="320" w:lineRule="exact"/>
              <w:rPr>
                <w:rFonts w:ascii="仿宋" w:hAnsi="仿宋" w:eastAsia="仿宋"/>
                <w:bCs/>
                <w:szCs w:val="21"/>
              </w:rPr>
            </w:pPr>
            <w:r>
              <w:rPr>
                <w:rFonts w:hint="eastAsia" w:ascii="仿宋" w:hAnsi="仿宋" w:eastAsia="仿宋"/>
                <w:bCs/>
                <w:szCs w:val="21"/>
              </w:rPr>
              <w:t>查询个人轮转计划；</w:t>
            </w:r>
          </w:p>
          <w:p>
            <w:pPr>
              <w:snapToGrid w:val="0"/>
              <w:spacing w:after="120" w:line="320" w:lineRule="exact"/>
              <w:rPr>
                <w:rFonts w:ascii="仿宋" w:hAnsi="仿宋" w:eastAsia="仿宋"/>
                <w:bCs/>
                <w:szCs w:val="21"/>
              </w:rPr>
            </w:pPr>
            <w:r>
              <w:rPr>
                <w:rFonts w:hint="eastAsia" w:ascii="仿宋" w:hAnsi="仿宋" w:eastAsia="仿宋"/>
                <w:bCs/>
                <w:szCs w:val="21"/>
              </w:rPr>
              <w:t>考勤签到；</w:t>
            </w:r>
          </w:p>
          <w:p>
            <w:pPr>
              <w:snapToGrid w:val="0"/>
              <w:spacing w:after="120" w:line="320" w:lineRule="exact"/>
              <w:rPr>
                <w:rFonts w:ascii="仿宋" w:hAnsi="仿宋" w:eastAsia="仿宋"/>
                <w:bCs/>
                <w:szCs w:val="21"/>
              </w:rPr>
            </w:pPr>
            <w:r>
              <w:rPr>
                <w:rFonts w:hint="eastAsia" w:ascii="仿宋" w:hAnsi="仿宋" w:eastAsia="仿宋"/>
                <w:bCs/>
                <w:szCs w:val="21"/>
              </w:rPr>
              <w:t>查询值班安排情况；</w:t>
            </w:r>
          </w:p>
          <w:p>
            <w:pPr>
              <w:snapToGrid w:val="0"/>
              <w:spacing w:after="120" w:line="320" w:lineRule="exact"/>
              <w:rPr>
                <w:rFonts w:ascii="仿宋" w:hAnsi="仿宋" w:eastAsia="仿宋"/>
                <w:bCs/>
                <w:szCs w:val="21"/>
              </w:rPr>
            </w:pPr>
            <w:r>
              <w:rPr>
                <w:rFonts w:hint="eastAsia" w:ascii="仿宋" w:hAnsi="仿宋" w:eastAsia="仿宋"/>
                <w:bCs/>
                <w:szCs w:val="21"/>
              </w:rPr>
              <w:t>对带教老师、对科室、对专业基地进行评价；</w:t>
            </w:r>
          </w:p>
          <w:p>
            <w:pPr>
              <w:snapToGrid w:val="0"/>
              <w:spacing w:after="120" w:line="320" w:lineRule="exact"/>
              <w:rPr>
                <w:rFonts w:ascii="仿宋" w:hAnsi="仿宋" w:eastAsia="仿宋"/>
                <w:bCs/>
                <w:szCs w:val="21"/>
              </w:rPr>
            </w:pPr>
            <w:r>
              <w:rPr>
                <w:rFonts w:hint="eastAsia" w:ascii="仿宋" w:hAnsi="仿宋" w:eastAsia="仿宋"/>
                <w:bCs/>
                <w:szCs w:val="21"/>
              </w:rPr>
              <w:t>教学活动签到，对教学活动进行评价；</w:t>
            </w:r>
          </w:p>
          <w:p>
            <w:pPr>
              <w:snapToGrid w:val="0"/>
              <w:spacing w:after="120" w:line="320" w:lineRule="exact"/>
              <w:rPr>
                <w:rFonts w:ascii="仿宋" w:hAnsi="仿宋" w:eastAsia="仿宋"/>
                <w:bCs/>
                <w:szCs w:val="21"/>
              </w:rPr>
            </w:pPr>
            <w:r>
              <w:rPr>
                <w:rFonts w:hint="eastAsia" w:ascii="仿宋" w:hAnsi="仿宋" w:eastAsia="仿宋"/>
                <w:bCs/>
                <w:szCs w:val="21"/>
              </w:rPr>
              <w:t>个人信息维护；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continue"/>
            <w:shd w:val="clear" w:color="auto" w:fill="auto"/>
            <w:vAlign w:val="center"/>
          </w:tcPr>
          <w:p>
            <w:pPr>
              <w:widowControl/>
              <w:spacing w:line="320" w:lineRule="exact"/>
              <w:rPr>
                <w:rFonts w:ascii="仿宋" w:hAnsi="仿宋" w:eastAsia="仿宋"/>
                <w:bCs/>
                <w:szCs w:val="21"/>
              </w:rPr>
            </w:pPr>
          </w:p>
        </w:tc>
        <w:tc>
          <w:tcPr>
            <w:tcW w:w="1296" w:type="dxa"/>
            <w:shd w:val="clear" w:color="auto" w:fill="auto"/>
            <w:vAlign w:val="center"/>
          </w:tcPr>
          <w:p>
            <w:pPr>
              <w:widowControl/>
              <w:spacing w:line="320" w:lineRule="exact"/>
              <w:rPr>
                <w:rFonts w:ascii="仿宋" w:hAnsi="仿宋" w:eastAsia="仿宋"/>
                <w:bCs/>
                <w:szCs w:val="21"/>
              </w:rPr>
            </w:pPr>
            <w:r>
              <w:rPr>
                <w:rFonts w:hint="eastAsia" w:ascii="仿宋" w:hAnsi="仿宋" w:eastAsia="仿宋"/>
                <w:bCs/>
                <w:szCs w:val="21"/>
              </w:rPr>
              <w:t>菜单设置</w:t>
            </w:r>
          </w:p>
        </w:tc>
        <w:tc>
          <w:tcPr>
            <w:tcW w:w="5452" w:type="dxa"/>
            <w:shd w:val="clear" w:color="auto" w:fill="auto"/>
            <w:vAlign w:val="center"/>
          </w:tcPr>
          <w:p>
            <w:pPr>
              <w:snapToGrid w:val="0"/>
              <w:spacing w:after="120" w:line="320" w:lineRule="exact"/>
              <w:rPr>
                <w:rFonts w:ascii="仿宋" w:hAnsi="仿宋" w:eastAsia="仿宋"/>
                <w:bCs/>
                <w:szCs w:val="21"/>
              </w:rPr>
            </w:pPr>
            <w:r>
              <w:rPr>
                <w:rFonts w:hint="eastAsia" w:ascii="仿宋" w:hAnsi="仿宋" w:eastAsia="仿宋"/>
                <w:bCs/>
                <w:szCs w:val="21"/>
              </w:rPr>
              <w:t>自定义菜单名称，编辑各个子菜单的组织关系；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continue"/>
            <w:shd w:val="clear" w:color="auto" w:fill="auto"/>
            <w:vAlign w:val="center"/>
          </w:tcPr>
          <w:p>
            <w:pPr>
              <w:widowControl/>
              <w:spacing w:line="320" w:lineRule="exact"/>
              <w:rPr>
                <w:rFonts w:ascii="仿宋" w:hAnsi="仿宋" w:eastAsia="仿宋"/>
                <w:bCs/>
                <w:szCs w:val="21"/>
              </w:rPr>
            </w:pPr>
          </w:p>
        </w:tc>
        <w:tc>
          <w:tcPr>
            <w:tcW w:w="1296" w:type="dxa"/>
            <w:shd w:val="clear" w:color="auto" w:fill="auto"/>
            <w:vAlign w:val="center"/>
          </w:tcPr>
          <w:p>
            <w:pPr>
              <w:widowControl/>
              <w:spacing w:line="320" w:lineRule="exact"/>
              <w:rPr>
                <w:rFonts w:ascii="仿宋" w:hAnsi="仿宋" w:eastAsia="仿宋"/>
                <w:bCs/>
                <w:szCs w:val="21"/>
              </w:rPr>
            </w:pPr>
            <w:r>
              <w:rPr>
                <w:rFonts w:hint="eastAsia" w:ascii="仿宋" w:hAnsi="仿宋" w:eastAsia="仿宋"/>
                <w:bCs/>
                <w:szCs w:val="21"/>
              </w:rPr>
              <w:t>扫码登录</w:t>
            </w:r>
          </w:p>
        </w:tc>
        <w:tc>
          <w:tcPr>
            <w:tcW w:w="5452" w:type="dxa"/>
            <w:shd w:val="clear" w:color="auto" w:fill="auto"/>
            <w:vAlign w:val="center"/>
          </w:tcPr>
          <w:p>
            <w:pPr>
              <w:snapToGrid w:val="0"/>
              <w:spacing w:after="120" w:line="320" w:lineRule="exact"/>
              <w:rPr>
                <w:rFonts w:ascii="仿宋" w:hAnsi="仿宋" w:eastAsia="仿宋"/>
                <w:bCs/>
                <w:szCs w:val="21"/>
              </w:rPr>
            </w:pPr>
            <w:r>
              <w:rPr>
                <w:rFonts w:hint="eastAsia" w:ascii="仿宋" w:hAnsi="仿宋" w:eastAsia="仿宋"/>
                <w:bCs/>
                <w:szCs w:val="21"/>
              </w:rPr>
              <w:t>可通过扫描二维码的方式，登录系统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continue"/>
            <w:shd w:val="clear" w:color="auto" w:fill="auto"/>
            <w:vAlign w:val="center"/>
          </w:tcPr>
          <w:p>
            <w:pPr>
              <w:widowControl/>
              <w:spacing w:line="320" w:lineRule="exact"/>
              <w:rPr>
                <w:rFonts w:ascii="仿宋" w:hAnsi="仿宋" w:eastAsia="仿宋"/>
                <w:bCs/>
                <w:szCs w:val="21"/>
              </w:rPr>
            </w:pPr>
          </w:p>
        </w:tc>
        <w:tc>
          <w:tcPr>
            <w:tcW w:w="1296" w:type="dxa"/>
            <w:vMerge w:val="restart"/>
            <w:shd w:val="clear" w:color="auto" w:fill="auto"/>
            <w:vAlign w:val="center"/>
          </w:tcPr>
          <w:p>
            <w:pPr>
              <w:widowControl/>
              <w:spacing w:line="320" w:lineRule="exact"/>
              <w:rPr>
                <w:rFonts w:ascii="仿宋" w:hAnsi="仿宋" w:eastAsia="仿宋"/>
                <w:bCs/>
                <w:szCs w:val="21"/>
              </w:rPr>
            </w:pPr>
            <w:r>
              <w:rPr>
                <w:rFonts w:hint="eastAsia" w:ascii="仿宋" w:hAnsi="仿宋" w:eastAsia="仿宋"/>
                <w:bCs/>
                <w:szCs w:val="21"/>
              </w:rPr>
              <w:t>日志记录管理</w:t>
            </w:r>
          </w:p>
        </w:tc>
        <w:tc>
          <w:tcPr>
            <w:tcW w:w="5452" w:type="dxa"/>
            <w:shd w:val="clear" w:color="auto" w:fill="auto"/>
            <w:vAlign w:val="center"/>
          </w:tcPr>
          <w:p>
            <w:pPr>
              <w:snapToGrid w:val="0"/>
              <w:spacing w:after="120" w:line="320" w:lineRule="exact"/>
              <w:rPr>
                <w:rFonts w:ascii="仿宋" w:hAnsi="仿宋" w:eastAsia="仿宋"/>
                <w:bCs/>
                <w:szCs w:val="21"/>
              </w:rPr>
            </w:pPr>
            <w:r>
              <w:rPr>
                <w:rFonts w:hint="eastAsia" w:ascii="仿宋" w:hAnsi="仿宋" w:eastAsia="仿宋"/>
                <w:bCs/>
                <w:szCs w:val="21"/>
              </w:rPr>
              <w:t>登录量月统计图，以柱状图等方式展现管理端、小程序端各个月份的使用情况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continue"/>
            <w:shd w:val="clear" w:color="auto" w:fill="auto"/>
            <w:vAlign w:val="center"/>
          </w:tcPr>
          <w:p>
            <w:pPr>
              <w:widowControl/>
              <w:spacing w:line="320" w:lineRule="exact"/>
              <w:rPr>
                <w:rFonts w:ascii="仿宋" w:hAnsi="仿宋" w:eastAsia="仿宋"/>
                <w:bCs/>
                <w:szCs w:val="21"/>
              </w:rPr>
            </w:pPr>
          </w:p>
        </w:tc>
        <w:tc>
          <w:tcPr>
            <w:tcW w:w="1296" w:type="dxa"/>
            <w:vMerge w:val="continue"/>
            <w:shd w:val="clear" w:color="auto" w:fill="auto"/>
            <w:vAlign w:val="center"/>
          </w:tcPr>
          <w:p>
            <w:pPr>
              <w:widowControl/>
              <w:spacing w:line="320" w:lineRule="exact"/>
              <w:rPr>
                <w:rFonts w:ascii="仿宋" w:hAnsi="仿宋" w:eastAsia="仿宋"/>
                <w:bCs/>
                <w:szCs w:val="21"/>
              </w:rPr>
            </w:pPr>
          </w:p>
        </w:tc>
        <w:tc>
          <w:tcPr>
            <w:tcW w:w="5452" w:type="dxa"/>
            <w:shd w:val="clear" w:color="auto" w:fill="auto"/>
            <w:vAlign w:val="center"/>
          </w:tcPr>
          <w:p>
            <w:pPr>
              <w:snapToGrid w:val="0"/>
              <w:spacing w:after="120" w:line="320" w:lineRule="exact"/>
              <w:rPr>
                <w:rFonts w:ascii="仿宋" w:hAnsi="仿宋" w:eastAsia="仿宋"/>
                <w:bCs/>
                <w:szCs w:val="21"/>
              </w:rPr>
            </w:pPr>
            <w:r>
              <w:rPr>
                <w:rFonts w:hint="eastAsia" w:ascii="仿宋" w:hAnsi="仿宋" w:eastAsia="仿宋"/>
                <w:bCs/>
                <w:szCs w:val="21"/>
              </w:rPr>
              <w:t>系统登录日志，详细记录每个登录用户的登录类型、用户名、登录账号、登录IP地址、是否登录成功等信息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continue"/>
            <w:shd w:val="clear" w:color="auto" w:fill="auto"/>
            <w:vAlign w:val="center"/>
          </w:tcPr>
          <w:p>
            <w:pPr>
              <w:widowControl/>
              <w:spacing w:line="320" w:lineRule="exact"/>
              <w:rPr>
                <w:rFonts w:ascii="仿宋" w:hAnsi="仿宋" w:eastAsia="仿宋"/>
                <w:bCs/>
                <w:szCs w:val="21"/>
              </w:rPr>
            </w:pPr>
          </w:p>
        </w:tc>
        <w:tc>
          <w:tcPr>
            <w:tcW w:w="1296" w:type="dxa"/>
            <w:vMerge w:val="continue"/>
            <w:shd w:val="clear" w:color="auto" w:fill="auto"/>
            <w:vAlign w:val="center"/>
          </w:tcPr>
          <w:p>
            <w:pPr>
              <w:widowControl/>
              <w:spacing w:line="320" w:lineRule="exact"/>
              <w:rPr>
                <w:rFonts w:ascii="仿宋" w:hAnsi="仿宋" w:eastAsia="仿宋"/>
                <w:bCs/>
                <w:szCs w:val="21"/>
              </w:rPr>
            </w:pPr>
          </w:p>
        </w:tc>
        <w:tc>
          <w:tcPr>
            <w:tcW w:w="5452" w:type="dxa"/>
            <w:shd w:val="clear" w:color="auto" w:fill="auto"/>
            <w:vAlign w:val="center"/>
          </w:tcPr>
          <w:p>
            <w:pPr>
              <w:snapToGrid w:val="0"/>
              <w:spacing w:after="120" w:line="320" w:lineRule="exact"/>
              <w:rPr>
                <w:rFonts w:ascii="仿宋" w:hAnsi="仿宋" w:eastAsia="仿宋"/>
                <w:bCs/>
                <w:szCs w:val="21"/>
              </w:rPr>
            </w:pPr>
            <w:r>
              <w:rPr>
                <w:rFonts w:hint="eastAsia" w:ascii="仿宋" w:hAnsi="仿宋" w:eastAsia="仿宋"/>
                <w:bCs/>
                <w:szCs w:val="21"/>
              </w:rPr>
              <w:t>短信发送日志，记录短信发送的内容、发送时间、接收方用户类型、用户名、电话号码、是否发送成功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continue"/>
            <w:shd w:val="clear" w:color="auto" w:fill="auto"/>
            <w:vAlign w:val="center"/>
          </w:tcPr>
          <w:p>
            <w:pPr>
              <w:widowControl/>
              <w:spacing w:line="320" w:lineRule="exact"/>
              <w:rPr>
                <w:rFonts w:ascii="仿宋" w:hAnsi="仿宋" w:eastAsia="仿宋"/>
                <w:bCs/>
                <w:szCs w:val="21"/>
              </w:rPr>
            </w:pPr>
          </w:p>
        </w:tc>
        <w:tc>
          <w:tcPr>
            <w:tcW w:w="1296" w:type="dxa"/>
            <w:vMerge w:val="continue"/>
            <w:shd w:val="clear" w:color="auto" w:fill="auto"/>
            <w:vAlign w:val="center"/>
          </w:tcPr>
          <w:p>
            <w:pPr>
              <w:widowControl/>
              <w:spacing w:line="320" w:lineRule="exact"/>
              <w:rPr>
                <w:rFonts w:ascii="仿宋" w:hAnsi="仿宋" w:eastAsia="仿宋"/>
                <w:bCs/>
                <w:szCs w:val="21"/>
              </w:rPr>
            </w:pPr>
          </w:p>
        </w:tc>
        <w:tc>
          <w:tcPr>
            <w:tcW w:w="5452" w:type="dxa"/>
            <w:shd w:val="clear" w:color="auto" w:fill="auto"/>
            <w:vAlign w:val="center"/>
          </w:tcPr>
          <w:p>
            <w:pPr>
              <w:snapToGrid w:val="0"/>
              <w:spacing w:after="120" w:line="320" w:lineRule="exact"/>
              <w:rPr>
                <w:rFonts w:ascii="仿宋" w:hAnsi="仿宋" w:eastAsia="仿宋"/>
                <w:bCs/>
                <w:szCs w:val="21"/>
              </w:rPr>
            </w:pPr>
            <w:r>
              <w:rPr>
                <w:rFonts w:hint="eastAsia" w:ascii="仿宋" w:hAnsi="仿宋" w:eastAsia="仿宋"/>
                <w:szCs w:val="21"/>
              </w:rPr>
              <w:t>手机小程序（或微信等）通知发送日志，记录手机小程序（或微信等）发送的内容、发送时间、接收方用户类型、用户名、电话号码、消息类型、是否发送成功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系统自动提醒功能</w:t>
            </w:r>
          </w:p>
        </w:tc>
        <w:tc>
          <w:tcPr>
            <w:tcW w:w="5452" w:type="dxa"/>
            <w:shd w:val="clear" w:color="auto" w:fill="auto"/>
            <w:vAlign w:val="center"/>
          </w:tcPr>
          <w:p>
            <w:pPr>
              <w:pStyle w:val="71"/>
              <w:spacing w:line="320" w:lineRule="exact"/>
              <w:ind w:left="0"/>
              <w:jc w:val="both"/>
              <w:rPr>
                <w:rFonts w:ascii="仿宋" w:hAnsi="仿宋" w:eastAsia="仿宋"/>
                <w:bCs/>
                <w:sz w:val="21"/>
                <w:szCs w:val="21"/>
              </w:rPr>
            </w:pPr>
            <w:r>
              <w:rPr>
                <w:rFonts w:hint="eastAsia" w:ascii="仿宋" w:hAnsi="仿宋" w:eastAsia="仿宋"/>
                <w:bCs/>
                <w:sz w:val="21"/>
                <w:szCs w:val="21"/>
              </w:rPr>
              <w:t>支持但不仅限于以下消息自动推送功能：</w:t>
            </w:r>
          </w:p>
          <w:p>
            <w:pPr>
              <w:widowControl/>
              <w:spacing w:line="320" w:lineRule="exact"/>
              <w:rPr>
                <w:rFonts w:ascii="仿宋" w:hAnsi="仿宋" w:eastAsia="仿宋"/>
                <w:bCs/>
                <w:szCs w:val="21"/>
              </w:rPr>
            </w:pPr>
            <w:r>
              <w:rPr>
                <w:rStyle w:val="168"/>
                <w:rFonts w:hint="eastAsia" w:ascii="仿宋" w:hAnsi="仿宋" w:eastAsia="仿宋"/>
                <w:kern w:val="0"/>
                <w:szCs w:val="21"/>
              </w:rPr>
              <w:t>▲</w:t>
            </w:r>
            <w:r>
              <w:rPr>
                <w:rFonts w:hint="eastAsia" w:ascii="仿宋" w:hAnsi="仿宋" w:eastAsia="仿宋"/>
                <w:bCs/>
                <w:szCs w:val="21"/>
              </w:rPr>
              <w:t>提醒秘书（科教干事）对出科学员进行考勤确认</w:t>
            </w:r>
          </w:p>
          <w:p>
            <w:pPr>
              <w:widowControl/>
              <w:spacing w:line="320" w:lineRule="exact"/>
              <w:rPr>
                <w:rFonts w:ascii="仿宋" w:hAnsi="仿宋" w:eastAsia="仿宋"/>
                <w:bCs/>
                <w:szCs w:val="21"/>
              </w:rPr>
            </w:pPr>
            <w:r>
              <w:rPr>
                <w:rFonts w:hint="eastAsia" w:ascii="仿宋" w:hAnsi="仿宋" w:eastAsia="仿宋"/>
                <w:bCs/>
                <w:szCs w:val="21"/>
              </w:rPr>
              <w:t>提醒值班安排情况给学员；</w:t>
            </w:r>
          </w:p>
          <w:p>
            <w:pPr>
              <w:widowControl/>
              <w:spacing w:line="320" w:lineRule="exact"/>
              <w:rPr>
                <w:rFonts w:ascii="仿宋" w:hAnsi="仿宋" w:eastAsia="仿宋"/>
                <w:bCs/>
                <w:szCs w:val="21"/>
              </w:rPr>
            </w:pPr>
            <w:r>
              <w:rPr>
                <w:rFonts w:hint="eastAsia" w:ascii="仿宋" w:hAnsi="仿宋" w:eastAsia="仿宋"/>
                <w:bCs/>
                <w:szCs w:val="21"/>
              </w:rPr>
              <w:t>每月发送未指定带教老师的学员数量短信给教学秘书（科教干事）；</w:t>
            </w:r>
          </w:p>
          <w:p>
            <w:pPr>
              <w:widowControl/>
              <w:spacing w:line="320" w:lineRule="exact"/>
              <w:rPr>
                <w:rFonts w:ascii="仿宋" w:hAnsi="仿宋" w:eastAsia="仿宋"/>
                <w:bCs/>
                <w:szCs w:val="21"/>
              </w:rPr>
            </w:pPr>
            <w:r>
              <w:rPr>
                <w:rFonts w:hint="eastAsia" w:ascii="仿宋" w:hAnsi="仿宋" w:eastAsia="仿宋"/>
                <w:bCs/>
                <w:szCs w:val="21"/>
              </w:rPr>
              <w:t>每天（月）发送出入科安排的通知短信给教学秘书；</w:t>
            </w:r>
          </w:p>
          <w:p>
            <w:pPr>
              <w:widowControl/>
              <w:spacing w:line="320" w:lineRule="exact"/>
              <w:rPr>
                <w:rFonts w:ascii="仿宋" w:hAnsi="仿宋" w:eastAsia="仿宋"/>
                <w:bCs/>
                <w:szCs w:val="21"/>
              </w:rPr>
            </w:pPr>
            <w:r>
              <w:rPr>
                <w:rFonts w:hint="eastAsia" w:ascii="仿宋" w:hAnsi="仿宋" w:eastAsia="仿宋"/>
                <w:bCs/>
                <w:szCs w:val="21"/>
              </w:rPr>
              <w:t>每月发送还有未进行出科评价学员的提醒短信给带教老师；</w:t>
            </w:r>
          </w:p>
          <w:p>
            <w:pPr>
              <w:widowControl/>
              <w:spacing w:line="320" w:lineRule="exact"/>
              <w:rPr>
                <w:rFonts w:ascii="仿宋" w:hAnsi="仿宋" w:eastAsia="仿宋"/>
                <w:bCs/>
                <w:szCs w:val="21"/>
              </w:rPr>
            </w:pPr>
            <w:r>
              <w:rPr>
                <w:rFonts w:hint="eastAsia" w:ascii="仿宋" w:hAnsi="仿宋" w:eastAsia="仿宋"/>
                <w:bCs/>
                <w:szCs w:val="21"/>
              </w:rPr>
              <w:t>每月发送短信给出科但未对带教老师进行评价的学员；</w:t>
            </w:r>
          </w:p>
          <w:p>
            <w:pPr>
              <w:widowControl/>
              <w:spacing w:line="320" w:lineRule="exact"/>
              <w:rPr>
                <w:rFonts w:ascii="仿宋" w:hAnsi="仿宋" w:eastAsia="仿宋"/>
                <w:bCs/>
                <w:szCs w:val="21"/>
              </w:rPr>
            </w:pPr>
            <w:r>
              <w:rPr>
                <w:rFonts w:hint="eastAsia" w:ascii="仿宋" w:hAnsi="仿宋" w:eastAsia="仿宋"/>
                <w:bCs/>
                <w:szCs w:val="21"/>
              </w:rPr>
              <w:t>每月初发送短信或微信给科教秘书，提醒国家住培系统平台上报月度监测；</w:t>
            </w:r>
          </w:p>
          <w:p>
            <w:pPr>
              <w:widowControl/>
              <w:spacing w:line="320" w:lineRule="exact"/>
              <w:rPr>
                <w:rFonts w:ascii="仿宋" w:hAnsi="仿宋" w:eastAsia="仿宋"/>
                <w:bCs/>
                <w:szCs w:val="21"/>
              </w:rPr>
            </w:pPr>
            <w:r>
              <w:rPr>
                <w:rFonts w:hint="eastAsia" w:ascii="仿宋" w:hAnsi="仿宋" w:eastAsia="仿宋"/>
                <w:bCs/>
                <w:szCs w:val="21"/>
              </w:rPr>
              <w:t>每月底发送短信或微信提醒科教干事完善出科考核及省住培管理系统信息平台审核；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日终任务</w:t>
            </w:r>
          </w:p>
        </w:tc>
        <w:tc>
          <w:tcPr>
            <w:tcW w:w="5452" w:type="dxa"/>
            <w:shd w:val="clear" w:color="auto" w:fill="auto"/>
            <w:vAlign w:val="center"/>
          </w:tcPr>
          <w:p>
            <w:pPr>
              <w:widowControl/>
              <w:spacing w:line="320" w:lineRule="exact"/>
              <w:rPr>
                <w:rFonts w:ascii="仿宋" w:hAnsi="仿宋" w:eastAsia="仿宋"/>
                <w:bCs/>
                <w:szCs w:val="21"/>
              </w:rPr>
            </w:pPr>
            <w:r>
              <w:rPr>
                <w:rFonts w:hint="eastAsia" w:ascii="仿宋" w:hAnsi="仿宋" w:eastAsia="仿宋"/>
                <w:bCs/>
                <w:szCs w:val="21"/>
              </w:rPr>
              <w:t>每天自动统计测评雷达；</w:t>
            </w:r>
          </w:p>
          <w:p>
            <w:pPr>
              <w:widowControl/>
              <w:spacing w:line="320" w:lineRule="exact"/>
              <w:rPr>
                <w:rFonts w:ascii="仿宋" w:hAnsi="仿宋" w:eastAsia="仿宋"/>
                <w:bCs/>
                <w:szCs w:val="21"/>
              </w:rPr>
            </w:pPr>
            <w:r>
              <w:rPr>
                <w:rFonts w:hint="eastAsia" w:ascii="仿宋" w:hAnsi="仿宋" w:eastAsia="仿宋"/>
                <w:bCs/>
                <w:szCs w:val="21"/>
              </w:rPr>
              <w:t>更新学员轮转计划变更出入科状态；</w:t>
            </w:r>
          </w:p>
          <w:p>
            <w:pPr>
              <w:widowControl/>
              <w:spacing w:line="320" w:lineRule="exact"/>
              <w:rPr>
                <w:rFonts w:ascii="仿宋" w:hAnsi="仿宋" w:eastAsia="仿宋"/>
                <w:bCs/>
                <w:szCs w:val="21"/>
              </w:rPr>
            </w:pPr>
            <w:r>
              <w:rPr>
                <w:rFonts w:hint="eastAsia" w:ascii="仿宋" w:hAnsi="仿宋" w:eastAsia="仿宋"/>
                <w:bCs/>
                <w:szCs w:val="21"/>
              </w:rPr>
              <w:t>更新学员无轮转计划的为毕业或中止状态；</w:t>
            </w:r>
          </w:p>
          <w:p>
            <w:pPr>
              <w:widowControl/>
              <w:spacing w:line="320" w:lineRule="exact"/>
              <w:rPr>
                <w:rFonts w:ascii="仿宋" w:hAnsi="仿宋" w:eastAsia="仿宋"/>
                <w:bCs/>
                <w:szCs w:val="21"/>
              </w:rPr>
            </w:pPr>
            <w:r>
              <w:rPr>
                <w:rFonts w:hint="eastAsia" w:ascii="仿宋" w:hAnsi="仿宋" w:eastAsia="仿宋"/>
                <w:bCs/>
                <w:szCs w:val="21"/>
              </w:rPr>
              <w:t>统计教学活动绩效分；</w:t>
            </w:r>
          </w:p>
          <w:p>
            <w:pPr>
              <w:widowControl/>
              <w:spacing w:line="320" w:lineRule="exact"/>
              <w:rPr>
                <w:rFonts w:ascii="仿宋" w:hAnsi="仿宋" w:eastAsia="仿宋"/>
                <w:bCs/>
                <w:szCs w:val="21"/>
              </w:rPr>
            </w:pPr>
            <w:r>
              <w:rPr>
                <w:rFonts w:hint="eastAsia" w:ascii="仿宋" w:hAnsi="仿宋" w:eastAsia="仿宋"/>
                <w:bCs/>
                <w:szCs w:val="21"/>
              </w:rPr>
              <w:t>计算教学活动达标情况；</w:t>
            </w:r>
          </w:p>
          <w:p>
            <w:pPr>
              <w:widowControl/>
              <w:spacing w:line="320" w:lineRule="exact"/>
              <w:rPr>
                <w:rFonts w:ascii="仿宋" w:hAnsi="仿宋" w:eastAsia="仿宋"/>
                <w:bCs/>
                <w:szCs w:val="21"/>
              </w:rPr>
            </w:pPr>
            <w:r>
              <w:rPr>
                <w:rFonts w:hint="eastAsia" w:ascii="仿宋" w:hAnsi="仿宋" w:eastAsia="仿宋"/>
                <w:bCs/>
                <w:szCs w:val="21"/>
              </w:rPr>
              <w:t>检查考勤地点是否在GPS电子围栏范围内；</w:t>
            </w:r>
          </w:p>
          <w:p>
            <w:pPr>
              <w:widowControl/>
              <w:spacing w:line="320" w:lineRule="exact"/>
              <w:rPr>
                <w:rFonts w:ascii="仿宋" w:hAnsi="仿宋" w:eastAsia="仿宋"/>
                <w:bCs/>
                <w:szCs w:val="21"/>
              </w:rPr>
            </w:pPr>
            <w:r>
              <w:rPr>
                <w:rFonts w:hint="eastAsia" w:ascii="仿宋" w:hAnsi="仿宋" w:eastAsia="仿宋"/>
                <w:bCs/>
                <w:szCs w:val="21"/>
              </w:rPr>
              <w:t>自动结束某日当前时间3小时前的教学活动并发送测评提醒手机小程序（或微信等）消息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512" w:type="dxa"/>
            <w:vMerge w:val="restart"/>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消息中心</w:t>
            </w:r>
          </w:p>
        </w:tc>
        <w:tc>
          <w:tcPr>
            <w:tcW w:w="1296" w:type="dxa"/>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通知公告/政策法规/会议通知</w:t>
            </w:r>
          </w:p>
        </w:tc>
        <w:tc>
          <w:tcPr>
            <w:tcW w:w="5452" w:type="dxa"/>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支持各种类型的消息通知，可指定通知类型、通知人群、通知科室、上传附件等。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消息置顶</w:t>
            </w:r>
          </w:p>
        </w:tc>
        <w:tc>
          <w:tcPr>
            <w:tcW w:w="5452" w:type="dxa"/>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可以对手机小程序（或微信等）端小程序中的消息进行置顶操作。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12" w:type="dxa"/>
            <w:vMerge w:val="continue"/>
            <w:shd w:val="clear" w:color="auto" w:fill="auto"/>
            <w:vAlign w:val="center"/>
          </w:tcPr>
          <w:p>
            <w:pPr>
              <w:widowControl/>
              <w:spacing w:line="320" w:lineRule="exact"/>
              <w:rPr>
                <w:rFonts w:ascii="仿宋" w:hAnsi="仿宋" w:eastAsia="仿宋" w:cs="Courier New"/>
                <w:b/>
                <w:szCs w:val="21"/>
              </w:rPr>
            </w:pPr>
          </w:p>
        </w:tc>
        <w:tc>
          <w:tcPr>
            <w:tcW w:w="1296" w:type="dxa"/>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对接短信平台</w:t>
            </w:r>
          </w:p>
        </w:tc>
        <w:tc>
          <w:tcPr>
            <w:tcW w:w="5452" w:type="dxa"/>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支持消息通过短信的方式进行发送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12" w:type="dxa"/>
            <w:vMerge w:val="continue"/>
            <w:shd w:val="clear" w:color="auto" w:fill="auto"/>
            <w:vAlign w:val="center"/>
          </w:tcPr>
          <w:p>
            <w:pPr>
              <w:widowControl/>
              <w:spacing w:line="320" w:lineRule="exact"/>
              <w:rPr>
                <w:rFonts w:ascii="仿宋" w:hAnsi="仿宋" w:eastAsia="仿宋" w:cs="Courier New"/>
                <w:b/>
                <w:szCs w:val="21"/>
              </w:rPr>
            </w:pPr>
          </w:p>
        </w:tc>
        <w:tc>
          <w:tcPr>
            <w:tcW w:w="1296" w:type="dxa"/>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对接手机小程序（或微信等）推送</w:t>
            </w:r>
          </w:p>
        </w:tc>
        <w:tc>
          <w:tcPr>
            <w:tcW w:w="5452" w:type="dxa"/>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支持消息通过手机小程序（或微信等）推送的方式进行发送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1512" w:type="dxa"/>
            <w:vMerge w:val="restart"/>
            <w:shd w:val="clear" w:color="auto" w:fill="auto"/>
            <w:vAlign w:val="center"/>
          </w:tcPr>
          <w:p>
            <w:pPr>
              <w:widowControl/>
              <w:spacing w:line="320" w:lineRule="exact"/>
              <w:rPr>
                <w:rFonts w:ascii="仿宋" w:hAnsi="仿宋" w:eastAsia="仿宋"/>
                <w:szCs w:val="21"/>
              </w:rPr>
            </w:pPr>
          </w:p>
          <w:p>
            <w:pPr>
              <w:widowControl/>
              <w:spacing w:line="320" w:lineRule="exact"/>
              <w:rPr>
                <w:rFonts w:ascii="仿宋" w:hAnsi="仿宋" w:eastAsia="仿宋"/>
                <w:szCs w:val="21"/>
              </w:rPr>
            </w:pPr>
          </w:p>
          <w:p>
            <w:pPr>
              <w:widowControl/>
              <w:spacing w:line="320" w:lineRule="exact"/>
              <w:rPr>
                <w:rFonts w:ascii="仿宋" w:hAnsi="仿宋" w:eastAsia="仿宋"/>
                <w:szCs w:val="21"/>
              </w:rPr>
            </w:pPr>
          </w:p>
          <w:p>
            <w:pPr>
              <w:widowControl/>
              <w:spacing w:line="320" w:lineRule="exact"/>
              <w:rPr>
                <w:rFonts w:ascii="仿宋" w:hAnsi="仿宋" w:eastAsia="仿宋"/>
                <w:szCs w:val="21"/>
              </w:rPr>
            </w:pPr>
          </w:p>
          <w:p>
            <w:pPr>
              <w:widowControl/>
              <w:spacing w:line="320" w:lineRule="exact"/>
              <w:rPr>
                <w:rFonts w:ascii="仿宋" w:hAnsi="仿宋" w:eastAsia="仿宋"/>
                <w:szCs w:val="21"/>
              </w:rPr>
            </w:pPr>
          </w:p>
          <w:p>
            <w:pPr>
              <w:widowControl/>
              <w:spacing w:line="320" w:lineRule="exact"/>
              <w:rPr>
                <w:rFonts w:ascii="仿宋" w:hAnsi="仿宋" w:eastAsia="仿宋"/>
                <w:szCs w:val="21"/>
              </w:rPr>
            </w:pPr>
          </w:p>
          <w:p>
            <w:pPr>
              <w:widowControl/>
              <w:spacing w:line="320" w:lineRule="exact"/>
              <w:rPr>
                <w:rFonts w:ascii="仿宋" w:hAnsi="仿宋" w:eastAsia="仿宋"/>
                <w:szCs w:val="21"/>
              </w:rPr>
            </w:pPr>
          </w:p>
          <w:p>
            <w:pPr>
              <w:widowControl/>
              <w:spacing w:line="320" w:lineRule="exact"/>
              <w:rPr>
                <w:rFonts w:ascii="仿宋" w:hAnsi="仿宋" w:eastAsia="仿宋"/>
                <w:szCs w:val="21"/>
              </w:rPr>
            </w:pPr>
          </w:p>
          <w:p>
            <w:pPr>
              <w:widowControl/>
              <w:spacing w:line="320" w:lineRule="exact"/>
              <w:rPr>
                <w:rFonts w:ascii="仿宋" w:hAnsi="仿宋" w:eastAsia="仿宋"/>
                <w:szCs w:val="21"/>
              </w:rPr>
            </w:pPr>
          </w:p>
          <w:p>
            <w:pPr>
              <w:widowControl/>
              <w:spacing w:line="320" w:lineRule="exact"/>
              <w:rPr>
                <w:rFonts w:ascii="仿宋" w:hAnsi="仿宋" w:eastAsia="仿宋"/>
                <w:szCs w:val="21"/>
              </w:rPr>
            </w:pPr>
          </w:p>
          <w:p>
            <w:pPr>
              <w:widowControl/>
              <w:spacing w:line="320" w:lineRule="exact"/>
              <w:rPr>
                <w:rFonts w:ascii="仿宋" w:hAnsi="仿宋" w:eastAsia="仿宋"/>
                <w:szCs w:val="21"/>
              </w:rPr>
            </w:pPr>
          </w:p>
          <w:p>
            <w:pPr>
              <w:widowControl/>
              <w:spacing w:line="320" w:lineRule="exact"/>
              <w:rPr>
                <w:rFonts w:ascii="仿宋" w:hAnsi="仿宋" w:eastAsia="仿宋"/>
                <w:szCs w:val="21"/>
              </w:rPr>
            </w:pPr>
            <w:r>
              <w:rPr>
                <w:rFonts w:hint="eastAsia" w:ascii="仿宋" w:hAnsi="仿宋" w:eastAsia="仿宋"/>
                <w:szCs w:val="21"/>
              </w:rPr>
              <w:t>住院医师规范化培训管理、实习生管理、研究生管理、</w:t>
            </w:r>
          </w:p>
          <w:p>
            <w:pPr>
              <w:widowControl/>
              <w:spacing w:line="320" w:lineRule="exact"/>
              <w:rPr>
                <w:rFonts w:ascii="仿宋" w:hAnsi="仿宋" w:eastAsia="仿宋" w:cs="Courier New"/>
                <w:szCs w:val="21"/>
              </w:rPr>
            </w:pPr>
            <w:r>
              <w:rPr>
                <w:rFonts w:hint="eastAsia" w:ascii="仿宋" w:hAnsi="仿宋" w:eastAsia="仿宋"/>
                <w:szCs w:val="21"/>
              </w:rPr>
              <w:t>进修生管理等</w:t>
            </w:r>
          </w:p>
        </w:tc>
        <w:tc>
          <w:tcPr>
            <w:tcW w:w="1296" w:type="dxa"/>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szCs w:val="21"/>
              </w:rPr>
              <w:t>住培生信息管理</w:t>
            </w:r>
          </w:p>
        </w:tc>
        <w:tc>
          <w:tcPr>
            <w:tcW w:w="5452" w:type="dxa"/>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住培生信息的录入、批量导入、审核和查询功能。包括基本信息、学员证件照、学员证书、受教育经历、工作经历、执业医师证、医师资格证等。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实习生信息管理</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实习生信息的录入、批量导入、审核和查询功能。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研究生信息管理</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研究生信息的录入、批量导入、审核和查询功能。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带教老师信息管理</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带教老师信息的录入、批量导入、审核和查询功能。包括</w:t>
            </w:r>
            <w:r>
              <w:rPr>
                <w:rFonts w:hint="eastAsia" w:ascii="仿宋" w:hAnsi="仿宋" w:eastAsia="仿宋" w:cs="宋体"/>
                <w:szCs w:val="21"/>
              </w:rPr>
              <w:t>基本信息、老师证件照、受教育经历、工作经历、执业医师证、医师资格证、职称等。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restart"/>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szCs w:val="21"/>
              </w:rPr>
              <w:t>轮转管理</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轮转安排（系统自动排科、手工排科），轮转自动排科根据轮转模板、科室负载情况自动排布学员的轮转情况。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continue"/>
            <w:shd w:val="clear" w:color="auto" w:fill="auto"/>
            <w:vAlign w:val="center"/>
          </w:tcPr>
          <w:p>
            <w:pPr>
              <w:widowControl/>
              <w:spacing w:line="320" w:lineRule="exact"/>
              <w:rPr>
                <w:rFonts w:ascii="仿宋" w:hAnsi="仿宋" w:eastAsia="仿宋"/>
                <w:szCs w:val="21"/>
              </w:rPr>
            </w:pPr>
          </w:p>
        </w:tc>
        <w:tc>
          <w:tcPr>
            <w:tcW w:w="5452" w:type="dxa"/>
            <w:shd w:val="clear" w:color="auto" w:fill="auto"/>
            <w:vAlign w:val="center"/>
          </w:tcPr>
          <w:p>
            <w:pPr>
              <w:snapToGrid w:val="0"/>
              <w:spacing w:after="120" w:line="320" w:lineRule="exact"/>
              <w:rPr>
                <w:rFonts w:ascii="仿宋" w:hAnsi="仿宋" w:eastAsia="仿宋"/>
                <w:szCs w:val="21"/>
              </w:rPr>
            </w:pPr>
            <w:r>
              <w:rPr>
                <w:rFonts w:hint="eastAsia" w:ascii="仿宋" w:hAnsi="仿宋" w:eastAsia="仿宋"/>
                <w:szCs w:val="21"/>
              </w:rPr>
              <w:t>轮转模板配置，各个规培专业创建单独的轮转模板。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continue"/>
            <w:shd w:val="clear" w:color="auto" w:fill="auto"/>
            <w:vAlign w:val="center"/>
          </w:tcPr>
          <w:p>
            <w:pPr>
              <w:widowControl/>
              <w:spacing w:line="320" w:lineRule="exact"/>
              <w:rPr>
                <w:rFonts w:ascii="仿宋" w:hAnsi="仿宋" w:eastAsia="仿宋"/>
                <w:szCs w:val="21"/>
              </w:rPr>
            </w:pPr>
          </w:p>
        </w:tc>
        <w:tc>
          <w:tcPr>
            <w:tcW w:w="5452" w:type="dxa"/>
            <w:shd w:val="clear" w:color="auto" w:fill="auto"/>
            <w:vAlign w:val="center"/>
          </w:tcPr>
          <w:p>
            <w:pPr>
              <w:snapToGrid w:val="0"/>
              <w:spacing w:after="120" w:line="320" w:lineRule="exact"/>
              <w:rPr>
                <w:rFonts w:ascii="仿宋" w:hAnsi="仿宋" w:eastAsia="仿宋"/>
                <w:szCs w:val="21"/>
              </w:rPr>
            </w:pPr>
            <w:r>
              <w:rPr>
                <w:rFonts w:hint="eastAsia" w:ascii="仿宋" w:hAnsi="仿宋" w:eastAsia="仿宋"/>
                <w:szCs w:val="21"/>
              </w:rPr>
              <w:t>自动排轮转支持分阶段分科室安排。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continue"/>
            <w:shd w:val="clear" w:color="auto" w:fill="auto"/>
            <w:vAlign w:val="center"/>
          </w:tcPr>
          <w:p>
            <w:pPr>
              <w:widowControl/>
              <w:spacing w:line="320" w:lineRule="exact"/>
              <w:rPr>
                <w:rFonts w:ascii="仿宋" w:hAnsi="仿宋" w:eastAsia="仿宋"/>
                <w:szCs w:val="21"/>
              </w:rPr>
            </w:pPr>
          </w:p>
        </w:tc>
        <w:tc>
          <w:tcPr>
            <w:tcW w:w="5452" w:type="dxa"/>
            <w:shd w:val="clear" w:color="auto" w:fill="auto"/>
            <w:vAlign w:val="center"/>
          </w:tcPr>
          <w:p>
            <w:pPr>
              <w:snapToGrid w:val="0"/>
              <w:spacing w:after="120" w:line="320" w:lineRule="exact"/>
              <w:rPr>
                <w:rFonts w:ascii="仿宋" w:hAnsi="仿宋" w:eastAsia="仿宋"/>
                <w:szCs w:val="21"/>
              </w:rPr>
            </w:pPr>
            <w:r>
              <w:rPr>
                <w:rFonts w:hint="eastAsia" w:ascii="仿宋" w:hAnsi="仿宋" w:eastAsia="仿宋"/>
                <w:szCs w:val="21"/>
              </w:rPr>
              <w:t>负载控制，自动排轮转时不会超过科室可带教人数设置上限。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continue"/>
            <w:shd w:val="clear" w:color="auto" w:fill="auto"/>
            <w:vAlign w:val="center"/>
          </w:tcPr>
          <w:p>
            <w:pPr>
              <w:widowControl/>
              <w:spacing w:line="320" w:lineRule="exact"/>
              <w:rPr>
                <w:rFonts w:ascii="仿宋" w:hAnsi="仿宋" w:eastAsia="仿宋"/>
                <w:szCs w:val="21"/>
              </w:rPr>
            </w:pPr>
          </w:p>
        </w:tc>
        <w:tc>
          <w:tcPr>
            <w:tcW w:w="5452" w:type="dxa"/>
            <w:shd w:val="clear" w:color="auto" w:fill="auto"/>
            <w:vAlign w:val="center"/>
          </w:tcPr>
          <w:p>
            <w:pPr>
              <w:snapToGrid w:val="0"/>
              <w:spacing w:after="120" w:line="320" w:lineRule="exact"/>
              <w:rPr>
                <w:rFonts w:ascii="仿宋" w:hAnsi="仿宋" w:eastAsia="仿宋"/>
                <w:szCs w:val="21"/>
              </w:rPr>
            </w:pPr>
            <w:r>
              <w:rPr>
                <w:rFonts w:hint="eastAsia" w:ascii="仿宋" w:hAnsi="仿宋" w:eastAsia="仿宋"/>
                <w:szCs w:val="21"/>
              </w:rPr>
              <w:t>支持规培生、实习生的轮转计划，可按周、按半月、按月、分阶段生成轮转计划。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continue"/>
            <w:shd w:val="clear" w:color="auto" w:fill="auto"/>
            <w:vAlign w:val="center"/>
          </w:tcPr>
          <w:p>
            <w:pPr>
              <w:widowControl/>
              <w:spacing w:line="320" w:lineRule="exact"/>
              <w:rPr>
                <w:rFonts w:ascii="仿宋" w:hAnsi="仿宋" w:eastAsia="仿宋"/>
                <w:szCs w:val="21"/>
              </w:rPr>
            </w:pPr>
          </w:p>
        </w:tc>
        <w:tc>
          <w:tcPr>
            <w:tcW w:w="5452" w:type="dxa"/>
            <w:shd w:val="clear" w:color="auto" w:fill="auto"/>
            <w:vAlign w:val="center"/>
          </w:tcPr>
          <w:p>
            <w:pPr>
              <w:snapToGrid w:val="0"/>
              <w:spacing w:after="120" w:line="320" w:lineRule="exact"/>
              <w:rPr>
                <w:rFonts w:ascii="仿宋" w:hAnsi="仿宋" w:eastAsia="仿宋"/>
                <w:szCs w:val="21"/>
              </w:rPr>
            </w:pPr>
            <w:r>
              <w:rPr>
                <w:rFonts w:hint="eastAsia" w:ascii="仿宋" w:hAnsi="仿宋" w:eastAsia="仿宋"/>
                <w:szCs w:val="21"/>
              </w:rPr>
              <w:t>导入导出轮科表。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continue"/>
            <w:shd w:val="clear" w:color="auto" w:fill="auto"/>
            <w:vAlign w:val="center"/>
          </w:tcPr>
          <w:p>
            <w:pPr>
              <w:widowControl/>
              <w:spacing w:line="320" w:lineRule="exact"/>
              <w:rPr>
                <w:rFonts w:ascii="仿宋" w:hAnsi="仿宋" w:eastAsia="仿宋"/>
                <w:szCs w:val="21"/>
              </w:rPr>
            </w:pPr>
          </w:p>
        </w:tc>
        <w:tc>
          <w:tcPr>
            <w:tcW w:w="5452" w:type="dxa"/>
            <w:shd w:val="clear" w:color="auto" w:fill="auto"/>
            <w:vAlign w:val="center"/>
          </w:tcPr>
          <w:p>
            <w:pPr>
              <w:snapToGrid w:val="0"/>
              <w:spacing w:after="120" w:line="320" w:lineRule="exact"/>
              <w:rPr>
                <w:rFonts w:ascii="仿宋" w:hAnsi="仿宋" w:eastAsia="仿宋"/>
                <w:szCs w:val="21"/>
              </w:rPr>
            </w:pPr>
            <w:r>
              <w:rPr>
                <w:rFonts w:hint="eastAsia" w:ascii="仿宋" w:hAnsi="仿宋" w:eastAsia="仿宋"/>
                <w:szCs w:val="21"/>
              </w:rPr>
              <w:t>管理人员可按照开始和结束时间、科室、学生类型及轮转状态对科室当前人数进行查询和统计。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restart"/>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指定带教老师</w:t>
            </w:r>
          </w:p>
        </w:tc>
        <w:tc>
          <w:tcPr>
            <w:tcW w:w="5452" w:type="dxa"/>
            <w:shd w:val="clear" w:color="auto" w:fill="auto"/>
            <w:vAlign w:val="center"/>
          </w:tcPr>
          <w:p>
            <w:pPr>
              <w:pStyle w:val="169"/>
              <w:snapToGrid w:val="0"/>
              <w:spacing w:after="120" w:line="320" w:lineRule="exact"/>
              <w:ind w:firstLine="0" w:firstLineChars="0"/>
              <w:rPr>
                <w:rFonts w:ascii="仿宋" w:hAnsi="仿宋" w:eastAsia="仿宋"/>
                <w:szCs w:val="21"/>
              </w:rPr>
            </w:pPr>
            <w:r>
              <w:rPr>
                <w:rFonts w:hint="eastAsia" w:ascii="仿宋" w:hAnsi="仿宋" w:eastAsia="仿宋"/>
                <w:szCs w:val="21"/>
              </w:rPr>
              <w:t>给学员指定带教老师，以便统计绩效和开展师生互评。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continue"/>
            <w:shd w:val="clear" w:color="auto" w:fill="auto"/>
            <w:vAlign w:val="center"/>
          </w:tcPr>
          <w:p>
            <w:pPr>
              <w:widowControl/>
              <w:spacing w:line="320" w:lineRule="exact"/>
              <w:rPr>
                <w:rFonts w:ascii="仿宋" w:hAnsi="仿宋" w:eastAsia="仿宋"/>
                <w:szCs w:val="21"/>
              </w:rPr>
            </w:pPr>
          </w:p>
        </w:tc>
        <w:tc>
          <w:tcPr>
            <w:tcW w:w="5452" w:type="dxa"/>
            <w:shd w:val="clear" w:color="auto" w:fill="auto"/>
            <w:vAlign w:val="center"/>
          </w:tcPr>
          <w:p>
            <w:pPr>
              <w:pStyle w:val="169"/>
              <w:snapToGrid w:val="0"/>
              <w:spacing w:after="120" w:line="320" w:lineRule="exact"/>
              <w:ind w:left="-13" w:firstLine="0" w:firstLineChars="0"/>
              <w:rPr>
                <w:rFonts w:ascii="仿宋" w:hAnsi="仿宋" w:eastAsia="仿宋"/>
                <w:szCs w:val="21"/>
              </w:rPr>
            </w:pPr>
            <w:r>
              <w:rPr>
                <w:rFonts w:hint="eastAsia" w:ascii="仿宋" w:hAnsi="仿宋" w:eastAsia="仿宋"/>
                <w:szCs w:val="21"/>
              </w:rPr>
              <w:t>规培专业人数统计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continue"/>
            <w:shd w:val="clear" w:color="auto" w:fill="auto"/>
            <w:vAlign w:val="center"/>
          </w:tcPr>
          <w:p>
            <w:pPr>
              <w:widowControl/>
              <w:spacing w:line="320" w:lineRule="exact"/>
              <w:rPr>
                <w:rFonts w:ascii="仿宋" w:hAnsi="仿宋" w:eastAsia="仿宋"/>
                <w:szCs w:val="21"/>
              </w:rPr>
            </w:pPr>
          </w:p>
        </w:tc>
        <w:tc>
          <w:tcPr>
            <w:tcW w:w="5452" w:type="dxa"/>
            <w:shd w:val="clear" w:color="auto" w:fill="auto"/>
            <w:vAlign w:val="center"/>
          </w:tcPr>
          <w:p>
            <w:pPr>
              <w:pStyle w:val="169"/>
              <w:snapToGrid w:val="0"/>
              <w:spacing w:after="120" w:line="320" w:lineRule="exact"/>
              <w:ind w:left="-13" w:firstLine="0" w:firstLineChars="0"/>
              <w:rPr>
                <w:rFonts w:ascii="仿宋" w:hAnsi="仿宋" w:eastAsia="仿宋"/>
                <w:szCs w:val="21"/>
              </w:rPr>
            </w:pPr>
            <w:r>
              <w:rPr>
                <w:rFonts w:hint="eastAsia" w:ascii="仿宋" w:hAnsi="仿宋" w:eastAsia="仿宋"/>
                <w:szCs w:val="21"/>
              </w:rPr>
              <w:t>科室轮转人数统计，以图表和折线图等方式展现各个月份的人员变化情况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continue"/>
            <w:shd w:val="clear" w:color="auto" w:fill="auto"/>
            <w:vAlign w:val="center"/>
          </w:tcPr>
          <w:p>
            <w:pPr>
              <w:widowControl/>
              <w:spacing w:line="320" w:lineRule="exact"/>
              <w:rPr>
                <w:rFonts w:ascii="仿宋" w:hAnsi="仿宋" w:eastAsia="仿宋"/>
                <w:szCs w:val="21"/>
              </w:rPr>
            </w:pPr>
          </w:p>
        </w:tc>
        <w:tc>
          <w:tcPr>
            <w:tcW w:w="5452" w:type="dxa"/>
            <w:shd w:val="clear" w:color="auto" w:fill="auto"/>
            <w:vAlign w:val="center"/>
          </w:tcPr>
          <w:p>
            <w:pPr>
              <w:pStyle w:val="169"/>
              <w:snapToGrid w:val="0"/>
              <w:spacing w:after="120" w:line="320" w:lineRule="exact"/>
              <w:ind w:left="-13" w:firstLine="0" w:firstLineChars="0"/>
              <w:rPr>
                <w:rFonts w:ascii="仿宋" w:hAnsi="仿宋" w:eastAsia="仿宋"/>
                <w:szCs w:val="21"/>
              </w:rPr>
            </w:pPr>
            <w:r>
              <w:rPr>
                <w:rFonts w:hint="eastAsia" w:ascii="仿宋" w:hAnsi="仿宋" w:eastAsia="仿宋"/>
                <w:szCs w:val="21"/>
              </w:rPr>
              <w:t>基地轮转人数统计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continue"/>
            <w:shd w:val="clear" w:color="auto" w:fill="auto"/>
            <w:vAlign w:val="center"/>
          </w:tcPr>
          <w:p>
            <w:pPr>
              <w:widowControl/>
              <w:spacing w:line="320" w:lineRule="exact"/>
              <w:rPr>
                <w:rFonts w:ascii="仿宋" w:hAnsi="仿宋" w:eastAsia="仿宋"/>
                <w:szCs w:val="21"/>
              </w:rPr>
            </w:pPr>
          </w:p>
        </w:tc>
        <w:tc>
          <w:tcPr>
            <w:tcW w:w="5452" w:type="dxa"/>
            <w:shd w:val="clear" w:color="auto" w:fill="auto"/>
            <w:vAlign w:val="center"/>
          </w:tcPr>
          <w:p>
            <w:pPr>
              <w:pStyle w:val="169"/>
              <w:snapToGrid w:val="0"/>
              <w:spacing w:after="120" w:line="320" w:lineRule="exact"/>
              <w:ind w:left="-13" w:firstLine="0" w:firstLineChars="0"/>
              <w:rPr>
                <w:rFonts w:ascii="仿宋" w:hAnsi="仿宋" w:eastAsia="仿宋"/>
                <w:szCs w:val="21"/>
              </w:rPr>
            </w:pPr>
            <w:r>
              <w:rPr>
                <w:rFonts w:hint="eastAsia" w:ascii="仿宋" w:hAnsi="仿宋" w:eastAsia="仿宋"/>
                <w:szCs w:val="21"/>
              </w:rPr>
              <w:t>学校轮转人数统计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continue"/>
            <w:shd w:val="clear" w:color="auto" w:fill="auto"/>
            <w:vAlign w:val="center"/>
          </w:tcPr>
          <w:p>
            <w:pPr>
              <w:widowControl/>
              <w:spacing w:line="320" w:lineRule="exact"/>
              <w:rPr>
                <w:rFonts w:ascii="仿宋" w:hAnsi="仿宋" w:eastAsia="仿宋"/>
                <w:szCs w:val="21"/>
              </w:rPr>
            </w:pPr>
          </w:p>
        </w:tc>
        <w:tc>
          <w:tcPr>
            <w:tcW w:w="5452" w:type="dxa"/>
            <w:shd w:val="clear" w:color="auto" w:fill="auto"/>
            <w:vAlign w:val="center"/>
          </w:tcPr>
          <w:p>
            <w:pPr>
              <w:pStyle w:val="71"/>
              <w:spacing w:line="320" w:lineRule="exact"/>
              <w:ind w:left="-13"/>
              <w:jc w:val="both"/>
              <w:rPr>
                <w:rFonts w:ascii="仿宋" w:hAnsi="仿宋" w:eastAsia="仿宋"/>
                <w:sz w:val="21"/>
                <w:szCs w:val="21"/>
              </w:rPr>
            </w:pPr>
            <w:r>
              <w:rPr>
                <w:rFonts w:hint="eastAsia" w:ascii="仿宋" w:hAnsi="仿宋" w:eastAsia="仿宋"/>
                <w:sz w:val="21"/>
                <w:szCs w:val="21"/>
              </w:rPr>
              <w:t>老师带教人数统计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512" w:type="dxa"/>
            <w:vMerge w:val="restart"/>
            <w:shd w:val="clear" w:color="auto" w:fill="auto"/>
            <w:vAlign w:val="center"/>
          </w:tcPr>
          <w:p>
            <w:pPr>
              <w:widowControl/>
              <w:spacing w:line="320" w:lineRule="exact"/>
              <w:rPr>
                <w:rFonts w:ascii="仿宋" w:hAnsi="仿宋" w:eastAsia="仿宋" w:cs="Courier New"/>
                <w:szCs w:val="21"/>
              </w:rPr>
            </w:pPr>
          </w:p>
        </w:tc>
        <w:tc>
          <w:tcPr>
            <w:tcW w:w="1296" w:type="dxa"/>
            <w:vMerge w:val="continue"/>
            <w:shd w:val="clear" w:color="auto" w:fill="auto"/>
            <w:vAlign w:val="center"/>
          </w:tcPr>
          <w:p>
            <w:pPr>
              <w:rPr>
                <w:rFonts w:ascii="仿宋" w:hAnsi="仿宋" w:eastAsia="仿宋"/>
                <w:szCs w:val="21"/>
              </w:rPr>
            </w:pPr>
          </w:p>
        </w:tc>
        <w:tc>
          <w:tcPr>
            <w:tcW w:w="5452" w:type="dxa"/>
            <w:shd w:val="clear" w:color="auto" w:fill="auto"/>
            <w:vAlign w:val="center"/>
          </w:tcPr>
          <w:p>
            <w:pPr>
              <w:snapToGrid w:val="0"/>
              <w:spacing w:after="120" w:line="320" w:lineRule="exact"/>
              <w:rPr>
                <w:rFonts w:ascii="仿宋" w:hAnsi="仿宋" w:eastAsia="仿宋"/>
                <w:szCs w:val="21"/>
              </w:rPr>
            </w:pPr>
            <w:r>
              <w:rPr>
                <w:rFonts w:hint="eastAsia" w:ascii="仿宋" w:hAnsi="仿宋" w:eastAsia="仿宋"/>
                <w:szCs w:val="21"/>
              </w:rPr>
              <w:t>老师带教计天量统计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restart"/>
            <w:shd w:val="clear" w:color="auto" w:fill="auto"/>
            <w:vAlign w:val="center"/>
          </w:tcPr>
          <w:p>
            <w:pPr>
              <w:snapToGrid w:val="0"/>
              <w:spacing w:after="120" w:line="320" w:lineRule="exact"/>
              <w:rPr>
                <w:rFonts w:ascii="仿宋" w:hAnsi="仿宋" w:eastAsia="仿宋"/>
                <w:szCs w:val="21"/>
              </w:rPr>
            </w:pPr>
            <w:r>
              <w:rPr>
                <w:rFonts w:hint="eastAsia" w:ascii="仿宋" w:hAnsi="仿宋" w:eastAsia="仿宋"/>
                <w:szCs w:val="21"/>
              </w:rPr>
              <w:t>导师制管理</w:t>
            </w:r>
          </w:p>
        </w:tc>
        <w:tc>
          <w:tcPr>
            <w:tcW w:w="5452" w:type="dxa"/>
            <w:shd w:val="clear" w:color="auto" w:fill="auto"/>
            <w:vAlign w:val="center"/>
          </w:tcPr>
          <w:p>
            <w:pPr>
              <w:snapToGrid w:val="0"/>
              <w:spacing w:after="120" w:line="320" w:lineRule="exact"/>
              <w:rPr>
                <w:rFonts w:ascii="仿宋" w:hAnsi="仿宋" w:eastAsia="仿宋"/>
                <w:szCs w:val="21"/>
              </w:rPr>
            </w:pPr>
            <w:r>
              <w:rPr>
                <w:rFonts w:hint="eastAsia" w:ascii="仿宋" w:hAnsi="仿宋" w:eastAsia="仿宋"/>
                <w:szCs w:val="21"/>
              </w:rPr>
              <w:t>支持给学员指定导师，以便开展导师指导和师生互评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continue"/>
            <w:shd w:val="clear" w:color="auto" w:fill="auto"/>
            <w:vAlign w:val="center"/>
          </w:tcPr>
          <w:p>
            <w:pPr>
              <w:snapToGrid w:val="0"/>
              <w:spacing w:after="120" w:line="320" w:lineRule="exact"/>
              <w:rPr>
                <w:rFonts w:ascii="仿宋" w:hAnsi="仿宋" w:eastAsia="仿宋"/>
                <w:szCs w:val="21"/>
              </w:rPr>
            </w:pPr>
          </w:p>
        </w:tc>
        <w:tc>
          <w:tcPr>
            <w:tcW w:w="5452" w:type="dxa"/>
            <w:shd w:val="clear" w:color="auto" w:fill="auto"/>
            <w:vAlign w:val="center"/>
          </w:tcPr>
          <w:p>
            <w:pPr>
              <w:snapToGrid w:val="0"/>
              <w:spacing w:after="120" w:line="320" w:lineRule="exact"/>
              <w:rPr>
                <w:rFonts w:ascii="仿宋" w:hAnsi="仿宋" w:eastAsia="仿宋"/>
                <w:szCs w:val="21"/>
              </w:rPr>
            </w:pPr>
            <w:r>
              <w:rPr>
                <w:rFonts w:hint="eastAsia" w:ascii="仿宋" w:hAnsi="仿宋" w:eastAsia="仿宋"/>
                <w:szCs w:val="21"/>
              </w:rPr>
              <w:t>支持记录学员与导师之间的指导记录（包含月度指导、半年总结、年度总结、结业总结等）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continue"/>
            <w:shd w:val="clear" w:color="auto" w:fill="auto"/>
            <w:vAlign w:val="center"/>
          </w:tcPr>
          <w:p>
            <w:pPr>
              <w:snapToGrid w:val="0"/>
              <w:spacing w:after="120" w:line="320" w:lineRule="exact"/>
              <w:rPr>
                <w:rFonts w:ascii="仿宋" w:hAnsi="仿宋" w:eastAsia="仿宋"/>
                <w:szCs w:val="21"/>
              </w:rPr>
            </w:pPr>
          </w:p>
        </w:tc>
        <w:tc>
          <w:tcPr>
            <w:tcW w:w="5452" w:type="dxa"/>
            <w:shd w:val="clear" w:color="auto" w:fill="auto"/>
            <w:vAlign w:val="center"/>
          </w:tcPr>
          <w:p>
            <w:pPr>
              <w:snapToGrid w:val="0"/>
              <w:spacing w:after="120" w:line="320" w:lineRule="exact"/>
              <w:rPr>
                <w:rFonts w:ascii="仿宋" w:hAnsi="仿宋" w:eastAsia="仿宋"/>
                <w:szCs w:val="21"/>
              </w:rPr>
            </w:pPr>
            <w:r>
              <w:rPr>
                <w:rFonts w:hint="eastAsia" w:ascii="仿宋" w:hAnsi="仿宋" w:eastAsia="仿宋"/>
                <w:szCs w:val="21"/>
              </w:rPr>
              <w:t>可以统计指导记录数量，并直接将记录内容导出为导师指导手册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restart"/>
            <w:shd w:val="clear" w:color="auto" w:fill="auto"/>
            <w:vAlign w:val="center"/>
          </w:tcPr>
          <w:p>
            <w:pPr>
              <w:snapToGrid w:val="0"/>
              <w:spacing w:after="120" w:line="320" w:lineRule="exact"/>
              <w:rPr>
                <w:rFonts w:ascii="仿宋" w:hAnsi="仿宋" w:eastAsia="仿宋"/>
                <w:szCs w:val="21"/>
              </w:rPr>
            </w:pPr>
            <w:r>
              <w:rPr>
                <w:rFonts w:hint="eastAsia" w:ascii="仿宋" w:hAnsi="仿宋" w:eastAsia="仿宋"/>
                <w:szCs w:val="21"/>
              </w:rPr>
              <w:t>科室规培大纲</w:t>
            </w:r>
          </w:p>
        </w:tc>
        <w:tc>
          <w:tcPr>
            <w:tcW w:w="5452" w:type="dxa"/>
            <w:shd w:val="clear" w:color="auto" w:fill="auto"/>
            <w:vAlign w:val="center"/>
          </w:tcPr>
          <w:p>
            <w:pPr>
              <w:snapToGrid w:val="0"/>
              <w:spacing w:after="120" w:line="320" w:lineRule="exact"/>
              <w:rPr>
                <w:rFonts w:ascii="仿宋" w:hAnsi="仿宋" w:eastAsia="仿宋"/>
                <w:szCs w:val="21"/>
              </w:rPr>
            </w:pPr>
            <w:r>
              <w:rPr>
                <w:rStyle w:val="168"/>
                <w:rFonts w:hint="eastAsia" w:ascii="仿宋" w:hAnsi="仿宋" w:eastAsia="仿宋"/>
                <w:kern w:val="0"/>
                <w:szCs w:val="21"/>
              </w:rPr>
              <w:t>▲</w:t>
            </w:r>
            <w:r>
              <w:rPr>
                <w:rFonts w:hint="eastAsia" w:ascii="仿宋" w:hAnsi="仿宋" w:eastAsia="仿宋"/>
                <w:szCs w:val="21"/>
              </w:rPr>
              <w:t>允许自定义大纲内容，如：病种登记、操作技能登记、出入科总结等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continue"/>
            <w:shd w:val="clear" w:color="auto" w:fill="auto"/>
            <w:vAlign w:val="center"/>
          </w:tcPr>
          <w:p>
            <w:pPr>
              <w:rPr>
                <w:rFonts w:ascii="仿宋" w:hAnsi="仿宋" w:eastAsia="仿宋"/>
                <w:szCs w:val="21"/>
              </w:rPr>
            </w:pPr>
          </w:p>
        </w:tc>
        <w:tc>
          <w:tcPr>
            <w:tcW w:w="5452" w:type="dxa"/>
            <w:shd w:val="clear" w:color="auto" w:fill="auto"/>
            <w:vAlign w:val="center"/>
          </w:tcPr>
          <w:p>
            <w:pPr>
              <w:snapToGrid w:val="0"/>
              <w:spacing w:after="120" w:line="320" w:lineRule="exact"/>
              <w:rPr>
                <w:rFonts w:ascii="仿宋" w:hAnsi="仿宋" w:eastAsia="仿宋"/>
                <w:szCs w:val="21"/>
              </w:rPr>
            </w:pPr>
            <w:r>
              <w:rPr>
                <w:rFonts w:hint="eastAsia" w:ascii="仿宋" w:hAnsi="仿宋" w:eastAsia="仿宋"/>
                <w:szCs w:val="21"/>
              </w:rPr>
              <w:t>支持按科室配置规培大纲内容和所需份数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continue"/>
            <w:shd w:val="clear" w:color="auto" w:fill="auto"/>
            <w:vAlign w:val="center"/>
          </w:tcPr>
          <w:p>
            <w:pPr>
              <w:rPr>
                <w:rFonts w:ascii="仿宋" w:hAnsi="仿宋" w:eastAsia="仿宋"/>
                <w:szCs w:val="21"/>
              </w:rPr>
            </w:pPr>
          </w:p>
        </w:tc>
        <w:tc>
          <w:tcPr>
            <w:tcW w:w="5452" w:type="dxa"/>
            <w:shd w:val="clear" w:color="auto" w:fill="auto"/>
            <w:vAlign w:val="center"/>
          </w:tcPr>
          <w:p>
            <w:pPr>
              <w:snapToGrid w:val="0"/>
              <w:spacing w:after="120" w:line="320" w:lineRule="exact"/>
              <w:rPr>
                <w:rFonts w:ascii="仿宋" w:hAnsi="仿宋" w:eastAsia="仿宋"/>
                <w:szCs w:val="21"/>
              </w:rPr>
            </w:pPr>
            <w:r>
              <w:rPr>
                <w:rFonts w:hint="eastAsia" w:ascii="仿宋" w:hAnsi="仿宋" w:eastAsia="仿宋"/>
                <w:szCs w:val="21"/>
              </w:rPr>
              <w:t>可统计展示学员在每个轮转科室的大纲完成进度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512" w:type="dxa"/>
            <w:vMerge w:val="restart"/>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住培学员招录模块</w:t>
            </w:r>
          </w:p>
        </w:tc>
        <w:tc>
          <w:tcPr>
            <w:tcW w:w="1296" w:type="dxa"/>
            <w:shd w:val="clear" w:color="auto" w:fill="auto"/>
            <w:vAlign w:val="center"/>
          </w:tcPr>
          <w:p>
            <w:pPr>
              <w:rPr>
                <w:rFonts w:ascii="仿宋" w:hAnsi="仿宋" w:eastAsia="仿宋"/>
                <w:szCs w:val="21"/>
              </w:rPr>
            </w:pPr>
            <w:r>
              <w:rPr>
                <w:rFonts w:hint="eastAsia" w:ascii="仿宋" w:hAnsi="仿宋" w:eastAsia="仿宋"/>
                <w:szCs w:val="21"/>
              </w:rPr>
              <w:t>手机端报名</w:t>
            </w:r>
          </w:p>
        </w:tc>
        <w:tc>
          <w:tcPr>
            <w:tcW w:w="5452" w:type="dxa"/>
            <w:shd w:val="clear" w:color="auto" w:fill="auto"/>
            <w:vAlign w:val="center"/>
          </w:tcPr>
          <w:p>
            <w:pPr>
              <w:pStyle w:val="71"/>
              <w:spacing w:line="320" w:lineRule="exact"/>
              <w:ind w:left="-13"/>
              <w:jc w:val="both"/>
              <w:rPr>
                <w:rFonts w:ascii="仿宋" w:hAnsi="仿宋" w:eastAsia="仿宋"/>
                <w:sz w:val="21"/>
                <w:szCs w:val="21"/>
              </w:rPr>
            </w:pPr>
            <w:r>
              <w:rPr>
                <w:rFonts w:hint="eastAsia" w:ascii="仿宋" w:hAnsi="仿宋" w:eastAsia="仿宋"/>
                <w:sz w:val="21"/>
                <w:szCs w:val="21"/>
              </w:rPr>
              <w:t>提供手机端的报名入口，支持微信扫码报名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rPr>
                <w:rFonts w:ascii="仿宋" w:hAnsi="仿宋" w:eastAsia="仿宋"/>
                <w:szCs w:val="21"/>
              </w:rPr>
            </w:pPr>
            <w:r>
              <w:rPr>
                <w:rFonts w:hint="eastAsia" w:ascii="仿宋" w:hAnsi="仿宋" w:eastAsia="仿宋"/>
                <w:szCs w:val="21"/>
              </w:rPr>
              <w:t>网页端报名</w:t>
            </w:r>
          </w:p>
        </w:tc>
        <w:tc>
          <w:tcPr>
            <w:tcW w:w="5452" w:type="dxa"/>
            <w:shd w:val="clear" w:color="auto" w:fill="auto"/>
            <w:vAlign w:val="center"/>
          </w:tcPr>
          <w:p>
            <w:pPr>
              <w:pStyle w:val="71"/>
              <w:spacing w:line="320" w:lineRule="exact"/>
              <w:ind w:left="-13"/>
              <w:jc w:val="both"/>
              <w:rPr>
                <w:rFonts w:ascii="仿宋" w:hAnsi="仿宋" w:eastAsia="仿宋"/>
                <w:sz w:val="21"/>
                <w:szCs w:val="21"/>
              </w:rPr>
            </w:pPr>
            <w:r>
              <w:rPr>
                <w:rFonts w:hint="eastAsia" w:ascii="仿宋" w:hAnsi="仿宋" w:eastAsia="仿宋"/>
                <w:sz w:val="21"/>
                <w:szCs w:val="21"/>
              </w:rPr>
              <w:t>提供电脑网页端的报名入口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rPr>
                <w:rFonts w:ascii="仿宋" w:hAnsi="仿宋" w:eastAsia="仿宋"/>
                <w:szCs w:val="21"/>
              </w:rPr>
            </w:pPr>
            <w:r>
              <w:rPr>
                <w:rFonts w:hint="eastAsia" w:ascii="仿宋" w:hAnsi="仿宋" w:eastAsia="仿宋"/>
                <w:szCs w:val="21"/>
              </w:rPr>
              <w:t>招录活动管理</w:t>
            </w:r>
          </w:p>
        </w:tc>
        <w:tc>
          <w:tcPr>
            <w:tcW w:w="5452" w:type="dxa"/>
            <w:shd w:val="clear" w:color="auto" w:fill="auto"/>
            <w:vAlign w:val="center"/>
          </w:tcPr>
          <w:p>
            <w:pPr>
              <w:pStyle w:val="71"/>
              <w:spacing w:line="320" w:lineRule="exact"/>
              <w:ind w:left="-13"/>
              <w:jc w:val="both"/>
              <w:rPr>
                <w:rFonts w:ascii="仿宋" w:hAnsi="仿宋" w:eastAsia="仿宋"/>
                <w:sz w:val="21"/>
                <w:szCs w:val="21"/>
              </w:rPr>
            </w:pPr>
            <w:r>
              <w:rPr>
                <w:rFonts w:hint="eastAsia" w:ascii="仿宋" w:hAnsi="仿宋" w:eastAsia="仿宋"/>
                <w:sz w:val="21"/>
                <w:szCs w:val="21"/>
              </w:rPr>
              <w:t>招录活动时间、内容、标题、开启等管理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rPr>
                <w:rFonts w:ascii="仿宋" w:hAnsi="仿宋" w:eastAsia="仿宋"/>
                <w:szCs w:val="21"/>
              </w:rPr>
            </w:pPr>
            <w:r>
              <w:rPr>
                <w:rFonts w:hint="eastAsia" w:ascii="仿宋" w:hAnsi="仿宋" w:eastAsia="仿宋"/>
                <w:szCs w:val="21"/>
              </w:rPr>
              <w:t>报名数据管理</w:t>
            </w:r>
          </w:p>
        </w:tc>
        <w:tc>
          <w:tcPr>
            <w:tcW w:w="5452" w:type="dxa"/>
            <w:shd w:val="clear" w:color="auto" w:fill="auto"/>
            <w:vAlign w:val="center"/>
          </w:tcPr>
          <w:p>
            <w:pPr>
              <w:pStyle w:val="71"/>
              <w:spacing w:line="320" w:lineRule="exact"/>
              <w:ind w:left="-13"/>
              <w:jc w:val="both"/>
              <w:rPr>
                <w:rFonts w:ascii="仿宋" w:hAnsi="仿宋" w:eastAsia="仿宋"/>
                <w:sz w:val="21"/>
                <w:szCs w:val="21"/>
              </w:rPr>
            </w:pPr>
            <w:r>
              <w:rPr>
                <w:rFonts w:hint="eastAsia" w:ascii="仿宋" w:hAnsi="仿宋" w:eastAsia="仿宋"/>
                <w:sz w:val="21"/>
                <w:szCs w:val="21"/>
              </w:rPr>
              <w:t>对学员的报名数据进行增删改查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rPr>
                <w:rFonts w:ascii="仿宋" w:hAnsi="仿宋" w:eastAsia="仿宋"/>
                <w:szCs w:val="21"/>
              </w:rPr>
            </w:pPr>
            <w:r>
              <w:rPr>
                <w:rFonts w:hint="eastAsia" w:ascii="仿宋" w:hAnsi="仿宋" w:eastAsia="仿宋"/>
                <w:szCs w:val="21"/>
              </w:rPr>
              <w:t>文档导出及打印</w:t>
            </w:r>
          </w:p>
        </w:tc>
        <w:tc>
          <w:tcPr>
            <w:tcW w:w="5452" w:type="dxa"/>
            <w:shd w:val="clear" w:color="auto" w:fill="auto"/>
            <w:vAlign w:val="center"/>
          </w:tcPr>
          <w:p>
            <w:pPr>
              <w:pStyle w:val="71"/>
              <w:spacing w:line="320" w:lineRule="exact"/>
              <w:ind w:left="-13"/>
              <w:jc w:val="both"/>
              <w:rPr>
                <w:rFonts w:ascii="仿宋" w:hAnsi="仿宋" w:eastAsia="仿宋"/>
                <w:sz w:val="21"/>
                <w:szCs w:val="21"/>
              </w:rPr>
            </w:pPr>
            <w:r>
              <w:rPr>
                <w:rFonts w:hint="eastAsia" w:ascii="仿宋" w:hAnsi="仿宋" w:eastAsia="仿宋"/>
                <w:sz w:val="21"/>
                <w:szCs w:val="21"/>
              </w:rPr>
              <w:t>自动生成报名表格，支持报名表导出及打印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512" w:type="dxa"/>
            <w:vMerge w:val="restart"/>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szCs w:val="21"/>
              </w:rPr>
              <w:t>考勤管理</w:t>
            </w:r>
          </w:p>
        </w:tc>
        <w:tc>
          <w:tcPr>
            <w:tcW w:w="1296" w:type="dxa"/>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szCs w:val="21"/>
              </w:rPr>
              <w:t>日常考勤签到</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支持手机小程序（或微信等）小程序GPS考勤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电子围栏设置</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设置允许考勤的地理范围，包括但不限于医院、社区医院、医联体医院等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考勤班次设置</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 xml:space="preserve">设置考勤类型，类型对应的天数（全天班 </w:t>
            </w:r>
            <w:r>
              <w:rPr>
                <w:rFonts w:ascii="仿宋" w:hAnsi="仿宋" w:eastAsia="仿宋"/>
                <w:szCs w:val="21"/>
              </w:rPr>
              <w:t>1</w:t>
            </w:r>
            <w:r>
              <w:rPr>
                <w:rFonts w:hint="eastAsia" w:ascii="仿宋" w:hAnsi="仿宋" w:eastAsia="仿宋"/>
                <w:szCs w:val="21"/>
              </w:rPr>
              <w:t>天、上午班0.5天等）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考勤审核</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支持带教老师、科室秘书对学员的考勤情况进行审批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考勤日报表</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统计每天各科室学员考勤情况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考勤月报表</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统计每月各科室学员考勤情况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月考勤异常记录</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对考勤异常数据进行汇总统计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考勤统计年报</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对学员整个年度的考勤情况进行汇总统计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512" w:type="dxa"/>
            <w:vMerge w:val="restart"/>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值班统计</w:t>
            </w:r>
          </w:p>
        </w:tc>
        <w:tc>
          <w:tcPr>
            <w:tcW w:w="1296" w:type="dxa"/>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填写值班记录</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填写各科室的值班安排，包括值班人、帮班人、值班老师等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查询值班记录</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学员可以在手机小程序（或微信等）小程序上查询科室的值班安排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值班类型设置</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 xml:space="preserve">设置值班类型，类型对应的天数（通宵 </w:t>
            </w:r>
            <w:r>
              <w:rPr>
                <w:rFonts w:ascii="仿宋" w:hAnsi="仿宋" w:eastAsia="仿宋"/>
                <w:szCs w:val="21"/>
              </w:rPr>
              <w:t>1</w:t>
            </w:r>
            <w:r>
              <w:rPr>
                <w:rFonts w:hint="eastAsia" w:ascii="仿宋" w:hAnsi="仿宋" w:eastAsia="仿宋"/>
                <w:szCs w:val="21"/>
              </w:rPr>
              <w:t>天、上半夜0.5天等）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值班日报表</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统计每天各科室学员值班情况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值班月报表</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统计每月各科室学员值班情况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值班统计年报</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对学员整个年度的值班情况进行汇总统计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jc w:val="center"/>
        </w:trPr>
        <w:tc>
          <w:tcPr>
            <w:tcW w:w="1512" w:type="dxa"/>
            <w:vMerge w:val="restart"/>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szCs w:val="21"/>
              </w:rPr>
              <w:t>教学活动管理</w:t>
            </w:r>
          </w:p>
        </w:tc>
        <w:tc>
          <w:tcPr>
            <w:tcW w:w="1296" w:type="dxa"/>
            <w:shd w:val="clear" w:color="auto" w:fill="auto"/>
            <w:vAlign w:val="center"/>
          </w:tcPr>
          <w:p>
            <w:pPr>
              <w:widowControl/>
              <w:spacing w:line="320" w:lineRule="exact"/>
              <w:ind w:left="-13"/>
              <w:rPr>
                <w:rFonts w:ascii="仿宋" w:hAnsi="仿宋" w:eastAsia="仿宋"/>
                <w:szCs w:val="21"/>
              </w:rPr>
            </w:pPr>
            <w:r>
              <w:rPr>
                <w:rFonts w:hint="eastAsia" w:ascii="仿宋" w:hAnsi="仿宋" w:eastAsia="仿宋"/>
                <w:szCs w:val="21"/>
              </w:rPr>
              <w:t>创建教学活动</w:t>
            </w:r>
          </w:p>
        </w:tc>
        <w:tc>
          <w:tcPr>
            <w:tcW w:w="5452" w:type="dxa"/>
            <w:shd w:val="clear" w:color="auto" w:fill="auto"/>
            <w:vAlign w:val="center"/>
          </w:tcPr>
          <w:p>
            <w:pPr>
              <w:widowControl/>
              <w:spacing w:line="320" w:lineRule="exact"/>
              <w:ind w:left="-13"/>
              <w:rPr>
                <w:rFonts w:ascii="仿宋" w:hAnsi="仿宋" w:eastAsia="仿宋"/>
                <w:szCs w:val="21"/>
              </w:rPr>
            </w:pPr>
            <w:r>
              <w:rPr>
                <w:rFonts w:hint="eastAsia" w:ascii="仿宋" w:hAnsi="仿宋" w:eastAsia="仿宋"/>
                <w:szCs w:val="21"/>
              </w:rPr>
              <w:t>入科教育、教学查房、临床教学病例讨论、临床小讲课、临床操作指导、集体备课、理论大课、典型病例收集、出科考核等教学活动计划、实施情况登记、统计等；可根据实际需求自定义其他教学活动类别。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活动人员管理</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根据创建活动时选择的科室、专业基地、科室组自动筛选教学活动的参加人员，并且生成签到表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活动通知</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创建教学活动以后，自动发送短信和手机小程序（或微信等）通知、支持在活动开始两个小时内再次发短信提醒功能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二维码签到</w:t>
            </w:r>
          </w:p>
        </w:tc>
        <w:tc>
          <w:tcPr>
            <w:tcW w:w="5452" w:type="dxa"/>
            <w:shd w:val="clear" w:color="auto" w:fill="auto"/>
            <w:vAlign w:val="center"/>
          </w:tcPr>
          <w:p>
            <w:pPr>
              <w:pStyle w:val="71"/>
              <w:spacing w:line="320" w:lineRule="exact"/>
              <w:ind w:left="0"/>
              <w:jc w:val="both"/>
              <w:rPr>
                <w:rFonts w:ascii="仿宋" w:hAnsi="仿宋" w:eastAsia="仿宋"/>
                <w:sz w:val="21"/>
                <w:szCs w:val="21"/>
              </w:rPr>
            </w:pPr>
            <w:r>
              <w:rPr>
                <w:rFonts w:hint="eastAsia" w:ascii="仿宋" w:hAnsi="仿宋" w:eastAsia="仿宋"/>
                <w:sz w:val="21"/>
                <w:szCs w:val="21"/>
              </w:rPr>
              <w:t>支持手机端的动态二维码、静态二维码的扫码签到功能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活动报名</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对未在参会人员列表中的人员，允许活动报名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活动评分表管理</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设置不同类型活动的评分表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填写评价表</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学员和老师可在手机小程序（或微信等）端填写活动评分表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课件管理</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允许上传PPT\WORD\PDF等常见格式的课件，学员可在手机端查看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活动图片</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对教学活动现场拍照，并上传（科教干事开通权限）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教学活动情况导出</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根据查询条件批量导出教学活动列表，生成excel等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教学活动档案</w:t>
            </w:r>
          </w:p>
        </w:tc>
        <w:tc>
          <w:tcPr>
            <w:tcW w:w="5452" w:type="dxa"/>
            <w:shd w:val="clear" w:color="auto" w:fill="auto"/>
            <w:vAlign w:val="center"/>
          </w:tcPr>
          <w:p>
            <w:pPr>
              <w:pStyle w:val="71"/>
              <w:spacing w:line="320" w:lineRule="exact"/>
              <w:ind w:left="0"/>
              <w:jc w:val="both"/>
              <w:rPr>
                <w:rFonts w:ascii="仿宋" w:hAnsi="仿宋" w:eastAsia="仿宋"/>
                <w:sz w:val="21"/>
                <w:szCs w:val="21"/>
              </w:rPr>
            </w:pPr>
            <w:r>
              <w:rPr>
                <w:rFonts w:hint="eastAsia" w:ascii="仿宋" w:hAnsi="仿宋" w:eastAsia="仿宋"/>
                <w:sz w:val="21"/>
                <w:szCs w:val="21"/>
              </w:rPr>
              <w:t>系统自动生成每个教学活动档案word文档、包括活动基本信息、参会人员签到表、课件、活动照片、过程记录等重要信息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教学活动绩效管理</w:t>
            </w:r>
          </w:p>
        </w:tc>
        <w:tc>
          <w:tcPr>
            <w:tcW w:w="5452" w:type="dxa"/>
            <w:shd w:val="clear" w:color="auto" w:fill="auto"/>
            <w:vAlign w:val="center"/>
          </w:tcPr>
          <w:p>
            <w:pPr>
              <w:pStyle w:val="71"/>
              <w:spacing w:line="320" w:lineRule="exact"/>
              <w:ind w:left="0"/>
              <w:jc w:val="both"/>
              <w:rPr>
                <w:rFonts w:ascii="仿宋" w:hAnsi="仿宋" w:eastAsia="仿宋"/>
                <w:sz w:val="21"/>
                <w:szCs w:val="21"/>
              </w:rPr>
            </w:pPr>
            <w:r>
              <w:rPr>
                <w:rFonts w:hint="eastAsia" w:ascii="仿宋" w:hAnsi="仿宋" w:eastAsia="仿宋"/>
                <w:sz w:val="21"/>
                <w:szCs w:val="21"/>
              </w:rPr>
              <w:t>设置教学活动的签到率、评价率，用以判断教学活动是否达标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1512" w:type="dxa"/>
            <w:vMerge w:val="restart"/>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带教老师绩效管理</w:t>
            </w: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教学活动绩效分管理</w:t>
            </w:r>
          </w:p>
        </w:tc>
        <w:tc>
          <w:tcPr>
            <w:tcW w:w="5452" w:type="dxa"/>
            <w:shd w:val="clear" w:color="auto" w:fill="auto"/>
            <w:vAlign w:val="center"/>
          </w:tcPr>
          <w:p>
            <w:pPr>
              <w:widowControl/>
              <w:spacing w:line="320" w:lineRule="exact"/>
              <w:rPr>
                <w:rFonts w:ascii="仿宋" w:hAnsi="仿宋" w:eastAsia="仿宋"/>
                <w:szCs w:val="21"/>
              </w:rPr>
            </w:pPr>
            <w:r>
              <w:rPr>
                <w:rStyle w:val="168"/>
                <w:rFonts w:hint="eastAsia" w:ascii="仿宋" w:hAnsi="仿宋" w:eastAsia="仿宋"/>
                <w:kern w:val="0"/>
                <w:szCs w:val="21"/>
              </w:rPr>
              <w:t>▲</w:t>
            </w:r>
            <w:r>
              <w:rPr>
                <w:rFonts w:hint="eastAsia" w:ascii="仿宋" w:hAnsi="仿宋" w:eastAsia="仿宋"/>
                <w:szCs w:val="21"/>
              </w:rPr>
              <w:t>对开展不同类型的教学活动设置不同的绩效分，并且可以根据教学活动参加人员签到率统计分数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带教学生绩效管理</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带教老师带不同类型的学员设置不同的绩效分，并且可以根据学员的带教时长统计分数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带教学员绩效</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统计带教老师每月（或根据需要时间段）带教学员情况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带教老师绩效综合评分</w:t>
            </w:r>
          </w:p>
        </w:tc>
        <w:tc>
          <w:tcPr>
            <w:tcW w:w="5452" w:type="dxa"/>
            <w:shd w:val="clear" w:color="auto" w:fill="auto"/>
            <w:vAlign w:val="center"/>
          </w:tcPr>
          <w:p>
            <w:pPr>
              <w:pStyle w:val="71"/>
              <w:spacing w:line="320" w:lineRule="exact"/>
              <w:ind w:left="0"/>
              <w:jc w:val="both"/>
              <w:rPr>
                <w:rFonts w:ascii="仿宋" w:hAnsi="仿宋" w:eastAsia="仿宋"/>
                <w:sz w:val="21"/>
                <w:szCs w:val="21"/>
              </w:rPr>
            </w:pPr>
            <w:r>
              <w:rPr>
                <w:rFonts w:hint="eastAsia" w:ascii="仿宋" w:hAnsi="仿宋" w:eastAsia="仿宋"/>
                <w:sz w:val="21"/>
                <w:szCs w:val="21"/>
              </w:rPr>
              <w:t>统计老师带教学生的情况、开展教学活动、是否兼职科教干事的情况，分别给予相应分值，进行量化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512" w:type="dxa"/>
            <w:vMerge w:val="restart"/>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360°测评</w:t>
            </w: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被测评人二维码</w:t>
            </w:r>
          </w:p>
        </w:tc>
        <w:tc>
          <w:tcPr>
            <w:tcW w:w="5452" w:type="dxa"/>
            <w:shd w:val="clear" w:color="auto" w:fill="auto"/>
            <w:vAlign w:val="center"/>
          </w:tcPr>
          <w:p>
            <w:pPr>
              <w:pStyle w:val="71"/>
              <w:spacing w:line="320" w:lineRule="exact"/>
              <w:ind w:left="0"/>
              <w:jc w:val="both"/>
              <w:rPr>
                <w:rFonts w:ascii="仿宋" w:hAnsi="仿宋" w:eastAsia="仿宋"/>
                <w:sz w:val="21"/>
                <w:szCs w:val="21"/>
              </w:rPr>
            </w:pPr>
            <w:r>
              <w:rPr>
                <w:rFonts w:hint="eastAsia" w:ascii="仿宋" w:hAnsi="仿宋" w:eastAsia="仿宋" w:cs="Courier New"/>
                <w:sz w:val="21"/>
                <w:szCs w:val="21"/>
              </w:rPr>
              <w:t>每个被评测人拥有唯一的身份识别二维码，被扫描二维码以后，系统会自动关联被评测人和评测问卷，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测评雷达</w:t>
            </w:r>
          </w:p>
        </w:tc>
        <w:tc>
          <w:tcPr>
            <w:tcW w:w="5452" w:type="dxa"/>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根据测评情况，生成每位学员各个评测维度汇总成的蛛网图信息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测评模型</w:t>
            </w:r>
          </w:p>
        </w:tc>
        <w:tc>
          <w:tcPr>
            <w:tcW w:w="5452" w:type="dxa"/>
            <w:shd w:val="clear" w:color="auto" w:fill="auto"/>
            <w:vAlign w:val="center"/>
          </w:tcPr>
          <w:p>
            <w:pPr>
              <w:pStyle w:val="71"/>
              <w:spacing w:line="320" w:lineRule="exact"/>
              <w:ind w:left="0"/>
              <w:jc w:val="both"/>
              <w:rPr>
                <w:rFonts w:ascii="仿宋" w:hAnsi="仿宋" w:eastAsia="仿宋" w:cs="Courier New"/>
                <w:sz w:val="21"/>
                <w:szCs w:val="21"/>
              </w:rPr>
            </w:pPr>
            <w:r>
              <w:rPr>
                <w:rFonts w:hint="eastAsia" w:ascii="仿宋" w:hAnsi="仿宋" w:eastAsia="仿宋" w:cs="Courier New"/>
                <w:sz w:val="21"/>
                <w:szCs w:val="21"/>
              </w:rPr>
              <w:t>设置各个角色的测评维度，包含ACGME和Can</w:t>
            </w:r>
            <w:r>
              <w:rPr>
                <w:rFonts w:ascii="仿宋" w:hAnsi="仿宋" w:eastAsia="仿宋" w:cs="Courier New"/>
                <w:sz w:val="21"/>
                <w:szCs w:val="21"/>
              </w:rPr>
              <w:t>EMDS</w:t>
            </w:r>
            <w:r>
              <w:rPr>
                <w:rFonts w:hint="eastAsia" w:ascii="仿宋" w:hAnsi="仿宋" w:eastAsia="仿宋" w:cs="Courier New"/>
                <w:sz w:val="21"/>
                <w:szCs w:val="21"/>
              </w:rPr>
              <w:t>版本的评测模型和对应的表单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测评开关</w:t>
            </w:r>
          </w:p>
        </w:tc>
        <w:tc>
          <w:tcPr>
            <w:tcW w:w="5452" w:type="dxa"/>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管理台可以控制是否开放评测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对学员评价</w:t>
            </w:r>
          </w:p>
        </w:tc>
        <w:tc>
          <w:tcPr>
            <w:tcW w:w="5452" w:type="dxa"/>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主治医师对学员评测</w:t>
            </w:r>
          </w:p>
          <w:p>
            <w:pPr>
              <w:widowControl/>
              <w:spacing w:line="320" w:lineRule="exact"/>
              <w:rPr>
                <w:rFonts w:ascii="仿宋" w:hAnsi="仿宋" w:eastAsia="仿宋" w:cs="Courier New"/>
                <w:szCs w:val="21"/>
              </w:rPr>
            </w:pPr>
            <w:r>
              <w:rPr>
                <w:rFonts w:hint="eastAsia" w:ascii="仿宋" w:hAnsi="仿宋" w:eastAsia="仿宋" w:cs="Courier New"/>
                <w:szCs w:val="21"/>
              </w:rPr>
              <w:t>科主任对学员评价</w:t>
            </w:r>
          </w:p>
          <w:p>
            <w:pPr>
              <w:widowControl/>
              <w:spacing w:line="320" w:lineRule="exact"/>
              <w:rPr>
                <w:rFonts w:ascii="仿宋" w:hAnsi="仿宋" w:eastAsia="仿宋" w:cs="Courier New"/>
                <w:szCs w:val="21"/>
              </w:rPr>
            </w:pPr>
            <w:r>
              <w:rPr>
                <w:rFonts w:hint="eastAsia" w:ascii="仿宋" w:hAnsi="仿宋" w:eastAsia="仿宋" w:cs="Courier New"/>
                <w:szCs w:val="21"/>
              </w:rPr>
              <w:t>同科室住培生互相评价</w:t>
            </w:r>
          </w:p>
          <w:p>
            <w:pPr>
              <w:widowControl/>
              <w:spacing w:line="320" w:lineRule="exact"/>
              <w:rPr>
                <w:rFonts w:ascii="仿宋" w:hAnsi="仿宋" w:eastAsia="仿宋" w:cs="Courier New"/>
                <w:szCs w:val="21"/>
              </w:rPr>
            </w:pPr>
            <w:r>
              <w:rPr>
                <w:rFonts w:hint="eastAsia" w:ascii="仿宋" w:hAnsi="仿宋" w:eastAsia="仿宋" w:cs="Courier New"/>
                <w:szCs w:val="21"/>
              </w:rPr>
              <w:t>护士对学员评测</w:t>
            </w:r>
          </w:p>
          <w:p>
            <w:pPr>
              <w:widowControl/>
              <w:spacing w:line="320" w:lineRule="exact"/>
              <w:rPr>
                <w:rFonts w:ascii="仿宋" w:hAnsi="仿宋" w:eastAsia="仿宋" w:cs="Courier New"/>
                <w:szCs w:val="21"/>
              </w:rPr>
            </w:pPr>
            <w:r>
              <w:rPr>
                <w:rFonts w:hint="eastAsia" w:ascii="仿宋" w:hAnsi="仿宋" w:eastAsia="仿宋" w:cs="Courier New"/>
                <w:szCs w:val="21"/>
              </w:rPr>
              <w:t>患者对学员评测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对带教老师评价</w:t>
            </w:r>
          </w:p>
        </w:tc>
        <w:tc>
          <w:tcPr>
            <w:tcW w:w="5452" w:type="dxa"/>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学员在手机小程序（或微信等）小程序上对</w:t>
            </w:r>
            <w:r>
              <w:rPr>
                <w:rFonts w:hint="eastAsia" w:ascii="仿宋" w:hAnsi="仿宋" w:eastAsia="仿宋"/>
                <w:szCs w:val="21"/>
              </w:rPr>
              <w:t>带教老师进行评价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对科室评价</w:t>
            </w:r>
          </w:p>
        </w:tc>
        <w:tc>
          <w:tcPr>
            <w:tcW w:w="5452" w:type="dxa"/>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学员在手机小程序（或微信等）小程序上对所属科室</w:t>
            </w:r>
            <w:r>
              <w:rPr>
                <w:rFonts w:hint="eastAsia" w:ascii="仿宋" w:hAnsi="仿宋" w:eastAsia="仿宋"/>
                <w:szCs w:val="21"/>
              </w:rPr>
              <w:t>进行评价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对专业基地评价</w:t>
            </w:r>
          </w:p>
        </w:tc>
        <w:tc>
          <w:tcPr>
            <w:tcW w:w="5452" w:type="dxa"/>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学员在手机小程序（或微信等）小程序上对所属专业基地</w:t>
            </w:r>
            <w:r>
              <w:rPr>
                <w:rFonts w:hint="eastAsia" w:ascii="仿宋" w:hAnsi="仿宋" w:eastAsia="仿宋"/>
                <w:szCs w:val="21"/>
              </w:rPr>
              <w:t>进行评价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手机小程序（或微信等）扫码测评</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直接在手机小程序（或微信等）上填写测评表单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测评记录</w:t>
            </w:r>
          </w:p>
        </w:tc>
        <w:tc>
          <w:tcPr>
            <w:tcW w:w="5452" w:type="dxa"/>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记录每条测评记录的流水账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对学员测评月报告</w:t>
            </w:r>
          </w:p>
        </w:tc>
        <w:tc>
          <w:tcPr>
            <w:tcW w:w="5452" w:type="dxa"/>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记录对学员测评的开展情况，各个角色的完成测评次数和总分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对教师测评月报告</w:t>
            </w:r>
          </w:p>
        </w:tc>
        <w:tc>
          <w:tcPr>
            <w:tcW w:w="5452" w:type="dxa"/>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记录对带教老师测评的开展情况，学员的完成测评次数和总分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restart"/>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数据统计</w:t>
            </w:r>
          </w:p>
        </w:tc>
        <w:tc>
          <w:tcPr>
            <w:tcW w:w="5452" w:type="dxa"/>
            <w:shd w:val="clear" w:color="auto" w:fill="auto"/>
            <w:vAlign w:val="center"/>
          </w:tcPr>
          <w:p>
            <w:pPr>
              <w:spacing w:line="320" w:lineRule="exact"/>
              <w:rPr>
                <w:rFonts w:ascii="仿宋" w:hAnsi="仿宋" w:eastAsia="仿宋" w:cs="Courier New"/>
                <w:szCs w:val="21"/>
              </w:rPr>
            </w:pPr>
            <w:r>
              <w:rPr>
                <w:rFonts w:hint="eastAsia" w:ascii="仿宋" w:hAnsi="仿宋" w:eastAsia="仿宋" w:cs="Courier New"/>
                <w:szCs w:val="21"/>
              </w:rPr>
              <w:t>学员月/季测评排名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continue"/>
            <w:shd w:val="clear" w:color="auto" w:fill="auto"/>
            <w:vAlign w:val="center"/>
          </w:tcPr>
          <w:p>
            <w:pPr>
              <w:widowControl/>
              <w:spacing w:line="320" w:lineRule="exact"/>
              <w:rPr>
                <w:rFonts w:ascii="仿宋" w:hAnsi="仿宋" w:eastAsia="仿宋"/>
                <w:szCs w:val="21"/>
              </w:rPr>
            </w:pPr>
          </w:p>
        </w:tc>
        <w:tc>
          <w:tcPr>
            <w:tcW w:w="5452" w:type="dxa"/>
            <w:shd w:val="clear" w:color="auto" w:fill="auto"/>
            <w:vAlign w:val="center"/>
          </w:tcPr>
          <w:p>
            <w:pPr>
              <w:pStyle w:val="71"/>
              <w:spacing w:line="320" w:lineRule="exact"/>
              <w:ind w:left="0"/>
              <w:jc w:val="both"/>
              <w:rPr>
                <w:rFonts w:ascii="仿宋" w:hAnsi="仿宋" w:eastAsia="仿宋" w:cs="Courier New"/>
                <w:sz w:val="21"/>
                <w:szCs w:val="21"/>
              </w:rPr>
            </w:pPr>
            <w:r>
              <w:rPr>
                <w:rFonts w:hint="eastAsia" w:ascii="仿宋" w:hAnsi="仿宋" w:eastAsia="仿宋" w:cs="Courier New"/>
                <w:sz w:val="21"/>
                <w:szCs w:val="21"/>
              </w:rPr>
              <w:t>学员360°评测排名，学员测评可以直观的查询到学员的测评雷达，以及各维度测评情况的趋势图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continue"/>
            <w:shd w:val="clear" w:color="auto" w:fill="auto"/>
            <w:vAlign w:val="center"/>
          </w:tcPr>
          <w:p>
            <w:pPr>
              <w:widowControl/>
              <w:spacing w:line="320" w:lineRule="exact"/>
              <w:rPr>
                <w:rFonts w:ascii="仿宋" w:hAnsi="仿宋" w:eastAsia="仿宋"/>
                <w:szCs w:val="21"/>
              </w:rPr>
            </w:pPr>
          </w:p>
        </w:tc>
        <w:tc>
          <w:tcPr>
            <w:tcW w:w="5452" w:type="dxa"/>
            <w:shd w:val="clear" w:color="auto" w:fill="auto"/>
            <w:vAlign w:val="center"/>
          </w:tcPr>
          <w:p>
            <w:pPr>
              <w:spacing w:line="320" w:lineRule="exact"/>
              <w:rPr>
                <w:rFonts w:ascii="仿宋" w:hAnsi="仿宋" w:eastAsia="仿宋" w:cs="Courier New"/>
                <w:szCs w:val="21"/>
              </w:rPr>
            </w:pPr>
            <w:r>
              <w:rPr>
                <w:rFonts w:hint="eastAsia" w:ascii="仿宋" w:hAnsi="仿宋" w:eastAsia="仿宋" w:cs="Courier New"/>
                <w:szCs w:val="21"/>
              </w:rPr>
              <w:t>教学活动测评排名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continue"/>
            <w:shd w:val="clear" w:color="auto" w:fill="auto"/>
            <w:vAlign w:val="center"/>
          </w:tcPr>
          <w:p>
            <w:pPr>
              <w:widowControl/>
              <w:spacing w:line="320" w:lineRule="exact"/>
              <w:rPr>
                <w:rFonts w:ascii="仿宋" w:hAnsi="仿宋" w:eastAsia="仿宋"/>
                <w:szCs w:val="21"/>
              </w:rPr>
            </w:pPr>
          </w:p>
        </w:tc>
        <w:tc>
          <w:tcPr>
            <w:tcW w:w="5452" w:type="dxa"/>
            <w:shd w:val="clear" w:color="auto" w:fill="auto"/>
            <w:vAlign w:val="center"/>
          </w:tcPr>
          <w:p>
            <w:pPr>
              <w:spacing w:line="320" w:lineRule="exact"/>
              <w:rPr>
                <w:rFonts w:ascii="仿宋" w:hAnsi="仿宋" w:eastAsia="仿宋" w:cs="Courier New"/>
                <w:szCs w:val="21"/>
              </w:rPr>
            </w:pPr>
            <w:r>
              <w:rPr>
                <w:rFonts w:hint="eastAsia" w:ascii="仿宋" w:hAnsi="仿宋" w:eastAsia="仿宋" w:cs="Courier New"/>
                <w:szCs w:val="21"/>
              </w:rPr>
              <w:t>带教老师测评排名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continue"/>
            <w:shd w:val="clear" w:color="auto" w:fill="auto"/>
            <w:vAlign w:val="center"/>
          </w:tcPr>
          <w:p>
            <w:pPr>
              <w:widowControl/>
              <w:spacing w:line="320" w:lineRule="exact"/>
              <w:rPr>
                <w:rFonts w:ascii="仿宋" w:hAnsi="仿宋" w:eastAsia="仿宋"/>
                <w:szCs w:val="21"/>
              </w:rPr>
            </w:pPr>
          </w:p>
        </w:tc>
        <w:tc>
          <w:tcPr>
            <w:tcW w:w="5452" w:type="dxa"/>
            <w:shd w:val="clear" w:color="auto" w:fill="auto"/>
            <w:vAlign w:val="center"/>
          </w:tcPr>
          <w:p>
            <w:pPr>
              <w:spacing w:line="320" w:lineRule="exact"/>
              <w:rPr>
                <w:rFonts w:ascii="仿宋" w:hAnsi="仿宋" w:eastAsia="仿宋" w:cs="Courier New"/>
                <w:szCs w:val="21"/>
              </w:rPr>
            </w:pPr>
            <w:r>
              <w:rPr>
                <w:rFonts w:hint="eastAsia" w:ascii="仿宋" w:hAnsi="仿宋" w:eastAsia="仿宋" w:cs="Courier New"/>
                <w:szCs w:val="21"/>
              </w:rPr>
              <w:t>轮转科室测评排名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vMerge w:val="continue"/>
            <w:shd w:val="clear" w:color="auto" w:fill="auto"/>
            <w:vAlign w:val="center"/>
          </w:tcPr>
          <w:p>
            <w:pPr>
              <w:widowControl/>
              <w:spacing w:line="320" w:lineRule="exact"/>
              <w:rPr>
                <w:rFonts w:ascii="仿宋" w:hAnsi="仿宋" w:eastAsia="仿宋"/>
                <w:szCs w:val="21"/>
              </w:rPr>
            </w:pPr>
          </w:p>
        </w:tc>
        <w:tc>
          <w:tcPr>
            <w:tcW w:w="5452" w:type="dxa"/>
            <w:shd w:val="clear" w:color="auto" w:fill="auto"/>
            <w:vAlign w:val="center"/>
          </w:tcPr>
          <w:p>
            <w:pPr>
              <w:spacing w:line="320" w:lineRule="exact"/>
              <w:rPr>
                <w:rFonts w:ascii="仿宋" w:hAnsi="仿宋" w:eastAsia="仿宋" w:cs="Courier New"/>
                <w:szCs w:val="21"/>
              </w:rPr>
            </w:pPr>
            <w:r>
              <w:rPr>
                <w:rFonts w:hint="eastAsia" w:ascii="仿宋" w:hAnsi="仿宋" w:eastAsia="仿宋" w:cs="Courier New"/>
                <w:szCs w:val="21"/>
              </w:rPr>
              <w:t>规培专业测评排名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512" w:type="dxa"/>
            <w:vMerge w:val="restart"/>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随手考</w:t>
            </w:r>
          </w:p>
        </w:tc>
        <w:tc>
          <w:tcPr>
            <w:tcW w:w="1296" w:type="dxa"/>
            <w:shd w:val="clear" w:color="auto" w:fill="auto"/>
            <w:vAlign w:val="center"/>
          </w:tcPr>
          <w:p>
            <w:pPr>
              <w:spacing w:line="320" w:lineRule="exact"/>
              <w:rPr>
                <w:rFonts w:ascii="仿宋" w:hAnsi="仿宋" w:eastAsia="仿宋" w:cs="Courier New"/>
                <w:szCs w:val="21"/>
              </w:rPr>
            </w:pPr>
            <w:r>
              <w:rPr>
                <w:rFonts w:hint="eastAsia" w:ascii="仿宋" w:hAnsi="仿宋" w:eastAsia="仿宋" w:cs="Courier New"/>
                <w:szCs w:val="21"/>
              </w:rPr>
              <w:t>评分表管理</w:t>
            </w:r>
          </w:p>
        </w:tc>
        <w:tc>
          <w:tcPr>
            <w:tcW w:w="5452" w:type="dxa"/>
            <w:shd w:val="clear" w:color="auto" w:fill="auto"/>
            <w:vAlign w:val="center"/>
          </w:tcPr>
          <w:p>
            <w:pPr>
              <w:spacing w:line="320" w:lineRule="exact"/>
              <w:rPr>
                <w:rFonts w:ascii="仿宋" w:hAnsi="仿宋" w:eastAsia="仿宋" w:cs="Courier New"/>
                <w:szCs w:val="21"/>
              </w:rPr>
            </w:pPr>
            <w:r>
              <w:rPr>
                <w:rFonts w:hint="eastAsia" w:ascii="仿宋" w:hAnsi="仿宋" w:eastAsia="仿宋" w:cs="Courier New"/>
                <w:szCs w:val="21"/>
              </w:rPr>
              <w:t>支持对随手考考核内容的增删改查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spacing w:line="320" w:lineRule="exact"/>
              <w:rPr>
                <w:rFonts w:ascii="仿宋" w:hAnsi="仿宋" w:eastAsia="仿宋" w:cs="Courier New"/>
                <w:szCs w:val="21"/>
              </w:rPr>
            </w:pPr>
            <w:r>
              <w:rPr>
                <w:rFonts w:hint="eastAsia" w:ascii="仿宋" w:hAnsi="仿宋" w:eastAsia="仿宋" w:cs="Courier New"/>
                <w:szCs w:val="21"/>
              </w:rPr>
              <w:t>技能考核</w:t>
            </w:r>
          </w:p>
        </w:tc>
        <w:tc>
          <w:tcPr>
            <w:tcW w:w="5452" w:type="dxa"/>
            <w:shd w:val="clear" w:color="auto" w:fill="auto"/>
            <w:vAlign w:val="center"/>
          </w:tcPr>
          <w:p>
            <w:pPr>
              <w:pStyle w:val="71"/>
              <w:spacing w:line="320" w:lineRule="exact"/>
              <w:ind w:left="0"/>
              <w:jc w:val="both"/>
              <w:rPr>
                <w:rFonts w:ascii="仿宋" w:hAnsi="仿宋" w:eastAsia="仿宋" w:cs="Courier New"/>
                <w:sz w:val="21"/>
                <w:szCs w:val="21"/>
              </w:rPr>
            </w:pPr>
            <w:r>
              <w:rPr>
                <w:rFonts w:hint="eastAsia" w:ascii="仿宋" w:hAnsi="仿宋" w:eastAsia="仿宋" w:cs="Courier New"/>
                <w:sz w:val="21"/>
                <w:szCs w:val="21"/>
              </w:rPr>
              <w:t>支持技能考核评分表的微信端考核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spacing w:line="320" w:lineRule="exact"/>
              <w:rPr>
                <w:rFonts w:ascii="仿宋" w:hAnsi="仿宋" w:eastAsia="仿宋" w:cs="Courier New"/>
                <w:szCs w:val="21"/>
              </w:rPr>
            </w:pPr>
            <w:r>
              <w:rPr>
                <w:rFonts w:hint="eastAsia" w:ascii="仿宋" w:hAnsi="仿宋" w:eastAsia="仿宋" w:cs="Courier New"/>
                <w:szCs w:val="21"/>
              </w:rPr>
              <w:t>病例考核</w:t>
            </w:r>
          </w:p>
        </w:tc>
        <w:tc>
          <w:tcPr>
            <w:tcW w:w="5452" w:type="dxa"/>
            <w:shd w:val="clear" w:color="auto" w:fill="auto"/>
            <w:vAlign w:val="center"/>
          </w:tcPr>
          <w:p>
            <w:pPr>
              <w:pStyle w:val="71"/>
              <w:spacing w:line="320" w:lineRule="exact"/>
              <w:ind w:left="0"/>
              <w:jc w:val="both"/>
              <w:rPr>
                <w:rFonts w:ascii="仿宋" w:hAnsi="仿宋" w:eastAsia="仿宋" w:cs="Courier New"/>
                <w:sz w:val="21"/>
                <w:szCs w:val="21"/>
              </w:rPr>
            </w:pPr>
            <w:r>
              <w:rPr>
                <w:rFonts w:hint="eastAsia" w:ascii="仿宋" w:hAnsi="仿宋" w:eastAsia="仿宋" w:cs="Courier New"/>
                <w:sz w:val="21"/>
                <w:szCs w:val="21"/>
              </w:rPr>
              <w:t>支持病例考核评分表的微信端考核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spacing w:line="320" w:lineRule="exact"/>
              <w:rPr>
                <w:rFonts w:ascii="仿宋" w:hAnsi="仿宋" w:eastAsia="仿宋" w:cs="Courier New"/>
                <w:szCs w:val="21"/>
              </w:rPr>
            </w:pPr>
            <w:r>
              <w:rPr>
                <w:rFonts w:hint="eastAsia" w:ascii="仿宋" w:hAnsi="仿宋" w:eastAsia="仿宋" w:cs="Courier New"/>
                <w:szCs w:val="21"/>
              </w:rPr>
              <w:t>手术操作考核</w:t>
            </w:r>
          </w:p>
        </w:tc>
        <w:tc>
          <w:tcPr>
            <w:tcW w:w="5452" w:type="dxa"/>
            <w:shd w:val="clear" w:color="auto" w:fill="auto"/>
            <w:vAlign w:val="center"/>
          </w:tcPr>
          <w:p>
            <w:pPr>
              <w:pStyle w:val="71"/>
              <w:spacing w:line="320" w:lineRule="exact"/>
              <w:ind w:left="0"/>
              <w:jc w:val="both"/>
              <w:rPr>
                <w:rFonts w:ascii="仿宋" w:hAnsi="仿宋" w:eastAsia="仿宋" w:cs="Courier New"/>
                <w:sz w:val="21"/>
                <w:szCs w:val="21"/>
              </w:rPr>
            </w:pPr>
            <w:r>
              <w:rPr>
                <w:rFonts w:hint="eastAsia" w:ascii="仿宋" w:hAnsi="仿宋" w:eastAsia="仿宋" w:cs="Courier New"/>
                <w:sz w:val="21"/>
                <w:szCs w:val="21"/>
              </w:rPr>
              <w:t>支持手术操作评分表的微信端考核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spacing w:line="320" w:lineRule="exact"/>
              <w:rPr>
                <w:rFonts w:ascii="仿宋" w:hAnsi="仿宋" w:eastAsia="仿宋" w:cs="Courier New"/>
                <w:szCs w:val="21"/>
              </w:rPr>
            </w:pPr>
            <w:r>
              <w:rPr>
                <w:rFonts w:hint="eastAsia" w:ascii="仿宋" w:hAnsi="仿宋" w:eastAsia="仿宋" w:cs="Courier New"/>
                <w:szCs w:val="21"/>
              </w:rPr>
              <w:t>问卷导出</w:t>
            </w:r>
          </w:p>
        </w:tc>
        <w:tc>
          <w:tcPr>
            <w:tcW w:w="5452" w:type="dxa"/>
            <w:shd w:val="clear" w:color="auto" w:fill="auto"/>
            <w:vAlign w:val="center"/>
          </w:tcPr>
          <w:p>
            <w:pPr>
              <w:spacing w:line="320" w:lineRule="exact"/>
              <w:rPr>
                <w:rFonts w:ascii="仿宋" w:hAnsi="仿宋" w:eastAsia="仿宋" w:cs="Courier New"/>
                <w:szCs w:val="21"/>
              </w:rPr>
            </w:pPr>
            <w:r>
              <w:rPr>
                <w:rFonts w:hint="eastAsia" w:ascii="仿宋" w:hAnsi="仿宋" w:eastAsia="仿宋" w:cs="Courier New"/>
                <w:szCs w:val="21"/>
              </w:rPr>
              <w:t>可以对考核成绩进行</w:t>
            </w:r>
            <w:r>
              <w:rPr>
                <w:rFonts w:ascii="仿宋" w:hAnsi="仿宋" w:eastAsia="仿宋" w:cs="Courier New"/>
                <w:szCs w:val="21"/>
              </w:rPr>
              <w:t>excel</w:t>
            </w:r>
            <w:r>
              <w:rPr>
                <w:rFonts w:hint="eastAsia" w:ascii="仿宋" w:hAnsi="仿宋" w:eastAsia="仿宋" w:cs="Courier New"/>
                <w:szCs w:val="21"/>
              </w:rPr>
              <w:t>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1512" w:type="dxa"/>
            <w:vMerge w:val="restart"/>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学员档案</w:t>
            </w:r>
          </w:p>
        </w:tc>
        <w:tc>
          <w:tcPr>
            <w:tcW w:w="1296" w:type="dxa"/>
            <w:shd w:val="clear" w:color="auto" w:fill="auto"/>
            <w:vAlign w:val="center"/>
          </w:tcPr>
          <w:p>
            <w:pPr>
              <w:spacing w:line="320" w:lineRule="exact"/>
              <w:rPr>
                <w:rFonts w:ascii="仿宋" w:hAnsi="仿宋" w:eastAsia="仿宋"/>
                <w:szCs w:val="21"/>
              </w:rPr>
            </w:pPr>
            <w:r>
              <w:rPr>
                <w:rFonts w:hint="eastAsia" w:ascii="仿宋" w:hAnsi="仿宋" w:eastAsia="仿宋"/>
                <w:szCs w:val="21"/>
              </w:rPr>
              <w:t>基本信息</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包括</w:t>
            </w:r>
            <w:r>
              <w:rPr>
                <w:rFonts w:hint="eastAsia" w:ascii="仿宋" w:hAnsi="仿宋" w:eastAsia="仿宋" w:cs="宋体"/>
                <w:szCs w:val="21"/>
              </w:rPr>
              <w:t>基本信息、学员证件照、学员证书、受教育经历、工作经历、执业医师证、医师资格证等。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spacing w:line="320" w:lineRule="exact"/>
              <w:rPr>
                <w:rFonts w:ascii="仿宋" w:hAnsi="仿宋" w:eastAsia="仿宋"/>
                <w:szCs w:val="21"/>
              </w:rPr>
            </w:pPr>
            <w:r>
              <w:rPr>
                <w:rFonts w:hint="eastAsia" w:ascii="仿宋" w:hAnsi="仿宋" w:eastAsia="仿宋"/>
                <w:szCs w:val="21"/>
              </w:rPr>
              <w:t>轮转计划</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记录该学员的轮转科室、出入科时间、带教老师等信息。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spacing w:line="320" w:lineRule="exact"/>
              <w:rPr>
                <w:rFonts w:ascii="仿宋" w:hAnsi="仿宋" w:eastAsia="仿宋"/>
                <w:szCs w:val="21"/>
              </w:rPr>
            </w:pPr>
            <w:r>
              <w:rPr>
                <w:rFonts w:hint="eastAsia" w:ascii="仿宋" w:hAnsi="仿宋" w:eastAsia="仿宋"/>
                <w:szCs w:val="21"/>
              </w:rPr>
              <w:t>考勤情况</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记录学员在各个科室的考勤情况、请假情况。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spacing w:line="320" w:lineRule="exact"/>
              <w:rPr>
                <w:rFonts w:ascii="仿宋" w:hAnsi="仿宋" w:eastAsia="仿宋"/>
                <w:szCs w:val="21"/>
              </w:rPr>
            </w:pPr>
            <w:r>
              <w:rPr>
                <w:rFonts w:hint="eastAsia" w:ascii="仿宋" w:hAnsi="仿宋" w:eastAsia="仿宋"/>
                <w:szCs w:val="21"/>
              </w:rPr>
              <w:t>值班记录</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记录学员在各个科室的值班情况。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spacing w:line="320" w:lineRule="exact"/>
              <w:rPr>
                <w:rFonts w:ascii="仿宋" w:hAnsi="仿宋" w:eastAsia="仿宋"/>
                <w:szCs w:val="21"/>
              </w:rPr>
            </w:pPr>
            <w:r>
              <w:rPr>
                <w:rFonts w:hint="eastAsia" w:ascii="仿宋" w:hAnsi="仿宋" w:eastAsia="仿宋"/>
                <w:szCs w:val="21"/>
              </w:rPr>
              <w:t>教学活动</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记录学员在各个科室参加的教学活动情况。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考试成绩情况</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记录学员在各个科室的出科成绩。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360°评测情况</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记录学员360°测评雷达，以及各个维度的变化趋势图。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spacing w:line="320" w:lineRule="exact"/>
              <w:rPr>
                <w:rFonts w:ascii="仿宋" w:hAnsi="仿宋" w:eastAsia="仿宋"/>
                <w:szCs w:val="21"/>
              </w:rPr>
            </w:pPr>
            <w:r>
              <w:rPr>
                <w:rFonts w:hint="eastAsia" w:ascii="仿宋" w:hAnsi="仿宋" w:eastAsia="仿宋"/>
                <w:szCs w:val="21"/>
              </w:rPr>
              <w:t>档案导出</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支持将学员档案直接生成word文档进行导出。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spacing w:line="320" w:lineRule="exact"/>
              <w:rPr>
                <w:rFonts w:ascii="仿宋" w:hAnsi="仿宋" w:eastAsia="仿宋"/>
                <w:szCs w:val="21"/>
              </w:rPr>
            </w:pPr>
            <w:r>
              <w:rPr>
                <w:rFonts w:hint="eastAsia" w:ascii="仿宋" w:hAnsi="仿宋" w:eastAsia="仿宋"/>
                <w:szCs w:val="21"/>
              </w:rPr>
              <w:t>学员档案汇总</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支持在培学员培训过程数据按年级分层汇总excel中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512" w:type="dxa"/>
            <w:vMerge w:val="restart"/>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教员档案</w:t>
            </w: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基本信息</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包括基本信息、教员证书、表彰奖励、培训进修记录、执业医师证、医师资格证等。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带教情况</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近五年的带教量统计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教学活动情况</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近五年开展的教学活动统计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年度测评得分</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近五年综合测评的分值统计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综合评价报告</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展示教员的测评雷达，以及各个维度的变化趋势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档案导出</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支持将教员档案直接生成word文档进行导出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512" w:type="dxa"/>
            <w:vMerge w:val="continue"/>
            <w:shd w:val="clear" w:color="auto" w:fill="auto"/>
            <w:vAlign w:val="center"/>
          </w:tcPr>
          <w:p>
            <w:pPr>
              <w:widowControl/>
              <w:spacing w:line="320" w:lineRule="exact"/>
              <w:rPr>
                <w:rFonts w:ascii="仿宋" w:hAnsi="仿宋" w:eastAsia="仿宋"/>
                <w:szCs w:val="21"/>
              </w:rPr>
            </w:pPr>
          </w:p>
        </w:tc>
        <w:tc>
          <w:tcPr>
            <w:tcW w:w="1296"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教员档案汇总</w:t>
            </w:r>
          </w:p>
        </w:tc>
        <w:tc>
          <w:tcPr>
            <w:tcW w:w="5452" w:type="dxa"/>
            <w:shd w:val="clear" w:color="auto" w:fill="auto"/>
            <w:vAlign w:val="center"/>
          </w:tcPr>
          <w:p>
            <w:pPr>
              <w:widowControl/>
              <w:spacing w:line="320" w:lineRule="exact"/>
              <w:rPr>
                <w:rFonts w:ascii="仿宋" w:hAnsi="仿宋" w:eastAsia="仿宋"/>
                <w:szCs w:val="21"/>
              </w:rPr>
            </w:pPr>
            <w:r>
              <w:rPr>
                <w:rFonts w:hint="eastAsia" w:ascii="仿宋" w:hAnsi="仿宋" w:eastAsia="仿宋"/>
                <w:szCs w:val="21"/>
              </w:rPr>
              <w:t>支持批量导出教员台账信息到excel中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512" w:type="dxa"/>
            <w:vMerge w:val="restart"/>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文档中心</w:t>
            </w:r>
          </w:p>
        </w:tc>
        <w:tc>
          <w:tcPr>
            <w:tcW w:w="1296"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文档管理</w:t>
            </w:r>
          </w:p>
        </w:tc>
        <w:tc>
          <w:tcPr>
            <w:tcW w:w="5452"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可以对文档中心的文档进行增删改查操作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文档类型</w:t>
            </w:r>
          </w:p>
        </w:tc>
        <w:tc>
          <w:tcPr>
            <w:tcW w:w="5452"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支持word/ppt/excel/pdf/png/jpg等常用文档格式的上传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查看次数</w:t>
            </w:r>
          </w:p>
        </w:tc>
        <w:tc>
          <w:tcPr>
            <w:tcW w:w="5452"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可以查询文档的被查看次数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文档分类</w:t>
            </w:r>
          </w:p>
        </w:tc>
        <w:tc>
          <w:tcPr>
            <w:tcW w:w="5452"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文档分类为学习资料/学术论文/岗前培训资料/政策制度等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文档发布</w:t>
            </w:r>
          </w:p>
        </w:tc>
        <w:tc>
          <w:tcPr>
            <w:tcW w:w="5452"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文档分为草稿状态和发布状态，只有发布状态的文档可以被学员和老师查看到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512" w:type="dxa"/>
            <w:vMerge w:val="restart"/>
            <w:shd w:val="clear" w:color="auto" w:fill="auto"/>
            <w:vAlign w:val="center"/>
          </w:tcPr>
          <w:p>
            <w:pPr>
              <w:widowControl/>
              <w:spacing w:line="320" w:lineRule="exact"/>
              <w:rPr>
                <w:rFonts w:ascii="仿宋" w:hAnsi="仿宋" w:eastAsia="仿宋" w:cs="Courier New"/>
                <w:szCs w:val="21"/>
              </w:rPr>
            </w:pPr>
          </w:p>
          <w:p>
            <w:pPr>
              <w:widowControl/>
              <w:spacing w:line="320" w:lineRule="exact"/>
              <w:rPr>
                <w:rFonts w:ascii="仿宋" w:hAnsi="仿宋" w:eastAsia="仿宋" w:cs="Courier New"/>
                <w:szCs w:val="21"/>
              </w:rPr>
            </w:pPr>
          </w:p>
          <w:p>
            <w:pPr>
              <w:widowControl/>
              <w:spacing w:line="320" w:lineRule="exact"/>
              <w:rPr>
                <w:rFonts w:ascii="仿宋" w:hAnsi="仿宋" w:eastAsia="仿宋" w:cs="Courier New"/>
                <w:szCs w:val="21"/>
              </w:rPr>
            </w:pPr>
          </w:p>
          <w:p>
            <w:pPr>
              <w:widowControl/>
              <w:spacing w:line="320" w:lineRule="exact"/>
              <w:rPr>
                <w:rFonts w:ascii="仿宋" w:hAnsi="仿宋" w:eastAsia="仿宋" w:cs="Courier New"/>
                <w:szCs w:val="21"/>
              </w:rPr>
            </w:pPr>
          </w:p>
          <w:p>
            <w:pPr>
              <w:widowControl/>
              <w:spacing w:line="320" w:lineRule="exact"/>
              <w:rPr>
                <w:rFonts w:ascii="仿宋" w:hAnsi="仿宋" w:eastAsia="仿宋" w:cs="Courier New"/>
                <w:szCs w:val="21"/>
              </w:rPr>
            </w:pPr>
            <w:r>
              <w:rPr>
                <w:rFonts w:hint="eastAsia" w:ascii="仿宋" w:hAnsi="仿宋" w:eastAsia="仿宋" w:cs="Courier New"/>
                <w:szCs w:val="21"/>
              </w:rPr>
              <w:t>三基考试</w:t>
            </w:r>
          </w:p>
        </w:tc>
        <w:tc>
          <w:tcPr>
            <w:tcW w:w="1296"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习题题库</w:t>
            </w:r>
          </w:p>
        </w:tc>
        <w:tc>
          <w:tcPr>
            <w:tcW w:w="5452"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50万三基题库，分单选题、多选题、判断题、填空题、问答题、文件题、综合题（无知识产权争议）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试题模块</w:t>
            </w:r>
          </w:p>
        </w:tc>
        <w:tc>
          <w:tcPr>
            <w:tcW w:w="5452"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试题模块是对试题进行的章节性的分类，可以将试题模块理解为一个树型的章节结构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考试设置</w:t>
            </w:r>
          </w:p>
        </w:tc>
        <w:tc>
          <w:tcPr>
            <w:tcW w:w="5452"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简单随机试卷、人工试卷、随机试卷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在线考试</w:t>
            </w:r>
          </w:p>
        </w:tc>
        <w:tc>
          <w:tcPr>
            <w:tcW w:w="5452"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系统内置了5 种原理截然不同的考试----综合考试、每日竞赛、自助练习、章节练习、错题练习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试题篮</w:t>
            </w:r>
          </w:p>
        </w:tc>
        <w:tc>
          <w:tcPr>
            <w:tcW w:w="5452"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“试题篮”在试题管理界面把试题挑选后，可以放到试题篮。在人工试卷编辑界面，可以将这些试题篮中的试题再加入人工试卷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考试监控</w:t>
            </w:r>
          </w:p>
        </w:tc>
        <w:tc>
          <w:tcPr>
            <w:tcW w:w="5452"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考试过程监控人员可以从后台看到考生的实时抽题情况。系统具有“防止考生刷题”的功能，即在正式考试过程中，考生抽完一次试卷后，根据考试设定，在一定时间内不允许再次抽题，但若在考试中考生因意外原因需再次抽题时，监考人员可以将该考生的抽题记录删除该考生将可继续抽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成绩分析</w:t>
            </w:r>
          </w:p>
        </w:tc>
        <w:tc>
          <w:tcPr>
            <w:tcW w:w="5452"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本系统内置有成绩分析功能，可以对分考试、分部门的考试成绩进行统计分析，也可以对单场考试的选择题作答情况进行分析。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视频功能</w:t>
            </w:r>
          </w:p>
        </w:tc>
        <w:tc>
          <w:tcPr>
            <w:tcW w:w="5452"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支持视频播放</w:t>
            </w:r>
          </w:p>
          <w:p>
            <w:pPr>
              <w:widowControl/>
              <w:spacing w:line="320" w:lineRule="exact"/>
              <w:rPr>
                <w:rFonts w:ascii="仿宋" w:hAnsi="仿宋" w:eastAsia="仿宋" w:cs="Courier New"/>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移动端</w:t>
            </w:r>
          </w:p>
        </w:tc>
        <w:tc>
          <w:tcPr>
            <w:tcW w:w="5452"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支持安卓、苹果等主流手机功能</w:t>
            </w:r>
          </w:p>
          <w:p>
            <w:pPr>
              <w:widowControl/>
              <w:spacing w:line="320" w:lineRule="exact"/>
              <w:rPr>
                <w:rFonts w:ascii="仿宋" w:hAnsi="仿宋" w:eastAsia="仿宋" w:cs="Courier New"/>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512" w:type="dxa"/>
            <w:vMerge w:val="restart"/>
            <w:shd w:val="clear" w:color="auto" w:fill="auto"/>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其他</w:t>
            </w:r>
          </w:p>
        </w:tc>
        <w:tc>
          <w:tcPr>
            <w:tcW w:w="1296"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在线人数</w:t>
            </w:r>
          </w:p>
        </w:tc>
        <w:tc>
          <w:tcPr>
            <w:tcW w:w="5452" w:type="dxa"/>
            <w:shd w:val="clear" w:color="auto" w:fill="auto"/>
            <w:vAlign w:val="center"/>
          </w:tcPr>
          <w:p>
            <w:pPr>
              <w:widowControl/>
              <w:spacing w:line="320" w:lineRule="exact"/>
              <w:rPr>
                <w:rFonts w:ascii="仿宋" w:hAnsi="仿宋" w:eastAsia="仿宋" w:cs="Courier New"/>
                <w:bCs/>
                <w:szCs w:val="21"/>
              </w:rPr>
            </w:pPr>
            <w:r>
              <w:rPr>
                <w:rFonts w:hint="eastAsia" w:ascii="仿宋_GB2312" w:hAnsi="宋体" w:eastAsia="仿宋_GB2312"/>
                <w:szCs w:val="21"/>
              </w:rPr>
              <w:t>考试系统同时在线人员数达到200人次以上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自定义功能</w:t>
            </w:r>
          </w:p>
        </w:tc>
        <w:tc>
          <w:tcPr>
            <w:tcW w:w="5452" w:type="dxa"/>
            <w:shd w:val="clear" w:color="auto" w:fill="auto"/>
            <w:vAlign w:val="center"/>
          </w:tcPr>
          <w:p>
            <w:pPr>
              <w:widowControl/>
              <w:spacing w:line="320" w:lineRule="exact"/>
              <w:rPr>
                <w:rFonts w:ascii="仿宋_GB2312" w:hAnsi="宋体" w:eastAsia="仿宋_GB2312"/>
                <w:szCs w:val="21"/>
              </w:rPr>
            </w:pPr>
            <w:r>
              <w:rPr>
                <w:rFonts w:hint="eastAsia" w:ascii="仿宋_GB2312" w:hAnsi="宋体" w:eastAsia="仿宋_GB2312"/>
                <w:szCs w:val="21"/>
              </w:rPr>
              <w:t>支持自定义试题增加，支持试卷导出功能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512" w:type="dxa"/>
            <w:vMerge w:val="continue"/>
            <w:shd w:val="clear" w:color="auto" w:fill="auto"/>
            <w:vAlign w:val="center"/>
          </w:tcPr>
          <w:p>
            <w:pPr>
              <w:widowControl/>
              <w:spacing w:line="320" w:lineRule="exact"/>
              <w:rPr>
                <w:rFonts w:ascii="仿宋" w:hAnsi="仿宋" w:eastAsia="仿宋" w:cs="Courier New"/>
                <w:szCs w:val="21"/>
              </w:rPr>
            </w:pPr>
          </w:p>
        </w:tc>
        <w:tc>
          <w:tcPr>
            <w:tcW w:w="1296" w:type="dxa"/>
            <w:shd w:val="clear" w:color="auto" w:fill="auto"/>
            <w:vAlign w:val="center"/>
          </w:tcPr>
          <w:p>
            <w:pPr>
              <w:widowControl/>
              <w:spacing w:line="320" w:lineRule="exact"/>
              <w:rPr>
                <w:rFonts w:ascii="仿宋" w:hAnsi="仿宋" w:eastAsia="仿宋" w:cs="Courier New"/>
                <w:bCs/>
                <w:szCs w:val="21"/>
              </w:rPr>
            </w:pPr>
            <w:r>
              <w:rPr>
                <w:rFonts w:hint="eastAsia" w:ascii="仿宋" w:hAnsi="仿宋" w:eastAsia="仿宋" w:cs="Courier New"/>
                <w:bCs/>
                <w:szCs w:val="21"/>
              </w:rPr>
              <w:t>题库更新</w:t>
            </w:r>
          </w:p>
        </w:tc>
        <w:tc>
          <w:tcPr>
            <w:tcW w:w="5452" w:type="dxa"/>
            <w:shd w:val="clear" w:color="auto" w:fill="auto"/>
            <w:vAlign w:val="center"/>
          </w:tcPr>
          <w:p>
            <w:pPr>
              <w:widowControl/>
              <w:spacing w:line="320" w:lineRule="exact"/>
              <w:rPr>
                <w:rFonts w:ascii="仿宋_GB2312" w:hAnsi="宋体" w:eastAsia="仿宋_GB2312"/>
                <w:szCs w:val="21"/>
              </w:rPr>
            </w:pPr>
            <w:r>
              <w:rPr>
                <w:rFonts w:hint="eastAsia" w:ascii="仿宋_GB2312" w:hAnsi="宋体" w:eastAsia="仿宋_GB2312"/>
                <w:szCs w:val="21"/>
              </w:rPr>
              <w:t>年更新量不少于1万题</w:t>
            </w:r>
          </w:p>
        </w:tc>
      </w:tr>
    </w:tbl>
    <w:p>
      <w:pPr>
        <w:pStyle w:val="17"/>
        <w:rPr>
          <w:rFonts w:ascii="Songti SC" w:hAnsi="Songti SC" w:eastAsia="Songti SC"/>
          <w:szCs w:val="21"/>
        </w:rPr>
      </w:pPr>
    </w:p>
    <w:p>
      <w:pPr>
        <w:numPr>
          <w:ilvl w:val="0"/>
          <w:numId w:val="9"/>
        </w:numPr>
        <w:spacing w:line="320" w:lineRule="exact"/>
        <w:rPr>
          <w:rFonts w:ascii="Songti SC" w:hAnsi="Songti SC" w:eastAsia="Songti SC"/>
          <w:szCs w:val="21"/>
        </w:rPr>
      </w:pPr>
      <w:r>
        <w:rPr>
          <w:rFonts w:hint="eastAsia" w:ascii="宋体" w:hAnsi="宋体"/>
          <w:bCs/>
          <w:sz w:val="24"/>
        </w:rPr>
        <w:t>教学管理信息系统</w:t>
      </w:r>
      <w:r>
        <w:rPr>
          <w:rFonts w:hint="eastAsia" w:ascii="Songti SC" w:hAnsi="Songti SC" w:eastAsia="Songti SC"/>
          <w:sz w:val="24"/>
        </w:rPr>
        <w:t>手机小程序（或微信等）端：</w:t>
      </w:r>
    </w:p>
    <w:tbl>
      <w:tblPr>
        <w:tblStyle w:val="39"/>
        <w:tblW w:w="8388" w:type="dxa"/>
        <w:tblInd w:w="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1180"/>
        <w:gridCol w:w="6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200" w:type="dxa"/>
            <w:shd w:val="clear" w:color="auto" w:fill="D8D8D8"/>
            <w:vAlign w:val="center"/>
          </w:tcPr>
          <w:p>
            <w:pPr>
              <w:widowControl/>
              <w:spacing w:line="320" w:lineRule="exact"/>
              <w:jc w:val="left"/>
              <w:rPr>
                <w:rFonts w:ascii="仿宋" w:hAnsi="仿宋" w:eastAsia="仿宋" w:cs="Courier New"/>
                <w:b/>
                <w:bCs/>
                <w:szCs w:val="21"/>
              </w:rPr>
            </w:pPr>
            <w:r>
              <w:rPr>
                <w:rFonts w:ascii="仿宋" w:hAnsi="仿宋" w:eastAsia="仿宋" w:cs="Courier New"/>
                <w:b/>
                <w:bCs/>
                <w:szCs w:val="21"/>
              </w:rPr>
              <w:t>产品名称</w:t>
            </w:r>
          </w:p>
        </w:tc>
        <w:tc>
          <w:tcPr>
            <w:tcW w:w="1176" w:type="dxa"/>
            <w:shd w:val="clear" w:color="auto" w:fill="D8D8D8"/>
            <w:vAlign w:val="center"/>
          </w:tcPr>
          <w:p>
            <w:pPr>
              <w:widowControl/>
              <w:spacing w:line="320" w:lineRule="exact"/>
              <w:jc w:val="left"/>
              <w:rPr>
                <w:rFonts w:ascii="仿宋" w:hAnsi="仿宋" w:eastAsia="仿宋" w:cs="Courier New"/>
                <w:b/>
                <w:bCs/>
                <w:szCs w:val="21"/>
              </w:rPr>
            </w:pPr>
            <w:r>
              <w:rPr>
                <w:rFonts w:ascii="仿宋" w:hAnsi="仿宋" w:eastAsia="仿宋" w:cs="Courier New"/>
                <w:b/>
                <w:bCs/>
                <w:szCs w:val="21"/>
              </w:rPr>
              <w:t>规格说明</w:t>
            </w:r>
          </w:p>
        </w:tc>
        <w:tc>
          <w:tcPr>
            <w:tcW w:w="6012" w:type="dxa"/>
            <w:shd w:val="clear" w:color="auto" w:fill="D8D8D8"/>
            <w:vAlign w:val="center"/>
          </w:tcPr>
          <w:p>
            <w:pPr>
              <w:widowControl/>
              <w:spacing w:line="320" w:lineRule="exact"/>
              <w:jc w:val="left"/>
              <w:rPr>
                <w:rFonts w:ascii="仿宋" w:hAnsi="仿宋" w:eastAsia="仿宋" w:cs="Courier New"/>
                <w:b/>
                <w:bCs/>
                <w:szCs w:val="21"/>
              </w:rPr>
            </w:pPr>
            <w:r>
              <w:rPr>
                <w:rFonts w:hint="eastAsia" w:ascii="仿宋" w:hAnsi="仿宋" w:eastAsia="仿宋" w:cs="Courier New"/>
                <w:b/>
                <w:bCs/>
                <w:szCs w:val="21"/>
              </w:rPr>
              <w:t>具体说明</w:t>
            </w:r>
            <w:r>
              <w:rPr>
                <w:rFonts w:hint="eastAsia" w:ascii="仿宋" w:hAnsi="仿宋" w:eastAsia="仿宋"/>
                <w:szCs w:val="21"/>
              </w:rPr>
              <w:t>（重要功能使用红色标注）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00" w:type="dxa"/>
            <w:vMerge w:val="restart"/>
            <w:vAlign w:val="center"/>
          </w:tcPr>
          <w:p>
            <w:pPr>
              <w:spacing w:line="320" w:lineRule="exact"/>
              <w:rPr>
                <w:rFonts w:ascii="仿宋" w:hAnsi="仿宋" w:eastAsia="仿宋" w:cs="Courier New"/>
                <w:b/>
                <w:bCs/>
                <w:szCs w:val="21"/>
              </w:rPr>
            </w:pPr>
            <w:r>
              <w:rPr>
                <w:rFonts w:hint="eastAsia" w:ascii="仿宋" w:hAnsi="仿宋" w:eastAsia="仿宋"/>
                <w:szCs w:val="21"/>
              </w:rPr>
              <w:t>学生端</w:t>
            </w:r>
          </w:p>
        </w:tc>
        <w:tc>
          <w:tcPr>
            <w:tcW w:w="1176" w:type="dxa"/>
            <w:vMerge w:val="restart"/>
            <w:vAlign w:val="center"/>
          </w:tcPr>
          <w:p>
            <w:pPr>
              <w:widowControl/>
              <w:spacing w:line="320" w:lineRule="exact"/>
              <w:jc w:val="left"/>
              <w:rPr>
                <w:rFonts w:ascii="仿宋" w:hAnsi="仿宋" w:eastAsia="仿宋" w:cs="Courier New"/>
                <w:b/>
                <w:bCs/>
                <w:szCs w:val="21"/>
              </w:rPr>
            </w:pPr>
            <w:r>
              <w:rPr>
                <w:rFonts w:hint="eastAsia" w:ascii="仿宋" w:hAnsi="仿宋" w:eastAsia="仿宋" w:cs="Courier New"/>
                <w:b/>
                <w:bCs/>
                <w:szCs w:val="21"/>
              </w:rPr>
              <w:t>消息通知</w:t>
            </w:r>
          </w:p>
        </w:tc>
        <w:tc>
          <w:tcPr>
            <w:tcW w:w="6012" w:type="dxa"/>
            <w:vAlign w:val="center"/>
          </w:tcPr>
          <w:p>
            <w:pPr>
              <w:widowControl/>
              <w:spacing w:line="320" w:lineRule="exact"/>
              <w:jc w:val="left"/>
              <w:rPr>
                <w:rFonts w:ascii="仿宋" w:hAnsi="仿宋" w:eastAsia="仿宋" w:cs="Courier New"/>
                <w:bCs/>
                <w:szCs w:val="21"/>
              </w:rPr>
            </w:pPr>
            <w:r>
              <w:rPr>
                <w:rFonts w:hint="eastAsia" w:ascii="仿宋" w:hAnsi="仿宋" w:eastAsia="仿宋" w:cs="Courier New"/>
                <w:bCs/>
                <w:szCs w:val="21"/>
              </w:rPr>
              <w:t>将接收到的手机小程序（或微信等）消息与教学活动关联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00" w:type="dxa"/>
            <w:vMerge w:val="continue"/>
            <w:vAlign w:val="center"/>
          </w:tcPr>
          <w:p>
            <w:pPr>
              <w:spacing w:line="320" w:lineRule="exact"/>
              <w:rPr>
                <w:rFonts w:ascii="仿宋" w:hAnsi="仿宋" w:eastAsia="仿宋"/>
                <w:szCs w:val="21"/>
              </w:rPr>
            </w:pPr>
          </w:p>
        </w:tc>
        <w:tc>
          <w:tcPr>
            <w:tcW w:w="1176" w:type="dxa"/>
            <w:vMerge w:val="continue"/>
            <w:vAlign w:val="center"/>
          </w:tcPr>
          <w:p>
            <w:pPr>
              <w:widowControl/>
              <w:spacing w:line="320" w:lineRule="exact"/>
              <w:jc w:val="left"/>
              <w:rPr>
                <w:rFonts w:ascii="仿宋" w:hAnsi="仿宋" w:eastAsia="仿宋" w:cs="Courier New"/>
                <w:b/>
                <w:bCs/>
                <w:szCs w:val="21"/>
              </w:rPr>
            </w:pPr>
          </w:p>
        </w:tc>
        <w:tc>
          <w:tcPr>
            <w:tcW w:w="6012" w:type="dxa"/>
            <w:vAlign w:val="center"/>
          </w:tcPr>
          <w:p>
            <w:pPr>
              <w:widowControl/>
              <w:spacing w:line="320" w:lineRule="exact"/>
              <w:jc w:val="left"/>
              <w:rPr>
                <w:rFonts w:ascii="仿宋" w:hAnsi="仿宋" w:eastAsia="仿宋" w:cs="Courier New"/>
                <w:bCs/>
                <w:szCs w:val="21"/>
              </w:rPr>
            </w:pPr>
            <w:r>
              <w:rPr>
                <w:rFonts w:hint="eastAsia" w:ascii="仿宋" w:hAnsi="仿宋" w:eastAsia="仿宋" w:cs="Courier New"/>
                <w:bCs/>
                <w:szCs w:val="21"/>
              </w:rPr>
              <w:t>活动通知，查看详情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200" w:type="dxa"/>
            <w:vMerge w:val="continue"/>
            <w:vAlign w:val="center"/>
          </w:tcPr>
          <w:p>
            <w:pPr>
              <w:widowControl/>
              <w:spacing w:line="320" w:lineRule="exact"/>
              <w:rPr>
                <w:rFonts w:ascii="仿宋" w:hAnsi="仿宋" w:eastAsia="仿宋" w:cs="Courier New"/>
                <w:szCs w:val="21"/>
              </w:rPr>
            </w:pPr>
          </w:p>
        </w:tc>
        <w:tc>
          <w:tcPr>
            <w:tcW w:w="1176" w:type="dxa"/>
            <w:vMerge w:val="restart"/>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考勤值班</w:t>
            </w:r>
          </w:p>
        </w:tc>
        <w:tc>
          <w:tcPr>
            <w:tcW w:w="6012" w:type="dxa"/>
          </w:tcPr>
          <w:p>
            <w:pPr>
              <w:pStyle w:val="71"/>
              <w:spacing w:line="320" w:lineRule="exact"/>
              <w:ind w:left="0"/>
              <w:rPr>
                <w:rFonts w:ascii="仿宋" w:hAnsi="仿宋" w:eastAsia="仿宋" w:cs="Courier New"/>
                <w:sz w:val="21"/>
                <w:szCs w:val="21"/>
              </w:rPr>
            </w:pPr>
            <w:r>
              <w:rPr>
                <w:rFonts w:hint="eastAsia" w:ascii="仿宋" w:hAnsi="仿宋" w:eastAsia="仿宋"/>
                <w:sz w:val="21"/>
                <w:szCs w:val="21"/>
              </w:rPr>
              <w:t>考勤日历：使用GPS定位在手机端进行考勤打卡、请假，以日历的形式展现各个月份的考勤情况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continue"/>
            <w:vAlign w:val="center"/>
          </w:tcPr>
          <w:p>
            <w:pPr>
              <w:widowControl/>
              <w:spacing w:line="320" w:lineRule="exact"/>
              <w:rPr>
                <w:rFonts w:ascii="仿宋" w:hAnsi="仿宋" w:eastAsia="仿宋" w:cs="Courier New"/>
                <w:szCs w:val="21"/>
              </w:rPr>
            </w:pPr>
          </w:p>
        </w:tc>
        <w:tc>
          <w:tcPr>
            <w:tcW w:w="6012" w:type="dxa"/>
          </w:tcPr>
          <w:p>
            <w:pPr>
              <w:spacing w:line="320" w:lineRule="exact"/>
              <w:jc w:val="left"/>
              <w:rPr>
                <w:rFonts w:ascii="仿宋" w:hAnsi="仿宋" w:eastAsia="仿宋"/>
                <w:szCs w:val="21"/>
              </w:rPr>
            </w:pPr>
            <w:r>
              <w:rPr>
                <w:rFonts w:hint="eastAsia" w:ascii="仿宋" w:hAnsi="仿宋" w:eastAsia="仿宋"/>
                <w:szCs w:val="21"/>
              </w:rPr>
              <w:t>值班日历：学员可自行填报值班记录，或者直接显示科秘的值班安排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continue"/>
            <w:vAlign w:val="center"/>
          </w:tcPr>
          <w:p>
            <w:pPr>
              <w:widowControl/>
              <w:spacing w:line="320" w:lineRule="exact"/>
              <w:rPr>
                <w:rFonts w:ascii="仿宋" w:hAnsi="仿宋" w:eastAsia="仿宋" w:cs="Courier New"/>
                <w:szCs w:val="21"/>
              </w:rPr>
            </w:pPr>
          </w:p>
        </w:tc>
        <w:tc>
          <w:tcPr>
            <w:tcW w:w="6012" w:type="dxa"/>
          </w:tcPr>
          <w:p>
            <w:pPr>
              <w:spacing w:line="320" w:lineRule="exact"/>
              <w:jc w:val="left"/>
              <w:rPr>
                <w:rFonts w:ascii="仿宋" w:hAnsi="仿宋" w:eastAsia="仿宋"/>
                <w:szCs w:val="21"/>
              </w:rPr>
            </w:pPr>
            <w:r>
              <w:rPr>
                <w:rFonts w:hint="eastAsia" w:ascii="仿宋" w:hAnsi="仿宋" w:eastAsia="仿宋"/>
                <w:szCs w:val="21"/>
              </w:rPr>
              <w:t>考勤统计：对各个科室的考勤情况、请假情况进行统计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200" w:type="dxa"/>
            <w:vMerge w:val="continue"/>
            <w:vAlign w:val="center"/>
          </w:tcPr>
          <w:p>
            <w:pPr>
              <w:widowControl/>
              <w:spacing w:line="320" w:lineRule="exact"/>
              <w:rPr>
                <w:rFonts w:ascii="仿宋" w:hAnsi="仿宋" w:eastAsia="仿宋"/>
                <w:szCs w:val="21"/>
              </w:rPr>
            </w:pPr>
          </w:p>
        </w:tc>
        <w:tc>
          <w:tcPr>
            <w:tcW w:w="1176" w:type="dxa"/>
            <w:vAlign w:val="center"/>
          </w:tcPr>
          <w:p>
            <w:pPr>
              <w:spacing w:line="320" w:lineRule="exact"/>
              <w:jc w:val="left"/>
              <w:rPr>
                <w:rFonts w:ascii="仿宋" w:hAnsi="仿宋" w:eastAsia="仿宋"/>
                <w:szCs w:val="21"/>
              </w:rPr>
            </w:pPr>
            <w:r>
              <w:rPr>
                <w:rFonts w:hint="eastAsia" w:ascii="仿宋" w:hAnsi="仿宋" w:eastAsia="仿宋"/>
                <w:szCs w:val="21"/>
              </w:rPr>
              <w:t>我的群组</w:t>
            </w:r>
          </w:p>
        </w:tc>
        <w:tc>
          <w:tcPr>
            <w:tcW w:w="6012" w:type="dxa"/>
          </w:tcPr>
          <w:p>
            <w:pPr>
              <w:spacing w:line="320" w:lineRule="exact"/>
              <w:jc w:val="left"/>
              <w:rPr>
                <w:rFonts w:ascii="仿宋" w:hAnsi="仿宋" w:eastAsia="仿宋"/>
                <w:szCs w:val="21"/>
              </w:rPr>
            </w:pPr>
            <w:r>
              <w:rPr>
                <w:rFonts w:hint="eastAsia" w:ascii="仿宋" w:hAnsi="仿宋" w:eastAsia="仿宋"/>
                <w:szCs w:val="21"/>
              </w:rPr>
              <w:t>当在群组中被指定为小组长时，可以查看组员的考勤信息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200" w:type="dxa"/>
            <w:vMerge w:val="continue"/>
            <w:vAlign w:val="center"/>
          </w:tcPr>
          <w:p>
            <w:pPr>
              <w:widowControl/>
              <w:spacing w:line="320" w:lineRule="exact"/>
              <w:rPr>
                <w:rFonts w:ascii="仿宋" w:hAnsi="仿宋" w:eastAsia="仿宋"/>
                <w:szCs w:val="21"/>
              </w:rPr>
            </w:pPr>
          </w:p>
        </w:tc>
        <w:tc>
          <w:tcPr>
            <w:tcW w:w="1176" w:type="dxa"/>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轮转计划</w:t>
            </w:r>
          </w:p>
        </w:tc>
        <w:tc>
          <w:tcPr>
            <w:tcW w:w="6012" w:type="dxa"/>
          </w:tcPr>
          <w:p>
            <w:pPr>
              <w:spacing w:line="320" w:lineRule="exact"/>
              <w:jc w:val="left"/>
              <w:rPr>
                <w:rFonts w:ascii="仿宋" w:hAnsi="仿宋" w:eastAsia="仿宋"/>
                <w:szCs w:val="21"/>
              </w:rPr>
            </w:pPr>
            <w:r>
              <w:rPr>
                <w:rFonts w:hint="eastAsia" w:ascii="仿宋" w:hAnsi="仿宋" w:eastAsia="仿宋"/>
                <w:szCs w:val="21"/>
              </w:rPr>
              <w:t>查询本人的轮转计划、出入科时间、带教老师；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00" w:type="dxa"/>
            <w:vMerge w:val="continue"/>
            <w:vAlign w:val="center"/>
          </w:tcPr>
          <w:p>
            <w:pPr>
              <w:widowControl/>
              <w:spacing w:line="320" w:lineRule="exact"/>
              <w:rPr>
                <w:rFonts w:ascii="仿宋" w:hAnsi="仿宋" w:eastAsia="仿宋"/>
                <w:szCs w:val="21"/>
              </w:rPr>
            </w:pPr>
          </w:p>
        </w:tc>
        <w:tc>
          <w:tcPr>
            <w:tcW w:w="1176" w:type="dxa"/>
            <w:vAlign w:val="center"/>
          </w:tcPr>
          <w:p>
            <w:pPr>
              <w:widowControl/>
              <w:spacing w:line="320" w:lineRule="exact"/>
              <w:rPr>
                <w:rFonts w:ascii="仿宋" w:hAnsi="仿宋" w:eastAsia="仿宋" w:cs="Courier New"/>
                <w:szCs w:val="21"/>
              </w:rPr>
            </w:pPr>
          </w:p>
        </w:tc>
        <w:tc>
          <w:tcPr>
            <w:tcW w:w="6012" w:type="dxa"/>
          </w:tcPr>
          <w:p>
            <w:pPr>
              <w:spacing w:line="320" w:lineRule="exact"/>
              <w:jc w:val="left"/>
              <w:rPr>
                <w:rFonts w:ascii="仿宋" w:hAnsi="仿宋" w:eastAsia="仿宋"/>
                <w:szCs w:val="21"/>
              </w:rPr>
            </w:pPr>
            <w:r>
              <w:rPr>
                <w:rFonts w:hint="eastAsia" w:ascii="仿宋" w:hAnsi="仿宋" w:eastAsia="仿宋"/>
                <w:szCs w:val="21"/>
              </w:rPr>
              <w:t>查看科室介绍；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restart"/>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学习模块</w:t>
            </w:r>
          </w:p>
        </w:tc>
        <w:tc>
          <w:tcPr>
            <w:tcW w:w="6012" w:type="dxa"/>
          </w:tcPr>
          <w:p>
            <w:pPr>
              <w:spacing w:line="320" w:lineRule="exact"/>
              <w:jc w:val="left"/>
              <w:rPr>
                <w:rFonts w:ascii="仿宋" w:hAnsi="仿宋" w:eastAsia="仿宋"/>
                <w:szCs w:val="21"/>
              </w:rPr>
            </w:pPr>
            <w:r>
              <w:rPr>
                <w:rFonts w:hint="eastAsia" w:ascii="仿宋" w:hAnsi="仿宋" w:eastAsia="仿宋"/>
                <w:szCs w:val="21"/>
              </w:rPr>
              <w:t>查询科室的出入科成绩；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continue"/>
            <w:vAlign w:val="center"/>
          </w:tcPr>
          <w:p>
            <w:pPr>
              <w:widowControl/>
              <w:spacing w:line="320" w:lineRule="exact"/>
              <w:rPr>
                <w:rFonts w:ascii="仿宋" w:hAnsi="仿宋" w:eastAsia="仿宋" w:cs="Courier New"/>
                <w:szCs w:val="21"/>
              </w:rPr>
            </w:pPr>
          </w:p>
        </w:tc>
        <w:tc>
          <w:tcPr>
            <w:tcW w:w="6012" w:type="dxa"/>
          </w:tcPr>
          <w:p>
            <w:pPr>
              <w:pStyle w:val="71"/>
              <w:spacing w:line="320" w:lineRule="exact"/>
              <w:ind w:left="0"/>
              <w:rPr>
                <w:rFonts w:ascii="仿宋" w:hAnsi="仿宋" w:eastAsia="仿宋"/>
                <w:sz w:val="21"/>
                <w:szCs w:val="21"/>
              </w:rPr>
            </w:pPr>
            <w:r>
              <w:rPr>
                <w:rFonts w:hint="eastAsia" w:ascii="仿宋" w:hAnsi="仿宋" w:eastAsia="仿宋"/>
                <w:sz w:val="21"/>
                <w:szCs w:val="21"/>
              </w:rPr>
              <w:t>周课程表功能，以日历形式展现一周的教学安排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continue"/>
            <w:vAlign w:val="center"/>
          </w:tcPr>
          <w:p>
            <w:pPr>
              <w:widowControl/>
              <w:spacing w:line="320" w:lineRule="exact"/>
              <w:rPr>
                <w:rFonts w:ascii="仿宋" w:hAnsi="仿宋" w:eastAsia="仿宋" w:cs="Courier New"/>
                <w:szCs w:val="21"/>
              </w:rPr>
            </w:pPr>
          </w:p>
        </w:tc>
        <w:tc>
          <w:tcPr>
            <w:tcW w:w="6012" w:type="dxa"/>
          </w:tcPr>
          <w:p>
            <w:pPr>
              <w:spacing w:line="320" w:lineRule="exact"/>
              <w:jc w:val="left"/>
              <w:rPr>
                <w:rFonts w:ascii="仿宋" w:hAnsi="仿宋" w:eastAsia="仿宋"/>
                <w:szCs w:val="21"/>
              </w:rPr>
            </w:pPr>
            <w:r>
              <w:rPr>
                <w:rFonts w:hint="eastAsia" w:ascii="仿宋" w:hAnsi="仿宋" w:eastAsia="仿宋"/>
                <w:szCs w:val="21"/>
              </w:rPr>
              <w:t>月课程表功能，以列表形式展现一月的教学安排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restart"/>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教学活动</w:t>
            </w:r>
          </w:p>
        </w:tc>
        <w:tc>
          <w:tcPr>
            <w:tcW w:w="6012" w:type="dxa"/>
          </w:tcPr>
          <w:p>
            <w:pPr>
              <w:spacing w:line="320" w:lineRule="exact"/>
              <w:jc w:val="left"/>
              <w:rPr>
                <w:rFonts w:ascii="仿宋" w:hAnsi="仿宋" w:eastAsia="仿宋"/>
                <w:szCs w:val="21"/>
              </w:rPr>
            </w:pPr>
            <w:r>
              <w:rPr>
                <w:rFonts w:hint="eastAsia" w:ascii="仿宋" w:hAnsi="仿宋" w:eastAsia="仿宋"/>
                <w:szCs w:val="21"/>
              </w:rPr>
              <w:t>活动扫码：通过扫描动态二维码的方式进行活动签到，包括病例讨论、教学查房、临床操作指导、理论授课等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continue"/>
            <w:vAlign w:val="center"/>
          </w:tcPr>
          <w:p>
            <w:pPr>
              <w:widowControl/>
              <w:spacing w:line="320" w:lineRule="exact"/>
              <w:rPr>
                <w:rFonts w:ascii="仿宋" w:hAnsi="仿宋" w:eastAsia="仿宋" w:cs="Courier New"/>
                <w:szCs w:val="21"/>
              </w:rPr>
            </w:pPr>
          </w:p>
        </w:tc>
        <w:tc>
          <w:tcPr>
            <w:tcW w:w="6012" w:type="dxa"/>
          </w:tcPr>
          <w:p>
            <w:pPr>
              <w:spacing w:line="320" w:lineRule="exact"/>
              <w:jc w:val="left"/>
              <w:rPr>
                <w:rFonts w:ascii="仿宋" w:hAnsi="仿宋" w:eastAsia="仿宋"/>
                <w:szCs w:val="21"/>
              </w:rPr>
            </w:pPr>
            <w:r>
              <w:rPr>
                <w:rFonts w:hint="eastAsia" w:ascii="仿宋" w:hAnsi="仿宋" w:eastAsia="仿宋"/>
                <w:szCs w:val="21"/>
              </w:rPr>
              <w:t>活动报名：可通过扫码的方式，参加其他科室的活动，并记录在参会人员名册中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restart"/>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教学评价</w:t>
            </w:r>
          </w:p>
        </w:tc>
        <w:tc>
          <w:tcPr>
            <w:tcW w:w="6012" w:type="dxa"/>
          </w:tcPr>
          <w:p>
            <w:pPr>
              <w:pStyle w:val="71"/>
              <w:spacing w:line="320" w:lineRule="exact"/>
              <w:ind w:left="0"/>
              <w:rPr>
                <w:rFonts w:ascii="仿宋" w:hAnsi="仿宋" w:eastAsia="仿宋"/>
                <w:sz w:val="21"/>
                <w:szCs w:val="21"/>
              </w:rPr>
            </w:pPr>
            <w:r>
              <w:rPr>
                <w:rFonts w:hint="eastAsia" w:ascii="仿宋" w:hAnsi="仿宋" w:eastAsia="仿宋"/>
                <w:sz w:val="21"/>
                <w:szCs w:val="21"/>
              </w:rPr>
              <w:t>查看自己参加过的教学活动列表，并且可对活动进行评价、上传活动照片、查看课件等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continue"/>
            <w:vAlign w:val="center"/>
          </w:tcPr>
          <w:p>
            <w:pPr>
              <w:widowControl/>
              <w:spacing w:line="320" w:lineRule="exact"/>
              <w:rPr>
                <w:rFonts w:ascii="仿宋" w:hAnsi="仿宋" w:eastAsia="仿宋" w:cs="Courier New"/>
                <w:szCs w:val="21"/>
              </w:rPr>
            </w:pPr>
          </w:p>
        </w:tc>
        <w:tc>
          <w:tcPr>
            <w:tcW w:w="6012" w:type="dxa"/>
          </w:tcPr>
          <w:p>
            <w:pPr>
              <w:spacing w:line="320" w:lineRule="exact"/>
              <w:jc w:val="left"/>
              <w:rPr>
                <w:rFonts w:ascii="仿宋" w:hAnsi="仿宋" w:eastAsia="仿宋"/>
                <w:szCs w:val="21"/>
              </w:rPr>
            </w:pPr>
            <w:r>
              <w:rPr>
                <w:rFonts w:hint="eastAsia" w:ascii="仿宋" w:hAnsi="仿宋" w:eastAsia="仿宋"/>
                <w:szCs w:val="21"/>
              </w:rPr>
              <w:t>参会统计：对各个活动类型进行签到率分类统计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continue"/>
            <w:vAlign w:val="center"/>
          </w:tcPr>
          <w:p>
            <w:pPr>
              <w:widowControl/>
              <w:spacing w:line="320" w:lineRule="exact"/>
              <w:rPr>
                <w:rFonts w:ascii="仿宋" w:hAnsi="仿宋" w:eastAsia="仿宋" w:cs="Courier New"/>
                <w:szCs w:val="21"/>
              </w:rPr>
            </w:pPr>
          </w:p>
        </w:tc>
        <w:tc>
          <w:tcPr>
            <w:tcW w:w="6012" w:type="dxa"/>
          </w:tcPr>
          <w:p>
            <w:pPr>
              <w:spacing w:line="320" w:lineRule="exact"/>
              <w:jc w:val="left"/>
              <w:rPr>
                <w:rFonts w:ascii="仿宋" w:hAnsi="仿宋" w:eastAsia="仿宋"/>
                <w:szCs w:val="21"/>
              </w:rPr>
            </w:pPr>
            <w:r>
              <w:rPr>
                <w:rFonts w:hint="eastAsia" w:ascii="仿宋" w:hAnsi="仿宋" w:eastAsia="仿宋"/>
                <w:szCs w:val="21"/>
              </w:rPr>
              <w:t>对科室带教老师进行评价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continue"/>
            <w:vAlign w:val="center"/>
          </w:tcPr>
          <w:p>
            <w:pPr>
              <w:widowControl/>
              <w:spacing w:line="320" w:lineRule="exact"/>
              <w:rPr>
                <w:rFonts w:ascii="仿宋" w:hAnsi="仿宋" w:eastAsia="仿宋" w:cs="Courier New"/>
                <w:szCs w:val="21"/>
              </w:rPr>
            </w:pPr>
          </w:p>
        </w:tc>
        <w:tc>
          <w:tcPr>
            <w:tcW w:w="6012" w:type="dxa"/>
          </w:tcPr>
          <w:p>
            <w:pPr>
              <w:spacing w:line="320" w:lineRule="exact"/>
              <w:jc w:val="left"/>
              <w:rPr>
                <w:rFonts w:ascii="仿宋" w:hAnsi="仿宋" w:eastAsia="仿宋"/>
                <w:szCs w:val="21"/>
              </w:rPr>
            </w:pPr>
            <w:r>
              <w:rPr>
                <w:rFonts w:hint="eastAsia" w:ascii="仿宋" w:hAnsi="仿宋" w:eastAsia="仿宋"/>
                <w:szCs w:val="21"/>
              </w:rPr>
              <w:t>对轮转科室进行评价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continue"/>
            <w:vAlign w:val="center"/>
          </w:tcPr>
          <w:p>
            <w:pPr>
              <w:widowControl/>
              <w:spacing w:line="320" w:lineRule="exact"/>
              <w:rPr>
                <w:rFonts w:ascii="仿宋" w:hAnsi="仿宋" w:eastAsia="仿宋" w:cs="Courier New"/>
                <w:szCs w:val="21"/>
              </w:rPr>
            </w:pPr>
          </w:p>
        </w:tc>
        <w:tc>
          <w:tcPr>
            <w:tcW w:w="6012" w:type="dxa"/>
          </w:tcPr>
          <w:p>
            <w:pPr>
              <w:spacing w:line="320" w:lineRule="exact"/>
              <w:jc w:val="left"/>
              <w:rPr>
                <w:rFonts w:ascii="仿宋" w:hAnsi="仿宋" w:eastAsia="仿宋"/>
                <w:szCs w:val="21"/>
              </w:rPr>
            </w:pPr>
            <w:r>
              <w:rPr>
                <w:rFonts w:hint="eastAsia" w:ascii="仿宋" w:hAnsi="仿宋" w:eastAsia="仿宋"/>
                <w:szCs w:val="21"/>
              </w:rPr>
              <w:t>对专业基地进行评价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200" w:type="dxa"/>
            <w:vMerge w:val="continue"/>
            <w:vAlign w:val="center"/>
          </w:tcPr>
          <w:p>
            <w:pPr>
              <w:widowControl/>
              <w:spacing w:line="320" w:lineRule="exact"/>
              <w:rPr>
                <w:rFonts w:ascii="仿宋" w:hAnsi="仿宋" w:eastAsia="仿宋"/>
                <w:szCs w:val="21"/>
              </w:rPr>
            </w:pPr>
          </w:p>
        </w:tc>
        <w:tc>
          <w:tcPr>
            <w:tcW w:w="1181" w:type="dxa"/>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个人中心</w:t>
            </w:r>
          </w:p>
        </w:tc>
        <w:tc>
          <w:tcPr>
            <w:tcW w:w="6007" w:type="dxa"/>
            <w:vAlign w:val="center"/>
          </w:tcPr>
          <w:p>
            <w:pPr>
              <w:spacing w:line="320" w:lineRule="exact"/>
              <w:jc w:val="left"/>
              <w:rPr>
                <w:rFonts w:ascii="仿宋" w:hAnsi="仿宋" w:eastAsia="仿宋"/>
                <w:szCs w:val="21"/>
              </w:rPr>
            </w:pPr>
            <w:r>
              <w:rPr>
                <w:rFonts w:hint="eastAsia" w:ascii="仿宋" w:hAnsi="仿宋" w:eastAsia="仿宋"/>
                <w:szCs w:val="21"/>
              </w:rPr>
              <w:t>对个人信息进行编辑，包括工号、手机短号、银行卡号、学历、邮箱、执业医师编号、工作单位等。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restart"/>
            <w:vAlign w:val="center"/>
          </w:tcPr>
          <w:p>
            <w:pPr>
              <w:widowControl/>
              <w:spacing w:line="320" w:lineRule="exact"/>
              <w:rPr>
                <w:rFonts w:ascii="仿宋" w:hAnsi="仿宋" w:eastAsia="仿宋" w:cs="Courier New"/>
                <w:szCs w:val="21"/>
              </w:rPr>
            </w:pPr>
          </w:p>
        </w:tc>
        <w:tc>
          <w:tcPr>
            <w:tcW w:w="6012" w:type="dxa"/>
          </w:tcPr>
          <w:p>
            <w:pPr>
              <w:spacing w:line="320" w:lineRule="exact"/>
              <w:jc w:val="left"/>
              <w:rPr>
                <w:rFonts w:ascii="仿宋" w:hAnsi="仿宋" w:eastAsia="仿宋"/>
                <w:szCs w:val="21"/>
              </w:rPr>
            </w:pPr>
            <w:r>
              <w:rPr>
                <w:rFonts w:hint="eastAsia" w:ascii="仿宋" w:hAnsi="仿宋" w:eastAsia="仿宋"/>
                <w:szCs w:val="21"/>
              </w:rPr>
              <w:t>个人评价雷达图、360°测评排名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continue"/>
            <w:vAlign w:val="center"/>
          </w:tcPr>
          <w:p>
            <w:pPr>
              <w:widowControl/>
              <w:spacing w:line="320" w:lineRule="exact"/>
              <w:rPr>
                <w:rFonts w:ascii="仿宋" w:hAnsi="仿宋" w:eastAsia="仿宋" w:cs="Courier New"/>
                <w:szCs w:val="21"/>
              </w:rPr>
            </w:pPr>
          </w:p>
        </w:tc>
        <w:tc>
          <w:tcPr>
            <w:tcW w:w="6012" w:type="dxa"/>
          </w:tcPr>
          <w:p>
            <w:pPr>
              <w:spacing w:line="320" w:lineRule="exact"/>
              <w:jc w:val="left"/>
              <w:rPr>
                <w:rFonts w:ascii="仿宋" w:hAnsi="仿宋" w:eastAsia="仿宋"/>
                <w:szCs w:val="21"/>
              </w:rPr>
            </w:pPr>
            <w:r>
              <w:rPr>
                <w:rFonts w:hint="eastAsia" w:ascii="仿宋" w:hAnsi="仿宋" w:eastAsia="仿宋"/>
                <w:szCs w:val="21"/>
              </w:rPr>
              <w:t>上传证件照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continue"/>
            <w:vAlign w:val="center"/>
          </w:tcPr>
          <w:p>
            <w:pPr>
              <w:widowControl/>
              <w:spacing w:line="320" w:lineRule="exact"/>
              <w:rPr>
                <w:rFonts w:ascii="仿宋" w:hAnsi="仿宋" w:eastAsia="仿宋" w:cs="Courier New"/>
                <w:szCs w:val="21"/>
              </w:rPr>
            </w:pPr>
          </w:p>
        </w:tc>
        <w:tc>
          <w:tcPr>
            <w:tcW w:w="6012" w:type="dxa"/>
          </w:tcPr>
          <w:p>
            <w:pPr>
              <w:spacing w:line="320" w:lineRule="exact"/>
              <w:jc w:val="left"/>
              <w:rPr>
                <w:rFonts w:ascii="仿宋" w:hAnsi="仿宋" w:eastAsia="仿宋"/>
                <w:szCs w:val="21"/>
              </w:rPr>
            </w:pPr>
            <w:r>
              <w:rPr>
                <w:rFonts w:hint="eastAsia" w:ascii="仿宋" w:hAnsi="仿宋" w:eastAsia="仿宋"/>
                <w:szCs w:val="21"/>
              </w:rPr>
              <w:t>上传或在小程序上手绘个人签名，管理员可在后台汇总导出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continue"/>
            <w:vAlign w:val="center"/>
          </w:tcPr>
          <w:p>
            <w:pPr>
              <w:widowControl/>
              <w:spacing w:line="320" w:lineRule="exact"/>
              <w:rPr>
                <w:rFonts w:ascii="仿宋" w:hAnsi="仿宋" w:eastAsia="仿宋" w:cs="Courier New"/>
                <w:szCs w:val="21"/>
              </w:rPr>
            </w:pPr>
          </w:p>
        </w:tc>
        <w:tc>
          <w:tcPr>
            <w:tcW w:w="6012" w:type="dxa"/>
          </w:tcPr>
          <w:p>
            <w:pPr>
              <w:spacing w:line="320" w:lineRule="exact"/>
              <w:jc w:val="left"/>
              <w:rPr>
                <w:rFonts w:ascii="仿宋" w:hAnsi="仿宋" w:eastAsia="仿宋"/>
                <w:szCs w:val="21"/>
              </w:rPr>
            </w:pPr>
            <w:r>
              <w:rPr>
                <w:rFonts w:hint="eastAsia" w:ascii="仿宋" w:hAnsi="仿宋" w:eastAsia="仿宋"/>
                <w:szCs w:val="21"/>
              </w:rPr>
              <w:t>申请变更当前科室，管理员可在后台审核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restart"/>
            <w:vAlign w:val="center"/>
          </w:tcPr>
          <w:p>
            <w:pPr>
              <w:spacing w:line="320" w:lineRule="exact"/>
              <w:jc w:val="left"/>
              <w:rPr>
                <w:rFonts w:ascii="仿宋" w:hAnsi="仿宋" w:eastAsia="仿宋"/>
                <w:szCs w:val="21"/>
              </w:rPr>
            </w:pPr>
            <w:r>
              <w:rPr>
                <w:rFonts w:hint="eastAsia" w:ascii="仿宋" w:hAnsi="仿宋" w:eastAsia="仿宋"/>
                <w:szCs w:val="21"/>
              </w:rPr>
              <w:t>消息通知</w:t>
            </w:r>
          </w:p>
        </w:tc>
        <w:tc>
          <w:tcPr>
            <w:tcW w:w="6012" w:type="dxa"/>
          </w:tcPr>
          <w:p>
            <w:pPr>
              <w:spacing w:line="320" w:lineRule="exact"/>
              <w:jc w:val="left"/>
              <w:rPr>
                <w:rFonts w:ascii="仿宋" w:hAnsi="仿宋" w:eastAsia="仿宋"/>
                <w:szCs w:val="21"/>
              </w:rPr>
            </w:pPr>
            <w:r>
              <w:rPr>
                <w:rFonts w:hint="eastAsia" w:ascii="仿宋" w:hAnsi="仿宋" w:eastAsia="仿宋"/>
                <w:szCs w:val="21"/>
              </w:rPr>
              <w:t>将接收到的手机小程序（或微信等）消息与教学活动关联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continue"/>
            <w:vAlign w:val="center"/>
          </w:tcPr>
          <w:p>
            <w:pPr>
              <w:spacing w:line="320" w:lineRule="exact"/>
              <w:jc w:val="left"/>
              <w:rPr>
                <w:rFonts w:ascii="仿宋" w:hAnsi="仿宋" w:eastAsia="仿宋"/>
                <w:szCs w:val="21"/>
              </w:rPr>
            </w:pPr>
          </w:p>
        </w:tc>
        <w:tc>
          <w:tcPr>
            <w:tcW w:w="6012" w:type="dxa"/>
            <w:vAlign w:val="center"/>
          </w:tcPr>
          <w:p>
            <w:pPr>
              <w:spacing w:line="320" w:lineRule="exact"/>
              <w:jc w:val="left"/>
              <w:rPr>
                <w:rFonts w:ascii="仿宋" w:hAnsi="仿宋" w:eastAsia="仿宋"/>
                <w:szCs w:val="21"/>
              </w:rPr>
            </w:pPr>
            <w:r>
              <w:rPr>
                <w:rFonts w:hint="eastAsia" w:ascii="仿宋" w:hAnsi="仿宋" w:eastAsia="仿宋"/>
                <w:szCs w:val="21"/>
              </w:rPr>
              <w:t>活动通知，查看详情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200" w:type="dxa"/>
            <w:vMerge w:val="restart"/>
            <w:vAlign w:val="center"/>
          </w:tcPr>
          <w:p>
            <w:pPr>
              <w:spacing w:line="320" w:lineRule="exact"/>
              <w:rPr>
                <w:rFonts w:ascii="仿宋" w:hAnsi="仿宋" w:eastAsia="仿宋" w:cs="Courier New"/>
                <w:b/>
                <w:bCs/>
                <w:szCs w:val="21"/>
              </w:rPr>
            </w:pPr>
            <w:r>
              <w:rPr>
                <w:rFonts w:hint="eastAsia" w:ascii="仿宋" w:hAnsi="仿宋" w:eastAsia="仿宋"/>
                <w:szCs w:val="21"/>
              </w:rPr>
              <w:t>带教教师端/科教干事端/基地秘书端</w:t>
            </w:r>
          </w:p>
        </w:tc>
        <w:tc>
          <w:tcPr>
            <w:tcW w:w="1176" w:type="dxa"/>
            <w:vMerge w:val="restart"/>
            <w:vAlign w:val="center"/>
          </w:tcPr>
          <w:p>
            <w:pPr>
              <w:spacing w:line="320" w:lineRule="exact"/>
              <w:jc w:val="left"/>
              <w:rPr>
                <w:rFonts w:ascii="仿宋" w:hAnsi="仿宋" w:eastAsia="仿宋"/>
                <w:szCs w:val="21"/>
              </w:rPr>
            </w:pPr>
            <w:r>
              <w:rPr>
                <w:rFonts w:hint="eastAsia" w:ascii="仿宋" w:hAnsi="仿宋" w:eastAsia="仿宋"/>
                <w:szCs w:val="21"/>
              </w:rPr>
              <w:t>考勤值班通知管理</w:t>
            </w:r>
          </w:p>
        </w:tc>
        <w:tc>
          <w:tcPr>
            <w:tcW w:w="6012" w:type="dxa"/>
            <w:vAlign w:val="center"/>
          </w:tcPr>
          <w:p>
            <w:pPr>
              <w:spacing w:line="320" w:lineRule="exact"/>
              <w:jc w:val="left"/>
              <w:rPr>
                <w:rFonts w:ascii="仿宋" w:hAnsi="仿宋" w:eastAsia="仿宋"/>
                <w:szCs w:val="21"/>
              </w:rPr>
            </w:pPr>
            <w:r>
              <w:rPr>
                <w:rFonts w:hint="eastAsia" w:ascii="仿宋" w:hAnsi="仿宋" w:eastAsia="仿宋"/>
                <w:szCs w:val="21"/>
              </w:rPr>
              <w:t>支持各种类型的消息通知，可指定通知类型、通知人群、通知科室、是否单独发送短信等。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200" w:type="dxa"/>
            <w:vMerge w:val="continue"/>
            <w:vAlign w:val="center"/>
          </w:tcPr>
          <w:p>
            <w:pPr>
              <w:spacing w:line="320" w:lineRule="exact"/>
              <w:rPr>
                <w:rFonts w:ascii="仿宋" w:hAnsi="仿宋" w:eastAsia="仿宋"/>
                <w:szCs w:val="21"/>
              </w:rPr>
            </w:pPr>
          </w:p>
        </w:tc>
        <w:tc>
          <w:tcPr>
            <w:tcW w:w="1176" w:type="dxa"/>
            <w:vMerge w:val="continue"/>
            <w:vAlign w:val="center"/>
          </w:tcPr>
          <w:p>
            <w:pPr>
              <w:spacing w:line="320" w:lineRule="exact"/>
              <w:jc w:val="left"/>
              <w:rPr>
                <w:rFonts w:ascii="仿宋" w:hAnsi="仿宋" w:eastAsia="仿宋"/>
                <w:szCs w:val="21"/>
              </w:rPr>
            </w:pPr>
          </w:p>
        </w:tc>
        <w:tc>
          <w:tcPr>
            <w:tcW w:w="6012" w:type="dxa"/>
            <w:vAlign w:val="center"/>
          </w:tcPr>
          <w:p>
            <w:pPr>
              <w:spacing w:line="320" w:lineRule="exact"/>
              <w:jc w:val="left"/>
              <w:rPr>
                <w:rFonts w:ascii="仿宋" w:hAnsi="仿宋" w:eastAsia="仿宋"/>
                <w:szCs w:val="21"/>
              </w:rPr>
            </w:pPr>
            <w:r>
              <w:rPr>
                <w:rFonts w:hint="eastAsia" w:ascii="仿宋" w:hAnsi="仿宋" w:eastAsia="仿宋"/>
                <w:szCs w:val="21"/>
              </w:rPr>
              <w:t>查询自己所在科室学员的考勤情况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200" w:type="dxa"/>
            <w:vMerge w:val="continue"/>
            <w:vAlign w:val="center"/>
          </w:tcPr>
          <w:p>
            <w:pPr>
              <w:spacing w:line="320" w:lineRule="exact"/>
              <w:rPr>
                <w:rFonts w:ascii="仿宋" w:hAnsi="仿宋" w:eastAsia="仿宋"/>
                <w:szCs w:val="21"/>
              </w:rPr>
            </w:pPr>
          </w:p>
        </w:tc>
        <w:tc>
          <w:tcPr>
            <w:tcW w:w="1176" w:type="dxa"/>
            <w:vMerge w:val="continue"/>
            <w:vAlign w:val="center"/>
          </w:tcPr>
          <w:p>
            <w:pPr>
              <w:spacing w:line="320" w:lineRule="exact"/>
              <w:jc w:val="left"/>
              <w:rPr>
                <w:rFonts w:ascii="仿宋" w:hAnsi="仿宋" w:eastAsia="仿宋"/>
                <w:szCs w:val="21"/>
              </w:rPr>
            </w:pPr>
          </w:p>
        </w:tc>
        <w:tc>
          <w:tcPr>
            <w:tcW w:w="6012" w:type="dxa"/>
            <w:vAlign w:val="center"/>
          </w:tcPr>
          <w:p>
            <w:pPr>
              <w:spacing w:line="320" w:lineRule="exact"/>
              <w:jc w:val="left"/>
              <w:rPr>
                <w:rFonts w:ascii="仿宋" w:hAnsi="仿宋" w:eastAsia="仿宋"/>
                <w:szCs w:val="21"/>
              </w:rPr>
            </w:pPr>
            <w:r>
              <w:rPr>
                <w:rFonts w:hint="eastAsia" w:ascii="仿宋" w:hAnsi="仿宋" w:eastAsia="仿宋"/>
                <w:szCs w:val="21"/>
              </w:rPr>
              <w:t>值班日历：可自行填报值班记录，或者直接显示科秘的值班安排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200" w:type="dxa"/>
            <w:vMerge w:val="continue"/>
            <w:vAlign w:val="center"/>
          </w:tcPr>
          <w:p>
            <w:pPr>
              <w:spacing w:line="320" w:lineRule="exact"/>
              <w:rPr>
                <w:rFonts w:ascii="仿宋" w:hAnsi="仿宋" w:eastAsia="仿宋"/>
                <w:szCs w:val="21"/>
              </w:rPr>
            </w:pPr>
          </w:p>
        </w:tc>
        <w:tc>
          <w:tcPr>
            <w:tcW w:w="1176" w:type="dxa"/>
            <w:vMerge w:val="restart"/>
            <w:vAlign w:val="center"/>
          </w:tcPr>
          <w:p>
            <w:pPr>
              <w:spacing w:line="320" w:lineRule="exact"/>
              <w:jc w:val="left"/>
              <w:rPr>
                <w:rFonts w:ascii="仿宋" w:hAnsi="仿宋" w:eastAsia="仿宋"/>
                <w:szCs w:val="21"/>
              </w:rPr>
            </w:pPr>
            <w:r>
              <w:rPr>
                <w:rFonts w:hint="eastAsia" w:ascii="仿宋" w:hAnsi="仿宋" w:eastAsia="仿宋"/>
                <w:szCs w:val="21"/>
              </w:rPr>
              <w:t>审批审核</w:t>
            </w:r>
          </w:p>
        </w:tc>
        <w:tc>
          <w:tcPr>
            <w:tcW w:w="6012" w:type="dxa"/>
            <w:vAlign w:val="center"/>
          </w:tcPr>
          <w:p>
            <w:pPr>
              <w:spacing w:line="320" w:lineRule="exact"/>
              <w:jc w:val="left"/>
              <w:rPr>
                <w:rFonts w:ascii="仿宋" w:hAnsi="仿宋" w:eastAsia="仿宋"/>
                <w:szCs w:val="21"/>
              </w:rPr>
            </w:pPr>
            <w:r>
              <w:rPr>
                <w:rFonts w:hint="eastAsia" w:ascii="仿宋" w:hAnsi="仿宋" w:eastAsia="仿宋"/>
                <w:szCs w:val="21"/>
              </w:rPr>
              <w:t>考勤审核，对所在科室学员的考勤情况进行审批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00" w:type="dxa"/>
            <w:vMerge w:val="continue"/>
            <w:vAlign w:val="center"/>
          </w:tcPr>
          <w:p>
            <w:pPr>
              <w:spacing w:line="320" w:lineRule="exact"/>
              <w:rPr>
                <w:rFonts w:ascii="仿宋" w:hAnsi="仿宋" w:eastAsia="仿宋"/>
                <w:szCs w:val="21"/>
              </w:rPr>
            </w:pPr>
          </w:p>
        </w:tc>
        <w:tc>
          <w:tcPr>
            <w:tcW w:w="1176" w:type="dxa"/>
            <w:vMerge w:val="continue"/>
            <w:vAlign w:val="center"/>
          </w:tcPr>
          <w:p>
            <w:pPr>
              <w:spacing w:line="320" w:lineRule="exact"/>
              <w:jc w:val="left"/>
              <w:rPr>
                <w:rFonts w:ascii="仿宋" w:hAnsi="仿宋" w:eastAsia="仿宋"/>
                <w:szCs w:val="21"/>
              </w:rPr>
            </w:pPr>
          </w:p>
        </w:tc>
        <w:tc>
          <w:tcPr>
            <w:tcW w:w="6012" w:type="dxa"/>
            <w:vAlign w:val="center"/>
          </w:tcPr>
          <w:p>
            <w:pPr>
              <w:spacing w:line="320" w:lineRule="exact"/>
              <w:jc w:val="left"/>
              <w:rPr>
                <w:rFonts w:ascii="仿宋" w:hAnsi="仿宋" w:eastAsia="仿宋"/>
                <w:szCs w:val="21"/>
              </w:rPr>
            </w:pPr>
            <w:r>
              <w:rPr>
                <w:rFonts w:hint="eastAsia" w:ascii="仿宋" w:hAnsi="仿宋" w:eastAsia="仿宋"/>
                <w:szCs w:val="21"/>
              </w:rPr>
              <w:t>考勤信息审核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200" w:type="dxa"/>
            <w:vMerge w:val="continue"/>
            <w:vAlign w:val="center"/>
          </w:tcPr>
          <w:p>
            <w:pPr>
              <w:spacing w:line="320" w:lineRule="exact"/>
              <w:rPr>
                <w:rFonts w:ascii="仿宋" w:hAnsi="仿宋" w:eastAsia="仿宋"/>
                <w:szCs w:val="21"/>
              </w:rPr>
            </w:pPr>
          </w:p>
        </w:tc>
        <w:tc>
          <w:tcPr>
            <w:tcW w:w="1176" w:type="dxa"/>
            <w:vMerge w:val="continue"/>
            <w:vAlign w:val="center"/>
          </w:tcPr>
          <w:p>
            <w:pPr>
              <w:widowControl/>
              <w:spacing w:line="320" w:lineRule="exact"/>
              <w:jc w:val="left"/>
              <w:rPr>
                <w:rFonts w:ascii="仿宋" w:hAnsi="仿宋" w:eastAsia="仿宋" w:cs="Courier New"/>
                <w:b/>
                <w:bCs/>
                <w:szCs w:val="21"/>
              </w:rPr>
            </w:pPr>
          </w:p>
        </w:tc>
        <w:tc>
          <w:tcPr>
            <w:tcW w:w="6012" w:type="dxa"/>
            <w:vAlign w:val="center"/>
          </w:tcPr>
          <w:p>
            <w:pPr>
              <w:widowControl/>
              <w:spacing w:line="320" w:lineRule="exact"/>
              <w:jc w:val="left"/>
              <w:rPr>
                <w:rFonts w:ascii="仿宋" w:hAnsi="仿宋" w:eastAsia="仿宋"/>
                <w:szCs w:val="21"/>
              </w:rPr>
            </w:pPr>
            <w:r>
              <w:rPr>
                <w:rFonts w:hint="eastAsia" w:ascii="仿宋" w:hAnsi="仿宋" w:eastAsia="仿宋"/>
                <w:szCs w:val="21"/>
              </w:rPr>
              <w:t>活动请假信息审核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200" w:type="dxa"/>
            <w:vMerge w:val="continue"/>
            <w:vAlign w:val="center"/>
          </w:tcPr>
          <w:p>
            <w:pPr>
              <w:spacing w:line="320" w:lineRule="exact"/>
              <w:rPr>
                <w:rFonts w:ascii="仿宋" w:hAnsi="仿宋" w:eastAsia="仿宋"/>
                <w:szCs w:val="21"/>
              </w:rPr>
            </w:pPr>
          </w:p>
        </w:tc>
        <w:tc>
          <w:tcPr>
            <w:tcW w:w="1176" w:type="dxa"/>
            <w:vMerge w:val="restart"/>
            <w:vAlign w:val="center"/>
          </w:tcPr>
          <w:p>
            <w:pPr>
              <w:widowControl/>
              <w:spacing w:line="320" w:lineRule="exact"/>
              <w:jc w:val="left"/>
              <w:rPr>
                <w:rFonts w:ascii="仿宋" w:hAnsi="仿宋" w:eastAsia="仿宋" w:cs="Courier New"/>
                <w:b/>
                <w:bCs/>
                <w:szCs w:val="21"/>
              </w:rPr>
            </w:pPr>
            <w:r>
              <w:rPr>
                <w:rFonts w:hint="eastAsia" w:ascii="仿宋" w:hAnsi="仿宋" w:eastAsia="仿宋"/>
                <w:szCs w:val="21"/>
              </w:rPr>
              <w:t>科室学员</w:t>
            </w:r>
          </w:p>
        </w:tc>
        <w:tc>
          <w:tcPr>
            <w:tcW w:w="6012" w:type="dxa"/>
            <w:vAlign w:val="center"/>
          </w:tcPr>
          <w:p>
            <w:pPr>
              <w:widowControl/>
              <w:spacing w:line="320" w:lineRule="exact"/>
              <w:jc w:val="left"/>
              <w:rPr>
                <w:rFonts w:ascii="仿宋" w:hAnsi="仿宋" w:eastAsia="仿宋"/>
                <w:szCs w:val="21"/>
              </w:rPr>
            </w:pPr>
            <w:r>
              <w:rPr>
                <w:rFonts w:hint="eastAsia" w:ascii="仿宋" w:hAnsi="仿宋" w:eastAsia="仿宋"/>
                <w:szCs w:val="21"/>
              </w:rPr>
              <w:t>值班信息审核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00" w:type="dxa"/>
            <w:vMerge w:val="continue"/>
            <w:vAlign w:val="center"/>
          </w:tcPr>
          <w:p>
            <w:pPr>
              <w:spacing w:line="320" w:lineRule="exact"/>
              <w:rPr>
                <w:rFonts w:ascii="仿宋" w:hAnsi="仿宋" w:eastAsia="仿宋"/>
                <w:szCs w:val="21"/>
              </w:rPr>
            </w:pPr>
          </w:p>
        </w:tc>
        <w:tc>
          <w:tcPr>
            <w:tcW w:w="1176" w:type="dxa"/>
            <w:vMerge w:val="continue"/>
            <w:vAlign w:val="center"/>
          </w:tcPr>
          <w:p>
            <w:pPr>
              <w:widowControl/>
              <w:spacing w:line="320" w:lineRule="exact"/>
              <w:rPr>
                <w:rFonts w:ascii="仿宋" w:hAnsi="仿宋" w:eastAsia="仿宋" w:cs="Courier New"/>
                <w:b/>
                <w:bCs/>
                <w:szCs w:val="21"/>
              </w:rPr>
            </w:pPr>
          </w:p>
        </w:tc>
        <w:tc>
          <w:tcPr>
            <w:tcW w:w="6012" w:type="dxa"/>
          </w:tcPr>
          <w:p>
            <w:pPr>
              <w:spacing w:line="320" w:lineRule="exact"/>
              <w:jc w:val="left"/>
              <w:rPr>
                <w:rFonts w:ascii="仿宋" w:hAnsi="仿宋" w:eastAsia="仿宋"/>
                <w:szCs w:val="21"/>
              </w:rPr>
            </w:pPr>
            <w:r>
              <w:rPr>
                <w:rFonts w:hint="eastAsia" w:ascii="仿宋" w:hAnsi="仿宋" w:eastAsia="仿宋"/>
                <w:szCs w:val="21"/>
              </w:rPr>
              <w:t>将学员类型分为待入科、轮转中、已出科等，可以搜索学员姓名，查看学员的基本情况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00" w:type="dxa"/>
            <w:vMerge w:val="continue"/>
            <w:vAlign w:val="center"/>
          </w:tcPr>
          <w:p>
            <w:pPr>
              <w:spacing w:line="320" w:lineRule="exact"/>
              <w:rPr>
                <w:rFonts w:ascii="仿宋" w:hAnsi="仿宋" w:eastAsia="仿宋"/>
                <w:szCs w:val="21"/>
              </w:rPr>
            </w:pPr>
          </w:p>
        </w:tc>
        <w:tc>
          <w:tcPr>
            <w:tcW w:w="1176" w:type="dxa"/>
            <w:vMerge w:val="continue"/>
            <w:vAlign w:val="center"/>
          </w:tcPr>
          <w:p>
            <w:pPr>
              <w:widowControl/>
              <w:spacing w:line="320" w:lineRule="exact"/>
              <w:rPr>
                <w:rFonts w:ascii="仿宋" w:hAnsi="仿宋" w:eastAsia="仿宋" w:cs="Courier New"/>
                <w:b/>
                <w:bCs/>
                <w:szCs w:val="21"/>
              </w:rPr>
            </w:pPr>
          </w:p>
        </w:tc>
        <w:tc>
          <w:tcPr>
            <w:tcW w:w="6012" w:type="dxa"/>
          </w:tcPr>
          <w:p>
            <w:pPr>
              <w:pStyle w:val="71"/>
              <w:spacing w:line="320" w:lineRule="exact"/>
              <w:ind w:left="0"/>
              <w:rPr>
                <w:rFonts w:ascii="仿宋" w:hAnsi="仿宋" w:eastAsia="仿宋"/>
                <w:sz w:val="21"/>
                <w:szCs w:val="21"/>
              </w:rPr>
            </w:pPr>
            <w:r>
              <w:rPr>
                <w:rFonts w:hint="eastAsia" w:ascii="仿宋" w:hAnsi="仿宋" w:eastAsia="仿宋"/>
                <w:sz w:val="21"/>
                <w:szCs w:val="21"/>
              </w:rPr>
              <w:t>支持科主任、带教老师、护理人员、患者、医学生等多种角色对学员进行360°测评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restart"/>
            <w:vAlign w:val="center"/>
          </w:tcPr>
          <w:p>
            <w:pPr>
              <w:widowControl/>
              <w:spacing w:line="320" w:lineRule="exact"/>
              <w:rPr>
                <w:rFonts w:ascii="仿宋" w:hAnsi="仿宋" w:eastAsia="仿宋"/>
                <w:szCs w:val="21"/>
              </w:rPr>
            </w:pPr>
            <w:r>
              <w:rPr>
                <w:rFonts w:hint="eastAsia" w:ascii="仿宋" w:hAnsi="仿宋" w:eastAsia="仿宋"/>
                <w:szCs w:val="21"/>
              </w:rPr>
              <w:t>基地学员</w:t>
            </w:r>
          </w:p>
        </w:tc>
        <w:tc>
          <w:tcPr>
            <w:tcW w:w="6012" w:type="dxa"/>
          </w:tcPr>
          <w:p>
            <w:pPr>
              <w:spacing w:line="320" w:lineRule="exact"/>
              <w:jc w:val="left"/>
              <w:rPr>
                <w:rFonts w:ascii="仿宋" w:hAnsi="仿宋" w:eastAsia="仿宋"/>
                <w:szCs w:val="21"/>
              </w:rPr>
            </w:pPr>
            <w:r>
              <w:rPr>
                <w:rFonts w:hint="eastAsia" w:ascii="仿宋" w:hAnsi="仿宋" w:eastAsia="仿宋"/>
                <w:szCs w:val="21"/>
              </w:rPr>
              <w:t>填写学员的出科成绩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continue"/>
            <w:vAlign w:val="center"/>
          </w:tcPr>
          <w:p>
            <w:pPr>
              <w:widowControl/>
              <w:spacing w:line="320" w:lineRule="exact"/>
              <w:rPr>
                <w:rFonts w:ascii="仿宋" w:hAnsi="仿宋" w:eastAsia="仿宋"/>
                <w:szCs w:val="21"/>
              </w:rPr>
            </w:pPr>
          </w:p>
        </w:tc>
        <w:tc>
          <w:tcPr>
            <w:tcW w:w="6012" w:type="dxa"/>
          </w:tcPr>
          <w:p>
            <w:pPr>
              <w:widowControl/>
              <w:spacing w:line="320" w:lineRule="exact"/>
              <w:jc w:val="left"/>
              <w:rPr>
                <w:rFonts w:ascii="仿宋" w:hAnsi="仿宋" w:eastAsia="仿宋"/>
                <w:szCs w:val="21"/>
              </w:rPr>
            </w:pPr>
            <w:r>
              <w:rPr>
                <w:rFonts w:hint="eastAsia" w:ascii="仿宋" w:hAnsi="仿宋" w:eastAsia="仿宋"/>
                <w:szCs w:val="21"/>
              </w:rPr>
              <w:t>查看学员的测评雷达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continue"/>
            <w:vAlign w:val="center"/>
          </w:tcPr>
          <w:p>
            <w:pPr>
              <w:widowControl/>
              <w:spacing w:line="320" w:lineRule="exact"/>
              <w:rPr>
                <w:rFonts w:ascii="仿宋" w:hAnsi="仿宋" w:eastAsia="仿宋"/>
                <w:szCs w:val="21"/>
              </w:rPr>
            </w:pPr>
          </w:p>
        </w:tc>
        <w:tc>
          <w:tcPr>
            <w:tcW w:w="6012" w:type="dxa"/>
          </w:tcPr>
          <w:p>
            <w:pPr>
              <w:widowControl/>
              <w:spacing w:line="320" w:lineRule="exact"/>
              <w:jc w:val="left"/>
              <w:rPr>
                <w:rFonts w:ascii="仿宋" w:hAnsi="仿宋" w:eastAsia="仿宋"/>
                <w:szCs w:val="21"/>
              </w:rPr>
            </w:pPr>
            <w:r>
              <w:rPr>
                <w:rFonts w:hint="eastAsia" w:ascii="仿宋" w:hAnsi="仿宋" w:eastAsia="仿宋"/>
                <w:szCs w:val="21"/>
              </w:rPr>
              <w:t>查看专业基地学员的信息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00" w:type="dxa"/>
            <w:vMerge w:val="continue"/>
            <w:vAlign w:val="center"/>
          </w:tcPr>
          <w:p>
            <w:pPr>
              <w:widowControl/>
              <w:spacing w:line="320" w:lineRule="exact"/>
              <w:rPr>
                <w:rFonts w:ascii="仿宋" w:hAnsi="仿宋" w:eastAsia="仿宋"/>
                <w:szCs w:val="21"/>
              </w:rPr>
            </w:pPr>
          </w:p>
        </w:tc>
        <w:tc>
          <w:tcPr>
            <w:tcW w:w="1176" w:type="dxa"/>
            <w:vAlign w:val="center"/>
          </w:tcPr>
          <w:p>
            <w:pPr>
              <w:widowControl/>
              <w:spacing w:line="320" w:lineRule="exact"/>
              <w:jc w:val="left"/>
              <w:rPr>
                <w:rFonts w:ascii="仿宋" w:hAnsi="仿宋" w:eastAsia="仿宋"/>
                <w:szCs w:val="21"/>
              </w:rPr>
            </w:pPr>
            <w:r>
              <w:rPr>
                <w:rFonts w:hint="eastAsia" w:ascii="仿宋" w:hAnsi="仿宋" w:eastAsia="仿宋"/>
                <w:szCs w:val="21"/>
              </w:rPr>
              <w:t>基地教员</w:t>
            </w:r>
          </w:p>
        </w:tc>
        <w:tc>
          <w:tcPr>
            <w:tcW w:w="6012" w:type="dxa"/>
          </w:tcPr>
          <w:p>
            <w:pPr>
              <w:widowControl/>
              <w:spacing w:line="320" w:lineRule="exact"/>
              <w:jc w:val="left"/>
              <w:rPr>
                <w:rFonts w:ascii="仿宋" w:hAnsi="仿宋" w:eastAsia="仿宋"/>
                <w:szCs w:val="21"/>
              </w:rPr>
            </w:pPr>
            <w:r>
              <w:rPr>
                <w:rFonts w:hint="eastAsia" w:ascii="仿宋" w:hAnsi="仿宋" w:eastAsia="仿宋"/>
                <w:szCs w:val="21"/>
              </w:rPr>
              <w:t>查看专业基地教员的信息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00" w:type="dxa"/>
            <w:vMerge w:val="continue"/>
            <w:vAlign w:val="center"/>
          </w:tcPr>
          <w:p>
            <w:pPr>
              <w:widowControl/>
              <w:spacing w:line="320" w:lineRule="exact"/>
              <w:rPr>
                <w:rFonts w:ascii="仿宋" w:hAnsi="仿宋" w:eastAsia="仿宋"/>
                <w:szCs w:val="21"/>
              </w:rPr>
            </w:pPr>
          </w:p>
        </w:tc>
        <w:tc>
          <w:tcPr>
            <w:tcW w:w="1176" w:type="dxa"/>
            <w:vAlign w:val="center"/>
          </w:tcPr>
          <w:p>
            <w:pPr>
              <w:widowControl/>
              <w:spacing w:line="320" w:lineRule="exact"/>
              <w:rPr>
                <w:rFonts w:ascii="仿宋" w:hAnsi="仿宋" w:eastAsia="仿宋"/>
                <w:szCs w:val="21"/>
              </w:rPr>
            </w:pPr>
            <w:r>
              <w:rPr>
                <w:rFonts w:hint="eastAsia" w:ascii="仿宋" w:hAnsi="仿宋" w:eastAsia="仿宋"/>
                <w:szCs w:val="21"/>
              </w:rPr>
              <w:t>指定教师</w:t>
            </w:r>
          </w:p>
        </w:tc>
        <w:tc>
          <w:tcPr>
            <w:tcW w:w="6012" w:type="dxa"/>
          </w:tcPr>
          <w:p>
            <w:pPr>
              <w:widowControl/>
              <w:spacing w:line="320" w:lineRule="exact"/>
              <w:jc w:val="left"/>
              <w:rPr>
                <w:rFonts w:ascii="仿宋" w:hAnsi="仿宋" w:eastAsia="仿宋"/>
                <w:szCs w:val="21"/>
              </w:rPr>
            </w:pPr>
            <w:r>
              <w:rPr>
                <w:rFonts w:hint="eastAsia" w:ascii="仿宋" w:hAnsi="仿宋" w:eastAsia="仿宋"/>
                <w:szCs w:val="21"/>
              </w:rPr>
              <w:t>给学员指定带教老师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200" w:type="dxa"/>
            <w:vMerge w:val="continue"/>
            <w:vAlign w:val="center"/>
          </w:tcPr>
          <w:p>
            <w:pPr>
              <w:widowControl/>
              <w:spacing w:line="320" w:lineRule="exact"/>
              <w:rPr>
                <w:rFonts w:ascii="仿宋" w:hAnsi="仿宋" w:eastAsia="仿宋"/>
                <w:szCs w:val="21"/>
              </w:rPr>
            </w:pPr>
          </w:p>
        </w:tc>
        <w:tc>
          <w:tcPr>
            <w:tcW w:w="1176" w:type="dxa"/>
            <w:vAlign w:val="center"/>
          </w:tcPr>
          <w:p>
            <w:pPr>
              <w:widowControl/>
              <w:spacing w:line="320" w:lineRule="exact"/>
              <w:rPr>
                <w:rFonts w:ascii="仿宋" w:hAnsi="仿宋" w:eastAsia="仿宋"/>
                <w:szCs w:val="21"/>
                <w:highlight w:val="yellow"/>
              </w:rPr>
            </w:pPr>
            <w:r>
              <w:rPr>
                <w:rFonts w:hint="eastAsia" w:ascii="仿宋" w:hAnsi="仿宋" w:eastAsia="仿宋" w:cs="Courier New"/>
                <w:szCs w:val="21"/>
              </w:rPr>
              <w:t>教学活动</w:t>
            </w:r>
          </w:p>
        </w:tc>
        <w:tc>
          <w:tcPr>
            <w:tcW w:w="6012" w:type="dxa"/>
          </w:tcPr>
          <w:p>
            <w:pPr>
              <w:spacing w:line="320" w:lineRule="exact"/>
              <w:jc w:val="left"/>
              <w:rPr>
                <w:rFonts w:ascii="仿宋" w:hAnsi="仿宋" w:eastAsia="仿宋"/>
                <w:szCs w:val="21"/>
                <w:highlight w:val="yellow"/>
              </w:rPr>
            </w:pPr>
            <w:r>
              <w:rPr>
                <w:rFonts w:hint="eastAsia" w:ascii="仿宋" w:hAnsi="仿宋" w:eastAsia="仿宋"/>
                <w:szCs w:val="21"/>
              </w:rPr>
              <w:t>创建教学活动以及活动二维码，可创建的类型包括全院级、专业基地级、科室级的岗前培训、理论授课、小讲课、教学查房等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200" w:type="dxa"/>
            <w:vMerge w:val="continue"/>
            <w:vAlign w:val="center"/>
          </w:tcPr>
          <w:p>
            <w:pPr>
              <w:widowControl/>
              <w:spacing w:line="320" w:lineRule="exact"/>
              <w:rPr>
                <w:rFonts w:ascii="仿宋" w:hAnsi="仿宋" w:eastAsia="仿宋"/>
                <w:szCs w:val="21"/>
              </w:rPr>
            </w:pPr>
          </w:p>
        </w:tc>
        <w:tc>
          <w:tcPr>
            <w:tcW w:w="1176" w:type="dxa"/>
            <w:vAlign w:val="center"/>
          </w:tcPr>
          <w:p>
            <w:pPr>
              <w:widowControl/>
              <w:spacing w:line="320" w:lineRule="exact"/>
              <w:rPr>
                <w:rFonts w:ascii="仿宋" w:hAnsi="仿宋" w:eastAsia="仿宋"/>
                <w:szCs w:val="21"/>
              </w:rPr>
            </w:pPr>
          </w:p>
        </w:tc>
        <w:tc>
          <w:tcPr>
            <w:tcW w:w="6012" w:type="dxa"/>
          </w:tcPr>
          <w:p>
            <w:pPr>
              <w:spacing w:line="320" w:lineRule="exact"/>
              <w:jc w:val="left"/>
              <w:rPr>
                <w:rFonts w:ascii="仿宋" w:hAnsi="仿宋" w:eastAsia="仿宋"/>
                <w:szCs w:val="21"/>
              </w:rPr>
            </w:pPr>
            <w:r>
              <w:rPr>
                <w:rFonts w:hint="eastAsia" w:ascii="仿宋" w:hAnsi="仿宋" w:eastAsia="仿宋"/>
                <w:szCs w:val="21"/>
              </w:rPr>
              <w:t>活动扫码：通过扫描动态二维码的方式进行活动签到，包括病例讨论、教学查房、临床操作指导、理论授课等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restart"/>
            <w:vAlign w:val="center"/>
          </w:tcPr>
          <w:p>
            <w:pPr>
              <w:widowControl/>
              <w:spacing w:line="320" w:lineRule="exact"/>
              <w:rPr>
                <w:rFonts w:ascii="仿宋" w:hAnsi="仿宋" w:eastAsia="仿宋" w:cs="Courier New"/>
                <w:szCs w:val="21"/>
              </w:rPr>
            </w:pPr>
            <w:r>
              <w:rPr>
                <w:rFonts w:hint="eastAsia" w:ascii="仿宋" w:hAnsi="仿宋" w:eastAsia="仿宋" w:cs="Courier New"/>
                <w:szCs w:val="21"/>
              </w:rPr>
              <w:t>我的</w:t>
            </w:r>
          </w:p>
        </w:tc>
        <w:tc>
          <w:tcPr>
            <w:tcW w:w="6012" w:type="dxa"/>
          </w:tcPr>
          <w:p>
            <w:pPr>
              <w:spacing w:line="320" w:lineRule="exact"/>
              <w:jc w:val="left"/>
              <w:rPr>
                <w:rFonts w:ascii="仿宋" w:hAnsi="仿宋" w:eastAsia="仿宋"/>
                <w:szCs w:val="21"/>
              </w:rPr>
            </w:pPr>
            <w:r>
              <w:rPr>
                <w:rFonts w:hint="eastAsia" w:ascii="仿宋" w:hAnsi="仿宋" w:eastAsia="仿宋"/>
                <w:szCs w:val="21"/>
              </w:rPr>
              <w:t>活动报名：可通过扫码的方式，参加其他科室的活动，并记录在参会人员名册中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continue"/>
            <w:vAlign w:val="center"/>
          </w:tcPr>
          <w:p>
            <w:pPr>
              <w:widowControl/>
              <w:spacing w:line="320" w:lineRule="exact"/>
              <w:rPr>
                <w:rFonts w:ascii="仿宋" w:hAnsi="仿宋" w:eastAsia="仿宋" w:cs="Courier New"/>
                <w:szCs w:val="21"/>
              </w:rPr>
            </w:pPr>
          </w:p>
        </w:tc>
        <w:tc>
          <w:tcPr>
            <w:tcW w:w="6012" w:type="dxa"/>
          </w:tcPr>
          <w:p>
            <w:pPr>
              <w:spacing w:line="320" w:lineRule="exact"/>
              <w:jc w:val="left"/>
              <w:rPr>
                <w:rFonts w:ascii="仿宋" w:hAnsi="仿宋" w:eastAsia="仿宋"/>
                <w:szCs w:val="21"/>
              </w:rPr>
            </w:pPr>
            <w:r>
              <w:rPr>
                <w:rFonts w:hint="eastAsia" w:ascii="仿宋" w:hAnsi="仿宋" w:eastAsia="仿宋"/>
                <w:szCs w:val="21"/>
              </w:rPr>
              <w:t>查看自己参加过的教学活动列表，并且可对活动进行评价、上传活动照片、查看课件等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continue"/>
            <w:vAlign w:val="center"/>
          </w:tcPr>
          <w:p>
            <w:pPr>
              <w:widowControl/>
              <w:spacing w:line="320" w:lineRule="exact"/>
              <w:rPr>
                <w:rFonts w:ascii="仿宋" w:hAnsi="仿宋" w:eastAsia="仿宋" w:cs="Courier New"/>
                <w:szCs w:val="21"/>
              </w:rPr>
            </w:pPr>
          </w:p>
        </w:tc>
        <w:tc>
          <w:tcPr>
            <w:tcW w:w="6012" w:type="dxa"/>
          </w:tcPr>
          <w:p>
            <w:pPr>
              <w:spacing w:line="320" w:lineRule="exact"/>
              <w:jc w:val="left"/>
              <w:rPr>
                <w:rFonts w:ascii="仿宋" w:hAnsi="仿宋" w:eastAsia="仿宋"/>
                <w:szCs w:val="21"/>
              </w:rPr>
            </w:pPr>
            <w:r>
              <w:rPr>
                <w:rFonts w:hint="eastAsia" w:ascii="仿宋" w:hAnsi="仿宋" w:eastAsia="仿宋"/>
                <w:szCs w:val="21"/>
              </w:rPr>
              <w:t>参会人员名单：查询该活动的签到人员、请假人员等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continue"/>
            <w:vAlign w:val="center"/>
          </w:tcPr>
          <w:p>
            <w:pPr>
              <w:widowControl/>
              <w:spacing w:line="320" w:lineRule="exact"/>
              <w:rPr>
                <w:rFonts w:ascii="仿宋" w:hAnsi="仿宋" w:eastAsia="仿宋" w:cs="Courier New"/>
                <w:szCs w:val="21"/>
              </w:rPr>
            </w:pPr>
          </w:p>
        </w:tc>
        <w:tc>
          <w:tcPr>
            <w:tcW w:w="6012" w:type="dxa"/>
          </w:tcPr>
          <w:p>
            <w:pPr>
              <w:pStyle w:val="71"/>
              <w:spacing w:line="320" w:lineRule="exact"/>
              <w:ind w:left="0"/>
              <w:rPr>
                <w:rFonts w:ascii="仿宋" w:hAnsi="仿宋" w:eastAsia="仿宋"/>
                <w:sz w:val="21"/>
                <w:szCs w:val="21"/>
              </w:rPr>
            </w:pPr>
            <w:r>
              <w:rPr>
                <w:rFonts w:hint="eastAsia" w:ascii="仿宋" w:hAnsi="仿宋" w:eastAsia="仿宋"/>
                <w:sz w:val="21"/>
                <w:szCs w:val="21"/>
              </w:rPr>
              <w:t>支持按计划完成教学活动后递交管理后台；未按照计划完成教学活动系统会提醒专业基地或承担科室，并在管理后台显示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continue"/>
            <w:vAlign w:val="center"/>
          </w:tcPr>
          <w:p>
            <w:pPr>
              <w:widowControl/>
              <w:spacing w:line="320" w:lineRule="exact"/>
              <w:rPr>
                <w:rFonts w:ascii="仿宋" w:hAnsi="仿宋" w:eastAsia="仿宋" w:cs="Courier New"/>
                <w:szCs w:val="21"/>
              </w:rPr>
            </w:pPr>
          </w:p>
        </w:tc>
        <w:tc>
          <w:tcPr>
            <w:tcW w:w="6012" w:type="dxa"/>
          </w:tcPr>
          <w:p>
            <w:pPr>
              <w:spacing w:line="320" w:lineRule="exact"/>
              <w:jc w:val="left"/>
              <w:rPr>
                <w:rFonts w:ascii="仿宋" w:hAnsi="仿宋" w:eastAsia="仿宋"/>
                <w:szCs w:val="21"/>
              </w:rPr>
            </w:pPr>
            <w:r>
              <w:rPr>
                <w:rFonts w:hint="eastAsia" w:ascii="仿宋" w:hAnsi="仿宋" w:eastAsia="仿宋"/>
                <w:szCs w:val="21"/>
              </w:rPr>
              <w:t>对个人信息进行编辑，包括工号、手机短号、银行卡号、学历、邮箱、执业医师编号、工作单位等。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continue"/>
            <w:vAlign w:val="center"/>
          </w:tcPr>
          <w:p>
            <w:pPr>
              <w:widowControl/>
              <w:spacing w:line="320" w:lineRule="exact"/>
              <w:rPr>
                <w:rFonts w:ascii="仿宋" w:hAnsi="仿宋" w:eastAsia="仿宋" w:cs="Courier New"/>
                <w:szCs w:val="21"/>
              </w:rPr>
            </w:pPr>
          </w:p>
        </w:tc>
        <w:tc>
          <w:tcPr>
            <w:tcW w:w="6012" w:type="dxa"/>
          </w:tcPr>
          <w:p>
            <w:pPr>
              <w:spacing w:line="320" w:lineRule="exact"/>
              <w:jc w:val="left"/>
              <w:rPr>
                <w:rFonts w:ascii="仿宋" w:hAnsi="仿宋" w:eastAsia="仿宋"/>
                <w:szCs w:val="21"/>
              </w:rPr>
            </w:pPr>
            <w:r>
              <w:rPr>
                <w:rFonts w:hint="eastAsia" w:ascii="仿宋" w:hAnsi="仿宋" w:eastAsia="仿宋"/>
                <w:szCs w:val="21"/>
              </w:rPr>
              <w:t>个人评价雷达图、360°测评排名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restart"/>
            <w:vAlign w:val="center"/>
          </w:tcPr>
          <w:p>
            <w:pPr>
              <w:widowControl/>
              <w:spacing w:line="320" w:lineRule="exact"/>
              <w:rPr>
                <w:rFonts w:ascii="仿宋" w:hAnsi="仿宋" w:eastAsia="仿宋" w:cs="Courier New"/>
                <w:szCs w:val="21"/>
              </w:rPr>
            </w:pPr>
          </w:p>
        </w:tc>
        <w:tc>
          <w:tcPr>
            <w:tcW w:w="6012" w:type="dxa"/>
          </w:tcPr>
          <w:p>
            <w:pPr>
              <w:spacing w:line="320" w:lineRule="exact"/>
              <w:jc w:val="left"/>
              <w:rPr>
                <w:rFonts w:ascii="仿宋" w:hAnsi="仿宋" w:eastAsia="仿宋"/>
                <w:szCs w:val="21"/>
              </w:rPr>
            </w:pPr>
            <w:r>
              <w:rPr>
                <w:rFonts w:hint="eastAsia" w:ascii="仿宋" w:hAnsi="仿宋" w:eastAsia="仿宋"/>
                <w:szCs w:val="21"/>
              </w:rPr>
              <w:t>上传证件照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continue"/>
            <w:vAlign w:val="center"/>
          </w:tcPr>
          <w:p>
            <w:pPr>
              <w:widowControl/>
              <w:spacing w:line="320" w:lineRule="exact"/>
              <w:rPr>
                <w:rFonts w:ascii="仿宋" w:hAnsi="仿宋" w:eastAsia="仿宋" w:cs="Courier New"/>
                <w:szCs w:val="21"/>
              </w:rPr>
            </w:pPr>
          </w:p>
        </w:tc>
        <w:tc>
          <w:tcPr>
            <w:tcW w:w="6012" w:type="dxa"/>
          </w:tcPr>
          <w:p>
            <w:pPr>
              <w:spacing w:line="320" w:lineRule="exact"/>
              <w:jc w:val="left"/>
              <w:rPr>
                <w:rFonts w:ascii="仿宋" w:hAnsi="仿宋" w:eastAsia="仿宋"/>
                <w:szCs w:val="21"/>
              </w:rPr>
            </w:pPr>
            <w:r>
              <w:rPr>
                <w:rFonts w:hint="eastAsia" w:ascii="仿宋" w:hAnsi="仿宋" w:eastAsia="仿宋"/>
                <w:szCs w:val="21"/>
              </w:rPr>
              <w:t>上传或在小程序端手动绘制个人签名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200" w:type="dxa"/>
            <w:vMerge w:val="continue"/>
            <w:vAlign w:val="center"/>
          </w:tcPr>
          <w:p>
            <w:pPr>
              <w:widowControl/>
              <w:spacing w:line="320" w:lineRule="exact"/>
              <w:rPr>
                <w:rFonts w:ascii="仿宋" w:hAnsi="仿宋" w:eastAsia="仿宋"/>
                <w:szCs w:val="21"/>
              </w:rPr>
            </w:pPr>
          </w:p>
        </w:tc>
        <w:tc>
          <w:tcPr>
            <w:tcW w:w="1176" w:type="dxa"/>
            <w:vMerge w:val="continue"/>
            <w:vAlign w:val="center"/>
          </w:tcPr>
          <w:p>
            <w:pPr>
              <w:widowControl/>
              <w:spacing w:line="320" w:lineRule="exact"/>
              <w:rPr>
                <w:rFonts w:ascii="仿宋" w:hAnsi="仿宋" w:eastAsia="仿宋" w:cs="Courier New"/>
                <w:szCs w:val="21"/>
              </w:rPr>
            </w:pPr>
          </w:p>
        </w:tc>
        <w:tc>
          <w:tcPr>
            <w:tcW w:w="6012" w:type="dxa"/>
          </w:tcPr>
          <w:p>
            <w:pPr>
              <w:spacing w:line="320" w:lineRule="exact"/>
              <w:jc w:val="left"/>
              <w:rPr>
                <w:rFonts w:ascii="仿宋" w:hAnsi="仿宋" w:eastAsia="仿宋"/>
                <w:szCs w:val="21"/>
              </w:rPr>
            </w:pPr>
            <w:r>
              <w:rPr>
                <w:rFonts w:hint="eastAsia" w:ascii="仿宋" w:hAnsi="仿宋" w:eastAsia="仿宋"/>
                <w:szCs w:val="21"/>
              </w:rPr>
              <w:t>申请变更当前科室，管理员可在后台审核</w:t>
            </w:r>
          </w:p>
        </w:tc>
      </w:tr>
    </w:tbl>
    <w:p>
      <w:pPr>
        <w:pStyle w:val="34"/>
        <w:numPr>
          <w:ilvl w:val="0"/>
          <w:numId w:val="9"/>
        </w:numPr>
        <w:spacing w:before="60" w:beforeAutospacing="0" w:after="0" w:afterAutospacing="0" w:line="336" w:lineRule="atLeast"/>
        <w:rPr>
          <w:rFonts w:ascii="宋体" w:hAnsi="宋体" w:cs="宋体"/>
          <w:sz w:val="28"/>
          <w:szCs w:val="28"/>
          <w:shd w:val="clear" w:color="auto" w:fill="FFFFFF"/>
        </w:rPr>
      </w:pPr>
      <w:r>
        <w:rPr>
          <w:rFonts w:hint="eastAsia" w:ascii="宋体" w:hAnsi="宋体" w:cs="Courier New"/>
          <w:sz w:val="28"/>
          <w:szCs w:val="28"/>
        </w:rPr>
        <w:t>科研项目管理系统功能清单</w:t>
      </w:r>
    </w:p>
    <w:tbl>
      <w:tblPr>
        <w:tblStyle w:val="39"/>
        <w:tblW w:w="8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7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232" w:type="dxa"/>
            <w:shd w:val="clear" w:color="auto" w:fill="D8D8D8"/>
            <w:vAlign w:val="center"/>
          </w:tcPr>
          <w:p>
            <w:pPr>
              <w:widowControl/>
              <w:jc w:val="left"/>
              <w:rPr>
                <w:rFonts w:ascii="仿宋" w:hAnsi="仿宋" w:eastAsia="仿宋" w:cs="Courier New"/>
                <w:szCs w:val="21"/>
              </w:rPr>
            </w:pPr>
            <w:r>
              <w:rPr>
                <w:rFonts w:hint="eastAsia" w:ascii="仿宋" w:hAnsi="仿宋" w:eastAsia="仿宋" w:cs="Courier New"/>
                <w:szCs w:val="21"/>
              </w:rPr>
              <w:t>功能模块</w:t>
            </w:r>
          </w:p>
        </w:tc>
        <w:tc>
          <w:tcPr>
            <w:tcW w:w="7171" w:type="dxa"/>
            <w:shd w:val="clear" w:color="auto" w:fill="D8D8D8"/>
            <w:vAlign w:val="center"/>
          </w:tcPr>
          <w:p>
            <w:pPr>
              <w:widowControl/>
              <w:jc w:val="left"/>
              <w:rPr>
                <w:rFonts w:ascii="仿宋" w:hAnsi="仿宋" w:eastAsia="仿宋" w:cs="Courier New"/>
                <w:szCs w:val="21"/>
              </w:rPr>
            </w:pPr>
            <w:r>
              <w:rPr>
                <w:rFonts w:hint="eastAsia" w:ascii="仿宋" w:hAnsi="仿宋" w:eastAsia="仿宋" w:cs="Courier New"/>
                <w:szCs w:val="21"/>
              </w:rPr>
              <w:t xml:space="preserve">功能介绍明细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232" w:type="dxa"/>
            <w:vMerge w:val="restart"/>
            <w:vAlign w:val="center"/>
          </w:tcPr>
          <w:p>
            <w:pPr>
              <w:widowControl/>
              <w:spacing w:line="320" w:lineRule="exact"/>
              <w:jc w:val="left"/>
              <w:rPr>
                <w:rFonts w:ascii="仿宋" w:hAnsi="仿宋" w:eastAsia="仿宋" w:cs="Courier New"/>
                <w:szCs w:val="21"/>
              </w:rPr>
            </w:pPr>
            <w:r>
              <w:rPr>
                <w:rFonts w:hint="eastAsia" w:ascii="仿宋" w:hAnsi="仿宋" w:eastAsia="仿宋" w:cs="Courier New"/>
                <w:szCs w:val="21"/>
              </w:rPr>
              <w:t>项目管理</w:t>
            </w:r>
          </w:p>
        </w:tc>
        <w:tc>
          <w:tcPr>
            <w:tcW w:w="7171" w:type="dxa"/>
            <w:vAlign w:val="center"/>
          </w:tcPr>
          <w:p>
            <w:pPr>
              <w:snapToGrid w:val="0"/>
              <w:jc w:val="left"/>
              <w:rPr>
                <w:rFonts w:ascii="仿宋" w:hAnsi="仿宋" w:eastAsia="仿宋"/>
                <w:bCs/>
                <w:szCs w:val="21"/>
              </w:rPr>
            </w:pPr>
            <w:r>
              <w:rPr>
                <w:rFonts w:hint="eastAsia" w:ascii="仿宋" w:hAnsi="仿宋" w:eastAsia="仿宋"/>
                <w:bCs/>
                <w:szCs w:val="21"/>
              </w:rPr>
              <w:t>项目申报预申报管理</w:t>
            </w:r>
          </w:p>
          <w:p>
            <w:pPr>
              <w:snapToGrid w:val="0"/>
              <w:jc w:val="left"/>
              <w:rPr>
                <w:rFonts w:ascii="仿宋" w:hAnsi="仿宋" w:eastAsia="仿宋"/>
                <w:bCs/>
                <w:szCs w:val="21"/>
              </w:rPr>
            </w:pPr>
            <w:r>
              <w:rPr>
                <w:rFonts w:hint="eastAsia" w:ascii="仿宋" w:hAnsi="仿宋" w:eastAsia="仿宋"/>
                <w:bCs/>
                <w:szCs w:val="21"/>
              </w:rPr>
              <w:t>项目申报指南：对项目申报指南的下载预览，项目申报指南的查询管理，按照项目类别，指南名称进行指南查询;</w:t>
            </w:r>
          </w:p>
          <w:p>
            <w:pPr>
              <w:snapToGrid w:val="0"/>
              <w:jc w:val="left"/>
              <w:rPr>
                <w:rFonts w:ascii="仿宋" w:hAnsi="仿宋" w:eastAsia="仿宋"/>
                <w:bCs/>
                <w:szCs w:val="21"/>
              </w:rPr>
            </w:pPr>
            <w:r>
              <w:rPr>
                <w:rFonts w:hint="eastAsia" w:ascii="仿宋" w:hAnsi="仿宋" w:eastAsia="仿宋"/>
                <w:bCs/>
                <w:szCs w:val="21"/>
              </w:rPr>
              <w:t>项目申报入口</w:t>
            </w:r>
            <w:r>
              <w:rPr>
                <w:rFonts w:hint="eastAsia" w:ascii="仿宋" w:hAnsi="仿宋" w:eastAsia="仿宋"/>
                <w:bCs/>
                <w:szCs w:val="21"/>
              </w:rPr>
              <w:tab/>
            </w:r>
            <w:r>
              <w:rPr>
                <w:rFonts w:hint="eastAsia" w:ascii="仿宋" w:hAnsi="仿宋" w:eastAsia="仿宋"/>
                <w:bCs/>
                <w:szCs w:val="21"/>
              </w:rPr>
              <w:t>:所有项目计划列表，标注申报开放和申报结束状态，申报开放的项目可直接点击进行项目申报，并查看申报注意事项;</w:t>
            </w:r>
          </w:p>
          <w:p>
            <w:pPr>
              <w:snapToGrid w:val="0"/>
              <w:jc w:val="left"/>
              <w:rPr>
                <w:rFonts w:ascii="仿宋" w:hAnsi="仿宋" w:eastAsia="仿宋"/>
                <w:bCs/>
                <w:szCs w:val="21"/>
              </w:rPr>
            </w:pPr>
            <w:r>
              <w:rPr>
                <w:rFonts w:hint="eastAsia" w:ascii="仿宋" w:hAnsi="仿宋" w:eastAsia="仿宋"/>
                <w:bCs/>
                <w:szCs w:val="21"/>
              </w:rPr>
              <w:t>项目申报页面:填写项目基本信息，经费预算情况，承担单位信息，项目组成员信息，项目基本情况，现有工作基础，计划进度，可行性报告，支持常用格式的附件上传。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232" w:type="dxa"/>
            <w:vMerge w:val="continue"/>
            <w:vAlign w:val="center"/>
          </w:tcPr>
          <w:p>
            <w:pPr>
              <w:widowControl/>
              <w:spacing w:line="320" w:lineRule="exact"/>
              <w:jc w:val="left"/>
              <w:rPr>
                <w:rFonts w:ascii="仿宋" w:hAnsi="仿宋" w:eastAsia="仿宋"/>
                <w:bCs/>
                <w:szCs w:val="21"/>
              </w:rPr>
            </w:pPr>
          </w:p>
        </w:tc>
        <w:tc>
          <w:tcPr>
            <w:tcW w:w="7171" w:type="dxa"/>
            <w:vAlign w:val="center"/>
          </w:tcPr>
          <w:p>
            <w:pPr>
              <w:snapToGrid w:val="0"/>
              <w:jc w:val="left"/>
              <w:rPr>
                <w:rFonts w:ascii="仿宋" w:hAnsi="仿宋" w:eastAsia="仿宋"/>
                <w:bCs/>
                <w:szCs w:val="21"/>
              </w:rPr>
            </w:pPr>
            <w:r>
              <w:rPr>
                <w:rFonts w:hint="eastAsia" w:ascii="仿宋" w:hAnsi="仿宋" w:eastAsia="仿宋"/>
                <w:bCs/>
                <w:szCs w:val="21"/>
              </w:rPr>
              <w:t>项目评审</w:t>
            </w:r>
          </w:p>
          <w:p>
            <w:pPr>
              <w:snapToGrid w:val="0"/>
              <w:jc w:val="left"/>
              <w:rPr>
                <w:rFonts w:ascii="仿宋" w:hAnsi="仿宋" w:eastAsia="仿宋"/>
                <w:bCs/>
                <w:szCs w:val="21"/>
              </w:rPr>
            </w:pPr>
            <w:r>
              <w:rPr>
                <w:rFonts w:hint="eastAsia" w:ascii="仿宋" w:hAnsi="仿宋" w:eastAsia="仿宋"/>
                <w:bCs/>
                <w:szCs w:val="21"/>
              </w:rPr>
              <w:t>提交和评审全过程。包括项目的填报、形式审查、院内专家评审、院外专家评审、意见反馈等。</w:t>
            </w:r>
          </w:p>
          <w:p>
            <w:pPr>
              <w:snapToGrid w:val="0"/>
              <w:jc w:val="left"/>
              <w:rPr>
                <w:rFonts w:ascii="仿宋" w:hAnsi="仿宋" w:eastAsia="仿宋"/>
                <w:bCs/>
                <w:szCs w:val="21"/>
              </w:rPr>
            </w:pPr>
            <w:r>
              <w:rPr>
                <w:rFonts w:hint="eastAsia" w:ascii="仿宋" w:hAnsi="仿宋" w:eastAsia="仿宋"/>
                <w:bCs/>
                <w:szCs w:val="21"/>
              </w:rPr>
              <w:t>管理员可为课题项目分配学术评审专家、伦理评审专家，专家在线评分。院外专家也可以使用账号电脑（手机）登录系统进行评分和意见反馈。</w:t>
            </w:r>
          </w:p>
          <w:p>
            <w:pPr>
              <w:snapToGrid w:val="0"/>
              <w:jc w:val="left"/>
              <w:rPr>
                <w:rFonts w:ascii="仿宋" w:hAnsi="仿宋" w:eastAsia="仿宋"/>
                <w:bCs/>
                <w:szCs w:val="21"/>
              </w:rPr>
            </w:pPr>
            <w:r>
              <w:rPr>
                <w:rFonts w:hint="eastAsia" w:ascii="仿宋" w:hAnsi="仿宋" w:eastAsia="仿宋"/>
                <w:bCs/>
                <w:szCs w:val="21"/>
              </w:rPr>
              <w:t>管理员可对项目进行终审并反馈审核结果给项目负责任人查看。</w:t>
            </w:r>
          </w:p>
          <w:p>
            <w:pPr>
              <w:snapToGrid w:val="0"/>
              <w:jc w:val="left"/>
              <w:rPr>
                <w:rFonts w:ascii="仿宋" w:hAnsi="仿宋" w:eastAsia="仿宋"/>
                <w:szCs w:val="21"/>
              </w:rPr>
            </w:pPr>
            <w:r>
              <w:rPr>
                <w:rFonts w:hint="eastAsia" w:ascii="仿宋" w:hAnsi="仿宋" w:eastAsia="仿宋"/>
                <w:bCs/>
                <w:szCs w:val="21"/>
              </w:rPr>
              <w:t>根据用户权限提供按照课题项目名称、项目类型、申请人、科室、时间、评审结果等方式进行查询；申请项目的用户可查看申请项目的评审状态、结果。待所有内容审核通过，则点击“通过立项”，则项目立项成功，进入过程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1232" w:type="dxa"/>
            <w:vMerge w:val="continue"/>
            <w:vAlign w:val="center"/>
          </w:tcPr>
          <w:p>
            <w:pPr>
              <w:widowControl/>
              <w:spacing w:line="320" w:lineRule="exact"/>
              <w:jc w:val="left"/>
              <w:rPr>
                <w:rFonts w:ascii="仿宋" w:hAnsi="仿宋" w:eastAsia="仿宋"/>
                <w:bCs/>
                <w:szCs w:val="21"/>
              </w:rPr>
            </w:pPr>
          </w:p>
        </w:tc>
        <w:tc>
          <w:tcPr>
            <w:tcW w:w="7171" w:type="dxa"/>
            <w:vAlign w:val="center"/>
          </w:tcPr>
          <w:p>
            <w:pPr>
              <w:snapToGrid w:val="0"/>
              <w:jc w:val="left"/>
              <w:rPr>
                <w:rFonts w:ascii="仿宋" w:hAnsi="仿宋" w:eastAsia="仿宋"/>
                <w:bCs/>
                <w:szCs w:val="21"/>
              </w:rPr>
            </w:pPr>
            <w:r>
              <w:rPr>
                <w:rFonts w:hint="eastAsia" w:ascii="仿宋" w:hAnsi="仿宋" w:eastAsia="仿宋"/>
                <w:bCs/>
                <w:szCs w:val="21"/>
              </w:rPr>
              <w:t>项目过程管理</w:t>
            </w:r>
            <w:r>
              <w:rPr>
                <w:rFonts w:hint="eastAsia" w:ascii="仿宋" w:hAnsi="仿宋" w:eastAsia="仿宋"/>
                <w:bCs/>
                <w:szCs w:val="21"/>
              </w:rPr>
              <w:tab/>
            </w:r>
          </w:p>
          <w:p>
            <w:pPr>
              <w:snapToGrid w:val="0"/>
              <w:jc w:val="left"/>
              <w:rPr>
                <w:rFonts w:ascii="仿宋" w:hAnsi="仿宋" w:eastAsia="仿宋"/>
                <w:bCs/>
                <w:szCs w:val="21"/>
              </w:rPr>
            </w:pPr>
            <w:r>
              <w:rPr>
                <w:rFonts w:hint="eastAsia" w:ascii="仿宋" w:hAnsi="仿宋" w:eastAsia="仿宋"/>
                <w:bCs/>
                <w:szCs w:val="21"/>
              </w:rPr>
              <w:t>项目执行汇报检查，需要检查的项目做好资料填报；提供上传资料入口。</w:t>
            </w:r>
          </w:p>
          <w:p>
            <w:pPr>
              <w:snapToGrid w:val="0"/>
              <w:jc w:val="left"/>
              <w:rPr>
                <w:rFonts w:ascii="仿宋" w:hAnsi="仿宋" w:eastAsia="仿宋"/>
                <w:bCs/>
                <w:szCs w:val="21"/>
              </w:rPr>
            </w:pPr>
            <w:r>
              <w:rPr>
                <w:rFonts w:hint="eastAsia" w:ascii="仿宋" w:hAnsi="仿宋" w:eastAsia="仿宋"/>
                <w:bCs/>
                <w:szCs w:val="21"/>
              </w:rPr>
              <w:t>科研项目进度考核：管理员对在研项目创建考核任务，并发送给项目负责人进行填报，包括填写中期年度报告。并对考核填报内容进行审核</w:t>
            </w:r>
          </w:p>
          <w:p>
            <w:pPr>
              <w:snapToGrid w:val="0"/>
              <w:jc w:val="left"/>
              <w:rPr>
                <w:rFonts w:ascii="仿宋" w:hAnsi="仿宋" w:eastAsia="仿宋"/>
                <w:bCs/>
                <w:szCs w:val="21"/>
              </w:rPr>
            </w:pPr>
            <w:r>
              <w:rPr>
                <w:rFonts w:hint="eastAsia" w:ascii="仿宋" w:hAnsi="仿宋" w:eastAsia="仿宋"/>
                <w:bCs/>
                <w:szCs w:val="21"/>
              </w:rPr>
              <w:t>项目查询和统计，有查询功能，如按项目名称、级别、时间、人员姓名、部门查询。有按状态查询、如结题、在研中。</w:t>
            </w:r>
          </w:p>
          <w:p>
            <w:pPr>
              <w:snapToGrid w:val="0"/>
              <w:ind w:firstLine="315" w:firstLineChars="150"/>
              <w:jc w:val="left"/>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232" w:type="dxa"/>
            <w:vAlign w:val="center"/>
          </w:tcPr>
          <w:p>
            <w:pPr>
              <w:widowControl/>
              <w:spacing w:line="320" w:lineRule="exact"/>
              <w:jc w:val="left"/>
              <w:rPr>
                <w:rFonts w:ascii="仿宋" w:hAnsi="仿宋" w:eastAsia="仿宋"/>
                <w:bCs/>
                <w:szCs w:val="21"/>
              </w:rPr>
            </w:pPr>
            <w:r>
              <w:rPr>
                <w:rFonts w:hint="eastAsia" w:ascii="仿宋" w:hAnsi="仿宋" w:eastAsia="仿宋"/>
                <w:bCs/>
                <w:szCs w:val="21"/>
              </w:rPr>
              <w:t>项目查重</w:t>
            </w:r>
          </w:p>
        </w:tc>
        <w:tc>
          <w:tcPr>
            <w:tcW w:w="7171" w:type="dxa"/>
            <w:vAlign w:val="center"/>
          </w:tcPr>
          <w:p>
            <w:pPr>
              <w:snapToGrid w:val="0"/>
              <w:jc w:val="left"/>
              <w:rPr>
                <w:rFonts w:ascii="仿宋" w:hAnsi="仿宋" w:eastAsia="仿宋"/>
                <w:bCs/>
                <w:szCs w:val="21"/>
              </w:rPr>
            </w:pPr>
            <w:r>
              <w:rPr>
                <w:rStyle w:val="168"/>
                <w:rFonts w:hint="eastAsia" w:ascii="仿宋" w:hAnsi="仿宋" w:eastAsia="仿宋"/>
                <w:kern w:val="0"/>
                <w:szCs w:val="21"/>
              </w:rPr>
              <w:t>▲</w:t>
            </w:r>
            <w:r>
              <w:rPr>
                <w:rFonts w:hint="eastAsia" w:ascii="仿宋" w:hAnsi="仿宋" w:eastAsia="仿宋"/>
                <w:bCs/>
                <w:szCs w:val="21"/>
              </w:rPr>
              <w:t>项目自动对接省卫计委项目查重系统，并自动生成项目查重报告。自动提示项目预警。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6" w:hRule="atLeast"/>
          <w:jc w:val="center"/>
        </w:trPr>
        <w:tc>
          <w:tcPr>
            <w:tcW w:w="1232" w:type="dxa"/>
            <w:vAlign w:val="center"/>
          </w:tcPr>
          <w:p>
            <w:pPr>
              <w:widowControl/>
              <w:spacing w:line="320" w:lineRule="exact"/>
              <w:jc w:val="left"/>
              <w:rPr>
                <w:rFonts w:ascii="仿宋" w:hAnsi="仿宋" w:eastAsia="仿宋" w:cs="Courier New"/>
                <w:szCs w:val="21"/>
              </w:rPr>
            </w:pPr>
            <w:r>
              <w:rPr>
                <w:rFonts w:hint="eastAsia" w:ascii="仿宋" w:hAnsi="仿宋" w:eastAsia="仿宋" w:cs="Courier New"/>
                <w:szCs w:val="21"/>
              </w:rPr>
              <w:t>学术评审</w:t>
            </w:r>
          </w:p>
        </w:tc>
        <w:tc>
          <w:tcPr>
            <w:tcW w:w="7171" w:type="dxa"/>
          </w:tcPr>
          <w:p>
            <w:pPr>
              <w:snapToGrid w:val="0"/>
              <w:jc w:val="left"/>
              <w:rPr>
                <w:rFonts w:ascii="仿宋" w:hAnsi="仿宋" w:eastAsia="仿宋"/>
                <w:bCs/>
                <w:szCs w:val="21"/>
              </w:rPr>
            </w:pPr>
            <w:r>
              <w:rPr>
                <w:rFonts w:hint="eastAsia" w:ascii="仿宋" w:hAnsi="仿宋" w:eastAsia="仿宋"/>
                <w:bCs/>
                <w:szCs w:val="21"/>
              </w:rPr>
              <w:t>已经申报的项目自动流转到医院项目管理员进行项目形式初审查，管理员对审查不合格的项目可进行退回修改操作，审查通过的，项目申报人可在系统查看到形式审查结果；</w:t>
            </w:r>
          </w:p>
          <w:p>
            <w:pPr>
              <w:snapToGrid w:val="0"/>
              <w:jc w:val="left"/>
              <w:rPr>
                <w:rFonts w:ascii="仿宋" w:hAnsi="仿宋" w:eastAsia="仿宋"/>
                <w:bCs/>
                <w:szCs w:val="21"/>
              </w:rPr>
            </w:pPr>
            <w:r>
              <w:rPr>
                <w:rFonts w:hint="eastAsia" w:ascii="仿宋" w:hAnsi="仿宋" w:eastAsia="仿宋"/>
                <w:bCs/>
                <w:szCs w:val="21"/>
              </w:rPr>
              <w:t>管理员对所有项目组织学术评审和伦理评审，选择是否需要伦理评审，需要伦理评审的自动进入伦理评审环节，并分配伦理评审专家，需要进行学术评审的，管理员按照系统本身对专家的推荐，进行评审专家分配；</w:t>
            </w:r>
          </w:p>
          <w:p>
            <w:pPr>
              <w:snapToGrid w:val="0"/>
              <w:jc w:val="left"/>
              <w:rPr>
                <w:rFonts w:ascii="仿宋" w:hAnsi="仿宋" w:eastAsia="仿宋"/>
                <w:bCs/>
                <w:szCs w:val="21"/>
              </w:rPr>
            </w:pPr>
            <w:r>
              <w:rPr>
                <w:rFonts w:hint="eastAsia" w:ascii="仿宋" w:hAnsi="仿宋" w:eastAsia="仿宋"/>
                <w:bCs/>
                <w:szCs w:val="21"/>
              </w:rPr>
              <w:t>评审专家通过临时账号进入系统对需要评审 的项目进行盲审，并选择评审意见，审核通过的，管理员对项目进行状态标注，审核不通过的，退回修改的，项目再次提交按照第二次审核流程进行评审</w:t>
            </w:r>
          </w:p>
          <w:p>
            <w:pPr>
              <w:snapToGrid w:val="0"/>
              <w:jc w:val="left"/>
              <w:rPr>
                <w:rFonts w:ascii="仿宋" w:hAnsi="仿宋" w:eastAsia="仿宋"/>
                <w:bCs/>
                <w:szCs w:val="21"/>
              </w:rPr>
            </w:pPr>
            <w:r>
              <w:rPr>
                <w:rFonts w:hint="eastAsia" w:ascii="仿宋" w:hAnsi="仿宋" w:eastAsia="仿宋"/>
                <w:bCs/>
                <w:szCs w:val="21"/>
              </w:rPr>
              <w:t>专家评审时,所查看的项目数据可根据专家的类型展示一部分,保证项目数据的安全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232" w:type="dxa"/>
            <w:vAlign w:val="center"/>
          </w:tcPr>
          <w:p>
            <w:pPr>
              <w:widowControl/>
              <w:spacing w:line="320" w:lineRule="exact"/>
              <w:jc w:val="left"/>
              <w:rPr>
                <w:rFonts w:ascii="仿宋" w:hAnsi="仿宋" w:eastAsia="仿宋"/>
                <w:szCs w:val="21"/>
              </w:rPr>
            </w:pPr>
            <w:r>
              <w:rPr>
                <w:rFonts w:hint="eastAsia" w:ascii="仿宋" w:hAnsi="仿宋" w:eastAsia="仿宋"/>
                <w:szCs w:val="21"/>
              </w:rPr>
              <w:t>伦理评审</w:t>
            </w:r>
          </w:p>
          <w:p>
            <w:pPr>
              <w:pStyle w:val="17"/>
              <w:rPr>
                <w:rFonts w:ascii="仿宋" w:hAnsi="仿宋" w:eastAsia="仿宋"/>
                <w:sz w:val="21"/>
                <w:szCs w:val="21"/>
              </w:rPr>
            </w:pPr>
          </w:p>
        </w:tc>
        <w:tc>
          <w:tcPr>
            <w:tcW w:w="7171" w:type="dxa"/>
          </w:tcPr>
          <w:p>
            <w:pPr>
              <w:jc w:val="left"/>
              <w:rPr>
                <w:rFonts w:ascii="仿宋" w:hAnsi="仿宋" w:eastAsia="仿宋"/>
                <w:szCs w:val="21"/>
              </w:rPr>
            </w:pPr>
            <w:r>
              <w:rPr>
                <w:rStyle w:val="168"/>
                <w:rFonts w:hint="eastAsia" w:ascii="仿宋" w:hAnsi="仿宋" w:eastAsia="仿宋"/>
                <w:kern w:val="0"/>
                <w:szCs w:val="21"/>
              </w:rPr>
              <w:t>▲</w:t>
            </w:r>
            <w:r>
              <w:rPr>
                <w:rFonts w:hint="eastAsia" w:ascii="仿宋" w:hAnsi="仿宋" w:eastAsia="仿宋"/>
                <w:szCs w:val="21"/>
              </w:rPr>
              <w:t>伦理评审包括：课题申报项目伦理评审、立项项目、横向项目、论文、GCP项目、新技术新项目的伦理评审。</w:t>
            </w:r>
          </w:p>
          <w:p>
            <w:pPr>
              <w:jc w:val="left"/>
              <w:rPr>
                <w:rFonts w:ascii="仿宋" w:hAnsi="仿宋" w:eastAsia="仿宋"/>
                <w:szCs w:val="21"/>
              </w:rPr>
            </w:pPr>
            <w:r>
              <w:rPr>
                <w:rFonts w:hint="eastAsia" w:ascii="仿宋" w:hAnsi="仿宋" w:eastAsia="仿宋"/>
                <w:szCs w:val="21"/>
              </w:rPr>
              <w:t>课题项目伦理评审：项目主管部门对所有单位审核通过的项目、根据项目情况选择是否需要伦理评审，选择快审或者会审形式。快审项目：由项目主管单位负责人分配伦理主任委员，由主任委员分配主审委员，在线对项目进行评审，汇总评审意见。</w:t>
            </w:r>
          </w:p>
          <w:p>
            <w:pPr>
              <w:pStyle w:val="17"/>
              <w:rPr>
                <w:rFonts w:ascii="仿宋" w:hAnsi="仿宋" w:eastAsia="仿宋"/>
                <w:sz w:val="21"/>
                <w:szCs w:val="21"/>
              </w:rPr>
            </w:pPr>
            <w:r>
              <w:rPr>
                <w:rFonts w:hint="eastAsia" w:ascii="仿宋" w:hAnsi="仿宋" w:eastAsia="仿宋"/>
                <w:sz w:val="21"/>
                <w:szCs w:val="21"/>
              </w:rPr>
              <w:t>其他伦理评审：包括修正案审核、SAE审核、违背方案审核、年度审核、研究暂停或终止审核，总结审核等步骤的线上管理，表单提交，专家在线评审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1232" w:type="dxa"/>
            <w:vAlign w:val="center"/>
          </w:tcPr>
          <w:p>
            <w:pPr>
              <w:widowControl/>
              <w:spacing w:line="320" w:lineRule="exact"/>
              <w:jc w:val="left"/>
              <w:rPr>
                <w:rFonts w:ascii="仿宋" w:hAnsi="仿宋" w:eastAsia="仿宋" w:cs="Courier New"/>
                <w:szCs w:val="21"/>
              </w:rPr>
            </w:pPr>
            <w:r>
              <w:rPr>
                <w:rFonts w:hint="eastAsia" w:ascii="仿宋" w:hAnsi="仿宋" w:eastAsia="仿宋"/>
                <w:szCs w:val="21"/>
              </w:rPr>
              <w:t>项目验收管理</w:t>
            </w:r>
          </w:p>
        </w:tc>
        <w:tc>
          <w:tcPr>
            <w:tcW w:w="7171" w:type="dxa"/>
            <w:vAlign w:val="center"/>
          </w:tcPr>
          <w:p>
            <w:pPr>
              <w:jc w:val="left"/>
              <w:rPr>
                <w:rFonts w:ascii="仿宋" w:hAnsi="仿宋" w:eastAsia="仿宋"/>
                <w:szCs w:val="21"/>
              </w:rPr>
            </w:pPr>
            <w:r>
              <w:rPr>
                <w:rFonts w:hint="eastAsia" w:ascii="仿宋" w:hAnsi="仿宋" w:eastAsia="仿宋"/>
                <w:szCs w:val="21"/>
              </w:rPr>
              <w:t>项目验收管理：</w:t>
            </w:r>
          </w:p>
          <w:p>
            <w:pPr>
              <w:jc w:val="left"/>
              <w:rPr>
                <w:rFonts w:ascii="仿宋" w:hAnsi="仿宋" w:eastAsia="仿宋"/>
                <w:szCs w:val="21"/>
              </w:rPr>
            </w:pPr>
            <w:r>
              <w:rPr>
                <w:rFonts w:hint="eastAsia" w:ascii="仿宋" w:hAnsi="仿宋" w:eastAsia="仿宋"/>
                <w:szCs w:val="21"/>
              </w:rPr>
              <w:t>项目验收申请：项目负责人可对项目进行验收申请，填写验收申请单，上传验收材料。</w:t>
            </w:r>
          </w:p>
          <w:p>
            <w:pPr>
              <w:jc w:val="left"/>
              <w:rPr>
                <w:rFonts w:ascii="仿宋" w:hAnsi="仿宋" w:eastAsia="仿宋"/>
                <w:szCs w:val="21"/>
              </w:rPr>
            </w:pPr>
            <w:r>
              <w:rPr>
                <w:rFonts w:hint="eastAsia" w:ascii="仿宋" w:hAnsi="仿宋" w:eastAsia="仿宋"/>
                <w:szCs w:val="21"/>
              </w:rPr>
              <w:t>项目验收列表，提交过的验收的项目展示，管理员可对验收申请进行审核、选择通过、返回修改等并填写验收意见。</w:t>
            </w:r>
          </w:p>
          <w:p>
            <w:pPr>
              <w:jc w:val="left"/>
              <w:rPr>
                <w:rFonts w:ascii="仿宋" w:hAnsi="仿宋" w:eastAsia="仿宋"/>
                <w:szCs w:val="21"/>
              </w:rPr>
            </w:pPr>
            <w:r>
              <w:rPr>
                <w:rFonts w:hint="eastAsia" w:ascii="仿宋" w:hAnsi="仿宋" w:eastAsia="仿宋"/>
                <w:szCs w:val="21"/>
              </w:rPr>
              <w:t>上传项目验收证书。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jc w:val="center"/>
        </w:trPr>
        <w:tc>
          <w:tcPr>
            <w:tcW w:w="1232" w:type="dxa"/>
            <w:vAlign w:val="center"/>
          </w:tcPr>
          <w:p>
            <w:pPr>
              <w:widowControl/>
              <w:spacing w:line="320" w:lineRule="exact"/>
              <w:jc w:val="left"/>
              <w:rPr>
                <w:rFonts w:ascii="仿宋" w:hAnsi="仿宋" w:eastAsia="仿宋" w:cs="Courier New"/>
                <w:szCs w:val="21"/>
              </w:rPr>
            </w:pPr>
            <w:bookmarkStart w:id="15" w:name="OLE_LINK6"/>
            <w:r>
              <w:rPr>
                <w:rFonts w:hint="eastAsia" w:ascii="仿宋" w:hAnsi="仿宋" w:eastAsia="仿宋"/>
                <w:szCs w:val="21"/>
              </w:rPr>
              <w:t>评审专家管理</w:t>
            </w:r>
            <w:bookmarkEnd w:id="15"/>
          </w:p>
        </w:tc>
        <w:tc>
          <w:tcPr>
            <w:tcW w:w="7171" w:type="dxa"/>
            <w:vAlign w:val="center"/>
          </w:tcPr>
          <w:p>
            <w:pPr>
              <w:jc w:val="left"/>
              <w:rPr>
                <w:rFonts w:ascii="仿宋" w:hAnsi="仿宋" w:eastAsia="仿宋"/>
                <w:szCs w:val="21"/>
              </w:rPr>
            </w:pPr>
            <w:bookmarkStart w:id="16" w:name="OLE_LINK7"/>
            <w:r>
              <w:rPr>
                <w:rFonts w:hint="eastAsia" w:ascii="仿宋" w:hAnsi="仿宋" w:eastAsia="仿宋"/>
                <w:szCs w:val="21"/>
              </w:rPr>
              <w:t>专家自荐：普通用户可通过系统申请成为课题评审专家，填写相关申请信息，并由科教管理员进行审核是否通过</w:t>
            </w:r>
          </w:p>
          <w:p>
            <w:pPr>
              <w:jc w:val="left"/>
              <w:rPr>
                <w:rFonts w:ascii="仿宋" w:hAnsi="仿宋" w:eastAsia="仿宋"/>
                <w:szCs w:val="21"/>
              </w:rPr>
            </w:pPr>
            <w:r>
              <w:rPr>
                <w:rFonts w:hint="eastAsia" w:ascii="仿宋" w:hAnsi="仿宋" w:eastAsia="仿宋"/>
                <w:szCs w:val="21"/>
              </w:rPr>
              <w:t>专家库：支持维护专家基本信息，并标注是本院专家、外院专家，学术专家和伦理专家，管理员可对专家信息进行增删改查。</w:t>
            </w:r>
            <w:bookmarkEnd w:id="16"/>
            <w:r>
              <w:rPr>
                <w:rFonts w:hint="eastAsia" w:ascii="仿宋" w:hAnsi="仿宋" w:eastAsia="仿宋"/>
                <w:szCs w:val="21"/>
              </w:rPr>
              <w:t>专家审核项目情况汇总，通过专家可查询到专家历史审核项目信息记录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9" w:hRule="atLeast"/>
          <w:jc w:val="center"/>
        </w:trPr>
        <w:tc>
          <w:tcPr>
            <w:tcW w:w="1232" w:type="dxa"/>
            <w:vAlign w:val="center"/>
          </w:tcPr>
          <w:p>
            <w:pPr>
              <w:jc w:val="left"/>
              <w:rPr>
                <w:rFonts w:ascii="仿宋" w:hAnsi="仿宋" w:eastAsia="仿宋"/>
                <w:szCs w:val="21"/>
              </w:rPr>
            </w:pPr>
            <w:r>
              <w:rPr>
                <w:rFonts w:hint="eastAsia" w:ascii="仿宋" w:hAnsi="仿宋" w:eastAsia="仿宋"/>
                <w:szCs w:val="21"/>
              </w:rPr>
              <w:t>科研经费管理</w:t>
            </w:r>
          </w:p>
        </w:tc>
        <w:tc>
          <w:tcPr>
            <w:tcW w:w="7171" w:type="dxa"/>
            <w:vAlign w:val="center"/>
          </w:tcPr>
          <w:p>
            <w:pPr>
              <w:jc w:val="left"/>
              <w:rPr>
                <w:rFonts w:ascii="仿宋" w:hAnsi="仿宋" w:eastAsia="仿宋"/>
                <w:szCs w:val="21"/>
              </w:rPr>
            </w:pPr>
            <w:r>
              <w:rPr>
                <w:rFonts w:hint="eastAsia" w:ascii="仿宋" w:hAnsi="仿宋" w:eastAsia="仿宋"/>
                <w:szCs w:val="21"/>
              </w:rPr>
              <w:t>项目入库，经费到账管理</w:t>
            </w:r>
          </w:p>
          <w:p>
            <w:pPr>
              <w:jc w:val="left"/>
              <w:rPr>
                <w:rFonts w:ascii="仿宋" w:hAnsi="仿宋" w:eastAsia="仿宋"/>
                <w:szCs w:val="21"/>
              </w:rPr>
            </w:pPr>
            <w:r>
              <w:rPr>
                <w:rFonts w:hint="eastAsia" w:ascii="仿宋" w:hAnsi="仿宋" w:eastAsia="仿宋"/>
                <w:szCs w:val="21"/>
              </w:rPr>
              <w:t>系统支持多种项目类型的经费管理，包括科研课题，重点学科、人才培养、继续教育、横向课题、新技术新项目、平台建设等</w:t>
            </w:r>
          </w:p>
          <w:p>
            <w:pPr>
              <w:jc w:val="left"/>
              <w:rPr>
                <w:rFonts w:ascii="仿宋" w:hAnsi="仿宋" w:eastAsia="仿宋"/>
                <w:szCs w:val="21"/>
              </w:rPr>
            </w:pPr>
            <w:r>
              <w:rPr>
                <w:rFonts w:hint="eastAsia" w:ascii="仿宋" w:hAnsi="仿宋" w:eastAsia="仿宋"/>
                <w:szCs w:val="21"/>
              </w:rPr>
              <w:t>科研项目入库：科教管理部门批量导入、修改科研项目基本信息，项目负责人也可填写项目信息由科教对项目信息进行审核。</w:t>
            </w:r>
          </w:p>
          <w:p>
            <w:pPr>
              <w:jc w:val="left"/>
              <w:rPr>
                <w:rFonts w:ascii="仿宋" w:hAnsi="仿宋" w:eastAsia="仿宋"/>
                <w:szCs w:val="21"/>
              </w:rPr>
            </w:pPr>
            <w:r>
              <w:rPr>
                <w:rFonts w:hint="eastAsia" w:ascii="仿宋" w:hAnsi="仿宋" w:eastAsia="仿宋"/>
                <w:szCs w:val="21"/>
              </w:rPr>
              <w:t>财务经费分批到账：课题项目财务到账，并进行凭证号录入、支持科教进行卡间调整功能，并对已到账项目进行发送经费使用通知；</w:t>
            </w:r>
          </w:p>
          <w:p>
            <w:pPr>
              <w:jc w:val="left"/>
              <w:rPr>
                <w:rFonts w:ascii="仿宋" w:hAnsi="仿宋" w:eastAsia="仿宋"/>
                <w:szCs w:val="21"/>
              </w:rPr>
            </w:pPr>
            <w:bookmarkStart w:id="17" w:name="OLE_LINK3"/>
            <w:r>
              <w:rPr>
                <w:rFonts w:hint="eastAsia" w:ascii="仿宋" w:hAnsi="仿宋" w:eastAsia="仿宋"/>
                <w:szCs w:val="21"/>
              </w:rPr>
              <w:t>项目预算和决算</w:t>
            </w:r>
            <w:bookmarkEnd w:id="17"/>
            <w:r>
              <w:rPr>
                <w:rFonts w:hint="eastAsia" w:ascii="仿宋" w:hAnsi="仿宋" w:eastAsia="仿宋"/>
                <w:szCs w:val="21"/>
              </w:rPr>
              <w:t>：通过系统直接查看单个项目的经费预算情况、到账情况、经费使用情况，所有项目的经费预算、到账、使用情况预览。并支持导出单个项目的总账和具体报销明细，支持导出所有项目的总账。</w:t>
            </w:r>
          </w:p>
          <w:p>
            <w:pPr>
              <w:jc w:val="left"/>
              <w:rPr>
                <w:rFonts w:ascii="仿宋" w:hAnsi="仿宋" w:eastAsia="仿宋"/>
                <w:szCs w:val="21"/>
              </w:rPr>
            </w:pPr>
            <w:r>
              <w:rPr>
                <w:rFonts w:hint="eastAsia" w:ascii="仿宋" w:hAnsi="仿宋" w:eastAsia="仿宋"/>
                <w:szCs w:val="21"/>
              </w:rPr>
              <w:t>预算支出调整：对同一项目，某一开支名目费用不足，进行预算支出调整申请，通过审核后，完成调整。</w:t>
            </w:r>
          </w:p>
          <w:p>
            <w:pPr>
              <w:jc w:val="left"/>
              <w:rPr>
                <w:rFonts w:ascii="仿宋" w:hAnsi="仿宋" w:eastAsia="仿宋"/>
                <w:szCs w:val="21"/>
              </w:rPr>
            </w:pPr>
            <w:r>
              <w:rPr>
                <w:rFonts w:hint="eastAsia" w:ascii="仿宋" w:hAnsi="仿宋" w:eastAsia="仿宋"/>
                <w:szCs w:val="21"/>
              </w:rPr>
              <w:t>课题经费结转：课题结题之后，可对经费进行结转，结转之后2年之内还是可以进行科研相关报销，根据结转总费用进行使用申请，不需要按照开支名目划分进行分项报销。</w:t>
            </w:r>
          </w:p>
          <w:p>
            <w:pPr>
              <w:jc w:val="left"/>
              <w:rPr>
                <w:rFonts w:ascii="仿宋" w:hAnsi="仿宋" w:eastAsia="仿宋"/>
                <w:szCs w:val="21"/>
              </w:rPr>
            </w:pPr>
            <w:r>
              <w:rPr>
                <w:rFonts w:hint="eastAsia" w:ascii="仿宋" w:hAnsi="仿宋" w:eastAsia="仿宋"/>
                <w:szCs w:val="21"/>
              </w:rPr>
              <w:t>课题经费追加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232" w:type="dxa"/>
            <w:vAlign w:val="center"/>
          </w:tcPr>
          <w:p>
            <w:pPr>
              <w:widowControl/>
              <w:spacing w:line="320" w:lineRule="exact"/>
              <w:jc w:val="left"/>
              <w:rPr>
                <w:rFonts w:ascii="仿宋" w:hAnsi="仿宋" w:eastAsia="仿宋" w:cs="Courier New"/>
                <w:szCs w:val="21"/>
              </w:rPr>
            </w:pPr>
            <w:r>
              <w:rPr>
                <w:rFonts w:hint="eastAsia" w:ascii="仿宋" w:hAnsi="仿宋" w:eastAsia="仿宋"/>
                <w:szCs w:val="21"/>
              </w:rPr>
              <w:t>论文管理</w:t>
            </w:r>
          </w:p>
        </w:tc>
        <w:tc>
          <w:tcPr>
            <w:tcW w:w="7171" w:type="dxa"/>
            <w:vAlign w:val="center"/>
          </w:tcPr>
          <w:p>
            <w:pPr>
              <w:pStyle w:val="3"/>
              <w:numPr>
                <w:ilvl w:val="1"/>
                <w:numId w:val="0"/>
              </w:numPr>
              <w:tabs>
                <w:tab w:val="clear" w:pos="1145"/>
              </w:tabs>
              <w:spacing w:line="240" w:lineRule="auto"/>
              <w:rPr>
                <w:rFonts w:ascii="仿宋" w:hAnsi="仿宋" w:eastAsia="仿宋"/>
                <w:bCs/>
                <w:sz w:val="21"/>
                <w:szCs w:val="21"/>
                <w:lang w:val="zh-CN"/>
              </w:rPr>
            </w:pPr>
            <w:r>
              <w:rPr>
                <w:rFonts w:hint="eastAsia" w:ascii="仿宋" w:hAnsi="仿宋" w:eastAsia="仿宋"/>
                <w:bCs/>
                <w:sz w:val="21"/>
                <w:szCs w:val="21"/>
              </w:rPr>
              <w:t>论文投稿登记</w:t>
            </w:r>
            <w:r>
              <w:rPr>
                <w:rFonts w:hint="eastAsia" w:ascii="仿宋" w:hAnsi="仿宋" w:eastAsia="仿宋"/>
                <w:bCs/>
                <w:sz w:val="21"/>
                <w:szCs w:val="21"/>
                <w:lang w:val="zh-CN"/>
              </w:rPr>
              <w:t>：</w:t>
            </w:r>
          </w:p>
          <w:p>
            <w:pPr>
              <w:spacing w:line="360" w:lineRule="auto"/>
              <w:ind w:firstLine="420" w:firstLineChars="200"/>
              <w:rPr>
                <w:rFonts w:ascii="仿宋" w:hAnsi="仿宋" w:eastAsia="仿宋"/>
                <w:szCs w:val="21"/>
              </w:rPr>
            </w:pPr>
            <w:r>
              <w:rPr>
                <w:rFonts w:hint="eastAsia" w:ascii="仿宋" w:hAnsi="仿宋" w:eastAsia="仿宋"/>
                <w:szCs w:val="21"/>
              </w:rPr>
              <w:t>通过系统线上进行论文投稿登记，包括论文题目，拟投刊物名称、论文摘要，个人承诺书签名，涉及伦理试验的，必须上传伦理审查申请表，论文发表主审伦理审查表，论文全文，相关试验数据等信息，同时系统要自动流转到第一作者、通讯作者、科主任、科教科等相关人员审核知晓。并在线生成论文推荐信。</w:t>
            </w:r>
          </w:p>
          <w:p>
            <w:pPr>
              <w:spacing w:line="360" w:lineRule="auto"/>
              <w:ind w:firstLine="420" w:firstLineChars="200"/>
              <w:rPr>
                <w:rFonts w:ascii="仿宋" w:hAnsi="仿宋" w:eastAsia="仿宋"/>
                <w:szCs w:val="21"/>
              </w:rPr>
            </w:pPr>
            <w:r>
              <w:rPr>
                <w:rFonts w:hint="eastAsia" w:ascii="仿宋" w:hAnsi="仿宋" w:eastAsia="仿宋"/>
                <w:szCs w:val="21"/>
              </w:rPr>
              <w:t>科教科对针对文章信息分批伦理专家，选择快审或者会审，选择快审时，专家可在线对文章进行在线伦理审查，系统自动汇总审查意见。</w:t>
            </w:r>
          </w:p>
          <w:p>
            <w:pPr>
              <w:pStyle w:val="3"/>
              <w:numPr>
                <w:ilvl w:val="1"/>
                <w:numId w:val="0"/>
              </w:numPr>
              <w:tabs>
                <w:tab w:val="clear" w:pos="1145"/>
              </w:tabs>
              <w:spacing w:line="240" w:lineRule="auto"/>
              <w:rPr>
                <w:rFonts w:ascii="仿宋" w:hAnsi="仿宋" w:eastAsia="仿宋"/>
                <w:bCs/>
                <w:sz w:val="21"/>
                <w:szCs w:val="21"/>
                <w:lang w:val="zh-CN"/>
              </w:rPr>
            </w:pPr>
            <w:r>
              <w:rPr>
                <w:rFonts w:hint="eastAsia" w:ascii="仿宋" w:hAnsi="仿宋" w:eastAsia="仿宋"/>
                <w:bCs/>
                <w:sz w:val="21"/>
                <w:szCs w:val="21"/>
              </w:rPr>
              <w:t>发表论文登记</w:t>
            </w:r>
            <w:r>
              <w:rPr>
                <w:rFonts w:hint="eastAsia" w:ascii="仿宋" w:hAnsi="仿宋" w:eastAsia="仿宋"/>
                <w:bCs/>
                <w:sz w:val="21"/>
                <w:szCs w:val="21"/>
                <w:lang w:val="zh-CN"/>
              </w:rPr>
              <w:t>：</w:t>
            </w:r>
          </w:p>
          <w:p>
            <w:pPr>
              <w:spacing w:line="360" w:lineRule="auto"/>
              <w:ind w:firstLine="420" w:firstLineChars="200"/>
              <w:rPr>
                <w:rFonts w:ascii="仿宋" w:hAnsi="仿宋" w:eastAsia="仿宋"/>
                <w:szCs w:val="21"/>
              </w:rPr>
            </w:pPr>
            <w:r>
              <w:rPr>
                <w:rFonts w:hint="eastAsia" w:ascii="仿宋" w:hAnsi="仿宋" w:eastAsia="仿宋"/>
                <w:szCs w:val="21"/>
              </w:rPr>
              <w:t>已发布论文的登记管理与论文投稿的唯一登记号绑定，在线填写论文名称，发表杂志信息，第一作者和通讯作者信息，系统检测刊物类别等级，并可上传封面/目录/论文正文文件/收录证明/影响因子报告等（投稿状态以及发表状态皆可以登记）。科教对论文信息进行审核把关。</w:t>
            </w:r>
          </w:p>
          <w:p>
            <w:pPr>
              <w:pStyle w:val="34"/>
              <w:shd w:val="clear" w:color="auto" w:fill="FBFDFE"/>
              <w:spacing w:before="0" w:beforeAutospacing="0" w:after="0" w:afterAutospacing="0"/>
              <w:jc w:val="both"/>
              <w:rPr>
                <w:rFonts w:ascii="仿宋" w:hAnsi="仿宋" w:eastAsia="仿宋"/>
                <w:b/>
                <w:bCs/>
                <w:kern w:val="2"/>
                <w:sz w:val="21"/>
                <w:szCs w:val="21"/>
              </w:rPr>
            </w:pPr>
            <w:r>
              <w:rPr>
                <w:rFonts w:hint="eastAsia" w:ascii="仿宋" w:hAnsi="仿宋" w:eastAsia="仿宋"/>
                <w:b/>
                <w:bCs/>
                <w:kern w:val="2"/>
                <w:sz w:val="21"/>
                <w:szCs w:val="21"/>
              </w:rPr>
              <w:t>论文版面费报销：</w:t>
            </w:r>
          </w:p>
          <w:p>
            <w:pPr>
              <w:pStyle w:val="34"/>
              <w:shd w:val="clear" w:color="auto" w:fill="FBFDFE"/>
              <w:spacing w:before="0" w:beforeAutospacing="0" w:after="0" w:afterAutospacing="0"/>
              <w:ind w:firstLine="420" w:firstLineChars="200"/>
              <w:jc w:val="both"/>
              <w:rPr>
                <w:rFonts w:ascii="仿宋" w:hAnsi="仿宋" w:eastAsia="仿宋"/>
                <w:kern w:val="2"/>
                <w:sz w:val="21"/>
                <w:szCs w:val="21"/>
              </w:rPr>
            </w:pPr>
            <w:r>
              <w:rPr>
                <w:rFonts w:hint="eastAsia" w:ascii="仿宋" w:hAnsi="仿宋" w:eastAsia="仿宋"/>
                <w:kern w:val="2"/>
                <w:sz w:val="21"/>
                <w:szCs w:val="21"/>
              </w:rPr>
              <w:t>自动生成报销单，并可打印输出。</w:t>
            </w:r>
          </w:p>
          <w:p>
            <w:pPr>
              <w:pStyle w:val="17"/>
              <w:rPr>
                <w:rFonts w:ascii="仿宋" w:hAnsi="仿宋" w:eastAsia="仿宋"/>
                <w:b/>
                <w:bCs/>
                <w:sz w:val="21"/>
                <w:szCs w:val="21"/>
              </w:rPr>
            </w:pPr>
            <w:r>
              <w:rPr>
                <w:rFonts w:hint="eastAsia" w:ascii="仿宋" w:hAnsi="仿宋" w:eastAsia="仿宋"/>
                <w:b/>
                <w:bCs/>
                <w:sz w:val="21"/>
                <w:szCs w:val="21"/>
              </w:rPr>
              <w:t>统计分析</w:t>
            </w:r>
          </w:p>
          <w:p>
            <w:pPr>
              <w:pStyle w:val="17"/>
              <w:ind w:firstLine="420" w:firstLineChars="200"/>
              <w:rPr>
                <w:rFonts w:ascii="仿宋" w:hAnsi="仿宋" w:eastAsia="仿宋"/>
                <w:sz w:val="21"/>
                <w:szCs w:val="21"/>
              </w:rPr>
            </w:pPr>
            <w:r>
              <w:rPr>
                <w:rFonts w:hint="eastAsia" w:ascii="仿宋" w:hAnsi="仿宋" w:eastAsia="仿宋"/>
                <w:sz w:val="21"/>
                <w:szCs w:val="21"/>
              </w:rPr>
              <w:t>管理员可根据论文作者类型（包含/第一/通讯）， 年份（单一年度查询/区间年份查询功能），级别（全部/一级/一级中华/一级其他/二级/二级中华/二级其他/SCI/普通英文），类型（全部/论著/综述/简报/病例分析/Meta/其他）；数据统计，导出excel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232" w:type="dxa"/>
            <w:vAlign w:val="center"/>
          </w:tcPr>
          <w:p>
            <w:pPr>
              <w:widowControl/>
              <w:spacing w:line="320" w:lineRule="exact"/>
              <w:jc w:val="left"/>
              <w:rPr>
                <w:rFonts w:ascii="仿宋" w:hAnsi="仿宋" w:eastAsia="仿宋"/>
                <w:szCs w:val="21"/>
              </w:rPr>
            </w:pPr>
            <w:r>
              <w:rPr>
                <w:rFonts w:hint="eastAsia" w:ascii="仿宋" w:hAnsi="仿宋" w:eastAsia="仿宋"/>
                <w:szCs w:val="21"/>
              </w:rPr>
              <w:t>专利管理</w:t>
            </w:r>
          </w:p>
        </w:tc>
        <w:tc>
          <w:tcPr>
            <w:tcW w:w="7171" w:type="dxa"/>
            <w:vAlign w:val="center"/>
          </w:tcPr>
          <w:p>
            <w:pPr>
              <w:spacing w:line="360" w:lineRule="auto"/>
              <w:rPr>
                <w:rFonts w:ascii="仿宋" w:hAnsi="仿宋" w:eastAsia="仿宋"/>
                <w:b/>
                <w:bCs/>
                <w:szCs w:val="21"/>
              </w:rPr>
            </w:pPr>
            <w:r>
              <w:rPr>
                <w:rFonts w:hint="eastAsia" w:ascii="仿宋" w:hAnsi="仿宋" w:eastAsia="仿宋"/>
                <w:b/>
                <w:bCs/>
                <w:szCs w:val="21"/>
              </w:rPr>
              <w:t>授权专利登记：</w:t>
            </w:r>
          </w:p>
          <w:p>
            <w:pPr>
              <w:spacing w:line="360" w:lineRule="auto"/>
              <w:rPr>
                <w:rFonts w:ascii="仿宋" w:hAnsi="仿宋" w:eastAsia="仿宋"/>
                <w:szCs w:val="21"/>
              </w:rPr>
            </w:pPr>
            <w:r>
              <w:rPr>
                <w:rFonts w:hint="eastAsia" w:ascii="仿宋" w:hAnsi="仿宋" w:eastAsia="仿宋"/>
                <w:szCs w:val="21"/>
              </w:rPr>
              <w:t>专利信息在线登记，专利证书上传、专利发明人，专利类别，并提交审核，由科教科相关人员进行审核把关后，自动录入到成果库。</w:t>
            </w:r>
          </w:p>
          <w:p>
            <w:pPr>
              <w:pStyle w:val="17"/>
              <w:rPr>
                <w:rFonts w:ascii="仿宋" w:hAnsi="仿宋" w:eastAsia="仿宋"/>
                <w:sz w:val="21"/>
                <w:szCs w:val="21"/>
              </w:rPr>
            </w:pPr>
            <w:r>
              <w:rPr>
                <w:rFonts w:hint="eastAsia" w:ascii="仿宋" w:hAnsi="仿宋" w:eastAsia="仿宋"/>
                <w:sz w:val="21"/>
                <w:szCs w:val="21"/>
              </w:rPr>
              <w:t>专利审核通过后。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232" w:type="dxa"/>
            <w:vAlign w:val="center"/>
          </w:tcPr>
          <w:p>
            <w:pPr>
              <w:widowControl/>
              <w:spacing w:line="320" w:lineRule="exact"/>
              <w:jc w:val="left"/>
              <w:rPr>
                <w:rFonts w:ascii="仿宋" w:hAnsi="仿宋" w:eastAsia="仿宋"/>
                <w:szCs w:val="21"/>
              </w:rPr>
            </w:pPr>
            <w:r>
              <w:rPr>
                <w:rFonts w:hint="eastAsia" w:ascii="仿宋" w:hAnsi="仿宋" w:eastAsia="仿宋" w:cs="宋体"/>
                <w:kern w:val="0"/>
                <w:szCs w:val="21"/>
              </w:rPr>
              <w:t>费用申请与报销管理</w:t>
            </w:r>
          </w:p>
        </w:tc>
        <w:tc>
          <w:tcPr>
            <w:tcW w:w="7171" w:type="dxa"/>
            <w:vAlign w:val="center"/>
          </w:tcPr>
          <w:p>
            <w:pPr>
              <w:spacing w:line="360" w:lineRule="auto"/>
              <w:rPr>
                <w:rFonts w:ascii="仿宋" w:hAnsi="仿宋" w:eastAsia="仿宋"/>
                <w:szCs w:val="21"/>
              </w:rPr>
            </w:pPr>
            <w:r>
              <w:rPr>
                <w:rFonts w:hint="eastAsia" w:ascii="仿宋" w:hAnsi="仿宋" w:eastAsia="仿宋"/>
                <w:szCs w:val="21"/>
              </w:rPr>
              <w:t>外出学习（继续教育）申请：支持继续教育、外出学习、职学历教育、培训等事项申请，并根据审批流程，申请单自动流转审批，打印申请单。</w:t>
            </w:r>
          </w:p>
          <w:p>
            <w:pPr>
              <w:spacing w:line="360" w:lineRule="auto"/>
              <w:rPr>
                <w:rFonts w:ascii="仿宋" w:hAnsi="仿宋" w:eastAsia="仿宋"/>
                <w:szCs w:val="21"/>
              </w:rPr>
            </w:pPr>
            <w:r>
              <w:rPr>
                <w:rFonts w:hint="eastAsia" w:ascii="仿宋" w:hAnsi="仿宋" w:eastAsia="仿宋"/>
                <w:szCs w:val="21"/>
              </w:rPr>
              <w:t>专家咨询费使用申请：支持关联某项目课题，咨询专家相关信息，预计参加人员，论证时间预计费用等信息填写，并提交申请单，在线审批，打印申请单。</w:t>
            </w:r>
          </w:p>
          <w:p>
            <w:pPr>
              <w:spacing w:line="360" w:lineRule="auto"/>
              <w:rPr>
                <w:rFonts w:ascii="仿宋" w:hAnsi="仿宋" w:eastAsia="仿宋"/>
                <w:szCs w:val="21"/>
              </w:rPr>
            </w:pPr>
            <w:r>
              <w:rPr>
                <w:rFonts w:hint="eastAsia" w:ascii="仿宋" w:hAnsi="仿宋" w:eastAsia="仿宋"/>
                <w:szCs w:val="21"/>
              </w:rPr>
              <w:t>测试化验加工费申请：系统支持在线填写测试化验加工费申请单，相关人员进行在线审批，并打印申请单。</w:t>
            </w:r>
          </w:p>
          <w:p>
            <w:pPr>
              <w:spacing w:line="360" w:lineRule="auto"/>
              <w:rPr>
                <w:rFonts w:ascii="仿宋" w:hAnsi="仿宋" w:eastAsia="仿宋"/>
                <w:szCs w:val="21"/>
              </w:rPr>
            </w:pPr>
            <w:r>
              <w:rPr>
                <w:rFonts w:hint="eastAsia" w:ascii="仿宋" w:hAnsi="仿宋" w:eastAsia="仿宋"/>
                <w:szCs w:val="21"/>
              </w:rPr>
              <w:t>采购报销相关申请：</w:t>
            </w:r>
          </w:p>
          <w:p>
            <w:pPr>
              <w:spacing w:line="360" w:lineRule="auto"/>
              <w:rPr>
                <w:rFonts w:ascii="仿宋" w:hAnsi="仿宋" w:eastAsia="仿宋"/>
                <w:szCs w:val="21"/>
              </w:rPr>
            </w:pPr>
            <w:r>
              <w:rPr>
                <w:rFonts w:hint="eastAsia" w:ascii="仿宋" w:hAnsi="仿宋" w:eastAsia="仿宋"/>
                <w:szCs w:val="21"/>
              </w:rPr>
              <w:t>系统支持材料申购、医疗设备/器械申购、科研用药申购、科研用药申购、科研相关总务物资申购在线申请，相关领导和部门线上审批把关。</w:t>
            </w:r>
          </w:p>
          <w:p>
            <w:pPr>
              <w:spacing w:line="360" w:lineRule="auto"/>
              <w:rPr>
                <w:rFonts w:ascii="仿宋" w:hAnsi="仿宋" w:eastAsia="仿宋"/>
                <w:szCs w:val="21"/>
              </w:rPr>
            </w:pPr>
            <w:r>
              <w:rPr>
                <w:rFonts w:hint="eastAsia" w:ascii="仿宋" w:hAnsi="仿宋" w:eastAsia="仿宋"/>
                <w:szCs w:val="21"/>
              </w:rPr>
              <w:t>科研经费其他开支名目报销：</w:t>
            </w:r>
          </w:p>
          <w:p>
            <w:pPr>
              <w:spacing w:line="360" w:lineRule="auto"/>
              <w:rPr>
                <w:rFonts w:ascii="仿宋" w:hAnsi="仿宋" w:eastAsia="仿宋"/>
                <w:szCs w:val="21"/>
              </w:rPr>
            </w:pPr>
            <w:r>
              <w:rPr>
                <w:rFonts w:hint="eastAsia" w:ascii="仿宋" w:hAnsi="仿宋" w:eastAsia="仿宋"/>
                <w:szCs w:val="21"/>
              </w:rPr>
              <w:t>支持按照项目课题合同预算的开支名目，进行相关费用报销申请，包括：差旅费、论文版面费报销申请、专家咨询费、劳务费、燃料动力费、会议费、合作交流费、文献出版信息传播等费用。系统自动校验余额是否足够报销使用。</w:t>
            </w:r>
          </w:p>
          <w:p>
            <w:pPr>
              <w:spacing w:line="360" w:lineRule="auto"/>
              <w:rPr>
                <w:rFonts w:ascii="仿宋" w:hAnsi="仿宋" w:eastAsia="仿宋"/>
                <w:szCs w:val="21"/>
              </w:rPr>
            </w:pPr>
            <w:r>
              <w:rPr>
                <w:rFonts w:hint="eastAsia" w:ascii="仿宋" w:hAnsi="仿宋" w:eastAsia="仿宋"/>
                <w:szCs w:val="21"/>
              </w:rPr>
              <w:t>外出进修申请以及费用报销</w:t>
            </w:r>
          </w:p>
          <w:p>
            <w:pPr>
              <w:spacing w:line="360" w:lineRule="auto"/>
              <w:rPr>
                <w:rFonts w:ascii="仿宋" w:hAnsi="仿宋" w:eastAsia="仿宋"/>
                <w:szCs w:val="21"/>
              </w:rPr>
            </w:pPr>
            <w:r>
              <w:rPr>
                <w:rFonts w:hint="eastAsia" w:ascii="仿宋" w:hAnsi="仿宋" w:eastAsia="仿宋"/>
                <w:szCs w:val="21"/>
              </w:rPr>
              <w:t>学术交流申请以及报销</w:t>
            </w:r>
          </w:p>
          <w:p>
            <w:pPr>
              <w:spacing w:line="360" w:lineRule="auto"/>
              <w:rPr>
                <w:rFonts w:ascii="仿宋" w:hAnsi="仿宋" w:eastAsia="仿宋"/>
                <w:szCs w:val="21"/>
              </w:rPr>
            </w:pPr>
            <w:r>
              <w:rPr>
                <w:rFonts w:hint="eastAsia" w:ascii="仿宋" w:hAnsi="仿宋" w:eastAsia="仿宋"/>
                <w:szCs w:val="21"/>
              </w:rPr>
              <w:t>学术任职申请</w:t>
            </w:r>
          </w:p>
          <w:p>
            <w:pPr>
              <w:spacing w:line="360" w:lineRule="auto"/>
              <w:rPr>
                <w:rFonts w:ascii="仿宋" w:hAnsi="仿宋" w:eastAsia="仿宋"/>
                <w:szCs w:val="21"/>
              </w:rPr>
            </w:pPr>
            <w:r>
              <w:rPr>
                <w:rFonts w:hint="eastAsia" w:ascii="仿宋" w:hAnsi="仿宋" w:eastAsia="仿宋"/>
                <w:szCs w:val="21"/>
              </w:rPr>
              <w:t>专著申请和报销</w:t>
            </w:r>
          </w:p>
          <w:p>
            <w:pPr>
              <w:spacing w:line="360" w:lineRule="auto"/>
              <w:rPr>
                <w:rFonts w:ascii="仿宋" w:hAnsi="仿宋" w:eastAsia="仿宋"/>
                <w:szCs w:val="21"/>
              </w:rPr>
            </w:pPr>
            <w:r>
              <w:rPr>
                <w:rFonts w:hint="eastAsia" w:ascii="仿宋" w:hAnsi="仿宋" w:eastAsia="仿宋"/>
                <w:szCs w:val="21"/>
              </w:rPr>
              <w:t>专著获奖，论文获奖，优秀论文，专著获奖，专利获奖，科研/课题/新项目新技术的获奖。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232" w:type="dxa"/>
            <w:vAlign w:val="center"/>
          </w:tcPr>
          <w:p>
            <w:pPr>
              <w:spacing w:line="360" w:lineRule="auto"/>
              <w:rPr>
                <w:rFonts w:ascii="仿宋" w:hAnsi="仿宋" w:eastAsia="仿宋"/>
                <w:szCs w:val="21"/>
              </w:rPr>
            </w:pPr>
            <w:r>
              <w:rPr>
                <w:rFonts w:hint="eastAsia" w:ascii="仿宋" w:hAnsi="仿宋" w:eastAsia="仿宋"/>
                <w:szCs w:val="21"/>
              </w:rPr>
              <w:t>个人申请报销管理</w:t>
            </w:r>
          </w:p>
          <w:p>
            <w:pPr>
              <w:widowControl/>
              <w:spacing w:line="320" w:lineRule="exact"/>
              <w:jc w:val="left"/>
              <w:rPr>
                <w:rFonts w:ascii="仿宋" w:hAnsi="仿宋" w:eastAsia="仿宋" w:cs="宋体"/>
                <w:b/>
                <w:bCs/>
                <w:kern w:val="0"/>
                <w:szCs w:val="21"/>
              </w:rPr>
            </w:pPr>
          </w:p>
        </w:tc>
        <w:tc>
          <w:tcPr>
            <w:tcW w:w="7171" w:type="dxa"/>
            <w:vAlign w:val="center"/>
          </w:tcPr>
          <w:p>
            <w:pPr>
              <w:spacing w:line="360" w:lineRule="auto"/>
              <w:rPr>
                <w:rFonts w:ascii="仿宋" w:hAnsi="仿宋" w:eastAsia="仿宋"/>
                <w:szCs w:val="21"/>
              </w:rPr>
            </w:pPr>
            <w:bookmarkStart w:id="18" w:name="OLE_LINK2"/>
            <w:r>
              <w:rPr>
                <w:rFonts w:hint="eastAsia" w:ascii="仿宋" w:hAnsi="仿宋" w:eastAsia="仿宋"/>
                <w:szCs w:val="21"/>
              </w:rPr>
              <w:t>项目负责人和项目组成员可通过系统，按照已经设置好的项目具体开支名目，可申请使用的经费额度进行申请报销，</w:t>
            </w:r>
          </w:p>
          <w:p>
            <w:pPr>
              <w:spacing w:line="360" w:lineRule="auto"/>
              <w:rPr>
                <w:rFonts w:ascii="仿宋" w:hAnsi="仿宋" w:eastAsia="仿宋"/>
                <w:szCs w:val="21"/>
              </w:rPr>
            </w:pPr>
            <w:r>
              <w:rPr>
                <w:rFonts w:hint="eastAsia" w:ascii="仿宋" w:hAnsi="仿宋" w:eastAsia="仿宋"/>
                <w:szCs w:val="21"/>
              </w:rPr>
              <w:t>可查看修改个人信息，显示现有账户余额以及承担各个项目经费使用占比</w:t>
            </w:r>
          </w:p>
          <w:p>
            <w:pPr>
              <w:spacing w:line="360" w:lineRule="auto"/>
              <w:rPr>
                <w:rFonts w:ascii="仿宋" w:hAnsi="仿宋" w:eastAsia="仿宋"/>
                <w:szCs w:val="21"/>
              </w:rPr>
            </w:pPr>
            <w:r>
              <w:rPr>
                <w:rFonts w:hint="eastAsia" w:ascii="仿宋" w:hAnsi="仿宋" w:eastAsia="仿宋"/>
                <w:szCs w:val="21"/>
              </w:rPr>
              <w:t>系统对各个经费使用审批的流转到相应人员，直接在待办信息中显示，并展示已经处理过的申请单</w:t>
            </w:r>
          </w:p>
          <w:p>
            <w:pPr>
              <w:spacing w:line="360" w:lineRule="auto"/>
              <w:rPr>
                <w:rFonts w:ascii="仿宋" w:hAnsi="仿宋" w:eastAsia="仿宋"/>
                <w:szCs w:val="21"/>
              </w:rPr>
            </w:pPr>
            <w:r>
              <w:rPr>
                <w:rFonts w:hint="eastAsia" w:ascii="仿宋" w:hAnsi="仿宋" w:eastAsia="仿宋"/>
                <w:szCs w:val="21"/>
              </w:rPr>
              <w:t>提交过的个人申请，可查看申请审批的具体情况，包括审批结束，退回修改等</w:t>
            </w:r>
          </w:p>
          <w:p>
            <w:pPr>
              <w:spacing w:line="360" w:lineRule="auto"/>
              <w:rPr>
                <w:rFonts w:ascii="仿宋" w:hAnsi="仿宋" w:eastAsia="仿宋"/>
                <w:szCs w:val="21"/>
              </w:rPr>
            </w:pPr>
            <w:r>
              <w:rPr>
                <w:rFonts w:hint="eastAsia" w:ascii="仿宋" w:hAnsi="仿宋" w:eastAsia="仿宋"/>
                <w:szCs w:val="21"/>
              </w:rPr>
              <w:t>直接通过系统提交经费使用的申请单，未完成的申请单支持保存在草稿箱进行修改再提交</w:t>
            </w:r>
            <w:bookmarkEnd w:id="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232" w:type="dxa"/>
            <w:vAlign w:val="center"/>
          </w:tcPr>
          <w:p>
            <w:pPr>
              <w:spacing w:line="360" w:lineRule="auto"/>
              <w:rPr>
                <w:rFonts w:ascii="仿宋" w:hAnsi="仿宋" w:eastAsia="仿宋"/>
                <w:szCs w:val="21"/>
              </w:rPr>
            </w:pPr>
            <w:r>
              <w:rPr>
                <w:rFonts w:hint="eastAsia" w:ascii="仿宋" w:hAnsi="仿宋" w:eastAsia="仿宋"/>
                <w:szCs w:val="21"/>
              </w:rPr>
              <w:t>审核管理</w:t>
            </w:r>
          </w:p>
          <w:p>
            <w:pPr>
              <w:widowControl/>
              <w:spacing w:line="320" w:lineRule="exact"/>
              <w:jc w:val="left"/>
              <w:rPr>
                <w:rFonts w:ascii="仿宋" w:hAnsi="仿宋" w:eastAsia="仿宋" w:cs="宋体"/>
                <w:b/>
                <w:bCs/>
                <w:kern w:val="0"/>
                <w:szCs w:val="21"/>
              </w:rPr>
            </w:pPr>
          </w:p>
        </w:tc>
        <w:tc>
          <w:tcPr>
            <w:tcW w:w="7171" w:type="dxa"/>
            <w:vAlign w:val="center"/>
          </w:tcPr>
          <w:p>
            <w:pPr>
              <w:spacing w:line="360" w:lineRule="auto"/>
              <w:rPr>
                <w:rFonts w:ascii="仿宋" w:hAnsi="仿宋" w:eastAsia="仿宋"/>
                <w:szCs w:val="21"/>
              </w:rPr>
            </w:pPr>
            <w:r>
              <w:rPr>
                <w:rFonts w:hint="eastAsia" w:ascii="仿宋" w:hAnsi="仿宋" w:eastAsia="仿宋"/>
                <w:szCs w:val="21"/>
              </w:rPr>
              <w:t>为满足主管部门对经费使用的政策上的变化，系统要能灵活的根据医院具体审核流程进行审核流程配置，设置审核条件，和审核权限人员分组。</w:t>
            </w:r>
          </w:p>
          <w:p>
            <w:pPr>
              <w:spacing w:line="360" w:lineRule="auto"/>
              <w:rPr>
                <w:rFonts w:ascii="仿宋" w:hAnsi="仿宋" w:eastAsia="仿宋"/>
                <w:szCs w:val="21"/>
              </w:rPr>
            </w:pPr>
            <w:r>
              <w:rPr>
                <w:rFonts w:hint="eastAsia" w:ascii="仿宋" w:hAnsi="仿宋" w:eastAsia="仿宋"/>
                <w:szCs w:val="21"/>
              </w:rPr>
              <w:t>系统支持短信通知给对应审核人员，在手机上进行申请信息查看并完成审核，填写审核意见。</w:t>
            </w:r>
          </w:p>
          <w:p>
            <w:pPr>
              <w:spacing w:line="360" w:lineRule="auto"/>
              <w:rPr>
                <w:rFonts w:ascii="仿宋" w:hAnsi="仿宋" w:eastAsia="仿宋"/>
                <w:szCs w:val="21"/>
              </w:rPr>
            </w:pPr>
            <w:r>
              <w:rPr>
                <w:rFonts w:hint="eastAsia" w:ascii="仿宋" w:hAnsi="仿宋" w:eastAsia="仿宋"/>
                <w:szCs w:val="21"/>
              </w:rPr>
              <w:t>审核人员可查看待处理的事项，查看项目明细，申请明细；普通用户可在查看被驳回修改的申请</w:t>
            </w:r>
          </w:p>
          <w:p>
            <w:pPr>
              <w:spacing w:line="360" w:lineRule="auto"/>
              <w:rPr>
                <w:rFonts w:ascii="仿宋" w:hAnsi="仿宋" w:eastAsia="仿宋"/>
                <w:szCs w:val="21"/>
              </w:rPr>
            </w:pPr>
            <w:r>
              <w:rPr>
                <w:rFonts w:hint="eastAsia" w:ascii="仿宋" w:hAnsi="仿宋" w:eastAsia="仿宋"/>
                <w:szCs w:val="21"/>
              </w:rPr>
              <w:t>可查阅所有已经本人处理的申请单明细以及处理状态</w:t>
            </w:r>
          </w:p>
          <w:p>
            <w:pPr>
              <w:spacing w:line="360" w:lineRule="auto"/>
              <w:rPr>
                <w:rFonts w:ascii="仿宋" w:hAnsi="仿宋" w:eastAsia="仿宋"/>
                <w:szCs w:val="21"/>
              </w:rPr>
            </w:pPr>
            <w:r>
              <w:rPr>
                <w:rFonts w:hint="eastAsia" w:ascii="仿宋" w:hAnsi="仿宋" w:eastAsia="仿宋"/>
                <w:szCs w:val="21"/>
              </w:rPr>
              <w:t>可查阅个人所有的申请单状态以及撤销申请，流程结束后可打印申请单到财务领款</w:t>
            </w:r>
          </w:p>
          <w:p>
            <w:pPr>
              <w:spacing w:line="360" w:lineRule="auto"/>
              <w:rPr>
                <w:rFonts w:ascii="仿宋" w:hAnsi="仿宋" w:eastAsia="仿宋"/>
                <w:szCs w:val="21"/>
              </w:rPr>
            </w:pPr>
            <w:r>
              <w:rPr>
                <w:rFonts w:hint="eastAsia" w:ascii="仿宋" w:hAnsi="仿宋" w:eastAsia="仿宋"/>
                <w:szCs w:val="21"/>
              </w:rPr>
              <w:t>平台能对所有报销，审批，调整，到账信息进行印记追溯，做到变化有迹可循，方便事后追溯。</w:t>
            </w:r>
          </w:p>
          <w:p>
            <w:pPr>
              <w:spacing w:line="360" w:lineRule="auto"/>
              <w:rPr>
                <w:rFonts w:ascii="仿宋" w:hAnsi="仿宋" w:eastAsia="仿宋"/>
                <w:szCs w:val="21"/>
              </w:rPr>
            </w:pPr>
            <w:r>
              <w:rPr>
                <w:rFonts w:hint="eastAsia" w:ascii="仿宋" w:hAnsi="仿宋" w:eastAsia="仿宋"/>
                <w:szCs w:val="21"/>
              </w:rPr>
              <w:t>审核流程配置：</w:t>
            </w:r>
          </w:p>
          <w:p>
            <w:pPr>
              <w:spacing w:line="360" w:lineRule="auto"/>
              <w:rPr>
                <w:rFonts w:ascii="仿宋" w:hAnsi="仿宋" w:eastAsia="仿宋"/>
                <w:szCs w:val="21"/>
              </w:rPr>
            </w:pPr>
            <w:r>
              <w:rPr>
                <w:rFonts w:hint="eastAsia" w:ascii="仿宋" w:hAnsi="仿宋" w:eastAsia="仿宋"/>
                <w:szCs w:val="21"/>
              </w:rPr>
              <w:t>系统根据具体业务，配置不同的审核流程和审核组成员，保证各个单据自动流转到相关审核人进行审核，并支持在线打印纸质单据。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232" w:type="dxa"/>
            <w:vAlign w:val="center"/>
          </w:tcPr>
          <w:p>
            <w:pPr>
              <w:widowControl/>
              <w:spacing w:line="320" w:lineRule="exact"/>
              <w:jc w:val="left"/>
              <w:rPr>
                <w:rFonts w:ascii="仿宋" w:hAnsi="仿宋" w:eastAsia="仿宋"/>
                <w:szCs w:val="21"/>
              </w:rPr>
            </w:pPr>
            <w:r>
              <w:rPr>
                <w:rFonts w:hint="eastAsia" w:ascii="仿宋" w:hAnsi="仿宋" w:eastAsia="仿宋"/>
                <w:szCs w:val="21"/>
              </w:rPr>
              <w:t>系统基础配置</w:t>
            </w:r>
          </w:p>
        </w:tc>
        <w:tc>
          <w:tcPr>
            <w:tcW w:w="7171" w:type="dxa"/>
            <w:vAlign w:val="center"/>
          </w:tcPr>
          <w:p>
            <w:pPr>
              <w:spacing w:line="360" w:lineRule="auto"/>
              <w:rPr>
                <w:rFonts w:ascii="仿宋" w:hAnsi="仿宋" w:eastAsia="仿宋"/>
                <w:szCs w:val="21"/>
              </w:rPr>
            </w:pPr>
            <w:r>
              <w:rPr>
                <w:rFonts w:hint="eastAsia" w:ascii="仿宋" w:hAnsi="仿宋" w:eastAsia="仿宋"/>
                <w:szCs w:val="21"/>
              </w:rPr>
              <w:t>通知公告：区分通知公告、规章制度、相关下载等通知类型，方便通知信息查看和存储。</w:t>
            </w:r>
          </w:p>
          <w:p>
            <w:pPr>
              <w:spacing w:line="360" w:lineRule="auto"/>
              <w:rPr>
                <w:rFonts w:ascii="仿宋" w:hAnsi="仿宋" w:eastAsia="仿宋"/>
                <w:szCs w:val="21"/>
              </w:rPr>
            </w:pPr>
            <w:r>
              <w:rPr>
                <w:rFonts w:hint="eastAsia" w:ascii="仿宋" w:hAnsi="仿宋" w:eastAsia="仿宋"/>
                <w:szCs w:val="21"/>
              </w:rPr>
              <w:t>可对接短信平台：重要通知公告，及审核流转均可通过短信形式告知对应人员，提供工作效率。</w:t>
            </w:r>
          </w:p>
          <w:p>
            <w:pPr>
              <w:spacing w:line="360" w:lineRule="auto"/>
              <w:rPr>
                <w:rFonts w:ascii="仿宋" w:hAnsi="仿宋" w:eastAsia="仿宋"/>
                <w:szCs w:val="21"/>
              </w:rPr>
            </w:pPr>
            <w:r>
              <w:rPr>
                <w:rFonts w:hint="eastAsia" w:ascii="仿宋" w:hAnsi="仿宋" w:eastAsia="仿宋"/>
                <w:szCs w:val="21"/>
              </w:rPr>
              <w:t>用户信息管理：</w:t>
            </w:r>
          </w:p>
          <w:p>
            <w:pPr>
              <w:spacing w:line="360" w:lineRule="auto"/>
              <w:rPr>
                <w:rFonts w:ascii="仿宋" w:hAnsi="仿宋" w:eastAsia="仿宋"/>
                <w:szCs w:val="21"/>
              </w:rPr>
            </w:pPr>
            <w:r>
              <w:rPr>
                <w:rFonts w:hint="eastAsia" w:ascii="仿宋" w:hAnsi="仿宋" w:eastAsia="仿宋"/>
                <w:szCs w:val="21"/>
              </w:rPr>
              <w:t>个人资料管理：普通用户可对个人基础资料进行修改调整，密码修改等</w:t>
            </w:r>
          </w:p>
          <w:p>
            <w:pPr>
              <w:spacing w:line="360" w:lineRule="auto"/>
              <w:rPr>
                <w:rFonts w:ascii="仿宋" w:hAnsi="仿宋" w:eastAsia="仿宋"/>
                <w:szCs w:val="21"/>
              </w:rPr>
            </w:pPr>
            <w:r>
              <w:rPr>
                <w:rFonts w:hint="eastAsia" w:ascii="仿宋" w:hAnsi="仿宋" w:eastAsia="仿宋"/>
                <w:szCs w:val="21"/>
              </w:rPr>
              <w:t>员工管理：管理员对本院员工资料进行维护和修改，包括姓名、职务、职位、职称等级、学历、联系方式等</w:t>
            </w:r>
          </w:p>
          <w:p>
            <w:pPr>
              <w:spacing w:line="360" w:lineRule="auto"/>
              <w:rPr>
                <w:rFonts w:ascii="仿宋" w:hAnsi="仿宋" w:eastAsia="仿宋"/>
                <w:szCs w:val="21"/>
              </w:rPr>
            </w:pPr>
            <w:r>
              <w:rPr>
                <w:rFonts w:hint="eastAsia" w:ascii="仿宋" w:hAnsi="仿宋" w:eastAsia="仿宋"/>
                <w:szCs w:val="21"/>
              </w:rPr>
              <w:t>草稿箱：对正在填报的单据暂存到草稿箱，确定填报信息后，再进行填写提交。</w:t>
            </w:r>
          </w:p>
          <w:p>
            <w:pPr>
              <w:spacing w:line="360" w:lineRule="auto"/>
              <w:rPr>
                <w:rFonts w:ascii="仿宋" w:hAnsi="仿宋" w:eastAsia="仿宋"/>
                <w:szCs w:val="21"/>
              </w:rPr>
            </w:pPr>
            <w:r>
              <w:rPr>
                <w:rFonts w:hint="eastAsia" w:ascii="仿宋" w:hAnsi="仿宋" w:eastAsia="仿宋"/>
                <w:szCs w:val="21"/>
              </w:rPr>
              <w:t>对经费支出费用来源进行设置：设置优先使用资助经费，再用配套经费。</w:t>
            </w:r>
          </w:p>
        </w:tc>
      </w:tr>
    </w:tbl>
    <w:p>
      <w:pPr>
        <w:pStyle w:val="34"/>
        <w:numPr>
          <w:ilvl w:val="0"/>
          <w:numId w:val="10"/>
        </w:numPr>
        <w:spacing w:before="60" w:beforeAutospacing="0" w:after="0" w:afterAutospacing="0" w:line="336" w:lineRule="atLeast"/>
        <w:rPr>
          <w:rFonts w:ascii="宋体" w:hAnsi="宋体" w:cs="Courier New"/>
          <w:sz w:val="28"/>
          <w:szCs w:val="28"/>
        </w:rPr>
      </w:pPr>
      <w:r>
        <w:rPr>
          <w:rFonts w:hint="eastAsia" w:ascii="宋体" w:hAnsi="宋体" w:cs="Courier New"/>
          <w:sz w:val="28"/>
          <w:szCs w:val="28"/>
        </w:rPr>
        <w:t>图书馆管理软件功能清单</w:t>
      </w:r>
    </w:p>
    <w:tbl>
      <w:tblPr>
        <w:tblStyle w:val="39"/>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296"/>
        <w:gridCol w:w="5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1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序号</w:t>
            </w:r>
          </w:p>
        </w:tc>
        <w:tc>
          <w:tcPr>
            <w:tcW w:w="1296"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产品名称/</w:t>
            </w:r>
          </w:p>
          <w:p>
            <w:pPr>
              <w:spacing w:line="360" w:lineRule="auto"/>
              <w:rPr>
                <w:rFonts w:hint="eastAsia" w:ascii="仿宋" w:hAnsi="仿宋" w:eastAsia="仿宋"/>
                <w:szCs w:val="21"/>
              </w:rPr>
            </w:pPr>
            <w:r>
              <w:rPr>
                <w:rFonts w:hint="eastAsia" w:ascii="仿宋" w:hAnsi="仿宋" w:eastAsia="仿宋"/>
                <w:szCs w:val="21"/>
              </w:rPr>
              <w:t>功能模块</w:t>
            </w:r>
          </w:p>
        </w:tc>
        <w:tc>
          <w:tcPr>
            <w:tcW w:w="545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1</w:t>
            </w:r>
          </w:p>
        </w:tc>
        <w:tc>
          <w:tcPr>
            <w:tcW w:w="1296"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网络架构</w:t>
            </w:r>
          </w:p>
        </w:tc>
        <w:tc>
          <w:tcPr>
            <w:tcW w:w="545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采用基于Web的纯B/S结构，非C/S或B/S+C/S架构；</w:t>
            </w:r>
          </w:p>
          <w:p>
            <w:pPr>
              <w:spacing w:line="360" w:lineRule="auto"/>
              <w:rPr>
                <w:rFonts w:hint="eastAsia" w:ascii="仿宋" w:hAnsi="仿宋" w:eastAsia="仿宋"/>
                <w:szCs w:val="21"/>
              </w:rPr>
            </w:pPr>
            <w:r>
              <w:rPr>
                <w:rFonts w:hint="eastAsia" w:ascii="仿宋" w:hAnsi="仿宋" w:eastAsia="仿宋"/>
                <w:szCs w:val="21"/>
              </w:rPr>
              <w:t>管理系统功能全部运行于浏览器上操作，功能菜单跟随浏</w:t>
            </w:r>
          </w:p>
          <w:p>
            <w:pPr>
              <w:spacing w:line="360" w:lineRule="auto"/>
              <w:rPr>
                <w:rFonts w:hint="eastAsia" w:ascii="仿宋" w:hAnsi="仿宋" w:eastAsia="仿宋"/>
                <w:szCs w:val="21"/>
              </w:rPr>
            </w:pPr>
            <w:r>
              <w:rPr>
                <w:rFonts w:hint="eastAsia" w:ascii="仿宋" w:hAnsi="仿宋" w:eastAsia="仿宋"/>
                <w:szCs w:val="21"/>
              </w:rPr>
              <w:t>览器自动适应窗口；无须安装客户端与插件即可远程网上</w:t>
            </w:r>
          </w:p>
          <w:p>
            <w:pPr>
              <w:spacing w:line="360" w:lineRule="auto"/>
              <w:rPr>
                <w:rFonts w:hint="eastAsia" w:ascii="仿宋" w:hAnsi="仿宋" w:eastAsia="仿宋"/>
                <w:szCs w:val="21"/>
              </w:rPr>
            </w:pPr>
            <w:r>
              <w:rPr>
                <w:rFonts w:hint="eastAsia" w:ascii="仿宋" w:hAnsi="仿宋" w:eastAsia="仿宋"/>
                <w:szCs w:val="21"/>
              </w:rPr>
              <w:t>查书、预定图书、联机远程编目、修改图书信息、备份数</w:t>
            </w:r>
          </w:p>
          <w:p>
            <w:pPr>
              <w:spacing w:line="360" w:lineRule="auto"/>
              <w:rPr>
                <w:rFonts w:hint="eastAsia" w:ascii="仿宋" w:hAnsi="仿宋" w:eastAsia="仿宋"/>
                <w:szCs w:val="21"/>
              </w:rPr>
            </w:pPr>
            <w:r>
              <w:rPr>
                <w:rFonts w:hint="eastAsia" w:ascii="仿宋" w:hAnsi="仿宋" w:eastAsia="仿宋"/>
                <w:szCs w:val="21"/>
              </w:rPr>
              <w:t>据、打印图书清单、借阅图书、批量EXCEL格式导入读</w:t>
            </w:r>
          </w:p>
          <w:p>
            <w:pPr>
              <w:spacing w:line="360" w:lineRule="auto"/>
              <w:rPr>
                <w:rFonts w:hint="eastAsia" w:ascii="仿宋" w:hAnsi="仿宋" w:eastAsia="仿宋"/>
                <w:szCs w:val="21"/>
              </w:rPr>
            </w:pPr>
            <w:r>
              <w:rPr>
                <w:rFonts w:hint="eastAsia" w:ascii="仿宋" w:hAnsi="仿宋" w:eastAsia="仿宋"/>
                <w:szCs w:val="21"/>
              </w:rPr>
              <w:t>者信息与图书信息等所有图书管理操作工作;系统为正版</w:t>
            </w:r>
          </w:p>
          <w:p>
            <w:pPr>
              <w:spacing w:line="360" w:lineRule="auto"/>
              <w:rPr>
                <w:rFonts w:hint="eastAsia" w:ascii="仿宋" w:hAnsi="仿宋" w:eastAsia="仿宋"/>
                <w:szCs w:val="21"/>
              </w:rPr>
            </w:pPr>
            <w:r>
              <w:rPr>
                <w:rFonts w:hint="eastAsia" w:ascii="仿宋" w:hAnsi="仿宋" w:eastAsia="仿宋"/>
                <w:szCs w:val="21"/>
              </w:rPr>
              <w:t>软件，系统加密信息高，保护用户信息不易泄露，采用AES</w:t>
            </w:r>
          </w:p>
          <w:p>
            <w:pPr>
              <w:spacing w:line="360" w:lineRule="auto"/>
              <w:rPr>
                <w:rFonts w:hint="eastAsia" w:ascii="仿宋" w:hAnsi="仿宋" w:eastAsia="仿宋"/>
                <w:szCs w:val="21"/>
              </w:rPr>
            </w:pPr>
            <w:r>
              <w:rPr>
                <w:rFonts w:hint="eastAsia" w:ascii="仿宋" w:hAnsi="仿宋" w:eastAsia="仿宋"/>
                <w:szCs w:val="21"/>
              </w:rPr>
              <w:t>128位硬件加密安全保护。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2</w:t>
            </w:r>
          </w:p>
        </w:tc>
        <w:tc>
          <w:tcPr>
            <w:tcW w:w="1296"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数据库设计</w:t>
            </w:r>
          </w:p>
        </w:tc>
        <w:tc>
          <w:tcPr>
            <w:tcW w:w="545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采用MY SQL 数据库，安装程序一体化，无需独立安装数据库；系统可按任意时间设置自动备份数据（图书、期刊、教材、读者、借阅记录、Z39.5服务器信息）；系统兼容DBF数据库，可导入DBF数据库图书信息(要求提供实际操作演示视频)。使用TOMCAT发布系统，符合教育部颁布的信息化管理平台标准，支持windows所有操作系统包括WIN7/WIN8/10 32位/64位系统、Linux跨平台安装使用；结合校园一卡通系统，利用现有学生卡可进行图书借阅；具有多用户权限管理，超级管理员可赋予用户相应的图书管理功能。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3</w:t>
            </w:r>
          </w:p>
        </w:tc>
        <w:tc>
          <w:tcPr>
            <w:tcW w:w="1296"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系统集成</w:t>
            </w:r>
          </w:p>
        </w:tc>
        <w:tc>
          <w:tcPr>
            <w:tcW w:w="545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系统集图书、期刊、教材、OPAC四合一管理功能；可无缝</w:t>
            </w:r>
          </w:p>
          <w:p>
            <w:pPr>
              <w:spacing w:line="360" w:lineRule="auto"/>
              <w:rPr>
                <w:rFonts w:hint="eastAsia" w:ascii="仿宋" w:hAnsi="仿宋" w:eastAsia="仿宋"/>
                <w:szCs w:val="21"/>
              </w:rPr>
            </w:pPr>
            <w:r>
              <w:rPr>
                <w:rFonts w:hint="eastAsia" w:ascii="仿宋" w:hAnsi="仿宋" w:eastAsia="仿宋"/>
                <w:szCs w:val="21"/>
              </w:rPr>
              <w:t>对接卓一图书馆集群管理系统，通过集群系统可以查询每</w:t>
            </w:r>
          </w:p>
          <w:p>
            <w:pPr>
              <w:spacing w:line="360" w:lineRule="auto"/>
              <w:rPr>
                <w:rFonts w:hint="eastAsia" w:ascii="仿宋" w:hAnsi="仿宋" w:eastAsia="仿宋"/>
                <w:szCs w:val="21"/>
              </w:rPr>
            </w:pPr>
            <w:r>
              <w:rPr>
                <w:rFonts w:hint="eastAsia" w:ascii="仿宋" w:hAnsi="仿宋" w:eastAsia="仿宋"/>
                <w:szCs w:val="21"/>
              </w:rPr>
              <w:t>个学校或分校图书馆的图书相关数据信息；并且有发短信</w:t>
            </w:r>
          </w:p>
          <w:p>
            <w:pPr>
              <w:spacing w:line="360" w:lineRule="auto"/>
              <w:rPr>
                <w:rFonts w:hint="eastAsia" w:ascii="仿宋" w:hAnsi="仿宋" w:eastAsia="仿宋"/>
                <w:szCs w:val="21"/>
              </w:rPr>
            </w:pPr>
            <w:r>
              <w:rPr>
                <w:rFonts w:hint="eastAsia" w:ascii="仿宋" w:hAnsi="仿宋" w:eastAsia="仿宋"/>
                <w:szCs w:val="21"/>
              </w:rPr>
              <w:t>催还图书功能。读者借阅记录、图书借阅记录可按排行榜</w:t>
            </w:r>
          </w:p>
          <w:p>
            <w:pPr>
              <w:spacing w:line="360" w:lineRule="auto"/>
              <w:rPr>
                <w:rFonts w:hint="eastAsia" w:ascii="仿宋" w:hAnsi="仿宋" w:eastAsia="仿宋"/>
                <w:szCs w:val="21"/>
              </w:rPr>
            </w:pPr>
            <w:r>
              <w:rPr>
                <w:rFonts w:hint="eastAsia" w:ascii="仿宋" w:hAnsi="仿宋" w:eastAsia="仿宋"/>
                <w:szCs w:val="21"/>
              </w:rPr>
              <w:t>EXCEL格式导出、催还管理的清单支持EXCEL的导出，并</w:t>
            </w:r>
          </w:p>
          <w:p>
            <w:pPr>
              <w:spacing w:line="360" w:lineRule="auto"/>
              <w:rPr>
                <w:rFonts w:hint="eastAsia" w:ascii="仿宋" w:hAnsi="仿宋" w:eastAsia="仿宋"/>
                <w:szCs w:val="21"/>
              </w:rPr>
            </w:pPr>
            <w:r>
              <w:rPr>
                <w:rFonts w:hint="eastAsia" w:ascii="仿宋" w:hAnsi="仿宋" w:eastAsia="仿宋"/>
                <w:szCs w:val="21"/>
              </w:rPr>
              <w:t>且还可以支持多个学校图书馆图书馆际互借；OPAC检索系</w:t>
            </w:r>
          </w:p>
          <w:p>
            <w:pPr>
              <w:spacing w:line="360" w:lineRule="auto"/>
              <w:rPr>
                <w:rFonts w:hint="eastAsia" w:ascii="仿宋" w:hAnsi="仿宋" w:eastAsia="仿宋"/>
                <w:szCs w:val="21"/>
              </w:rPr>
            </w:pPr>
            <w:r>
              <w:rPr>
                <w:rFonts w:hint="eastAsia" w:ascii="仿宋" w:hAnsi="仿宋" w:eastAsia="仿宋"/>
                <w:szCs w:val="21"/>
              </w:rPr>
              <w:t>统支持PC、手机、平板进行精确、模糊方式检索图书并预</w:t>
            </w:r>
          </w:p>
          <w:p>
            <w:pPr>
              <w:spacing w:line="360" w:lineRule="auto"/>
              <w:rPr>
                <w:rFonts w:hint="eastAsia" w:ascii="仿宋" w:hAnsi="仿宋" w:eastAsia="仿宋"/>
                <w:szCs w:val="21"/>
              </w:rPr>
            </w:pPr>
            <w:r>
              <w:rPr>
                <w:rFonts w:hint="eastAsia" w:ascii="仿宋" w:hAnsi="仿宋" w:eastAsia="仿宋"/>
                <w:szCs w:val="21"/>
              </w:rPr>
              <w:t>借图书。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4</w:t>
            </w:r>
          </w:p>
        </w:tc>
        <w:tc>
          <w:tcPr>
            <w:tcW w:w="1296"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采购管理</w:t>
            </w:r>
          </w:p>
        </w:tc>
        <w:tc>
          <w:tcPr>
            <w:tcW w:w="545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可以进行数据采集、预订管理、订购管理、验收管理、退订管理、采购统计、供</w:t>
            </w:r>
          </w:p>
          <w:p>
            <w:pPr>
              <w:spacing w:line="360" w:lineRule="auto"/>
              <w:rPr>
                <w:rFonts w:hint="eastAsia" w:ascii="仿宋" w:hAnsi="仿宋" w:eastAsia="仿宋"/>
                <w:szCs w:val="21"/>
              </w:rPr>
            </w:pPr>
            <w:r>
              <w:rPr>
                <w:rFonts w:hint="eastAsia" w:ascii="仿宋" w:hAnsi="仿宋" w:eastAsia="仿宋"/>
                <w:szCs w:val="21"/>
              </w:rPr>
              <w:t>应商管理、读者征订。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5</w:t>
            </w:r>
          </w:p>
        </w:tc>
        <w:tc>
          <w:tcPr>
            <w:tcW w:w="1296"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编目管理</w:t>
            </w:r>
          </w:p>
        </w:tc>
        <w:tc>
          <w:tcPr>
            <w:tcW w:w="545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可以进行报表打印，报表打印可按条形码区间或时间区间进行清单分类打印</w:t>
            </w:r>
          </w:p>
          <w:p>
            <w:pPr>
              <w:spacing w:line="360" w:lineRule="auto"/>
              <w:rPr>
                <w:rFonts w:hint="eastAsia" w:ascii="仿宋" w:hAnsi="仿宋" w:eastAsia="仿宋"/>
                <w:szCs w:val="21"/>
              </w:rPr>
            </w:pPr>
            <w:r>
              <w:rPr>
                <w:rFonts w:hint="eastAsia" w:ascii="仿宋" w:hAnsi="仿宋" w:eastAsia="仿宋"/>
                <w:szCs w:val="21"/>
              </w:rPr>
              <w:t>或Excel导出数据。编目入库支持新增图书，ISBN支持13位转10位与13位转13位， 正题名与丛书题名具体查重功能，编目入库与Z39.5服务器同一窗口，具有免费套录互联网图书数据。编目入库还具有图书查询功能，可按ISBN、正题名、第一责任者、丛书题名、丛书与责任者、索书号、价格、副本数、出版社、编目日期、条形码、批次号进行检索图书信并可按升降序进行排列导出marc与excel数据，还可进行数据检验功能，保证图书的数据准确性。可进行按图书相关信息进行检索结果进行图书推荐，图书推荐等级越高，在opac检索系统显示排行就越高。新书支持导入MARC 100条万以上的数据、EXCEL数据直接导入导出，并在系统显示导入数据的清单内容；使用扫描枪扫条码直接保存入库信息，无需手动进行保存，极大节约了编目工作时间。软件厂商赠送不少于70万条MARC数据。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6</w:t>
            </w:r>
          </w:p>
        </w:tc>
        <w:tc>
          <w:tcPr>
            <w:tcW w:w="1296"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期刊管理</w:t>
            </w:r>
          </w:p>
        </w:tc>
        <w:tc>
          <w:tcPr>
            <w:tcW w:w="545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期刊登记、签到管理、期刊合订、期刊统计、期刊分类、条码设置。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7</w:t>
            </w:r>
          </w:p>
        </w:tc>
        <w:tc>
          <w:tcPr>
            <w:tcW w:w="1296"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教材管理</w:t>
            </w:r>
          </w:p>
        </w:tc>
        <w:tc>
          <w:tcPr>
            <w:tcW w:w="545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具体教材登记、教材订购、教材验收、教材发放、订购统计、库存统计、发放统计，教材管理统计都可以图表形式显现出来直接打印。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shd w:val="clear" w:color="auto" w:fill="auto"/>
            <w:vAlign w:val="center"/>
          </w:tcPr>
          <w:p>
            <w:pPr>
              <w:spacing w:line="360" w:lineRule="auto"/>
              <w:rPr>
                <w:rFonts w:hint="eastAsia" w:ascii="仿宋" w:hAnsi="仿宋" w:eastAsia="仿宋"/>
                <w:szCs w:val="21"/>
              </w:rPr>
            </w:pPr>
          </w:p>
        </w:tc>
        <w:tc>
          <w:tcPr>
            <w:tcW w:w="1296" w:type="dxa"/>
            <w:shd w:val="clear" w:color="auto" w:fill="auto"/>
            <w:vAlign w:val="center"/>
          </w:tcPr>
          <w:p>
            <w:pPr>
              <w:spacing w:line="360" w:lineRule="auto"/>
              <w:rPr>
                <w:rFonts w:hint="eastAsia" w:ascii="仿宋" w:hAnsi="仿宋" w:eastAsia="仿宋"/>
                <w:szCs w:val="21"/>
              </w:rPr>
            </w:pPr>
          </w:p>
        </w:tc>
        <w:tc>
          <w:tcPr>
            <w:tcW w:w="545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流通管理：借还管理（借书、还书、续借同一窗口操作）、预借管理、催还管理（清单打印、催还通知书打印、短信批量发送、Excel导出）、罚款管理（具有短信通知功能）、典藏管理（馆藏地图书转库）、异常管理（可批量处理）、数据整理（过期借阅记录清理、过期预借记录清理）、流通检索（可按部门、借还状态、日期进行查询并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8</w:t>
            </w:r>
          </w:p>
        </w:tc>
        <w:tc>
          <w:tcPr>
            <w:tcW w:w="1296"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信息查询</w:t>
            </w:r>
          </w:p>
        </w:tc>
        <w:tc>
          <w:tcPr>
            <w:tcW w:w="545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图书检索、期刊检索、读者借阅查询、图书借阅查询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9</w:t>
            </w:r>
          </w:p>
        </w:tc>
        <w:tc>
          <w:tcPr>
            <w:tcW w:w="1296"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读者管理</w:t>
            </w:r>
          </w:p>
        </w:tc>
        <w:tc>
          <w:tcPr>
            <w:tcW w:w="545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借阅证管理（可按借阅证、性别、部门、类型、状态查询、制作借阅证、EXCEL导出读者信息）、部门管理（具有一键升级班级）、借阅类型管理、离馆管理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10</w:t>
            </w:r>
          </w:p>
        </w:tc>
        <w:tc>
          <w:tcPr>
            <w:tcW w:w="1296"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统计功能</w:t>
            </w:r>
          </w:p>
        </w:tc>
        <w:tc>
          <w:tcPr>
            <w:tcW w:w="545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完善的统计功能：当日盘点（编目、流通、进馆人次统计）、图书分类统计（分类号、分类名、图书种类数、当前类及子类种数、当前类及子类图书种数、馆藏册数、馆藏金额、异常册数、异常金额、总册数、总金额）、图书状态统计（馆藏地、在库、外借、在库非外借、残缺、报废、挂失、管际外借锁定、管际外借出馆、合计、显示图表）、图书馆藏统计（馆藏地、馆藏册数、馆藏金额、异常册数、异常金额、总册数、总金额）、读者借阅统计（借阅证、姓名、性别、部门、借阅次数、最后借阅时间、未还图书、罚款信息、读者排行榜、部门统计）、图书借阅统计（条形码、正题名、分类号、借阅次数、类型、馆藏、状态、图书排行榜、分类统计）、及流通统计（文献流通率、读者成份率、全馆保障率、读者阅读率）。</w:t>
            </w:r>
          </w:p>
          <w:p>
            <w:pPr>
              <w:spacing w:line="360" w:lineRule="auto"/>
              <w:rPr>
                <w:rFonts w:hint="eastAsia" w:ascii="仿宋" w:hAnsi="仿宋" w:eastAsia="仿宋"/>
                <w:szCs w:val="21"/>
              </w:rPr>
            </w:pPr>
            <w:r>
              <w:rPr>
                <w:rFonts w:hint="eastAsia" w:ascii="仿宋" w:hAnsi="仿宋" w:eastAsia="仿宋"/>
                <w:szCs w:val="21"/>
              </w:rPr>
              <w:t>图书数据可以按ISBN、正题名、第一责任者、分类号、索</w:t>
            </w:r>
          </w:p>
          <w:p>
            <w:pPr>
              <w:spacing w:line="360" w:lineRule="auto"/>
              <w:rPr>
                <w:rFonts w:hint="eastAsia" w:ascii="仿宋" w:hAnsi="仿宋" w:eastAsia="仿宋"/>
                <w:szCs w:val="21"/>
              </w:rPr>
            </w:pPr>
            <w:r>
              <w:rPr>
                <w:rFonts w:hint="eastAsia" w:ascii="仿宋" w:hAnsi="仿宋" w:eastAsia="仿宋"/>
                <w:szCs w:val="21"/>
              </w:rPr>
              <w:t>书号、价格、复本数、出版社、出版日期、编目日期进行</w:t>
            </w:r>
          </w:p>
          <w:p>
            <w:pPr>
              <w:spacing w:line="360" w:lineRule="auto"/>
              <w:rPr>
                <w:rFonts w:hint="eastAsia" w:ascii="仿宋" w:hAnsi="仿宋" w:eastAsia="仿宋"/>
                <w:szCs w:val="21"/>
              </w:rPr>
            </w:pPr>
            <w:r>
              <w:rPr>
                <w:rFonts w:hint="eastAsia" w:ascii="仿宋" w:hAnsi="仿宋" w:eastAsia="仿宋"/>
                <w:szCs w:val="21"/>
              </w:rPr>
              <w:t>升降序进行排序以及读者信息与借阅统计可按借阅证号、</w:t>
            </w:r>
          </w:p>
          <w:p>
            <w:pPr>
              <w:spacing w:line="360" w:lineRule="auto"/>
              <w:rPr>
                <w:rFonts w:hint="eastAsia" w:ascii="仿宋" w:hAnsi="仿宋" w:eastAsia="仿宋"/>
                <w:szCs w:val="21"/>
              </w:rPr>
            </w:pPr>
            <w:r>
              <w:rPr>
                <w:rFonts w:hint="eastAsia" w:ascii="仿宋" w:hAnsi="仿宋" w:eastAsia="仿宋"/>
                <w:szCs w:val="21"/>
              </w:rPr>
              <w:t>性别、部门、借阅次数进行升降排序并可使用PDF直接打</w:t>
            </w:r>
          </w:p>
          <w:p>
            <w:pPr>
              <w:spacing w:line="360" w:lineRule="auto"/>
              <w:rPr>
                <w:rFonts w:hint="eastAsia" w:ascii="仿宋" w:hAnsi="仿宋" w:eastAsia="仿宋"/>
                <w:szCs w:val="21"/>
              </w:rPr>
            </w:pPr>
            <w:r>
              <w:rPr>
                <w:rFonts w:hint="eastAsia" w:ascii="仿宋" w:hAnsi="仿宋" w:eastAsia="仿宋"/>
                <w:szCs w:val="21"/>
              </w:rPr>
              <w:t>印出来或导出excel格式。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11</w:t>
            </w:r>
          </w:p>
        </w:tc>
        <w:tc>
          <w:tcPr>
            <w:tcW w:w="1296"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读者管理</w:t>
            </w:r>
          </w:p>
        </w:tc>
        <w:tc>
          <w:tcPr>
            <w:tcW w:w="545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图书分类（多层级分类，同一类最高达9层次）、出版社</w:t>
            </w:r>
          </w:p>
          <w:p>
            <w:pPr>
              <w:spacing w:line="360" w:lineRule="auto"/>
              <w:rPr>
                <w:rFonts w:hint="eastAsia" w:ascii="仿宋" w:hAnsi="仿宋" w:eastAsia="仿宋"/>
                <w:szCs w:val="21"/>
              </w:rPr>
            </w:pPr>
            <w:r>
              <w:rPr>
                <w:rFonts w:hint="eastAsia" w:ascii="仿宋" w:hAnsi="仿宋" w:eastAsia="仿宋"/>
                <w:szCs w:val="21"/>
              </w:rPr>
              <w:t>管理（含1300个出版社）、馆藏地管理、编目设置、书次饮号设置（种次号、著者号或同时使用）、假期设置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12</w:t>
            </w:r>
          </w:p>
        </w:tc>
        <w:tc>
          <w:tcPr>
            <w:tcW w:w="1296"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系统管理</w:t>
            </w:r>
          </w:p>
        </w:tc>
        <w:tc>
          <w:tcPr>
            <w:tcW w:w="545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用户管理、权限管理（可分配不同功能给不同</w:t>
            </w:r>
          </w:p>
          <w:p>
            <w:pPr>
              <w:spacing w:line="360" w:lineRule="auto"/>
              <w:rPr>
                <w:rFonts w:hint="eastAsia" w:ascii="仿宋" w:hAnsi="仿宋" w:eastAsia="仿宋"/>
                <w:szCs w:val="21"/>
              </w:rPr>
            </w:pPr>
            <w:r>
              <w:rPr>
                <w:rFonts w:hint="eastAsia" w:ascii="仿宋" w:hAnsi="仿宋" w:eastAsia="仿宋"/>
                <w:szCs w:val="21"/>
              </w:rPr>
              <w:t>用户使用）、代码维护、系统备份（即时还原备份、定时</w:t>
            </w:r>
          </w:p>
          <w:p>
            <w:pPr>
              <w:spacing w:line="360" w:lineRule="auto"/>
              <w:rPr>
                <w:rFonts w:hint="eastAsia" w:ascii="仿宋" w:hAnsi="仿宋" w:eastAsia="仿宋"/>
                <w:szCs w:val="21"/>
              </w:rPr>
            </w:pPr>
            <w:r>
              <w:rPr>
                <w:rFonts w:hint="eastAsia" w:ascii="仿宋" w:hAnsi="仿宋" w:eastAsia="仿宋"/>
                <w:szCs w:val="21"/>
              </w:rPr>
              <w:t>备份、DBF数据导入）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restart"/>
            <w:shd w:val="clear" w:color="auto" w:fill="auto"/>
            <w:vAlign w:val="center"/>
          </w:tcPr>
          <w:p>
            <w:pPr>
              <w:spacing w:line="360" w:lineRule="auto"/>
              <w:rPr>
                <w:rFonts w:hint="eastAsia" w:ascii="仿宋" w:hAnsi="仿宋" w:eastAsia="仿宋"/>
                <w:szCs w:val="21"/>
              </w:rPr>
            </w:pPr>
          </w:p>
          <w:p>
            <w:pPr>
              <w:spacing w:line="360" w:lineRule="auto"/>
              <w:rPr>
                <w:rFonts w:hint="eastAsia" w:ascii="仿宋" w:hAnsi="仿宋" w:eastAsia="仿宋"/>
                <w:szCs w:val="21"/>
              </w:rPr>
            </w:pPr>
            <w:r>
              <w:rPr>
                <w:rFonts w:hint="eastAsia" w:ascii="仿宋" w:hAnsi="仿宋" w:eastAsia="仿宋"/>
                <w:szCs w:val="21"/>
              </w:rPr>
              <w:t>13</w:t>
            </w:r>
          </w:p>
          <w:p>
            <w:pPr>
              <w:spacing w:line="360" w:lineRule="auto"/>
              <w:rPr>
                <w:rFonts w:hint="eastAsia" w:ascii="仿宋" w:hAnsi="仿宋" w:eastAsia="仿宋"/>
                <w:szCs w:val="21"/>
              </w:rPr>
            </w:pPr>
          </w:p>
        </w:tc>
        <w:tc>
          <w:tcPr>
            <w:tcW w:w="1296" w:type="dxa"/>
            <w:vMerge w:val="restart"/>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其他</w:t>
            </w:r>
          </w:p>
        </w:tc>
        <w:tc>
          <w:tcPr>
            <w:tcW w:w="545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Z39.50客户端，系统可与其它Z39.50服务器数据套录，</w:t>
            </w:r>
          </w:p>
          <w:p>
            <w:pPr>
              <w:spacing w:line="360" w:lineRule="auto"/>
              <w:rPr>
                <w:rFonts w:hint="eastAsia" w:ascii="仿宋" w:hAnsi="仿宋" w:eastAsia="仿宋"/>
                <w:szCs w:val="21"/>
              </w:rPr>
            </w:pPr>
            <w:r>
              <w:rPr>
                <w:rFonts w:hint="eastAsia" w:ascii="仿宋" w:hAnsi="仿宋" w:eastAsia="仿宋"/>
                <w:szCs w:val="21"/>
              </w:rPr>
              <w:t>下载数据并可导出为MARC。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continue"/>
            <w:shd w:val="clear" w:color="auto" w:fill="auto"/>
            <w:vAlign w:val="center"/>
          </w:tcPr>
          <w:p>
            <w:pPr>
              <w:spacing w:line="360" w:lineRule="auto"/>
              <w:rPr>
                <w:rFonts w:hint="eastAsia" w:ascii="仿宋" w:hAnsi="仿宋" w:eastAsia="仿宋"/>
                <w:szCs w:val="21"/>
              </w:rPr>
            </w:pPr>
          </w:p>
        </w:tc>
        <w:tc>
          <w:tcPr>
            <w:tcW w:w="1296" w:type="dxa"/>
            <w:vMerge w:val="continue"/>
            <w:shd w:val="clear" w:color="auto" w:fill="auto"/>
            <w:vAlign w:val="center"/>
          </w:tcPr>
          <w:p>
            <w:pPr>
              <w:spacing w:line="360" w:lineRule="auto"/>
              <w:rPr>
                <w:rFonts w:hint="eastAsia" w:ascii="仿宋" w:hAnsi="仿宋" w:eastAsia="仿宋"/>
                <w:szCs w:val="21"/>
              </w:rPr>
            </w:pPr>
          </w:p>
        </w:tc>
        <w:tc>
          <w:tcPr>
            <w:tcW w:w="545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读者信息可使用EXCEL表格直接批量导入，非常方便管理员管理读者，还可批量导入读者图片。单一界面，无需切换，即可进行完整的借书、还书、续借处理。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continue"/>
            <w:shd w:val="clear" w:color="auto" w:fill="auto"/>
            <w:vAlign w:val="center"/>
          </w:tcPr>
          <w:p>
            <w:pPr>
              <w:spacing w:line="360" w:lineRule="auto"/>
              <w:rPr>
                <w:rFonts w:hint="eastAsia" w:ascii="仿宋" w:hAnsi="仿宋" w:eastAsia="仿宋"/>
                <w:szCs w:val="21"/>
              </w:rPr>
            </w:pPr>
          </w:p>
        </w:tc>
        <w:tc>
          <w:tcPr>
            <w:tcW w:w="1296" w:type="dxa"/>
            <w:vMerge w:val="continue"/>
            <w:shd w:val="clear" w:color="auto" w:fill="auto"/>
            <w:vAlign w:val="center"/>
          </w:tcPr>
          <w:p>
            <w:pPr>
              <w:spacing w:line="360" w:lineRule="auto"/>
              <w:rPr>
                <w:rFonts w:hint="eastAsia" w:ascii="仿宋" w:hAnsi="仿宋" w:eastAsia="仿宋"/>
                <w:szCs w:val="21"/>
              </w:rPr>
            </w:pPr>
          </w:p>
        </w:tc>
        <w:tc>
          <w:tcPr>
            <w:tcW w:w="545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系统全屏幕多窗口、图形、菜单、快捷键多种方式操作，</w:t>
            </w:r>
          </w:p>
          <w:p>
            <w:pPr>
              <w:spacing w:line="360" w:lineRule="auto"/>
              <w:rPr>
                <w:rFonts w:hint="eastAsia" w:ascii="仿宋" w:hAnsi="仿宋" w:eastAsia="仿宋"/>
                <w:szCs w:val="21"/>
              </w:rPr>
            </w:pPr>
            <w:r>
              <w:rPr>
                <w:rFonts w:hint="eastAsia" w:ascii="仿宋" w:hAnsi="仿宋" w:eastAsia="仿宋"/>
                <w:szCs w:val="21"/>
              </w:rPr>
              <w:t>全部功能菜单自动适应浏览器窗口，无限制功能窗口数</w:t>
            </w:r>
          </w:p>
          <w:p>
            <w:pPr>
              <w:spacing w:line="360" w:lineRule="auto"/>
              <w:rPr>
                <w:rFonts w:hint="eastAsia" w:ascii="仿宋" w:hAnsi="仿宋" w:eastAsia="仿宋"/>
                <w:szCs w:val="21"/>
              </w:rPr>
            </w:pPr>
            <w:r>
              <w:rPr>
                <w:rFonts w:hint="eastAsia" w:ascii="仿宋" w:hAnsi="仿宋" w:eastAsia="仿宋"/>
                <w:szCs w:val="21"/>
              </w:rPr>
              <w:t>量；系统分类采用中图法分类，并支持中图法多层级分类，</w:t>
            </w:r>
          </w:p>
          <w:p>
            <w:pPr>
              <w:spacing w:line="360" w:lineRule="auto"/>
              <w:rPr>
                <w:rFonts w:hint="eastAsia" w:ascii="仿宋" w:hAnsi="仿宋" w:eastAsia="仿宋"/>
                <w:szCs w:val="21"/>
              </w:rPr>
            </w:pPr>
            <w:r>
              <w:rPr>
                <w:rFonts w:hint="eastAsia" w:ascii="仿宋" w:hAnsi="仿宋" w:eastAsia="仿宋"/>
                <w:szCs w:val="21"/>
              </w:rPr>
              <w:t>最高达9层次。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12" w:type="dxa"/>
            <w:vMerge w:val="continue"/>
            <w:shd w:val="clear" w:color="auto" w:fill="auto"/>
            <w:vAlign w:val="center"/>
          </w:tcPr>
          <w:p>
            <w:pPr>
              <w:spacing w:line="360" w:lineRule="auto"/>
              <w:rPr>
                <w:rFonts w:hint="eastAsia" w:ascii="仿宋" w:hAnsi="仿宋" w:eastAsia="仿宋"/>
                <w:szCs w:val="21"/>
              </w:rPr>
            </w:pPr>
          </w:p>
        </w:tc>
        <w:tc>
          <w:tcPr>
            <w:tcW w:w="1296" w:type="dxa"/>
            <w:vMerge w:val="continue"/>
            <w:shd w:val="clear" w:color="auto" w:fill="auto"/>
            <w:vAlign w:val="center"/>
          </w:tcPr>
          <w:p>
            <w:pPr>
              <w:spacing w:line="360" w:lineRule="auto"/>
              <w:rPr>
                <w:rFonts w:hint="eastAsia" w:ascii="仿宋" w:hAnsi="仿宋" w:eastAsia="仿宋"/>
                <w:szCs w:val="21"/>
              </w:rPr>
            </w:pPr>
          </w:p>
        </w:tc>
        <w:tc>
          <w:tcPr>
            <w:tcW w:w="5452" w:type="dxa"/>
            <w:shd w:val="clear" w:color="auto" w:fill="auto"/>
            <w:vAlign w:val="center"/>
          </w:tcPr>
          <w:p>
            <w:pPr>
              <w:spacing w:line="360" w:lineRule="auto"/>
              <w:rPr>
                <w:rFonts w:hint="eastAsia" w:ascii="仿宋" w:hAnsi="仿宋" w:eastAsia="仿宋"/>
                <w:szCs w:val="21"/>
              </w:rPr>
            </w:pPr>
            <w:r>
              <w:rPr>
                <w:rFonts w:hint="eastAsia" w:ascii="仿宋" w:hAnsi="仿宋" w:eastAsia="仿宋"/>
                <w:szCs w:val="21"/>
              </w:rPr>
              <w:t>系统拥有OPAC检索功能，无客户端限制，支持PC、手机、</w:t>
            </w:r>
          </w:p>
          <w:p>
            <w:pPr>
              <w:spacing w:line="360" w:lineRule="auto"/>
              <w:rPr>
                <w:rFonts w:hint="eastAsia" w:ascii="仿宋" w:hAnsi="仿宋" w:eastAsia="仿宋"/>
                <w:szCs w:val="21"/>
              </w:rPr>
            </w:pPr>
            <w:r>
              <w:rPr>
                <w:rFonts w:hint="eastAsia" w:ascii="仿宋" w:hAnsi="仿宋" w:eastAsia="仿宋"/>
                <w:szCs w:val="21"/>
              </w:rPr>
              <w:t>平板操作；直接使用IE浏览器即可查阅好书推荐、最新</w:t>
            </w:r>
          </w:p>
          <w:p>
            <w:pPr>
              <w:spacing w:line="360" w:lineRule="auto"/>
              <w:rPr>
                <w:rFonts w:hint="eastAsia" w:ascii="仿宋" w:hAnsi="仿宋" w:eastAsia="仿宋"/>
                <w:szCs w:val="21"/>
              </w:rPr>
            </w:pPr>
            <w:r>
              <w:rPr>
                <w:rFonts w:hint="eastAsia" w:ascii="仿宋" w:hAnsi="仿宋" w:eastAsia="仿宋"/>
                <w:szCs w:val="21"/>
              </w:rPr>
              <w:t>图书、最新期刊、最受欢迎图书、公告栏、最近留言、图</w:t>
            </w:r>
          </w:p>
          <w:p>
            <w:pPr>
              <w:spacing w:line="360" w:lineRule="auto"/>
              <w:rPr>
                <w:rFonts w:hint="eastAsia" w:ascii="仿宋" w:hAnsi="仿宋" w:eastAsia="仿宋"/>
                <w:szCs w:val="21"/>
              </w:rPr>
            </w:pPr>
            <w:r>
              <w:rPr>
                <w:rFonts w:hint="eastAsia" w:ascii="仿宋" w:hAnsi="仿宋" w:eastAsia="仿宋"/>
                <w:szCs w:val="21"/>
              </w:rPr>
              <w:t>书期刊信息、预定图书、查阅借阅记录、罚款记录、修改</w:t>
            </w:r>
          </w:p>
          <w:p>
            <w:pPr>
              <w:spacing w:line="360" w:lineRule="auto"/>
              <w:rPr>
                <w:rFonts w:hint="eastAsia" w:ascii="仿宋" w:hAnsi="仿宋" w:eastAsia="仿宋"/>
                <w:szCs w:val="21"/>
              </w:rPr>
            </w:pPr>
            <w:r>
              <w:rPr>
                <w:rFonts w:hint="eastAsia" w:ascii="仿宋" w:hAnsi="仿宋" w:eastAsia="仿宋"/>
                <w:szCs w:val="21"/>
              </w:rPr>
              <w:t>密码。所有的图书、期刊都支持精确与模糊查找，并</w:t>
            </w:r>
          </w:p>
          <w:p>
            <w:pPr>
              <w:spacing w:line="360" w:lineRule="auto"/>
              <w:rPr>
                <w:rFonts w:hint="eastAsia" w:ascii="仿宋" w:hAnsi="仿宋" w:eastAsia="仿宋"/>
                <w:szCs w:val="21"/>
              </w:rPr>
            </w:pPr>
            <w:r>
              <w:rPr>
                <w:rFonts w:hint="eastAsia" w:ascii="仿宋" w:hAnsi="仿宋" w:eastAsia="仿宋"/>
                <w:szCs w:val="21"/>
              </w:rPr>
              <w:t>可对友馆进行馆际图书查询并预定图书。</w:t>
            </w:r>
          </w:p>
        </w:tc>
      </w:tr>
    </w:tbl>
    <w:p>
      <w:pPr>
        <w:pStyle w:val="34"/>
        <w:spacing w:before="60" w:beforeAutospacing="0" w:after="0" w:afterAutospacing="0" w:line="336" w:lineRule="atLeast"/>
        <w:rPr>
          <w:rFonts w:ascii="宋体" w:hAnsi="宋体" w:cs="宋体"/>
          <w:sz w:val="28"/>
          <w:szCs w:val="28"/>
          <w:shd w:val="clear" w:color="auto" w:fill="FFFFFF"/>
        </w:rPr>
      </w:pPr>
    </w:p>
    <w:p>
      <w:pPr>
        <w:pStyle w:val="34"/>
        <w:spacing w:before="60" w:beforeAutospacing="0" w:after="0" w:afterAutospacing="0" w:line="336" w:lineRule="atLeast"/>
        <w:rPr>
          <w:rFonts w:ascii="宋体" w:hAnsi="宋体" w:cs="宋体"/>
          <w:sz w:val="28"/>
          <w:szCs w:val="28"/>
          <w:shd w:val="clear" w:color="auto" w:fill="FFFFFF"/>
        </w:rPr>
      </w:pPr>
      <w:r>
        <w:rPr>
          <w:rFonts w:hint="eastAsia" w:ascii="宋体" w:hAnsi="宋体" w:cs="宋体"/>
          <w:sz w:val="28"/>
          <w:szCs w:val="28"/>
          <w:shd w:val="clear" w:color="auto" w:fill="FFFFFF"/>
        </w:rPr>
        <w:t>（2）平台运行环境要求</w:t>
      </w:r>
    </w:p>
    <w:tbl>
      <w:tblPr>
        <w:tblStyle w:val="39"/>
        <w:tblpPr w:leftFromText="180" w:rightFromText="180" w:vertAnchor="text" w:tblpX="-76" w:tblpY="34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6807"/>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871" w:type="dxa"/>
            <w:shd w:val="clear" w:color="auto" w:fill="auto"/>
            <w:vAlign w:val="center"/>
          </w:tcPr>
          <w:p>
            <w:pPr>
              <w:pStyle w:val="34"/>
              <w:spacing w:before="60" w:beforeAutospacing="0" w:after="0" w:afterAutospacing="0" w:line="336" w:lineRule="atLeast"/>
              <w:jc w:val="center"/>
              <w:rPr>
                <w:rFonts w:ascii="仿宋" w:hAnsi="仿宋" w:eastAsia="仿宋" w:cs="宋体"/>
                <w:sz w:val="21"/>
                <w:szCs w:val="21"/>
                <w:shd w:val="clear" w:color="auto" w:fill="FFFFFF"/>
              </w:rPr>
            </w:pPr>
          </w:p>
          <w:p>
            <w:pPr>
              <w:pStyle w:val="34"/>
              <w:spacing w:before="60" w:beforeAutospacing="0" w:after="0" w:afterAutospacing="0" w:line="336" w:lineRule="atLeast"/>
              <w:jc w:val="center"/>
              <w:rPr>
                <w:rFonts w:ascii="仿宋" w:hAnsi="仿宋" w:eastAsia="仿宋" w:cs="宋体"/>
                <w:sz w:val="21"/>
                <w:szCs w:val="21"/>
                <w:shd w:val="clear" w:color="auto" w:fill="FFFFFF"/>
              </w:rPr>
            </w:pPr>
          </w:p>
          <w:p>
            <w:pPr>
              <w:pStyle w:val="34"/>
              <w:spacing w:before="60" w:beforeAutospacing="0" w:after="0" w:afterAutospacing="0" w:line="336" w:lineRule="atLeast"/>
              <w:jc w:val="center"/>
              <w:rPr>
                <w:rFonts w:ascii="仿宋" w:hAnsi="仿宋" w:eastAsia="仿宋" w:cs="宋体"/>
                <w:sz w:val="21"/>
                <w:szCs w:val="21"/>
                <w:shd w:val="clear" w:color="auto" w:fill="FFFFFF"/>
              </w:rPr>
            </w:pPr>
          </w:p>
          <w:p>
            <w:pPr>
              <w:pStyle w:val="34"/>
              <w:spacing w:before="60" w:beforeAutospacing="0" w:after="0" w:afterAutospacing="0" w:line="336" w:lineRule="atLeast"/>
              <w:jc w:val="center"/>
              <w:rPr>
                <w:rFonts w:ascii="仿宋" w:hAnsi="仿宋" w:eastAsia="仿宋" w:cs="宋体"/>
                <w:sz w:val="21"/>
                <w:szCs w:val="21"/>
                <w:shd w:val="clear" w:color="auto" w:fill="FFFFFF"/>
              </w:rPr>
            </w:pPr>
          </w:p>
          <w:p>
            <w:pPr>
              <w:pStyle w:val="34"/>
              <w:spacing w:before="60" w:beforeAutospacing="0" w:after="0" w:afterAutospacing="0" w:line="336" w:lineRule="atLeast"/>
              <w:jc w:val="center"/>
              <w:rPr>
                <w:rFonts w:ascii="仿宋" w:hAnsi="仿宋" w:eastAsia="仿宋" w:cs="宋体"/>
                <w:sz w:val="21"/>
                <w:szCs w:val="21"/>
                <w:shd w:val="clear" w:color="auto" w:fill="FFFFFF"/>
              </w:rPr>
            </w:pPr>
            <w:r>
              <w:rPr>
                <w:rFonts w:hint="eastAsia" w:ascii="仿宋" w:hAnsi="仿宋" w:eastAsia="仿宋" w:cs="宋体"/>
                <w:sz w:val="21"/>
                <w:szCs w:val="21"/>
                <w:shd w:val="clear" w:color="auto" w:fill="FFFFFF"/>
              </w:rPr>
              <w:t>1</w:t>
            </w:r>
          </w:p>
        </w:tc>
        <w:tc>
          <w:tcPr>
            <w:tcW w:w="6807" w:type="dxa"/>
            <w:shd w:val="clear" w:color="auto" w:fill="auto"/>
            <w:vAlign w:val="center"/>
          </w:tcPr>
          <w:p>
            <w:pPr>
              <w:spacing w:line="360" w:lineRule="auto"/>
              <w:rPr>
                <w:rFonts w:ascii="仿宋" w:hAnsi="仿宋" w:eastAsia="仿宋"/>
                <w:szCs w:val="21"/>
              </w:rPr>
            </w:pPr>
            <w:r>
              <w:rPr>
                <w:rFonts w:hint="eastAsia" w:ascii="仿宋" w:hAnsi="仿宋" w:eastAsia="仿宋"/>
                <w:szCs w:val="21"/>
              </w:rPr>
              <w:t>阿里云主机(租赁)</w:t>
            </w:r>
          </w:p>
          <w:p>
            <w:pPr>
              <w:spacing w:line="360" w:lineRule="auto"/>
              <w:rPr>
                <w:rFonts w:ascii="仿宋" w:hAnsi="仿宋" w:eastAsia="仿宋"/>
                <w:szCs w:val="21"/>
              </w:rPr>
            </w:pPr>
            <w:r>
              <w:rPr>
                <w:rFonts w:hint="eastAsia" w:ascii="仿宋" w:hAnsi="仿宋" w:eastAsia="仿宋"/>
                <w:szCs w:val="21"/>
              </w:rPr>
              <w:t>CPU型号：Intel Xeon(Cascade Lake) Platinum 8269CY及以上</w:t>
            </w:r>
          </w:p>
          <w:p>
            <w:pPr>
              <w:spacing w:line="360" w:lineRule="auto"/>
              <w:rPr>
                <w:rFonts w:ascii="仿宋" w:hAnsi="仿宋" w:eastAsia="仿宋"/>
                <w:szCs w:val="21"/>
              </w:rPr>
            </w:pPr>
            <w:r>
              <w:rPr>
                <w:rFonts w:hint="eastAsia" w:ascii="仿宋" w:hAnsi="仿宋" w:eastAsia="仿宋"/>
                <w:szCs w:val="21"/>
              </w:rPr>
              <w:t>CPU频率：2.5 GHz/3.2 GHz及以上</w:t>
            </w:r>
          </w:p>
          <w:p>
            <w:pPr>
              <w:spacing w:line="360" w:lineRule="auto"/>
              <w:rPr>
                <w:rFonts w:ascii="仿宋" w:hAnsi="仿宋" w:eastAsia="仿宋"/>
                <w:szCs w:val="21"/>
              </w:rPr>
            </w:pPr>
            <w:r>
              <w:rPr>
                <w:rFonts w:hint="eastAsia" w:ascii="仿宋" w:hAnsi="仿宋" w:eastAsia="仿宋"/>
                <w:szCs w:val="21"/>
              </w:rPr>
              <w:t>CPU核数：4核及以上</w:t>
            </w:r>
          </w:p>
          <w:p>
            <w:pPr>
              <w:spacing w:line="360" w:lineRule="auto"/>
              <w:rPr>
                <w:rFonts w:ascii="仿宋" w:hAnsi="仿宋" w:eastAsia="仿宋"/>
                <w:szCs w:val="21"/>
              </w:rPr>
            </w:pPr>
            <w:r>
              <w:rPr>
                <w:rFonts w:hint="eastAsia" w:ascii="仿宋" w:hAnsi="仿宋" w:eastAsia="仿宋"/>
                <w:szCs w:val="21"/>
              </w:rPr>
              <w:t>内存：16G及以上</w:t>
            </w:r>
          </w:p>
          <w:p>
            <w:pPr>
              <w:spacing w:line="360" w:lineRule="auto"/>
              <w:rPr>
                <w:rFonts w:ascii="仿宋" w:hAnsi="仿宋" w:eastAsia="仿宋"/>
                <w:szCs w:val="21"/>
              </w:rPr>
            </w:pPr>
            <w:r>
              <w:rPr>
                <w:rFonts w:hint="eastAsia" w:ascii="仿宋" w:hAnsi="仿宋" w:eastAsia="仿宋"/>
                <w:szCs w:val="21"/>
              </w:rPr>
              <w:t>云带宽:独享5Mbps及以上</w:t>
            </w:r>
          </w:p>
          <w:p>
            <w:pPr>
              <w:spacing w:line="360" w:lineRule="auto"/>
              <w:rPr>
                <w:rFonts w:ascii="仿宋" w:hAnsi="仿宋" w:eastAsia="仿宋" w:cs="宋体"/>
                <w:szCs w:val="21"/>
                <w:shd w:val="clear" w:color="auto" w:fill="FFFFFF"/>
              </w:rPr>
            </w:pPr>
            <w:r>
              <w:rPr>
                <w:rFonts w:hint="eastAsia" w:ascii="仿宋" w:hAnsi="仿宋" w:eastAsia="仿宋"/>
                <w:szCs w:val="21"/>
              </w:rPr>
              <w:t>云存储：200G及以上</w:t>
            </w:r>
          </w:p>
        </w:tc>
        <w:tc>
          <w:tcPr>
            <w:tcW w:w="841" w:type="dxa"/>
            <w:shd w:val="clear" w:color="auto" w:fill="auto"/>
            <w:vAlign w:val="center"/>
          </w:tcPr>
          <w:p>
            <w:pPr>
              <w:pStyle w:val="34"/>
              <w:spacing w:before="60" w:beforeAutospacing="0" w:after="0" w:afterAutospacing="0" w:line="336" w:lineRule="atLeast"/>
              <w:jc w:val="center"/>
              <w:rPr>
                <w:rFonts w:ascii="仿宋" w:hAnsi="仿宋" w:eastAsia="仿宋" w:cs="宋体"/>
                <w:sz w:val="21"/>
                <w:szCs w:val="21"/>
                <w:shd w:val="clear" w:color="auto" w:fill="FFFFFF"/>
              </w:rPr>
            </w:pPr>
          </w:p>
          <w:p>
            <w:pPr>
              <w:pStyle w:val="34"/>
              <w:spacing w:before="60" w:beforeAutospacing="0" w:after="0" w:afterAutospacing="0" w:line="336" w:lineRule="atLeast"/>
              <w:jc w:val="center"/>
              <w:rPr>
                <w:rFonts w:ascii="仿宋" w:hAnsi="仿宋" w:eastAsia="仿宋" w:cs="宋体"/>
                <w:sz w:val="21"/>
                <w:szCs w:val="21"/>
                <w:shd w:val="clear" w:color="auto" w:fill="FFFFFF"/>
              </w:rPr>
            </w:pPr>
          </w:p>
          <w:p>
            <w:pPr>
              <w:pStyle w:val="34"/>
              <w:spacing w:before="60" w:beforeAutospacing="0" w:after="0" w:afterAutospacing="0" w:line="336" w:lineRule="atLeast"/>
              <w:jc w:val="center"/>
              <w:rPr>
                <w:rFonts w:ascii="仿宋" w:hAnsi="仿宋" w:eastAsia="仿宋" w:cs="宋体"/>
                <w:sz w:val="21"/>
                <w:szCs w:val="21"/>
                <w:shd w:val="clear" w:color="auto" w:fill="FFFFFF"/>
              </w:rPr>
            </w:pPr>
          </w:p>
          <w:p>
            <w:pPr>
              <w:pStyle w:val="34"/>
              <w:spacing w:before="60" w:beforeAutospacing="0" w:after="0" w:afterAutospacing="0" w:line="336" w:lineRule="atLeast"/>
              <w:jc w:val="center"/>
              <w:rPr>
                <w:rFonts w:ascii="仿宋" w:hAnsi="仿宋" w:eastAsia="仿宋" w:cs="宋体"/>
                <w:sz w:val="21"/>
                <w:szCs w:val="21"/>
                <w:shd w:val="clear" w:color="auto" w:fill="FFFFFF"/>
              </w:rPr>
            </w:pPr>
            <w:r>
              <w:rPr>
                <w:rFonts w:hint="eastAsia" w:ascii="仿宋" w:hAnsi="仿宋" w:eastAsia="仿宋" w:cs="宋体"/>
                <w:sz w:val="21"/>
                <w:szCs w:val="21"/>
                <w:shd w:val="clear" w:color="auto" w:fill="FFFFFF"/>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871" w:type="dxa"/>
            <w:shd w:val="clear" w:color="auto" w:fill="auto"/>
            <w:vAlign w:val="center"/>
          </w:tcPr>
          <w:p>
            <w:pPr>
              <w:pStyle w:val="34"/>
              <w:spacing w:before="60" w:beforeAutospacing="0" w:after="0" w:afterAutospacing="0" w:line="336" w:lineRule="atLeast"/>
              <w:jc w:val="center"/>
              <w:rPr>
                <w:rFonts w:ascii="仿宋" w:hAnsi="仿宋" w:eastAsia="仿宋" w:cs="宋体"/>
                <w:sz w:val="21"/>
                <w:szCs w:val="21"/>
                <w:shd w:val="clear" w:color="auto" w:fill="FFFFFF"/>
              </w:rPr>
            </w:pPr>
            <w:r>
              <w:rPr>
                <w:rFonts w:hint="eastAsia" w:ascii="仿宋" w:hAnsi="仿宋" w:eastAsia="仿宋" w:cs="宋体"/>
                <w:sz w:val="21"/>
                <w:szCs w:val="21"/>
                <w:shd w:val="clear" w:color="auto" w:fill="FFFFFF"/>
              </w:rPr>
              <w:t>2</w:t>
            </w:r>
          </w:p>
        </w:tc>
        <w:tc>
          <w:tcPr>
            <w:tcW w:w="6807" w:type="dxa"/>
            <w:shd w:val="clear" w:color="auto" w:fill="auto"/>
            <w:vAlign w:val="center"/>
          </w:tcPr>
          <w:p>
            <w:pPr>
              <w:pStyle w:val="34"/>
              <w:spacing w:before="60" w:beforeAutospacing="0" w:after="0" w:afterAutospacing="0" w:line="336" w:lineRule="atLeast"/>
              <w:jc w:val="both"/>
              <w:rPr>
                <w:rFonts w:ascii="仿宋" w:hAnsi="仿宋" w:eastAsia="仿宋"/>
                <w:kern w:val="2"/>
                <w:sz w:val="21"/>
                <w:szCs w:val="21"/>
              </w:rPr>
            </w:pPr>
            <w:r>
              <w:rPr>
                <w:rFonts w:hint="eastAsia" w:ascii="仿宋" w:hAnsi="仿宋" w:eastAsia="仿宋"/>
                <w:kern w:val="2"/>
                <w:sz w:val="21"/>
                <w:szCs w:val="21"/>
              </w:rPr>
              <w:t>电信托管服务器(租赁)</w:t>
            </w:r>
          </w:p>
          <w:p>
            <w:pPr>
              <w:pStyle w:val="34"/>
              <w:spacing w:before="60" w:beforeAutospacing="0" w:after="0" w:afterAutospacing="0" w:line="336" w:lineRule="atLeast"/>
              <w:jc w:val="both"/>
              <w:rPr>
                <w:rFonts w:ascii="仿宋" w:hAnsi="仿宋" w:eastAsia="仿宋"/>
                <w:kern w:val="2"/>
                <w:sz w:val="21"/>
                <w:szCs w:val="21"/>
              </w:rPr>
            </w:pPr>
            <w:r>
              <w:rPr>
                <w:rFonts w:ascii="仿宋" w:hAnsi="仿宋" w:eastAsia="仿宋"/>
                <w:kern w:val="2"/>
                <w:sz w:val="21"/>
                <w:szCs w:val="21"/>
              </w:rPr>
              <w:t>CPU型号：Intel(R) Xeon(R) Silver 4210</w:t>
            </w:r>
            <w:r>
              <w:rPr>
                <w:rFonts w:hint="eastAsia" w:ascii="仿宋" w:hAnsi="仿宋" w:eastAsia="仿宋"/>
                <w:kern w:val="2"/>
                <w:sz w:val="21"/>
                <w:szCs w:val="21"/>
              </w:rPr>
              <w:t>及以上</w:t>
            </w:r>
          </w:p>
          <w:p>
            <w:pPr>
              <w:pStyle w:val="34"/>
              <w:spacing w:before="60" w:beforeAutospacing="0" w:after="0" w:afterAutospacing="0" w:line="336" w:lineRule="atLeast"/>
              <w:jc w:val="both"/>
              <w:rPr>
                <w:rFonts w:ascii="仿宋" w:hAnsi="仿宋" w:eastAsia="仿宋"/>
                <w:kern w:val="2"/>
                <w:sz w:val="21"/>
                <w:szCs w:val="21"/>
              </w:rPr>
            </w:pPr>
            <w:r>
              <w:rPr>
                <w:rFonts w:ascii="仿宋" w:hAnsi="仿宋" w:eastAsia="仿宋"/>
                <w:kern w:val="2"/>
                <w:sz w:val="21"/>
                <w:szCs w:val="21"/>
              </w:rPr>
              <w:t>CPU频率：2.20GHz, 2195 MHz</w:t>
            </w:r>
            <w:r>
              <w:rPr>
                <w:rFonts w:hint="eastAsia" w:ascii="仿宋" w:hAnsi="仿宋" w:eastAsia="仿宋"/>
                <w:kern w:val="2"/>
                <w:sz w:val="21"/>
                <w:szCs w:val="21"/>
              </w:rPr>
              <w:t>及以上</w:t>
            </w:r>
          </w:p>
          <w:p>
            <w:pPr>
              <w:pStyle w:val="34"/>
              <w:spacing w:before="60" w:beforeAutospacing="0" w:after="0" w:afterAutospacing="0" w:line="336" w:lineRule="atLeast"/>
              <w:jc w:val="both"/>
              <w:rPr>
                <w:rFonts w:ascii="仿宋" w:hAnsi="仿宋" w:eastAsia="仿宋"/>
                <w:kern w:val="2"/>
                <w:sz w:val="21"/>
                <w:szCs w:val="21"/>
              </w:rPr>
            </w:pPr>
            <w:r>
              <w:rPr>
                <w:rFonts w:ascii="仿宋" w:hAnsi="仿宋" w:eastAsia="仿宋"/>
                <w:kern w:val="2"/>
                <w:sz w:val="21"/>
                <w:szCs w:val="21"/>
              </w:rPr>
              <w:t>CPU核数：4核</w:t>
            </w:r>
            <w:r>
              <w:rPr>
                <w:rFonts w:hint="eastAsia" w:ascii="仿宋" w:hAnsi="仿宋" w:eastAsia="仿宋"/>
                <w:kern w:val="2"/>
                <w:sz w:val="21"/>
                <w:szCs w:val="21"/>
              </w:rPr>
              <w:t>及以上</w:t>
            </w:r>
            <w:r>
              <w:rPr>
                <w:rFonts w:ascii="仿宋" w:hAnsi="仿宋" w:eastAsia="仿宋"/>
                <w:kern w:val="2"/>
                <w:sz w:val="21"/>
                <w:szCs w:val="21"/>
              </w:rPr>
              <w:t>（标准，后续可动态扩充）</w:t>
            </w:r>
          </w:p>
          <w:p>
            <w:pPr>
              <w:pStyle w:val="34"/>
              <w:spacing w:before="60" w:beforeAutospacing="0" w:after="0" w:afterAutospacing="0" w:line="336" w:lineRule="atLeast"/>
              <w:jc w:val="both"/>
              <w:rPr>
                <w:rFonts w:ascii="仿宋" w:hAnsi="仿宋" w:eastAsia="仿宋"/>
                <w:kern w:val="2"/>
                <w:sz w:val="21"/>
                <w:szCs w:val="21"/>
              </w:rPr>
            </w:pPr>
            <w:r>
              <w:rPr>
                <w:rFonts w:ascii="仿宋" w:hAnsi="仿宋" w:eastAsia="仿宋"/>
                <w:kern w:val="2"/>
                <w:sz w:val="21"/>
                <w:szCs w:val="21"/>
              </w:rPr>
              <w:t>内存：32G</w:t>
            </w:r>
            <w:r>
              <w:rPr>
                <w:rFonts w:hint="eastAsia" w:ascii="仿宋" w:hAnsi="仿宋" w:eastAsia="仿宋"/>
                <w:kern w:val="2"/>
                <w:sz w:val="21"/>
                <w:szCs w:val="21"/>
              </w:rPr>
              <w:t>及以上</w:t>
            </w:r>
            <w:r>
              <w:rPr>
                <w:rFonts w:ascii="仿宋" w:hAnsi="仿宋" w:eastAsia="仿宋"/>
                <w:kern w:val="2"/>
                <w:sz w:val="21"/>
                <w:szCs w:val="21"/>
              </w:rPr>
              <w:t>（标准，后续可动态扩充）</w:t>
            </w:r>
          </w:p>
          <w:p>
            <w:pPr>
              <w:pStyle w:val="34"/>
              <w:spacing w:before="60" w:beforeAutospacing="0" w:after="0" w:afterAutospacing="0" w:line="336" w:lineRule="atLeast"/>
              <w:jc w:val="both"/>
              <w:rPr>
                <w:rFonts w:ascii="仿宋" w:hAnsi="仿宋" w:eastAsia="仿宋"/>
                <w:kern w:val="2"/>
                <w:sz w:val="21"/>
                <w:szCs w:val="21"/>
              </w:rPr>
            </w:pPr>
            <w:r>
              <w:rPr>
                <w:rFonts w:ascii="仿宋" w:hAnsi="仿宋" w:eastAsia="仿宋"/>
                <w:kern w:val="2"/>
                <w:sz w:val="21"/>
                <w:szCs w:val="21"/>
              </w:rPr>
              <w:t>云带宽:100M共享</w:t>
            </w:r>
            <w:r>
              <w:rPr>
                <w:rFonts w:hint="eastAsia" w:ascii="仿宋" w:hAnsi="仿宋" w:eastAsia="仿宋"/>
                <w:kern w:val="2"/>
                <w:sz w:val="21"/>
                <w:szCs w:val="21"/>
              </w:rPr>
              <w:t>及以上</w:t>
            </w:r>
          </w:p>
          <w:p>
            <w:pPr>
              <w:pStyle w:val="34"/>
              <w:spacing w:before="60" w:beforeAutospacing="0" w:after="0" w:afterAutospacing="0" w:line="336" w:lineRule="atLeast"/>
              <w:jc w:val="both"/>
              <w:rPr>
                <w:rFonts w:ascii="仿宋" w:hAnsi="仿宋" w:eastAsia="仿宋"/>
                <w:kern w:val="2"/>
                <w:sz w:val="21"/>
                <w:szCs w:val="21"/>
              </w:rPr>
            </w:pPr>
            <w:r>
              <w:rPr>
                <w:rFonts w:ascii="仿宋" w:hAnsi="仿宋" w:eastAsia="仿宋"/>
                <w:kern w:val="2"/>
                <w:sz w:val="21"/>
                <w:szCs w:val="21"/>
              </w:rPr>
              <w:t>本地存储：200G</w:t>
            </w:r>
            <w:r>
              <w:rPr>
                <w:rFonts w:hint="eastAsia" w:ascii="仿宋" w:hAnsi="仿宋" w:eastAsia="仿宋"/>
                <w:kern w:val="2"/>
                <w:sz w:val="21"/>
                <w:szCs w:val="21"/>
              </w:rPr>
              <w:t>及以上</w:t>
            </w:r>
          </w:p>
        </w:tc>
        <w:tc>
          <w:tcPr>
            <w:tcW w:w="841" w:type="dxa"/>
            <w:shd w:val="clear" w:color="auto" w:fill="auto"/>
            <w:vAlign w:val="center"/>
          </w:tcPr>
          <w:p>
            <w:pPr>
              <w:pStyle w:val="34"/>
              <w:spacing w:before="60" w:beforeAutospacing="0" w:after="0" w:afterAutospacing="0" w:line="336" w:lineRule="atLeast"/>
              <w:jc w:val="center"/>
              <w:rPr>
                <w:rFonts w:ascii="仿宋" w:hAnsi="仿宋" w:eastAsia="仿宋" w:cs="宋体"/>
                <w:sz w:val="21"/>
                <w:szCs w:val="21"/>
                <w:shd w:val="clear" w:color="auto" w:fill="FFFFFF"/>
              </w:rPr>
            </w:pPr>
            <w:r>
              <w:rPr>
                <w:rFonts w:hint="eastAsia" w:ascii="仿宋" w:hAnsi="仿宋" w:eastAsia="仿宋" w:cs="宋体"/>
                <w:sz w:val="21"/>
                <w:szCs w:val="21"/>
                <w:shd w:val="clear" w:color="auto" w:fill="FFFFFF"/>
              </w:rPr>
              <w:t>1台</w:t>
            </w:r>
          </w:p>
        </w:tc>
      </w:tr>
    </w:tbl>
    <w:p>
      <w:pPr>
        <w:ind w:right="-288" w:rightChars="-137"/>
        <w:rPr>
          <w:rFonts w:ascii="仿宋" w:hAnsi="仿宋" w:eastAsia="仿宋"/>
          <w:b/>
          <w:color w:val="000000" w:themeColor="text1"/>
          <w:sz w:val="24"/>
          <w14:textFill>
            <w14:solidFill>
              <w14:schemeClr w14:val="tx1"/>
            </w14:solidFill>
          </w14:textFill>
        </w:rPr>
      </w:pPr>
    </w:p>
    <w:p>
      <w:pPr>
        <w:pStyle w:val="34"/>
        <w:shd w:val="clear" w:color="auto" w:fill="FFFFFF"/>
        <w:spacing w:beforeAutospacing="0" w:afterAutospacing="0" w:line="440" w:lineRule="exact"/>
        <w:rPr>
          <w:rFonts w:ascii="仿宋" w:hAnsi="仿宋" w:eastAsia="仿宋" w:cs="仿宋_GB2312"/>
          <w:b/>
          <w:bCs/>
          <w:color w:val="000000" w:themeColor="text1"/>
          <w:sz w:val="24"/>
          <w:szCs w:val="24"/>
          <w14:textFill>
            <w14:solidFill>
              <w14:schemeClr w14:val="tx1"/>
            </w14:solidFill>
          </w14:textFill>
        </w:rPr>
      </w:pPr>
      <w:bookmarkStart w:id="19" w:name="_Toc30359"/>
      <w:r>
        <w:rPr>
          <w:rFonts w:hint="eastAsia" w:ascii="仿宋" w:hAnsi="仿宋" w:eastAsia="仿宋" w:cs="仿宋_GB2312"/>
          <w:b/>
          <w:bCs/>
          <w:color w:val="000000" w:themeColor="text1"/>
          <w:sz w:val="24"/>
          <w:szCs w:val="24"/>
          <w14:textFill>
            <w14:solidFill>
              <w14:schemeClr w14:val="tx1"/>
            </w14:solidFill>
          </w14:textFill>
        </w:rPr>
        <w:t>四、项目实施要求</w:t>
      </w:r>
      <w:bookmarkEnd w:id="19"/>
    </w:p>
    <w:p>
      <w:pPr>
        <w:spacing w:line="440" w:lineRule="exact"/>
        <w:ind w:firstLine="480" w:firstLineChars="200"/>
        <w:rPr>
          <w:rFonts w:ascii="仿宋" w:hAnsi="仿宋" w:eastAsia="仿宋" w:cs="仿宋"/>
          <w:sz w:val="24"/>
        </w:rPr>
      </w:pPr>
      <w:r>
        <w:rPr>
          <w:rFonts w:hint="eastAsia" w:ascii="仿宋" w:hAnsi="仿宋" w:eastAsia="仿宋" w:cs="仿宋"/>
          <w:sz w:val="24"/>
        </w:rPr>
        <w:t>1.招标人对本项目中的各子系统具有永久使用权，不限客户端数量（除已具体注明外）。</w:t>
      </w:r>
    </w:p>
    <w:p>
      <w:pPr>
        <w:spacing w:line="440" w:lineRule="exact"/>
        <w:rPr>
          <w:rFonts w:ascii="仿宋" w:hAnsi="仿宋" w:eastAsia="仿宋" w:cs="仿宋"/>
          <w:b/>
          <w:bCs/>
          <w:color w:val="FF0000"/>
          <w:sz w:val="24"/>
        </w:rPr>
      </w:pPr>
      <w:r>
        <w:rPr>
          <w:rFonts w:hint="eastAsia" w:ascii="仿宋" w:hAnsi="仿宋" w:eastAsia="仿宋" w:cs="仿宋"/>
          <w:sz w:val="24"/>
        </w:rPr>
        <w:t>2.付款说明：</w:t>
      </w:r>
      <w:r>
        <w:rPr>
          <w:rFonts w:hint="eastAsia" w:ascii="仿宋" w:hAnsi="仿宋" w:eastAsia="仿宋" w:cs="仿宋"/>
          <w:b/>
          <w:bCs/>
          <w:color w:val="FF0000"/>
          <w:sz w:val="24"/>
        </w:rPr>
        <w:t>待项目系统安装调试培训完成，验收合格通过后支付100%合同款。</w:t>
      </w:r>
    </w:p>
    <w:p>
      <w:pPr>
        <w:spacing w:line="440" w:lineRule="exact"/>
        <w:rPr>
          <w:rFonts w:ascii="仿宋" w:hAnsi="仿宋" w:eastAsia="仿宋" w:cs="仿宋"/>
          <w:sz w:val="24"/>
        </w:rPr>
      </w:pPr>
      <w:r>
        <w:rPr>
          <w:rFonts w:hint="eastAsia" w:ascii="仿宋" w:hAnsi="仿宋" w:eastAsia="仿宋" w:cs="仿宋"/>
          <w:sz w:val="24"/>
        </w:rPr>
        <w:t>3.特殊说明</w:t>
      </w:r>
    </w:p>
    <w:p>
      <w:pPr>
        <w:spacing w:line="440" w:lineRule="exact"/>
        <w:ind w:left="480"/>
        <w:rPr>
          <w:rFonts w:ascii="仿宋" w:hAnsi="仿宋" w:eastAsia="仿宋" w:cs="仿宋"/>
          <w:sz w:val="24"/>
        </w:rPr>
      </w:pPr>
      <w:r>
        <w:rPr>
          <w:rFonts w:hint="eastAsia" w:ascii="仿宋" w:hAnsi="仿宋" w:eastAsia="仿宋" w:cs="仿宋"/>
          <w:sz w:val="24"/>
        </w:rPr>
        <w:t>3.1履约保证金：中标人在合同签订后7个工作日内须向招标人提交合同总价</w:t>
      </w:r>
    </w:p>
    <w:p>
      <w:pPr>
        <w:spacing w:line="440" w:lineRule="exact"/>
        <w:rPr>
          <w:rFonts w:ascii="仿宋" w:hAnsi="仿宋" w:eastAsia="仿宋" w:cs="仿宋"/>
          <w:sz w:val="24"/>
        </w:rPr>
      </w:pPr>
      <w:r>
        <w:rPr>
          <w:rFonts w:hint="eastAsia" w:ascii="仿宋" w:hAnsi="仿宋" w:eastAsia="仿宋" w:cs="仿宋"/>
          <w:sz w:val="24"/>
        </w:rPr>
        <w:t>5%履约保证金。履约保证金用于补偿招标方因中标人不能完成其合同义务而蒙受的损失。质保期满后无息退还。</w:t>
      </w:r>
    </w:p>
    <w:p>
      <w:pPr>
        <w:spacing w:line="440" w:lineRule="exact"/>
        <w:ind w:firstLine="480" w:firstLineChars="200"/>
        <w:rPr>
          <w:rFonts w:ascii="仿宋" w:hAnsi="仿宋" w:eastAsia="仿宋" w:cs="仿宋"/>
          <w:sz w:val="24"/>
        </w:rPr>
      </w:pPr>
      <w:r>
        <w:rPr>
          <w:rFonts w:hint="eastAsia" w:ascii="仿宋" w:hAnsi="仿宋" w:eastAsia="仿宋" w:cs="仿宋"/>
          <w:bCs/>
          <w:sz w:val="24"/>
        </w:rPr>
        <w:t>3.2</w:t>
      </w:r>
      <w:r>
        <w:rPr>
          <w:rFonts w:hint="eastAsia" w:ascii="仿宋" w:hAnsi="仿宋" w:eastAsia="仿宋" w:cs="仿宋"/>
          <w:sz w:val="24"/>
        </w:rPr>
        <w:t>本项目的监理单位为绍兴文理学院附属医院2020-2021年度信息化监理</w:t>
      </w:r>
    </w:p>
    <w:p>
      <w:pPr>
        <w:spacing w:line="440" w:lineRule="exact"/>
        <w:rPr>
          <w:rFonts w:ascii="仿宋" w:hAnsi="仿宋" w:eastAsia="仿宋" w:cs="仿宋"/>
          <w:sz w:val="24"/>
        </w:rPr>
      </w:pPr>
      <w:r>
        <w:rPr>
          <w:rFonts w:hint="eastAsia" w:ascii="仿宋" w:hAnsi="仿宋" w:eastAsia="仿宋" w:cs="仿宋"/>
          <w:b/>
          <w:bCs/>
          <w:color w:val="FF0000"/>
          <w:sz w:val="24"/>
        </w:rPr>
        <w:t>服务中标单位，监理费用为预算价* 3.1%，包含在本项目预算中，由中标方支付。</w:t>
      </w:r>
    </w:p>
    <w:p>
      <w:pPr>
        <w:spacing w:line="360" w:lineRule="auto"/>
        <w:ind w:firstLine="360" w:firstLineChars="150"/>
        <w:jc w:val="left"/>
        <w:rPr>
          <w:rFonts w:ascii="仿宋" w:hAnsi="仿宋" w:eastAsia="仿宋" w:cs="仿宋"/>
          <w:sz w:val="24"/>
        </w:rPr>
      </w:pPr>
      <w:r>
        <w:rPr>
          <w:rFonts w:hint="eastAsia" w:ascii="仿宋" w:hAnsi="仿宋" w:eastAsia="仿宋" w:cs="仿宋"/>
          <w:sz w:val="24"/>
        </w:rPr>
        <w:t>3.3本项目建设中若涉及与第三方接口的，接口费用（自行协商）由中标方承担支付，招标方不再另行支付。</w:t>
      </w:r>
    </w:p>
    <w:p>
      <w:pPr>
        <w:spacing w:line="440" w:lineRule="exact"/>
        <w:ind w:firstLine="360" w:firstLineChars="150"/>
        <w:rPr>
          <w:rFonts w:ascii="仿宋" w:hAnsi="仿宋" w:eastAsia="仿宋" w:cs="仿宋"/>
          <w:sz w:val="24"/>
        </w:rPr>
      </w:pPr>
      <w:r>
        <w:rPr>
          <w:rFonts w:hint="eastAsia" w:ascii="仿宋" w:hAnsi="仿宋" w:eastAsia="仿宋" w:cs="仿宋"/>
          <w:sz w:val="24"/>
        </w:rPr>
        <w:t>3.4 招标方保留对中标产品进行一次免费的重做接口、异地搬迁、安装、调试的权利。</w:t>
      </w:r>
    </w:p>
    <w:p>
      <w:pPr>
        <w:spacing w:line="360" w:lineRule="auto"/>
        <w:ind w:firstLine="360" w:firstLineChars="150"/>
        <w:jc w:val="left"/>
        <w:rPr>
          <w:rFonts w:ascii="仿宋" w:hAnsi="仿宋" w:eastAsia="仿宋" w:cs="仿宋"/>
          <w:sz w:val="24"/>
        </w:rPr>
      </w:pPr>
      <w:r>
        <w:rPr>
          <w:rFonts w:hint="eastAsia" w:ascii="仿宋" w:hAnsi="仿宋" w:eastAsia="仿宋" w:cs="仿宋"/>
          <w:sz w:val="24"/>
        </w:rPr>
        <w:t>3.5维护费：服务期满后，中标方收取的每年维保费用不高于本次所签订合同总价的10%（包括数据库更新、服务器租赁等费用）。</w:t>
      </w:r>
    </w:p>
    <w:p>
      <w:pPr>
        <w:pStyle w:val="34"/>
        <w:shd w:val="clear" w:color="auto" w:fill="FFFFFF"/>
        <w:spacing w:beforeAutospacing="0" w:afterAutospacing="0" w:line="440" w:lineRule="exact"/>
        <w:rPr>
          <w:rFonts w:ascii="仿宋" w:hAnsi="仿宋" w:eastAsia="仿宋" w:cs="仿宋_GB2312"/>
          <w:b/>
          <w:color w:val="000000" w:themeColor="text1"/>
          <w:sz w:val="24"/>
          <w:szCs w:val="24"/>
          <w14:textFill>
            <w14:solidFill>
              <w14:schemeClr w14:val="tx1"/>
            </w14:solidFill>
          </w14:textFill>
        </w:rPr>
      </w:pPr>
      <w:r>
        <w:rPr>
          <w:rFonts w:hint="eastAsia" w:ascii="仿宋" w:hAnsi="仿宋" w:eastAsia="仿宋" w:cs="仿宋_GB2312"/>
          <w:b/>
          <w:color w:val="000000" w:themeColor="text1"/>
          <w:sz w:val="24"/>
          <w:szCs w:val="24"/>
          <w14:textFill>
            <w14:solidFill>
              <w14:schemeClr w14:val="tx1"/>
            </w14:solidFill>
          </w14:textFill>
        </w:rPr>
        <w:t>五、售后服务</w:t>
      </w:r>
    </w:p>
    <w:p>
      <w:pPr>
        <w:pStyle w:val="34"/>
        <w:shd w:val="clear" w:color="auto" w:fill="FFFFFF"/>
        <w:spacing w:beforeAutospacing="0" w:afterAutospacing="0" w:line="440" w:lineRule="exact"/>
        <w:rPr>
          <w:rFonts w:ascii="仿宋" w:hAnsi="仿宋" w:eastAsia="仿宋" w:cs="仿宋_GB2312"/>
          <w:color w:val="000000" w:themeColor="text1"/>
          <w:sz w:val="24"/>
          <w:szCs w:val="24"/>
          <w14:textFill>
            <w14:solidFill>
              <w14:schemeClr w14:val="tx1"/>
            </w14:solidFill>
          </w14:textFill>
        </w:rPr>
      </w:pPr>
      <w:r>
        <w:rPr>
          <w:rFonts w:hint="eastAsia" w:ascii="仿宋" w:hAnsi="仿宋" w:eastAsia="仿宋" w:cs="仿宋_GB2312"/>
          <w:color w:val="000000" w:themeColor="text1"/>
          <w:sz w:val="24"/>
          <w:szCs w:val="24"/>
          <w14:textFill>
            <w14:solidFill>
              <w14:schemeClr w14:val="tx1"/>
            </w14:solidFill>
          </w14:textFill>
        </w:rPr>
        <w:t>6.1投标方应提出保修、维护、服务以及今后技术支持的措施计划，并承诺在正式验收通过后，提供整个项目所购系统一年免费维护和系统升级质保服务，其中项目中非投标方自身产品或系统必须提供所投设备或系统正式验收后一年免费原厂质保服务。</w:t>
      </w:r>
    </w:p>
    <w:p>
      <w:pPr>
        <w:pStyle w:val="34"/>
        <w:shd w:val="clear" w:color="auto" w:fill="FFFFFF"/>
        <w:spacing w:beforeAutospacing="0" w:afterAutospacing="0" w:line="440" w:lineRule="exact"/>
        <w:rPr>
          <w:rFonts w:ascii="仿宋" w:hAnsi="仿宋" w:eastAsia="仿宋" w:cs="仿宋_GB2312"/>
          <w:color w:val="000000" w:themeColor="text1"/>
          <w:sz w:val="24"/>
          <w:szCs w:val="24"/>
          <w14:textFill>
            <w14:solidFill>
              <w14:schemeClr w14:val="tx1"/>
            </w14:solidFill>
          </w14:textFill>
        </w:rPr>
      </w:pPr>
      <w:r>
        <w:rPr>
          <w:rFonts w:hint="eastAsia" w:ascii="仿宋" w:hAnsi="仿宋" w:eastAsia="仿宋" w:cs="仿宋_GB2312"/>
          <w:color w:val="000000" w:themeColor="text1"/>
          <w:sz w:val="24"/>
          <w:szCs w:val="24"/>
          <w14:textFill>
            <w14:solidFill>
              <w14:schemeClr w14:val="tx1"/>
            </w14:solidFill>
          </w14:textFill>
        </w:rPr>
        <w:t>6.2售后服务内容：包括免费维护期内免费升级、故障排除、性能调优、技术咨询等。6.3要求具有较强的本地化服务能力，项目正式验收后提供7×24小时的售后服务，并保证在系统发生故障的60分钟内响应，2小时以内到现场，4小时以内解决问题。</w:t>
      </w:r>
    </w:p>
    <w:p>
      <w:pPr>
        <w:pStyle w:val="34"/>
        <w:shd w:val="clear" w:color="auto" w:fill="FFFFFF"/>
        <w:spacing w:beforeAutospacing="0" w:afterAutospacing="0" w:line="440" w:lineRule="exact"/>
        <w:rPr>
          <w:rFonts w:ascii="仿宋" w:hAnsi="仿宋" w:eastAsia="仿宋" w:cs="仿宋_GB2312"/>
          <w:b/>
          <w:color w:val="000000" w:themeColor="text1"/>
          <w:sz w:val="24"/>
          <w:szCs w:val="24"/>
          <w14:textFill>
            <w14:solidFill>
              <w14:schemeClr w14:val="tx1"/>
            </w14:solidFill>
          </w14:textFill>
        </w:rPr>
      </w:pPr>
      <w:r>
        <w:rPr>
          <w:rFonts w:hint="eastAsia" w:ascii="仿宋" w:hAnsi="仿宋" w:eastAsia="仿宋" w:cs="仿宋_GB2312"/>
          <w:b/>
          <w:color w:val="000000" w:themeColor="text1"/>
          <w:sz w:val="24"/>
          <w:szCs w:val="24"/>
          <w14:textFill>
            <w14:solidFill>
              <w14:schemeClr w14:val="tx1"/>
            </w14:solidFill>
          </w14:textFill>
        </w:rPr>
        <w:t>六、人员培训</w:t>
      </w:r>
    </w:p>
    <w:p>
      <w:pPr>
        <w:pStyle w:val="34"/>
        <w:shd w:val="clear" w:color="auto" w:fill="FFFFFF"/>
        <w:spacing w:beforeAutospacing="0" w:afterAutospacing="0" w:line="440" w:lineRule="exact"/>
        <w:ind w:firstLine="480" w:firstLineChars="200"/>
        <w:rPr>
          <w:rFonts w:ascii="仿宋" w:hAnsi="仿宋" w:eastAsia="仿宋" w:cs="仿宋_GB2312"/>
          <w:color w:val="000000" w:themeColor="text1"/>
          <w:sz w:val="24"/>
          <w:szCs w:val="24"/>
          <w14:textFill>
            <w14:solidFill>
              <w14:schemeClr w14:val="tx1"/>
            </w14:solidFill>
          </w14:textFill>
        </w:rPr>
      </w:pPr>
      <w:r>
        <w:rPr>
          <w:rFonts w:hint="eastAsia" w:ascii="仿宋" w:hAnsi="仿宋" w:eastAsia="仿宋" w:cs="仿宋_GB2312"/>
          <w:color w:val="000000" w:themeColor="text1"/>
          <w:sz w:val="24"/>
          <w:szCs w:val="24"/>
          <w14:textFill>
            <w14:solidFill>
              <w14:schemeClr w14:val="tx1"/>
            </w14:solidFill>
          </w14:textFill>
        </w:rPr>
        <w:t>中标方应针对软硬件系统的不同操作角色对使用方的人员进行相应的培训，培训的目标是使使用方能熟练使用和维护该系统，培训具体形式应至少包括集中的基础理论培训和现场的实践技能培训两种。</w:t>
      </w:r>
      <w:bookmarkStart w:id="20" w:name="_Toc54151785"/>
      <w:bookmarkEnd w:id="20"/>
      <w:bookmarkStart w:id="21" w:name="_Toc54428188"/>
      <w:bookmarkEnd w:id="21"/>
      <w:bookmarkStart w:id="22" w:name="__Toc97949920`"/>
      <w:bookmarkEnd w:id="22"/>
      <w:bookmarkStart w:id="23" w:name="_Toc54428187"/>
      <w:bookmarkEnd w:id="23"/>
      <w:bookmarkStart w:id="24" w:name="_Toc54151784"/>
      <w:bookmarkEnd w:id="24"/>
      <w:bookmarkStart w:id="25" w:name="_Toc54514052"/>
      <w:bookmarkEnd w:id="25"/>
      <w:bookmarkStart w:id="26" w:name="_Toc55032990"/>
      <w:bookmarkEnd w:id="26"/>
      <w:bookmarkStart w:id="27" w:name="_Toc54426913"/>
      <w:bookmarkEnd w:id="27"/>
      <w:bookmarkStart w:id="28" w:name="_Toc54514053"/>
      <w:bookmarkEnd w:id="28"/>
      <w:bookmarkStart w:id="29" w:name="_Toc54428282"/>
      <w:bookmarkEnd w:id="29"/>
      <w:bookmarkStart w:id="30" w:name="_Toc54428189"/>
      <w:bookmarkEnd w:id="30"/>
      <w:bookmarkStart w:id="31" w:name="_Toc55032991"/>
      <w:bookmarkEnd w:id="31"/>
      <w:bookmarkStart w:id="32" w:name="_Toc54514111"/>
      <w:bookmarkEnd w:id="32"/>
      <w:bookmarkStart w:id="33" w:name="_Toc55032992"/>
      <w:bookmarkEnd w:id="33"/>
      <w:bookmarkStart w:id="34" w:name="_Toc54514054"/>
      <w:bookmarkEnd w:id="34"/>
      <w:bookmarkStart w:id="35" w:name="_Toc54151786"/>
      <w:bookmarkEnd w:id="35"/>
      <w:r>
        <w:rPr>
          <w:rFonts w:hint="eastAsia" w:ascii="仿宋" w:hAnsi="仿宋" w:eastAsia="仿宋" w:cs="仿宋_GB2312"/>
          <w:color w:val="000000" w:themeColor="text1"/>
          <w:sz w:val="24"/>
          <w:szCs w:val="24"/>
          <w14:textFill>
            <w14:solidFill>
              <w14:schemeClr w14:val="tx1"/>
            </w14:solidFill>
          </w14:textFill>
        </w:rPr>
        <w:t>负责培训的人员应是负责本项目并具备三年以上同类项目的实施经验。</w:t>
      </w:r>
    </w:p>
    <w:p>
      <w:pPr>
        <w:pStyle w:val="34"/>
        <w:shd w:val="clear" w:color="auto" w:fill="FFFFFF"/>
        <w:spacing w:beforeAutospacing="0" w:afterAutospacing="0" w:line="440" w:lineRule="exact"/>
        <w:ind w:firstLine="480" w:firstLineChars="200"/>
        <w:rPr>
          <w:rFonts w:ascii="仿宋" w:hAnsi="仿宋" w:eastAsia="仿宋" w:cs="仿宋_GB2312"/>
          <w:color w:val="000000" w:themeColor="text1"/>
          <w:sz w:val="24"/>
          <w:szCs w:val="24"/>
          <w14:textFill>
            <w14:solidFill>
              <w14:schemeClr w14:val="tx1"/>
            </w14:solidFill>
          </w14:textFill>
        </w:rPr>
      </w:pPr>
      <w:r>
        <w:rPr>
          <w:rFonts w:hint="eastAsia" w:ascii="仿宋" w:hAnsi="仿宋" w:eastAsia="仿宋" w:cs="仿宋_GB2312"/>
          <w:color w:val="000000" w:themeColor="text1"/>
          <w:sz w:val="24"/>
          <w:szCs w:val="24"/>
          <w14:textFill>
            <w14:solidFill>
              <w14:schemeClr w14:val="tx1"/>
            </w14:solidFill>
          </w14:textFill>
        </w:rPr>
        <w:t>第三方产品或系统的培训必须由第三方供应商提供。供应商技术培训及相关系统的基础培训，内容包括软件安装调试及初始化、使用等的基本操作培训。培训方案包括培训的具体内容、培训方式（现场培训或集中培训）、人数、教师、日程安排、资料、培训费等。应能使招标方相关人员独立操作、维护、管理，确保系统能正常安全运行。</w:t>
      </w:r>
    </w:p>
    <w:p>
      <w:pPr>
        <w:pStyle w:val="34"/>
        <w:shd w:val="clear" w:color="auto" w:fill="FFFFFF"/>
        <w:spacing w:beforeAutospacing="0" w:afterAutospacing="0" w:line="440" w:lineRule="exact"/>
        <w:ind w:firstLine="480" w:firstLineChars="200"/>
        <w:rPr>
          <w:rFonts w:ascii="仿宋" w:hAnsi="仿宋" w:eastAsia="仿宋" w:cs="仿宋_GB2312"/>
          <w:color w:val="000000" w:themeColor="text1"/>
          <w:sz w:val="24"/>
          <w:szCs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中标方必须为所有被培训人员提供培训用文字资料和讲义等相关用品。所有的资料必须是中文书写。所有的培训费用（含培训教材费）及各项相关的费用，须分别报价并计入投标总价。</w:t>
      </w:r>
    </w:p>
    <w:bookmarkEnd w:id="10"/>
    <w:p>
      <w:pPr>
        <w:pStyle w:val="21"/>
        <w:pageBreakBefore/>
        <w:spacing w:line="800" w:lineRule="exact"/>
        <w:ind w:firstLine="726"/>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第四部分 合同主要条款</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1.合同</w:t>
      </w:r>
      <w:bookmarkStart w:id="36" w:name="OLE_LINK1"/>
      <w:r>
        <w:rPr>
          <w:rFonts w:hint="eastAsia" w:ascii="仿宋" w:hAnsi="仿宋" w:eastAsia="仿宋"/>
          <w:b/>
          <w:color w:val="000000" w:themeColor="text1"/>
          <w:sz w:val="24"/>
          <w14:textFill>
            <w14:solidFill>
              <w14:schemeClr w14:val="tx1"/>
            </w14:solidFill>
          </w14:textFill>
        </w:rPr>
        <w:t>范围</w:t>
      </w:r>
      <w:bookmarkEnd w:id="36"/>
    </w:p>
    <w:p>
      <w:pPr>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本合同条款适用与本次采购活动。项目实施范围详见附件——招标文件和投标文件及补充文件、采购设计图、承诺书等。</w:t>
      </w:r>
    </w:p>
    <w:p>
      <w:pPr>
        <w:pStyle w:val="53"/>
        <w:spacing w:line="440" w:lineRule="exac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2.合同的签订</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2.1.1交货地点：用户指定地点。</w:t>
      </w:r>
    </w:p>
    <w:p>
      <w:pPr>
        <w:pStyle w:val="12"/>
        <w:widowControl w:val="0"/>
        <w:tabs>
          <w:tab w:val="clear" w:pos="1697"/>
        </w:tabs>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2.1.2</w:t>
      </w:r>
      <w:r>
        <w:rPr>
          <w:rFonts w:hint="eastAsia" w:ascii="仿宋" w:hAnsi="仿宋" w:eastAsia="仿宋"/>
          <w:color w:val="000000" w:themeColor="text1"/>
          <w14:textFill>
            <w14:solidFill>
              <w14:schemeClr w14:val="tx1"/>
            </w14:solidFill>
          </w14:textFill>
        </w:rPr>
        <w:t>到货期：按标项内具体要求执行。</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2.2交货方式：</w:t>
      </w:r>
      <w:r>
        <w:rPr>
          <w:rFonts w:hint="eastAsia" w:ascii="仿宋" w:hAnsi="仿宋" w:eastAsia="仿宋"/>
          <w:color w:val="000000" w:themeColor="text1"/>
          <w14:textFill>
            <w14:solidFill>
              <w14:schemeClr w14:val="tx1"/>
            </w14:solidFill>
          </w14:textFill>
        </w:rPr>
        <w:t>按标项内具体要求执行。</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3.付款方式：</w:t>
      </w:r>
      <w:r>
        <w:rPr>
          <w:rFonts w:hint="eastAsia" w:ascii="仿宋" w:hAnsi="仿宋" w:eastAsia="仿宋"/>
          <w:color w:val="000000" w:themeColor="text1"/>
          <w14:textFill>
            <w14:solidFill>
              <w14:schemeClr w14:val="tx1"/>
            </w14:solidFill>
          </w14:textFill>
        </w:rPr>
        <w:t>按标项内具体要求执行。</w:t>
      </w:r>
    </w:p>
    <w:p>
      <w:pPr>
        <w:tabs>
          <w:tab w:val="left" w:pos="7950"/>
        </w:tabs>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4.合同修改</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4.2除非招标人对产品的品牌、型号规格和涉及价格因素的技术参数提出修改，中标人不得对合同价格提出修改要求。</w:t>
      </w:r>
    </w:p>
    <w:p>
      <w:pPr>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 质量标准和验收</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5.1中标人提供的产品及服务必须是经合法途径取得的。</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5.3验收由使用单位按规定组织相关人员或专家进行。</w:t>
      </w:r>
    </w:p>
    <w:p>
      <w:pPr>
        <w:spacing w:line="440" w:lineRule="exact"/>
        <w:ind w:hanging="2"/>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6.违约责任</w:t>
      </w:r>
    </w:p>
    <w:p>
      <w:pPr>
        <w:pStyle w:val="19"/>
        <w:widowControl w:val="0"/>
        <w:tabs>
          <w:tab w:val="left" w:pos="1540"/>
          <w:tab w:val="clear" w:pos="482"/>
        </w:tabs>
        <w:spacing w:afterLines="0" w:line="440" w:lineRule="exact"/>
        <w:ind w:left="-2" w:leftChars="-1"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6.1提供的货物和服务质量必须达到合格，凡安装调试、设备试运转过程中发现的设备质量问题，中标人必须无偿返工直至符合质量要求，承担返工所发生的一切费用和招标人的直接经济损失。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6.2由于招标人保管不善或使用不当造成设备短缺、故障或损坏，中标人协助招标人及时给予补齐或修复。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7．违约赔偿</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 xml:space="preserve">7.2 </w:t>
      </w:r>
      <w:r>
        <w:rPr>
          <w:rFonts w:hint="eastAsia" w:ascii="仿宋" w:hAnsi="仿宋" w:eastAsia="仿宋"/>
          <w:color w:val="000000" w:themeColor="text1"/>
          <w:sz w:val="24"/>
          <w14:textFill>
            <w14:solidFill>
              <w14:schemeClr w14:val="tx1"/>
            </w14:solidFill>
          </w14:textFill>
        </w:rPr>
        <w:t>.中标人应按招标相关要求签订合同，在接到招标方要求安装的通知后，投标人应根据实际情况制定项目进度安排，7天内到货，30天内完成项目实施、测试及初验工作。中标方不能在规定的时间完成项目的，每延误1天,交纳投标价的0.5%违约金。</w:t>
      </w:r>
      <w:bookmarkStart w:id="37" w:name="_GoBack"/>
      <w:bookmarkEnd w:id="37"/>
    </w:p>
    <w:p>
      <w:pPr>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7.3招标人在规定时间无正当理由拒签合同者，以招标违约处理，并赔偿中标人由此造成的直接经济损失。</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8.不可抗力</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8.1如果双方中任何一方由于战争、严重火灾、水灾、台风和地震以及其它经双方同意属于不可抗力的事故，致使合同履行受阻时，履行合同的期限应予延长，延长的期限应相当于事故所影响的时间。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9.解决合同纠纷的方式</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9.1凡有关本合同或与本合同中发生的争端，双方应通过友好协商，妥善解决。如通过协商仍不能解决时，可向当地的仲裁机构申请仲裁或人民法院起诉。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9.2仲裁和诉讼费用除仲裁机构和人民法院另有裁决外，由败诉方承担。</w:t>
      </w:r>
    </w:p>
    <w:p>
      <w:pPr>
        <w:pStyle w:val="12"/>
        <w:widowControl w:val="0"/>
        <w:tabs>
          <w:tab w:val="clear" w:pos="1697"/>
        </w:tabs>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9.3在仲裁和诉讼期间，除正在进行裁定的部分外，本合同其他部分应继续执行。</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9.4合同应在双方签字盖章后开始生效。</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（注：在正式签约时，根据上述精神应拟就更为详尽的合同书）</w:t>
      </w:r>
    </w:p>
    <w:p>
      <w:pPr>
        <w:pStyle w:val="21"/>
        <w:spacing w:line="800" w:lineRule="exact"/>
        <w:ind w:firstLine="723"/>
        <w:jc w:val="center"/>
        <w:rPr>
          <w:rFonts w:ascii="仿宋" w:hAnsi="仿宋" w:eastAsia="仿宋"/>
          <w:b/>
          <w:color w:val="000000" w:themeColor="text1"/>
          <w:sz w:val="36"/>
          <w:szCs w:val="36"/>
          <w14:textFill>
            <w14:solidFill>
              <w14:schemeClr w14:val="tx1"/>
            </w14:solidFill>
          </w14:textFill>
        </w:rPr>
      </w:pPr>
    </w:p>
    <w:p>
      <w:pPr>
        <w:pStyle w:val="21"/>
        <w:spacing w:line="800" w:lineRule="exact"/>
        <w:ind w:firstLine="723"/>
        <w:jc w:val="center"/>
        <w:rPr>
          <w:rFonts w:ascii="仿宋" w:hAnsi="仿宋" w:eastAsia="仿宋"/>
          <w:b/>
          <w:color w:val="000000" w:themeColor="text1"/>
          <w:sz w:val="36"/>
          <w:szCs w:val="36"/>
          <w14:textFill>
            <w14:solidFill>
              <w14:schemeClr w14:val="tx1"/>
            </w14:solidFill>
          </w14:textFill>
        </w:rPr>
      </w:pPr>
    </w:p>
    <w:p>
      <w:pPr>
        <w:pStyle w:val="21"/>
        <w:spacing w:line="800" w:lineRule="exact"/>
        <w:ind w:firstLine="723"/>
        <w:jc w:val="center"/>
        <w:rPr>
          <w:rFonts w:ascii="仿宋" w:hAnsi="仿宋" w:eastAsia="仿宋"/>
          <w:b/>
          <w:color w:val="000000" w:themeColor="text1"/>
          <w:sz w:val="36"/>
          <w:szCs w:val="36"/>
          <w14:textFill>
            <w14:solidFill>
              <w14:schemeClr w14:val="tx1"/>
            </w14:solidFill>
          </w14:textFill>
        </w:rPr>
      </w:pPr>
    </w:p>
    <w:p>
      <w:pPr>
        <w:pStyle w:val="21"/>
        <w:spacing w:line="800" w:lineRule="exact"/>
        <w:ind w:firstLine="723"/>
        <w:jc w:val="center"/>
        <w:rPr>
          <w:rFonts w:ascii="仿宋" w:hAnsi="仿宋" w:eastAsia="仿宋"/>
          <w:b/>
          <w:color w:val="000000" w:themeColor="text1"/>
          <w:sz w:val="36"/>
          <w:szCs w:val="36"/>
          <w14:textFill>
            <w14:solidFill>
              <w14:schemeClr w14:val="tx1"/>
            </w14:solidFill>
          </w14:textFill>
        </w:rPr>
      </w:pPr>
    </w:p>
    <w:p>
      <w:pPr>
        <w:pStyle w:val="21"/>
        <w:pageBreakBefore/>
        <w:spacing w:line="800" w:lineRule="exact"/>
        <w:ind w:firstLine="726"/>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第五部分  评标方法及标准</w:t>
      </w:r>
    </w:p>
    <w:p>
      <w:pPr>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1、评标方法：</w:t>
      </w:r>
    </w:p>
    <w:p>
      <w:pPr>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2.评分标准：</w:t>
      </w:r>
      <w:r>
        <w:rPr>
          <w:rFonts w:hint="eastAsia" w:ascii="仿宋" w:hAnsi="仿宋" w:eastAsia="仿宋"/>
          <w:color w:val="000000" w:themeColor="text1"/>
          <w:sz w:val="24"/>
          <w14:textFill>
            <w14:solidFill>
              <w14:schemeClr w14:val="tx1"/>
            </w14:solidFill>
          </w14:textFill>
        </w:rPr>
        <w:t>共100分，其中商务技术分80分，价格分20分。评分依下述所列为评标打分依据，分值如下（计算分值时，按其算术平均值保留小数2位）。</w:t>
      </w:r>
    </w:p>
    <w:p>
      <w:pPr>
        <w:spacing w:line="440" w:lineRule="exact"/>
        <w:rPr>
          <w:rFonts w:ascii="仿宋" w:hAnsi="仿宋" w:eastAsia="仿宋"/>
          <w:b/>
          <w:bCs/>
          <w:iCs/>
          <w:color w:val="000000" w:themeColor="text1"/>
          <w:sz w:val="24"/>
          <w14:textFill>
            <w14:solidFill>
              <w14:schemeClr w14:val="tx1"/>
            </w14:solidFill>
          </w14:textFill>
        </w:rPr>
      </w:pPr>
      <w:r>
        <w:rPr>
          <w:rFonts w:hint="eastAsia" w:ascii="仿宋" w:hAnsi="仿宋" w:eastAsia="仿宋"/>
          <w:b/>
          <w:bCs/>
          <w:iCs/>
          <w:color w:val="000000" w:themeColor="text1"/>
          <w:sz w:val="24"/>
          <w14:textFill>
            <w14:solidFill>
              <w14:schemeClr w14:val="tx1"/>
            </w14:solidFill>
          </w14:textFill>
        </w:rPr>
        <w:t>2.1商务技术分（70分）</w:t>
      </w:r>
    </w:p>
    <w:tbl>
      <w:tblPr>
        <w:tblStyle w:val="39"/>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6"/>
        <w:gridCol w:w="1545"/>
        <w:gridCol w:w="6144"/>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5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14:textFill>
                  <w14:solidFill>
                    <w14:schemeClr w14:val="tx1"/>
                  </w14:solidFill>
                </w14:textFill>
              </w:rPr>
            </w:pPr>
            <w:r>
              <w:rPr>
                <w:rFonts w:ascii="仿宋" w:hAnsi="仿宋" w:eastAsia="仿宋"/>
                <w:sz w:val="22"/>
                <w:szCs w:val="22"/>
              </w:rPr>
              <w:t>序号</w:t>
            </w:r>
          </w:p>
        </w:tc>
        <w:tc>
          <w:tcPr>
            <w:tcW w:w="154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ind w:firstLine="440" w:firstLineChars="200"/>
              <w:jc w:val="center"/>
              <w:rPr>
                <w:rFonts w:ascii="仿宋" w:hAnsi="仿宋" w:eastAsia="仿宋"/>
                <w:color w:val="000000" w:themeColor="text1"/>
                <w:sz w:val="24"/>
                <w14:textFill>
                  <w14:solidFill>
                    <w14:schemeClr w14:val="tx1"/>
                  </w14:solidFill>
                </w14:textFill>
              </w:rPr>
            </w:pPr>
            <w:r>
              <w:rPr>
                <w:rFonts w:ascii="仿宋" w:hAnsi="仿宋" w:eastAsia="仿宋"/>
                <w:sz w:val="22"/>
                <w:szCs w:val="22"/>
              </w:rPr>
              <w:t>项目</w:t>
            </w:r>
          </w:p>
        </w:tc>
        <w:tc>
          <w:tcPr>
            <w:tcW w:w="614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color w:val="000000" w:themeColor="text1"/>
                <w:sz w:val="24"/>
                <w14:textFill>
                  <w14:solidFill>
                    <w14:schemeClr w14:val="tx1"/>
                  </w14:solidFill>
                </w14:textFill>
              </w:rPr>
            </w:pPr>
            <w:r>
              <w:rPr>
                <w:rFonts w:ascii="仿宋" w:hAnsi="仿宋" w:eastAsia="仿宋"/>
                <w:sz w:val="22"/>
                <w:szCs w:val="22"/>
              </w:rPr>
              <w:t>评分标准</w:t>
            </w:r>
          </w:p>
        </w:tc>
        <w:tc>
          <w:tcPr>
            <w:tcW w:w="79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14:textFill>
                  <w14:solidFill>
                    <w14:schemeClr w14:val="tx1"/>
                  </w14:solidFill>
                </w14:textFill>
              </w:rPr>
            </w:pPr>
            <w:r>
              <w:rPr>
                <w:rFonts w:ascii="仿宋" w:hAnsi="仿宋" w:eastAsia="仿宋"/>
                <w:sz w:val="22"/>
                <w:szCs w:val="22"/>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0" w:hRule="atLeast"/>
          <w:jc w:val="center"/>
        </w:trPr>
        <w:tc>
          <w:tcPr>
            <w:tcW w:w="456" w:type="dxa"/>
            <w:tcBorders>
              <w:top w:val="single" w:color="auto" w:sz="4" w:space="0"/>
              <w:left w:val="single" w:color="auto" w:sz="4" w:space="0"/>
              <w:right w:val="single" w:color="auto" w:sz="4" w:space="0"/>
            </w:tcBorders>
            <w:vAlign w:val="center"/>
          </w:tcPr>
          <w:p>
            <w:pPr>
              <w:pStyle w:val="170"/>
              <w:spacing w:beforeLines="0" w:after="0" w:afterLines="0" w:line="24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sz w:val="22"/>
              </w:rPr>
              <w:t>1</w:t>
            </w:r>
          </w:p>
        </w:tc>
        <w:tc>
          <w:tcPr>
            <w:tcW w:w="1545" w:type="dxa"/>
            <w:tcBorders>
              <w:top w:val="single" w:color="auto" w:sz="4" w:space="0"/>
              <w:left w:val="single" w:color="auto" w:sz="4" w:space="0"/>
              <w:right w:val="single" w:color="auto" w:sz="4" w:space="0"/>
            </w:tcBorders>
            <w:tcMar>
              <w:top w:w="15" w:type="dxa"/>
              <w:left w:w="15" w:type="dxa"/>
              <w:bottom w:w="0" w:type="dxa"/>
              <w:right w:w="15" w:type="dxa"/>
            </w:tcMar>
            <w:vAlign w:val="center"/>
          </w:tcPr>
          <w:p>
            <w:pPr>
              <w:pStyle w:val="170"/>
              <w:spacing w:beforeLines="0" w:after="0" w:afterLines="0" w:line="24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sz w:val="22"/>
              </w:rPr>
              <w:t>招标要求响应情况（30分）</w:t>
            </w:r>
          </w:p>
        </w:tc>
        <w:tc>
          <w:tcPr>
            <w:tcW w:w="6144" w:type="dxa"/>
            <w:tcBorders>
              <w:top w:val="single" w:color="auto" w:sz="4" w:space="0"/>
              <w:left w:val="single" w:color="auto" w:sz="4" w:space="0"/>
              <w:right w:val="single" w:color="auto" w:sz="4" w:space="0"/>
            </w:tcBorders>
            <w:tcMar>
              <w:top w:w="15" w:type="dxa"/>
              <w:left w:w="15" w:type="dxa"/>
              <w:bottom w:w="0" w:type="dxa"/>
              <w:right w:w="15" w:type="dxa"/>
            </w:tcMar>
            <w:vAlign w:val="center"/>
          </w:tcPr>
          <w:p>
            <w:pPr>
              <w:pStyle w:val="170"/>
              <w:spacing w:beforeLines="0" w:after="0" w:afterLines="0" w:line="240" w:lineRule="auto"/>
              <w:rPr>
                <w:rFonts w:ascii="仿宋" w:hAnsi="仿宋" w:eastAsia="仿宋"/>
                <w:color w:val="000000" w:themeColor="text1"/>
                <w:sz w:val="24"/>
                <w14:textFill>
                  <w14:solidFill>
                    <w14:schemeClr w14:val="tx1"/>
                  </w14:solidFill>
                </w14:textFill>
              </w:rPr>
            </w:pPr>
            <w:r>
              <w:rPr>
                <w:rStyle w:val="168"/>
                <w:rFonts w:ascii="仿宋" w:hAnsi="仿宋" w:eastAsia="仿宋"/>
                <w:color w:val="000000"/>
                <w:sz w:val="22"/>
              </w:rPr>
              <w:t>根据投标产品技术指标要求，技术指标满足或高于要求得满分。打“▲”号的指标为主要功能配置，每一项偏离的扣4分；其他一般指标每一项偏离的扣2分。扣完为止。</w:t>
            </w:r>
          </w:p>
        </w:tc>
        <w:tc>
          <w:tcPr>
            <w:tcW w:w="791" w:type="dxa"/>
            <w:tcBorders>
              <w:top w:val="single" w:color="auto" w:sz="4" w:space="0"/>
              <w:left w:val="single" w:color="auto" w:sz="4" w:space="0"/>
              <w:right w:val="single" w:color="auto" w:sz="4" w:space="0"/>
            </w:tcBorders>
            <w:vAlign w:val="center"/>
          </w:tcPr>
          <w:p>
            <w:pPr>
              <w:pStyle w:val="170"/>
              <w:spacing w:beforeLines="0" w:after="0" w:afterLines="0" w:line="24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sz w:val="22"/>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69" w:hRule="atLeast"/>
          <w:jc w:val="center"/>
        </w:trPr>
        <w:tc>
          <w:tcPr>
            <w:tcW w:w="456" w:type="dxa"/>
            <w:vMerge w:val="restart"/>
            <w:tcBorders>
              <w:left w:val="single" w:color="auto" w:sz="4" w:space="0"/>
              <w:right w:val="single" w:color="auto" w:sz="4" w:space="0"/>
            </w:tcBorders>
            <w:vAlign w:val="center"/>
          </w:tcPr>
          <w:p>
            <w:pPr>
              <w:pStyle w:val="170"/>
              <w:spacing w:beforeLines="0" w:after="0" w:afterLines="0" w:line="24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sz w:val="22"/>
              </w:rPr>
              <w:t>2</w:t>
            </w:r>
          </w:p>
        </w:tc>
        <w:tc>
          <w:tcPr>
            <w:tcW w:w="1545" w:type="dxa"/>
            <w:vMerge w:val="restart"/>
            <w:tcBorders>
              <w:left w:val="single" w:color="auto" w:sz="4" w:space="0"/>
              <w:right w:val="single" w:color="auto" w:sz="4" w:space="0"/>
            </w:tcBorders>
            <w:tcMar>
              <w:top w:w="15" w:type="dxa"/>
              <w:left w:w="15" w:type="dxa"/>
              <w:bottom w:w="0" w:type="dxa"/>
              <w:right w:w="15" w:type="dxa"/>
            </w:tcMar>
            <w:vAlign w:val="center"/>
          </w:tcPr>
          <w:p>
            <w:pPr>
              <w:pStyle w:val="170"/>
              <w:spacing w:beforeLines="0" w:after="0" w:afterLines="0" w:line="240" w:lineRule="auto"/>
              <w:jc w:val="center"/>
              <w:rPr>
                <w:rFonts w:ascii="仿宋" w:hAnsi="仿宋" w:eastAsia="仿宋"/>
                <w:sz w:val="22"/>
              </w:rPr>
            </w:pPr>
            <w:r>
              <w:rPr>
                <w:rFonts w:ascii="仿宋" w:hAnsi="仿宋" w:eastAsia="仿宋"/>
                <w:sz w:val="22"/>
              </w:rPr>
              <w:t>方案先进</w:t>
            </w:r>
            <w:r>
              <w:rPr>
                <w:rFonts w:hint="eastAsia" w:ascii="仿宋" w:hAnsi="仿宋" w:eastAsia="仿宋"/>
                <w:sz w:val="22"/>
              </w:rPr>
              <w:t>性</w:t>
            </w:r>
          </w:p>
          <w:p>
            <w:pPr>
              <w:pStyle w:val="170"/>
              <w:spacing w:beforeLines="0" w:after="0" w:afterLines="0" w:line="240" w:lineRule="auto"/>
              <w:jc w:val="center"/>
              <w:rPr>
                <w:rFonts w:ascii="仿宋" w:hAnsi="仿宋" w:eastAsia="仿宋"/>
                <w:color w:val="000000" w:themeColor="text1"/>
                <w:sz w:val="24"/>
                <w14:textFill>
                  <w14:solidFill>
                    <w14:schemeClr w14:val="tx1"/>
                  </w14:solidFill>
                </w14:textFill>
              </w:rPr>
            </w:pPr>
            <w:r>
              <w:rPr>
                <w:rFonts w:ascii="仿宋" w:hAnsi="仿宋" w:eastAsia="仿宋"/>
                <w:sz w:val="22"/>
              </w:rPr>
              <w:t>（</w:t>
            </w:r>
            <w:r>
              <w:rPr>
                <w:rFonts w:hint="eastAsia" w:ascii="仿宋" w:hAnsi="仿宋" w:eastAsia="仿宋"/>
                <w:sz w:val="22"/>
              </w:rPr>
              <w:t>20</w:t>
            </w:r>
            <w:r>
              <w:rPr>
                <w:rFonts w:ascii="仿宋" w:hAnsi="仿宋" w:eastAsia="仿宋"/>
                <w:sz w:val="22"/>
              </w:rPr>
              <w:t>分）</w:t>
            </w:r>
          </w:p>
        </w:tc>
        <w:tc>
          <w:tcPr>
            <w:tcW w:w="614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170"/>
              <w:spacing w:beforeLines="0" w:after="0" w:afterLines="0" w:line="240" w:lineRule="auto"/>
              <w:rPr>
                <w:rFonts w:ascii="仿宋" w:hAnsi="仿宋" w:eastAsia="仿宋"/>
                <w:color w:val="000000" w:themeColor="text1"/>
                <w:sz w:val="24"/>
                <w14:textFill>
                  <w14:solidFill>
                    <w14:schemeClr w14:val="tx1"/>
                  </w14:solidFill>
                </w14:textFill>
              </w:rPr>
            </w:pPr>
            <w:r>
              <w:rPr>
                <w:rFonts w:hint="eastAsia" w:ascii="仿宋" w:hAnsi="仿宋" w:eastAsia="仿宋"/>
                <w:sz w:val="22"/>
              </w:rPr>
              <w:t>投标方案总体设计、建设方案、软件开发方案等，详细阐述系统的体系架构、功能模块、实现思路和关键技术，以及对功能设计和实施计划的建议酌情给分。</w:t>
            </w:r>
            <w:r>
              <w:rPr>
                <w:rStyle w:val="168"/>
                <w:rFonts w:ascii="仿宋" w:hAnsi="仿宋" w:eastAsia="仿宋"/>
                <w:color w:val="000000"/>
                <w:sz w:val="22"/>
              </w:rPr>
              <w:t>优</w:t>
            </w:r>
            <w:r>
              <w:rPr>
                <w:rStyle w:val="168"/>
                <w:rFonts w:hint="eastAsia" w:ascii="仿宋" w:hAnsi="仿宋" w:eastAsia="仿宋"/>
                <w:color w:val="000000"/>
                <w:sz w:val="22"/>
              </w:rPr>
              <w:t>1</w:t>
            </w:r>
            <w:r>
              <w:rPr>
                <w:rStyle w:val="168"/>
                <w:rFonts w:ascii="仿宋" w:hAnsi="仿宋" w:eastAsia="仿宋"/>
                <w:color w:val="000000"/>
                <w:sz w:val="22"/>
              </w:rPr>
              <w:t>0</w:t>
            </w:r>
            <w:r>
              <w:rPr>
                <w:rStyle w:val="168"/>
                <w:rFonts w:hint="eastAsia" w:ascii="仿宋" w:hAnsi="仿宋" w:eastAsia="仿宋"/>
                <w:color w:val="000000"/>
                <w:sz w:val="22"/>
              </w:rPr>
              <w:t>-6.1</w:t>
            </w:r>
            <w:r>
              <w:rPr>
                <w:rStyle w:val="168"/>
                <w:rFonts w:ascii="仿宋" w:hAnsi="仿宋" w:eastAsia="仿宋"/>
                <w:color w:val="000000"/>
                <w:sz w:val="22"/>
              </w:rPr>
              <w:t>分，良</w:t>
            </w:r>
            <w:r>
              <w:rPr>
                <w:rStyle w:val="168"/>
                <w:rFonts w:hint="eastAsia" w:ascii="仿宋" w:hAnsi="仿宋" w:eastAsia="仿宋"/>
                <w:color w:val="000000"/>
                <w:sz w:val="22"/>
              </w:rPr>
              <w:t>6</w:t>
            </w:r>
            <w:r>
              <w:rPr>
                <w:rStyle w:val="168"/>
                <w:rFonts w:ascii="仿宋" w:hAnsi="仿宋" w:eastAsia="仿宋"/>
                <w:color w:val="000000"/>
                <w:sz w:val="22"/>
              </w:rPr>
              <w:t>-</w:t>
            </w:r>
            <w:r>
              <w:rPr>
                <w:rStyle w:val="168"/>
                <w:rFonts w:hint="eastAsia" w:ascii="仿宋" w:hAnsi="仿宋" w:eastAsia="仿宋"/>
                <w:color w:val="000000"/>
                <w:sz w:val="22"/>
              </w:rPr>
              <w:t>3.1</w:t>
            </w:r>
            <w:r>
              <w:rPr>
                <w:rStyle w:val="168"/>
                <w:rFonts w:ascii="仿宋" w:hAnsi="仿宋" w:eastAsia="仿宋"/>
                <w:color w:val="000000"/>
                <w:sz w:val="22"/>
              </w:rPr>
              <w:t>分，一般</w:t>
            </w:r>
            <w:r>
              <w:rPr>
                <w:rStyle w:val="168"/>
                <w:rFonts w:hint="eastAsia" w:ascii="仿宋" w:hAnsi="仿宋" w:eastAsia="仿宋"/>
                <w:color w:val="000000"/>
                <w:sz w:val="22"/>
              </w:rPr>
              <w:t>3</w:t>
            </w:r>
            <w:r>
              <w:rPr>
                <w:rStyle w:val="168"/>
                <w:rFonts w:ascii="仿宋" w:hAnsi="仿宋" w:eastAsia="仿宋"/>
                <w:color w:val="000000"/>
                <w:sz w:val="22"/>
              </w:rPr>
              <w:t>-</w:t>
            </w:r>
            <w:r>
              <w:rPr>
                <w:rStyle w:val="168"/>
                <w:rFonts w:hint="eastAsia" w:ascii="仿宋" w:hAnsi="仿宋" w:eastAsia="仿宋"/>
                <w:color w:val="000000"/>
                <w:sz w:val="22"/>
              </w:rPr>
              <w:t>1.1</w:t>
            </w:r>
            <w:r>
              <w:rPr>
                <w:rStyle w:val="168"/>
                <w:rFonts w:ascii="仿宋" w:hAnsi="仿宋" w:eastAsia="仿宋"/>
                <w:color w:val="000000"/>
                <w:sz w:val="22"/>
              </w:rPr>
              <w:t>分，差</w:t>
            </w:r>
            <w:r>
              <w:rPr>
                <w:rStyle w:val="168"/>
                <w:rFonts w:hint="eastAsia" w:ascii="仿宋" w:hAnsi="仿宋" w:eastAsia="仿宋"/>
                <w:color w:val="000000"/>
                <w:sz w:val="22"/>
              </w:rPr>
              <w:t>1</w:t>
            </w:r>
            <w:r>
              <w:rPr>
                <w:rStyle w:val="168"/>
                <w:rFonts w:ascii="仿宋" w:hAnsi="仿宋" w:eastAsia="仿宋"/>
                <w:color w:val="000000"/>
                <w:sz w:val="22"/>
              </w:rPr>
              <w:t>-</w:t>
            </w:r>
            <w:r>
              <w:rPr>
                <w:rStyle w:val="168"/>
                <w:rFonts w:hint="eastAsia" w:ascii="仿宋" w:hAnsi="仿宋" w:eastAsia="仿宋"/>
                <w:color w:val="000000"/>
                <w:sz w:val="22"/>
              </w:rPr>
              <w:t>0</w:t>
            </w:r>
            <w:r>
              <w:rPr>
                <w:rStyle w:val="168"/>
                <w:rFonts w:ascii="仿宋" w:hAnsi="仿宋" w:eastAsia="仿宋"/>
                <w:color w:val="000000"/>
                <w:sz w:val="22"/>
              </w:rPr>
              <w:t>分。</w:t>
            </w:r>
          </w:p>
        </w:tc>
        <w:tc>
          <w:tcPr>
            <w:tcW w:w="791" w:type="dxa"/>
            <w:tcBorders>
              <w:top w:val="single" w:color="auto" w:sz="4" w:space="0"/>
              <w:left w:val="single" w:color="auto" w:sz="4" w:space="0"/>
              <w:right w:val="single" w:color="auto" w:sz="4" w:space="0"/>
            </w:tcBorders>
            <w:vAlign w:val="center"/>
          </w:tcPr>
          <w:p>
            <w:pPr>
              <w:pStyle w:val="170"/>
              <w:spacing w:beforeLines="0" w:after="0" w:afterLines="0" w:line="24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sz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70" w:hRule="atLeast"/>
          <w:jc w:val="center"/>
        </w:trPr>
        <w:tc>
          <w:tcPr>
            <w:tcW w:w="456" w:type="dxa"/>
            <w:vMerge w:val="continue"/>
            <w:tcBorders>
              <w:left w:val="single" w:color="auto" w:sz="4" w:space="0"/>
              <w:right w:val="single" w:color="auto" w:sz="4" w:space="0"/>
            </w:tcBorders>
            <w:vAlign w:val="center"/>
          </w:tcPr>
          <w:p>
            <w:pPr>
              <w:pStyle w:val="170"/>
              <w:spacing w:beforeLines="0" w:after="0" w:afterLines="0" w:line="240" w:lineRule="auto"/>
              <w:jc w:val="center"/>
              <w:rPr>
                <w:rFonts w:ascii="仿宋" w:hAnsi="仿宋" w:eastAsia="仿宋"/>
                <w:color w:val="000000" w:themeColor="text1"/>
                <w:sz w:val="24"/>
                <w14:textFill>
                  <w14:solidFill>
                    <w14:schemeClr w14:val="tx1"/>
                  </w14:solidFill>
                </w14:textFill>
              </w:rPr>
            </w:pPr>
          </w:p>
        </w:tc>
        <w:tc>
          <w:tcPr>
            <w:tcW w:w="1545" w:type="dxa"/>
            <w:vMerge w:val="continue"/>
            <w:tcBorders>
              <w:left w:val="single" w:color="auto" w:sz="4" w:space="0"/>
              <w:right w:val="single" w:color="auto" w:sz="4" w:space="0"/>
            </w:tcBorders>
            <w:tcMar>
              <w:top w:w="15" w:type="dxa"/>
              <w:left w:w="15" w:type="dxa"/>
              <w:bottom w:w="0" w:type="dxa"/>
              <w:right w:w="15" w:type="dxa"/>
            </w:tcMar>
            <w:vAlign w:val="center"/>
          </w:tcPr>
          <w:p>
            <w:pPr>
              <w:pStyle w:val="170"/>
              <w:spacing w:beforeLines="0" w:after="0" w:afterLines="0" w:line="240" w:lineRule="auto"/>
              <w:jc w:val="center"/>
              <w:rPr>
                <w:rFonts w:ascii="仿宋" w:hAnsi="仿宋" w:eastAsia="仿宋"/>
                <w:color w:val="000000" w:themeColor="text1"/>
                <w:sz w:val="24"/>
                <w14:textFill>
                  <w14:solidFill>
                    <w14:schemeClr w14:val="tx1"/>
                  </w14:solidFill>
                </w14:textFill>
              </w:rPr>
            </w:pPr>
          </w:p>
        </w:tc>
        <w:tc>
          <w:tcPr>
            <w:tcW w:w="614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spacing w:line="320" w:lineRule="exact"/>
              <w:jc w:val="left"/>
              <w:rPr>
                <w:rFonts w:ascii="仿宋" w:hAnsi="仿宋" w:eastAsia="仿宋" w:cs="宋体"/>
                <w:sz w:val="22"/>
                <w:szCs w:val="22"/>
              </w:rPr>
            </w:pPr>
            <w:r>
              <w:rPr>
                <w:rFonts w:hint="eastAsia" w:ascii="仿宋" w:hAnsi="仿宋" w:eastAsia="仿宋"/>
                <w:sz w:val="22"/>
                <w:szCs w:val="22"/>
              </w:rPr>
              <w:t>产品现场演示。</w:t>
            </w:r>
            <w:r>
              <w:rPr>
                <w:rFonts w:hint="eastAsia" w:ascii="仿宋" w:hAnsi="仿宋" w:eastAsia="仿宋" w:cs="宋体"/>
                <w:sz w:val="22"/>
                <w:szCs w:val="22"/>
              </w:rPr>
              <w:t>要求演示简洁明了，能充分反应招标文件技术要求中的功能描述，演示总时间控制在10分钟以内，由专家根据演示结果进行综合评分（以PPT、Demo等多媒体演示的或者不演示的不得分）。</w:t>
            </w:r>
          </w:p>
          <w:p>
            <w:pPr>
              <w:widowControl/>
              <w:spacing w:line="320" w:lineRule="exact"/>
              <w:jc w:val="left"/>
              <w:rPr>
                <w:rFonts w:ascii="仿宋" w:hAnsi="仿宋" w:eastAsia="仿宋"/>
                <w:sz w:val="22"/>
                <w:szCs w:val="22"/>
              </w:rPr>
            </w:pPr>
            <w:r>
              <w:rPr>
                <w:rFonts w:hint="eastAsia" w:ascii="仿宋" w:hAnsi="仿宋" w:eastAsia="仿宋" w:cs="宋体"/>
                <w:sz w:val="22"/>
                <w:szCs w:val="22"/>
              </w:rPr>
              <w:t>1、</w:t>
            </w:r>
            <w:r>
              <w:rPr>
                <w:rFonts w:hint="eastAsia" w:ascii="仿宋" w:hAnsi="仿宋" w:eastAsia="仿宋"/>
                <w:sz w:val="22"/>
                <w:szCs w:val="22"/>
              </w:rPr>
              <w:t>具有科研</w:t>
            </w:r>
            <w:r>
              <w:rPr>
                <w:rFonts w:hint="eastAsia" w:ascii="仿宋" w:hAnsi="仿宋" w:eastAsia="仿宋"/>
                <w:bCs/>
                <w:sz w:val="22"/>
                <w:szCs w:val="22"/>
              </w:rPr>
              <w:t>项目查重功能</w:t>
            </w:r>
            <w:r>
              <w:rPr>
                <w:rFonts w:hint="eastAsia" w:ascii="仿宋" w:hAnsi="仿宋" w:eastAsia="仿宋"/>
                <w:sz w:val="22"/>
                <w:szCs w:val="22"/>
              </w:rPr>
              <w:t>得0-2分；</w:t>
            </w:r>
          </w:p>
          <w:p>
            <w:pPr>
              <w:widowControl/>
              <w:spacing w:line="320" w:lineRule="exact"/>
              <w:jc w:val="left"/>
              <w:rPr>
                <w:rFonts w:ascii="仿宋" w:hAnsi="仿宋" w:eastAsia="仿宋"/>
                <w:sz w:val="22"/>
                <w:szCs w:val="22"/>
              </w:rPr>
            </w:pPr>
            <w:r>
              <w:rPr>
                <w:rFonts w:hint="eastAsia" w:ascii="仿宋" w:hAnsi="仿宋" w:eastAsia="仿宋"/>
                <w:sz w:val="22"/>
                <w:szCs w:val="22"/>
              </w:rPr>
              <w:t>2、具有科研伦理评审功能得0-2分；</w:t>
            </w:r>
          </w:p>
          <w:p>
            <w:pPr>
              <w:widowControl/>
              <w:spacing w:line="320" w:lineRule="exact"/>
              <w:jc w:val="left"/>
              <w:rPr>
                <w:rFonts w:ascii="仿宋" w:hAnsi="仿宋" w:eastAsia="仿宋"/>
                <w:sz w:val="22"/>
                <w:szCs w:val="22"/>
              </w:rPr>
            </w:pPr>
            <w:r>
              <w:rPr>
                <w:rFonts w:hint="eastAsia" w:ascii="仿宋" w:hAnsi="仿宋" w:eastAsia="仿宋"/>
                <w:sz w:val="22"/>
                <w:szCs w:val="22"/>
              </w:rPr>
              <w:t>3、具有教学科室规培大纲得0-2分；</w:t>
            </w:r>
          </w:p>
          <w:p>
            <w:pPr>
              <w:widowControl/>
              <w:spacing w:line="320" w:lineRule="exact"/>
              <w:jc w:val="left"/>
              <w:rPr>
                <w:rFonts w:ascii="仿宋" w:hAnsi="仿宋" w:eastAsia="仿宋"/>
                <w:sz w:val="22"/>
                <w:szCs w:val="22"/>
              </w:rPr>
            </w:pPr>
            <w:r>
              <w:rPr>
                <w:rFonts w:hint="eastAsia" w:ascii="仿宋" w:hAnsi="仿宋" w:eastAsia="仿宋"/>
                <w:sz w:val="22"/>
                <w:szCs w:val="22"/>
              </w:rPr>
              <w:t>4、具有教学</w:t>
            </w:r>
            <w:r>
              <w:rPr>
                <w:rFonts w:hint="eastAsia" w:ascii="仿宋" w:hAnsi="仿宋" w:eastAsia="仿宋" w:cs="Courier New"/>
                <w:sz w:val="22"/>
                <w:szCs w:val="22"/>
              </w:rPr>
              <w:t>随手考功能得0-2分</w:t>
            </w:r>
            <w:r>
              <w:rPr>
                <w:rFonts w:hint="eastAsia" w:ascii="仿宋" w:hAnsi="仿宋" w:eastAsia="仿宋"/>
                <w:sz w:val="22"/>
                <w:szCs w:val="22"/>
              </w:rPr>
              <w:t>；</w:t>
            </w:r>
          </w:p>
          <w:p>
            <w:pPr>
              <w:widowControl/>
              <w:spacing w:line="320" w:lineRule="exact"/>
              <w:jc w:val="left"/>
              <w:rPr>
                <w:rFonts w:ascii="仿宋" w:hAnsi="仿宋" w:eastAsia="仿宋"/>
                <w:sz w:val="22"/>
                <w:szCs w:val="22"/>
              </w:rPr>
            </w:pPr>
            <w:r>
              <w:rPr>
                <w:rFonts w:hint="eastAsia" w:ascii="仿宋" w:hAnsi="仿宋" w:eastAsia="仿宋"/>
                <w:sz w:val="22"/>
                <w:szCs w:val="22"/>
              </w:rPr>
              <w:t>5、具有教学带教老师绩效管理得0-2分。</w:t>
            </w:r>
          </w:p>
          <w:p>
            <w:pPr>
              <w:widowControl/>
              <w:spacing w:line="32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sz w:val="22"/>
                <w:szCs w:val="22"/>
              </w:rPr>
              <w:t>共计10分</w:t>
            </w:r>
          </w:p>
        </w:tc>
        <w:tc>
          <w:tcPr>
            <w:tcW w:w="791" w:type="dxa"/>
            <w:tcBorders>
              <w:top w:val="single" w:color="auto" w:sz="4" w:space="0"/>
              <w:left w:val="single" w:color="auto" w:sz="4" w:space="0"/>
              <w:right w:val="single" w:color="auto" w:sz="4" w:space="0"/>
            </w:tcBorders>
            <w:vAlign w:val="center"/>
          </w:tcPr>
          <w:p>
            <w:pPr>
              <w:pStyle w:val="170"/>
              <w:spacing w:beforeLines="0" w:after="0" w:afterLines="0" w:line="24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sz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53" w:hRule="atLeast"/>
          <w:jc w:val="center"/>
        </w:trPr>
        <w:tc>
          <w:tcPr>
            <w:tcW w:w="456" w:type="dxa"/>
            <w:vMerge w:val="restart"/>
            <w:tcBorders>
              <w:left w:val="single" w:color="auto" w:sz="4" w:space="0"/>
              <w:right w:val="single" w:color="auto" w:sz="4" w:space="0"/>
            </w:tcBorders>
            <w:vAlign w:val="center"/>
          </w:tcPr>
          <w:p>
            <w:pPr>
              <w:pStyle w:val="170"/>
              <w:spacing w:beforeLines="0" w:after="0" w:afterLines="0" w:line="24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sz w:val="22"/>
              </w:rPr>
              <w:t>3</w:t>
            </w:r>
          </w:p>
        </w:tc>
        <w:tc>
          <w:tcPr>
            <w:tcW w:w="1545" w:type="dxa"/>
            <w:vMerge w:val="restart"/>
            <w:tcBorders>
              <w:left w:val="single" w:color="auto" w:sz="4" w:space="0"/>
              <w:right w:val="single" w:color="auto" w:sz="4" w:space="0"/>
            </w:tcBorders>
            <w:tcMar>
              <w:top w:w="15" w:type="dxa"/>
              <w:left w:w="15" w:type="dxa"/>
              <w:bottom w:w="0" w:type="dxa"/>
              <w:right w:w="15" w:type="dxa"/>
            </w:tcMar>
            <w:vAlign w:val="center"/>
          </w:tcPr>
          <w:p>
            <w:pPr>
              <w:pStyle w:val="170"/>
              <w:spacing w:beforeLines="0" w:after="0" w:afterLines="0" w:line="240" w:lineRule="auto"/>
              <w:jc w:val="center"/>
              <w:rPr>
                <w:rFonts w:ascii="仿宋" w:hAnsi="仿宋" w:eastAsia="仿宋"/>
                <w:sz w:val="22"/>
              </w:rPr>
            </w:pPr>
            <w:r>
              <w:rPr>
                <w:rFonts w:ascii="仿宋" w:hAnsi="仿宋" w:eastAsia="仿宋"/>
                <w:sz w:val="22"/>
              </w:rPr>
              <w:t>项目实施</w:t>
            </w:r>
            <w:r>
              <w:rPr>
                <w:rFonts w:hint="eastAsia" w:ascii="仿宋" w:hAnsi="仿宋" w:eastAsia="仿宋"/>
                <w:sz w:val="22"/>
              </w:rPr>
              <w:t>方案</w:t>
            </w:r>
          </w:p>
          <w:p>
            <w:pPr>
              <w:pStyle w:val="170"/>
              <w:spacing w:beforeLines="0" w:after="0" w:afterLines="0" w:line="240" w:lineRule="auto"/>
              <w:jc w:val="center"/>
              <w:rPr>
                <w:rFonts w:ascii="仿宋" w:hAnsi="仿宋" w:eastAsia="仿宋"/>
                <w:color w:val="000000" w:themeColor="text1"/>
                <w:sz w:val="24"/>
                <w14:textFill>
                  <w14:solidFill>
                    <w14:schemeClr w14:val="tx1"/>
                  </w14:solidFill>
                </w14:textFill>
              </w:rPr>
            </w:pPr>
            <w:r>
              <w:rPr>
                <w:rFonts w:ascii="仿宋" w:hAnsi="仿宋" w:eastAsia="仿宋"/>
                <w:sz w:val="22"/>
              </w:rPr>
              <w:t>（</w:t>
            </w:r>
            <w:r>
              <w:rPr>
                <w:rFonts w:hint="eastAsia" w:ascii="仿宋" w:hAnsi="仿宋" w:eastAsia="仿宋"/>
                <w:sz w:val="22"/>
              </w:rPr>
              <w:t>9</w:t>
            </w:r>
            <w:r>
              <w:rPr>
                <w:rFonts w:ascii="仿宋" w:hAnsi="仿宋" w:eastAsia="仿宋"/>
                <w:sz w:val="22"/>
              </w:rPr>
              <w:t>分）</w:t>
            </w:r>
          </w:p>
        </w:tc>
        <w:tc>
          <w:tcPr>
            <w:tcW w:w="614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170"/>
              <w:spacing w:beforeLines="0" w:after="0" w:afterLines="0" w:line="240" w:lineRule="auto"/>
              <w:rPr>
                <w:rFonts w:ascii="仿宋" w:hAnsi="仿宋" w:eastAsia="仿宋"/>
                <w:color w:val="000000" w:themeColor="text1"/>
                <w:sz w:val="24"/>
                <w14:textFill>
                  <w14:solidFill>
                    <w14:schemeClr w14:val="tx1"/>
                  </w14:solidFill>
                </w14:textFill>
              </w:rPr>
            </w:pPr>
            <w:r>
              <w:rPr>
                <w:rFonts w:hint="eastAsia" w:ascii="仿宋" w:hAnsi="仿宋" w:eastAsia="仿宋"/>
                <w:sz w:val="22"/>
              </w:rPr>
              <w:t>评委根据</w:t>
            </w:r>
            <w:r>
              <w:rPr>
                <w:rFonts w:ascii="仿宋" w:hAnsi="仿宋" w:eastAsia="仿宋"/>
                <w:sz w:val="22"/>
              </w:rPr>
              <w:t>项目实施计划安排，实施人员配备</w:t>
            </w:r>
            <w:r>
              <w:rPr>
                <w:rFonts w:hint="eastAsia" w:ascii="仿宋" w:hAnsi="仿宋" w:eastAsia="仿宋"/>
                <w:sz w:val="22"/>
              </w:rPr>
              <w:t>情况酌情给分。</w:t>
            </w:r>
            <w:r>
              <w:rPr>
                <w:rStyle w:val="168"/>
                <w:rFonts w:ascii="仿宋" w:hAnsi="仿宋" w:eastAsia="仿宋"/>
                <w:color w:val="000000"/>
                <w:sz w:val="22"/>
              </w:rPr>
              <w:t>优</w:t>
            </w:r>
            <w:r>
              <w:rPr>
                <w:rStyle w:val="168"/>
                <w:rFonts w:hint="eastAsia" w:ascii="仿宋" w:hAnsi="仿宋" w:eastAsia="仿宋"/>
                <w:color w:val="000000"/>
                <w:sz w:val="22"/>
              </w:rPr>
              <w:t>5-3.1</w:t>
            </w:r>
            <w:r>
              <w:rPr>
                <w:rStyle w:val="168"/>
                <w:rFonts w:ascii="仿宋" w:hAnsi="仿宋" w:eastAsia="仿宋"/>
                <w:color w:val="000000"/>
                <w:sz w:val="22"/>
              </w:rPr>
              <w:t>分，良</w:t>
            </w:r>
            <w:r>
              <w:rPr>
                <w:rStyle w:val="168"/>
                <w:rFonts w:hint="eastAsia" w:ascii="仿宋" w:hAnsi="仿宋" w:eastAsia="仿宋"/>
                <w:color w:val="000000"/>
                <w:sz w:val="22"/>
              </w:rPr>
              <w:t>3</w:t>
            </w:r>
            <w:r>
              <w:rPr>
                <w:rStyle w:val="168"/>
                <w:rFonts w:ascii="仿宋" w:hAnsi="仿宋" w:eastAsia="仿宋"/>
                <w:color w:val="000000"/>
                <w:sz w:val="22"/>
              </w:rPr>
              <w:t>-</w:t>
            </w:r>
            <w:r>
              <w:rPr>
                <w:rStyle w:val="168"/>
                <w:rFonts w:hint="eastAsia" w:ascii="仿宋" w:hAnsi="仿宋" w:eastAsia="仿宋"/>
                <w:color w:val="000000"/>
                <w:sz w:val="22"/>
              </w:rPr>
              <w:t>1.1</w:t>
            </w:r>
            <w:r>
              <w:rPr>
                <w:rStyle w:val="168"/>
                <w:rFonts w:ascii="仿宋" w:hAnsi="仿宋" w:eastAsia="仿宋"/>
                <w:color w:val="000000"/>
                <w:sz w:val="22"/>
              </w:rPr>
              <w:t>分，一般</w:t>
            </w:r>
            <w:r>
              <w:rPr>
                <w:rStyle w:val="168"/>
                <w:rFonts w:hint="eastAsia" w:ascii="仿宋" w:hAnsi="仿宋" w:eastAsia="仿宋"/>
                <w:color w:val="000000"/>
                <w:sz w:val="22"/>
              </w:rPr>
              <w:t>1</w:t>
            </w:r>
            <w:r>
              <w:rPr>
                <w:rStyle w:val="168"/>
                <w:rFonts w:ascii="仿宋" w:hAnsi="仿宋" w:eastAsia="仿宋"/>
                <w:color w:val="000000"/>
                <w:sz w:val="22"/>
              </w:rPr>
              <w:t>-</w:t>
            </w:r>
            <w:r>
              <w:rPr>
                <w:rStyle w:val="168"/>
                <w:rFonts w:hint="eastAsia" w:ascii="仿宋" w:hAnsi="仿宋" w:eastAsia="仿宋"/>
                <w:color w:val="000000"/>
                <w:sz w:val="22"/>
              </w:rPr>
              <w:t>0</w:t>
            </w:r>
            <w:r>
              <w:rPr>
                <w:rStyle w:val="168"/>
                <w:rFonts w:ascii="仿宋" w:hAnsi="仿宋" w:eastAsia="仿宋"/>
                <w:color w:val="000000"/>
                <w:sz w:val="22"/>
              </w:rPr>
              <w:t>分。</w:t>
            </w:r>
          </w:p>
        </w:tc>
        <w:tc>
          <w:tcPr>
            <w:tcW w:w="791" w:type="dxa"/>
            <w:tcBorders>
              <w:top w:val="single" w:color="auto" w:sz="4" w:space="0"/>
              <w:left w:val="single" w:color="auto" w:sz="4" w:space="0"/>
              <w:right w:val="single" w:color="auto" w:sz="4" w:space="0"/>
            </w:tcBorders>
            <w:vAlign w:val="center"/>
          </w:tcPr>
          <w:p>
            <w:pPr>
              <w:pStyle w:val="170"/>
              <w:spacing w:beforeLines="0" w:after="0" w:afterLines="0" w:line="24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sz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19" w:hRule="atLeast"/>
          <w:jc w:val="center"/>
        </w:trPr>
        <w:tc>
          <w:tcPr>
            <w:tcW w:w="456" w:type="dxa"/>
            <w:vMerge w:val="continue"/>
            <w:vAlign w:val="center"/>
          </w:tcPr>
          <w:p>
            <w:pPr>
              <w:pStyle w:val="170"/>
              <w:spacing w:beforeLines="0" w:after="0" w:afterLines="0" w:line="240" w:lineRule="auto"/>
              <w:jc w:val="center"/>
              <w:rPr>
                <w:rFonts w:ascii="仿宋" w:hAnsi="仿宋" w:eastAsia="仿宋"/>
                <w:color w:val="000000" w:themeColor="text1"/>
                <w:sz w:val="24"/>
                <w14:textFill>
                  <w14:solidFill>
                    <w14:schemeClr w14:val="tx1"/>
                  </w14:solidFill>
                </w14:textFill>
              </w:rPr>
            </w:pPr>
          </w:p>
        </w:tc>
        <w:tc>
          <w:tcPr>
            <w:tcW w:w="1545" w:type="dxa"/>
            <w:vMerge w:val="continue"/>
            <w:tcMar>
              <w:top w:w="15" w:type="dxa"/>
              <w:left w:w="15" w:type="dxa"/>
              <w:bottom w:w="0" w:type="dxa"/>
              <w:right w:w="15" w:type="dxa"/>
            </w:tcMar>
            <w:vAlign w:val="center"/>
          </w:tcPr>
          <w:p>
            <w:pPr>
              <w:pStyle w:val="170"/>
              <w:spacing w:beforeLines="0" w:after="0" w:afterLines="0" w:line="240" w:lineRule="auto"/>
              <w:jc w:val="center"/>
              <w:rPr>
                <w:rFonts w:ascii="仿宋" w:hAnsi="仿宋" w:eastAsia="仿宋"/>
                <w:color w:val="000000" w:themeColor="text1"/>
                <w:sz w:val="24"/>
                <w14:textFill>
                  <w14:solidFill>
                    <w14:schemeClr w14:val="tx1"/>
                  </w14:solidFill>
                </w14:textFill>
              </w:rPr>
            </w:pPr>
          </w:p>
        </w:tc>
        <w:tc>
          <w:tcPr>
            <w:tcW w:w="6144" w:type="dxa"/>
            <w:vAlign w:val="center"/>
          </w:tcPr>
          <w:p>
            <w:pPr>
              <w:pStyle w:val="170"/>
              <w:spacing w:beforeLines="0" w:after="0" w:afterLines="0" w:line="24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FF0000"/>
                <w:sz w:val="22"/>
              </w:rPr>
              <w:t>评委根据投标人培训方案酌情给分。</w:t>
            </w:r>
            <w:r>
              <w:rPr>
                <w:rStyle w:val="168"/>
                <w:rFonts w:ascii="仿宋" w:hAnsi="仿宋" w:eastAsia="仿宋"/>
                <w:color w:val="FF0000"/>
                <w:sz w:val="22"/>
              </w:rPr>
              <w:t>优</w:t>
            </w:r>
            <w:r>
              <w:rPr>
                <w:rStyle w:val="168"/>
                <w:rFonts w:hint="eastAsia" w:ascii="仿宋" w:hAnsi="仿宋" w:eastAsia="仿宋"/>
                <w:color w:val="FF0000"/>
                <w:sz w:val="22"/>
              </w:rPr>
              <w:t>4-3.1</w:t>
            </w:r>
            <w:r>
              <w:rPr>
                <w:rStyle w:val="168"/>
                <w:rFonts w:ascii="仿宋" w:hAnsi="仿宋" w:eastAsia="仿宋"/>
                <w:color w:val="FF0000"/>
                <w:sz w:val="22"/>
              </w:rPr>
              <w:t>分，良</w:t>
            </w:r>
            <w:r>
              <w:rPr>
                <w:rStyle w:val="168"/>
                <w:rFonts w:hint="eastAsia" w:ascii="仿宋" w:hAnsi="仿宋" w:eastAsia="仿宋"/>
                <w:color w:val="FF0000"/>
                <w:sz w:val="22"/>
              </w:rPr>
              <w:t>3</w:t>
            </w:r>
            <w:r>
              <w:rPr>
                <w:rStyle w:val="168"/>
                <w:rFonts w:ascii="仿宋" w:hAnsi="仿宋" w:eastAsia="仿宋"/>
                <w:color w:val="FF0000"/>
                <w:sz w:val="22"/>
              </w:rPr>
              <w:t>-</w:t>
            </w:r>
            <w:r>
              <w:rPr>
                <w:rStyle w:val="168"/>
                <w:rFonts w:hint="eastAsia" w:ascii="仿宋" w:hAnsi="仿宋" w:eastAsia="仿宋"/>
                <w:color w:val="FF0000"/>
                <w:sz w:val="22"/>
              </w:rPr>
              <w:t>1.1</w:t>
            </w:r>
            <w:r>
              <w:rPr>
                <w:rStyle w:val="168"/>
                <w:rFonts w:ascii="仿宋" w:hAnsi="仿宋" w:eastAsia="仿宋"/>
                <w:color w:val="FF0000"/>
                <w:sz w:val="22"/>
              </w:rPr>
              <w:t>分，一般</w:t>
            </w:r>
            <w:r>
              <w:rPr>
                <w:rStyle w:val="168"/>
                <w:rFonts w:hint="eastAsia" w:ascii="仿宋" w:hAnsi="仿宋" w:eastAsia="仿宋"/>
                <w:color w:val="FF0000"/>
                <w:sz w:val="22"/>
              </w:rPr>
              <w:t>1</w:t>
            </w:r>
            <w:r>
              <w:rPr>
                <w:rStyle w:val="168"/>
                <w:rFonts w:ascii="仿宋" w:hAnsi="仿宋" w:eastAsia="仿宋"/>
                <w:color w:val="FF0000"/>
                <w:sz w:val="22"/>
              </w:rPr>
              <w:t>-</w:t>
            </w:r>
            <w:r>
              <w:rPr>
                <w:rStyle w:val="168"/>
                <w:rFonts w:hint="eastAsia" w:ascii="仿宋" w:hAnsi="仿宋" w:eastAsia="仿宋"/>
                <w:color w:val="FF0000"/>
                <w:sz w:val="22"/>
              </w:rPr>
              <w:t>0</w:t>
            </w:r>
            <w:r>
              <w:rPr>
                <w:rStyle w:val="168"/>
                <w:rFonts w:ascii="仿宋" w:hAnsi="仿宋" w:eastAsia="仿宋"/>
                <w:color w:val="FF0000"/>
                <w:sz w:val="22"/>
              </w:rPr>
              <w:t>分。</w:t>
            </w:r>
          </w:p>
        </w:tc>
        <w:tc>
          <w:tcPr>
            <w:tcW w:w="791" w:type="dxa"/>
            <w:vAlign w:val="center"/>
          </w:tcPr>
          <w:p>
            <w:pPr>
              <w:pStyle w:val="170"/>
              <w:spacing w:beforeLines="0" w:after="0" w:afterLines="0" w:line="24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FF0000"/>
                <w:sz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6" w:hRule="atLeast"/>
          <w:jc w:val="center"/>
        </w:trPr>
        <w:tc>
          <w:tcPr>
            <w:tcW w:w="456" w:type="dxa"/>
            <w:vAlign w:val="center"/>
          </w:tcPr>
          <w:p>
            <w:pPr>
              <w:pStyle w:val="170"/>
              <w:spacing w:beforeLines="0" w:after="0" w:afterLines="0" w:line="24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sz w:val="22"/>
              </w:rPr>
              <w:t>4</w:t>
            </w:r>
          </w:p>
        </w:tc>
        <w:tc>
          <w:tcPr>
            <w:tcW w:w="1545" w:type="dxa"/>
            <w:tcMar>
              <w:top w:w="15" w:type="dxa"/>
              <w:left w:w="15" w:type="dxa"/>
              <w:bottom w:w="0" w:type="dxa"/>
              <w:right w:w="15" w:type="dxa"/>
            </w:tcMar>
            <w:vAlign w:val="center"/>
          </w:tcPr>
          <w:p>
            <w:pPr>
              <w:pStyle w:val="170"/>
              <w:spacing w:beforeLines="0" w:after="0" w:afterLines="0" w:line="24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sz w:val="22"/>
              </w:rPr>
              <w:t>项目业绩（6分）</w:t>
            </w:r>
          </w:p>
        </w:tc>
        <w:tc>
          <w:tcPr>
            <w:tcW w:w="6144" w:type="dxa"/>
            <w:vAlign w:val="center"/>
          </w:tcPr>
          <w:p>
            <w:pPr>
              <w:pStyle w:val="170"/>
              <w:spacing w:beforeLines="0" w:after="0" w:afterLines="0" w:line="24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FF0000"/>
                <w:sz w:val="22"/>
              </w:rPr>
              <w:t>投标人2017</w:t>
            </w:r>
            <w:r>
              <w:rPr>
                <w:rFonts w:ascii="仿宋" w:hAnsi="仿宋" w:eastAsia="仿宋"/>
                <w:color w:val="FF0000"/>
                <w:sz w:val="22"/>
              </w:rPr>
              <w:t>年</w:t>
            </w:r>
            <w:r>
              <w:rPr>
                <w:rFonts w:hint="eastAsia" w:ascii="仿宋" w:hAnsi="仿宋" w:eastAsia="仿宋"/>
                <w:color w:val="FF0000"/>
                <w:sz w:val="22"/>
              </w:rPr>
              <w:t>至今（以签定合同时间为准）同类成功案例，每提供一份合同复印件得2分，最高得6分。</w:t>
            </w:r>
            <w:r>
              <w:rPr>
                <w:rStyle w:val="168"/>
                <w:rFonts w:hint="eastAsia" w:ascii="仿宋" w:hAnsi="仿宋" w:eastAsia="仿宋"/>
                <w:color w:val="FF0000"/>
                <w:sz w:val="22"/>
              </w:rPr>
              <w:t>投标文件中提供合同复印件并加盖投标单位公章，</w:t>
            </w:r>
            <w:r>
              <w:rPr>
                <w:rStyle w:val="168"/>
                <w:rFonts w:ascii="仿宋" w:hAnsi="仿宋" w:eastAsia="仿宋"/>
                <w:color w:val="FF0000"/>
                <w:sz w:val="22"/>
              </w:rPr>
              <w:t>不提供</w:t>
            </w:r>
            <w:r>
              <w:rPr>
                <w:rStyle w:val="168"/>
                <w:rFonts w:hint="eastAsia" w:ascii="仿宋" w:hAnsi="仿宋" w:eastAsia="仿宋"/>
                <w:color w:val="FF0000"/>
                <w:sz w:val="22"/>
              </w:rPr>
              <w:t>不得分</w:t>
            </w:r>
            <w:r>
              <w:rPr>
                <w:rStyle w:val="168"/>
                <w:rFonts w:ascii="仿宋" w:hAnsi="仿宋" w:eastAsia="仿宋"/>
                <w:color w:val="FF0000"/>
                <w:sz w:val="22"/>
              </w:rPr>
              <w:t>。</w:t>
            </w:r>
          </w:p>
        </w:tc>
        <w:tc>
          <w:tcPr>
            <w:tcW w:w="791" w:type="dxa"/>
            <w:vAlign w:val="center"/>
          </w:tcPr>
          <w:p>
            <w:pPr>
              <w:pStyle w:val="170"/>
              <w:spacing w:beforeLines="0" w:after="0" w:afterLines="0" w:line="24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FF0000"/>
                <w:sz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jc w:val="center"/>
        </w:trPr>
        <w:tc>
          <w:tcPr>
            <w:tcW w:w="456" w:type="dxa"/>
            <w:vAlign w:val="center"/>
          </w:tcPr>
          <w:p>
            <w:pPr>
              <w:pStyle w:val="170"/>
              <w:spacing w:beforeLines="0" w:after="0" w:afterLines="0" w:line="24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sz w:val="22"/>
              </w:rPr>
              <w:t>5</w:t>
            </w:r>
          </w:p>
        </w:tc>
        <w:tc>
          <w:tcPr>
            <w:tcW w:w="1545" w:type="dxa"/>
            <w:tcMar>
              <w:top w:w="15" w:type="dxa"/>
              <w:left w:w="15" w:type="dxa"/>
              <w:bottom w:w="0" w:type="dxa"/>
              <w:right w:w="15" w:type="dxa"/>
            </w:tcMar>
            <w:vAlign w:val="center"/>
          </w:tcPr>
          <w:p>
            <w:pPr>
              <w:pStyle w:val="170"/>
              <w:spacing w:beforeLines="0" w:after="0" w:afterLines="0" w:line="240" w:lineRule="auto"/>
              <w:jc w:val="center"/>
              <w:rPr>
                <w:rFonts w:ascii="仿宋" w:hAnsi="仿宋" w:eastAsia="仿宋"/>
                <w:color w:val="000000" w:themeColor="text1"/>
                <w:sz w:val="24"/>
                <w14:textFill>
                  <w14:solidFill>
                    <w14:schemeClr w14:val="tx1"/>
                  </w14:solidFill>
                </w14:textFill>
              </w:rPr>
            </w:pPr>
            <w:r>
              <w:rPr>
                <w:rFonts w:ascii="仿宋" w:hAnsi="仿宋" w:eastAsia="仿宋"/>
                <w:sz w:val="22"/>
              </w:rPr>
              <w:t>售后服务</w:t>
            </w:r>
            <w:r>
              <w:rPr>
                <w:rFonts w:hint="eastAsia" w:ascii="仿宋" w:hAnsi="仿宋" w:eastAsia="仿宋"/>
                <w:sz w:val="22"/>
              </w:rPr>
              <w:t>方案</w:t>
            </w:r>
            <w:r>
              <w:rPr>
                <w:rFonts w:ascii="仿宋" w:hAnsi="仿宋" w:eastAsia="仿宋"/>
                <w:sz w:val="22"/>
              </w:rPr>
              <w:t>（</w:t>
            </w:r>
            <w:r>
              <w:rPr>
                <w:rFonts w:hint="eastAsia" w:ascii="仿宋" w:hAnsi="仿宋" w:eastAsia="仿宋"/>
                <w:sz w:val="22"/>
              </w:rPr>
              <w:t>3</w:t>
            </w:r>
            <w:r>
              <w:rPr>
                <w:rFonts w:ascii="仿宋" w:hAnsi="仿宋" w:eastAsia="仿宋"/>
                <w:sz w:val="22"/>
              </w:rPr>
              <w:t>分）</w:t>
            </w:r>
          </w:p>
        </w:tc>
        <w:tc>
          <w:tcPr>
            <w:tcW w:w="6144" w:type="dxa"/>
            <w:vAlign w:val="center"/>
          </w:tcPr>
          <w:p>
            <w:pPr>
              <w:pStyle w:val="170"/>
              <w:spacing w:beforeLines="0" w:after="0" w:afterLines="0" w:line="240" w:lineRule="auto"/>
              <w:rPr>
                <w:rFonts w:ascii="仿宋" w:hAnsi="仿宋" w:eastAsia="仿宋"/>
                <w:color w:val="000000" w:themeColor="text1"/>
                <w:sz w:val="24"/>
                <w14:textFill>
                  <w14:solidFill>
                    <w14:schemeClr w14:val="tx1"/>
                  </w14:solidFill>
                </w14:textFill>
              </w:rPr>
            </w:pPr>
            <w:r>
              <w:rPr>
                <w:rFonts w:hint="eastAsia" w:ascii="仿宋" w:hAnsi="仿宋" w:eastAsia="仿宋"/>
                <w:sz w:val="22"/>
              </w:rPr>
              <w:t>根据投标人的售后服务方案酌情给分。</w:t>
            </w:r>
            <w:r>
              <w:rPr>
                <w:rStyle w:val="168"/>
                <w:rFonts w:ascii="仿宋" w:hAnsi="仿宋" w:eastAsia="仿宋"/>
                <w:color w:val="000000"/>
                <w:sz w:val="22"/>
              </w:rPr>
              <w:t>优</w:t>
            </w:r>
            <w:r>
              <w:rPr>
                <w:rStyle w:val="168"/>
                <w:rFonts w:hint="eastAsia" w:ascii="仿宋" w:hAnsi="仿宋" w:eastAsia="仿宋"/>
                <w:color w:val="000000"/>
                <w:sz w:val="22"/>
              </w:rPr>
              <w:t>3-2.1</w:t>
            </w:r>
            <w:r>
              <w:rPr>
                <w:rStyle w:val="168"/>
                <w:rFonts w:ascii="仿宋" w:hAnsi="仿宋" w:eastAsia="仿宋"/>
                <w:color w:val="000000"/>
                <w:sz w:val="22"/>
              </w:rPr>
              <w:t>分，良</w:t>
            </w:r>
            <w:r>
              <w:rPr>
                <w:rStyle w:val="168"/>
                <w:rFonts w:hint="eastAsia" w:ascii="仿宋" w:hAnsi="仿宋" w:eastAsia="仿宋"/>
                <w:color w:val="000000"/>
                <w:sz w:val="22"/>
              </w:rPr>
              <w:t>2</w:t>
            </w:r>
            <w:r>
              <w:rPr>
                <w:rStyle w:val="168"/>
                <w:rFonts w:ascii="仿宋" w:hAnsi="仿宋" w:eastAsia="仿宋"/>
                <w:color w:val="000000"/>
                <w:sz w:val="22"/>
              </w:rPr>
              <w:t>-</w:t>
            </w:r>
            <w:r>
              <w:rPr>
                <w:rStyle w:val="168"/>
                <w:rFonts w:hint="eastAsia" w:ascii="仿宋" w:hAnsi="仿宋" w:eastAsia="仿宋"/>
                <w:color w:val="000000"/>
                <w:sz w:val="22"/>
              </w:rPr>
              <w:t>1.1</w:t>
            </w:r>
            <w:r>
              <w:rPr>
                <w:rStyle w:val="168"/>
                <w:rFonts w:ascii="仿宋" w:hAnsi="仿宋" w:eastAsia="仿宋"/>
                <w:color w:val="000000"/>
                <w:sz w:val="22"/>
              </w:rPr>
              <w:t>分，一般</w:t>
            </w:r>
            <w:r>
              <w:rPr>
                <w:rStyle w:val="168"/>
                <w:rFonts w:hint="eastAsia" w:ascii="仿宋" w:hAnsi="仿宋" w:eastAsia="仿宋"/>
                <w:color w:val="000000"/>
                <w:sz w:val="22"/>
              </w:rPr>
              <w:t>1</w:t>
            </w:r>
            <w:r>
              <w:rPr>
                <w:rStyle w:val="168"/>
                <w:rFonts w:ascii="仿宋" w:hAnsi="仿宋" w:eastAsia="仿宋"/>
                <w:color w:val="000000"/>
                <w:sz w:val="22"/>
              </w:rPr>
              <w:t>-</w:t>
            </w:r>
            <w:r>
              <w:rPr>
                <w:rStyle w:val="168"/>
                <w:rFonts w:hint="eastAsia" w:ascii="仿宋" w:hAnsi="仿宋" w:eastAsia="仿宋"/>
                <w:color w:val="000000"/>
                <w:sz w:val="22"/>
              </w:rPr>
              <w:t>0</w:t>
            </w:r>
            <w:r>
              <w:rPr>
                <w:rStyle w:val="168"/>
                <w:rFonts w:ascii="仿宋" w:hAnsi="仿宋" w:eastAsia="仿宋"/>
                <w:color w:val="000000"/>
                <w:sz w:val="22"/>
              </w:rPr>
              <w:t>分</w:t>
            </w:r>
          </w:p>
        </w:tc>
        <w:tc>
          <w:tcPr>
            <w:tcW w:w="791" w:type="dxa"/>
            <w:vAlign w:val="center"/>
          </w:tcPr>
          <w:p>
            <w:pPr>
              <w:pStyle w:val="170"/>
              <w:spacing w:beforeLines="0" w:after="0" w:afterLines="0" w:line="24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sz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7" w:hRule="atLeast"/>
          <w:jc w:val="center"/>
        </w:trPr>
        <w:tc>
          <w:tcPr>
            <w:tcW w:w="456" w:type="dxa"/>
            <w:vAlign w:val="center"/>
          </w:tcPr>
          <w:p>
            <w:pPr>
              <w:pStyle w:val="170"/>
              <w:spacing w:beforeLines="0" w:after="0" w:afterLines="0" w:line="24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sz w:val="22"/>
              </w:rPr>
              <w:t>6</w:t>
            </w:r>
          </w:p>
        </w:tc>
        <w:tc>
          <w:tcPr>
            <w:tcW w:w="1545" w:type="dxa"/>
            <w:tcMar>
              <w:top w:w="15" w:type="dxa"/>
              <w:left w:w="15" w:type="dxa"/>
              <w:bottom w:w="0" w:type="dxa"/>
              <w:right w:w="15" w:type="dxa"/>
            </w:tcMar>
            <w:vAlign w:val="center"/>
          </w:tcPr>
          <w:p>
            <w:pPr>
              <w:pStyle w:val="170"/>
              <w:spacing w:beforeLines="0" w:after="0" w:afterLines="0" w:line="24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sz w:val="22"/>
              </w:rPr>
              <w:t>标书制作（2分）</w:t>
            </w:r>
          </w:p>
        </w:tc>
        <w:tc>
          <w:tcPr>
            <w:tcW w:w="6144" w:type="dxa"/>
            <w:vAlign w:val="center"/>
          </w:tcPr>
          <w:p>
            <w:pPr>
              <w:pStyle w:val="170"/>
              <w:spacing w:beforeLines="0" w:after="0" w:afterLines="0" w:line="240" w:lineRule="auto"/>
              <w:rPr>
                <w:rFonts w:ascii="仿宋" w:hAnsi="仿宋" w:eastAsia="仿宋"/>
                <w:color w:val="000000" w:themeColor="text1"/>
                <w:sz w:val="24"/>
                <w14:textFill>
                  <w14:solidFill>
                    <w14:schemeClr w14:val="tx1"/>
                  </w14:solidFill>
                </w14:textFill>
              </w:rPr>
            </w:pPr>
            <w:r>
              <w:rPr>
                <w:rStyle w:val="168"/>
                <w:rFonts w:ascii="仿宋" w:hAnsi="仿宋" w:eastAsia="仿宋"/>
                <w:color w:val="000000"/>
                <w:sz w:val="22"/>
              </w:rPr>
              <w:t>投标文件制作是否规范度、合理，对招标文件的响应程度。优</w:t>
            </w:r>
            <w:r>
              <w:rPr>
                <w:rStyle w:val="168"/>
                <w:rFonts w:hint="eastAsia" w:ascii="仿宋" w:hAnsi="仿宋" w:eastAsia="仿宋"/>
                <w:color w:val="000000"/>
                <w:sz w:val="22"/>
              </w:rPr>
              <w:t>2</w:t>
            </w:r>
            <w:r>
              <w:rPr>
                <w:rStyle w:val="168"/>
                <w:rFonts w:ascii="仿宋" w:hAnsi="仿宋" w:eastAsia="仿宋"/>
                <w:color w:val="000000"/>
                <w:sz w:val="22"/>
              </w:rPr>
              <w:t>分，良</w:t>
            </w:r>
            <w:r>
              <w:rPr>
                <w:rStyle w:val="168"/>
                <w:rFonts w:hint="eastAsia" w:ascii="仿宋" w:hAnsi="仿宋" w:eastAsia="仿宋"/>
                <w:color w:val="000000"/>
                <w:sz w:val="22"/>
              </w:rPr>
              <w:t>1</w:t>
            </w:r>
            <w:r>
              <w:rPr>
                <w:rStyle w:val="168"/>
                <w:rFonts w:ascii="仿宋" w:hAnsi="仿宋" w:eastAsia="仿宋"/>
                <w:color w:val="000000"/>
                <w:sz w:val="22"/>
              </w:rPr>
              <w:t>分，一般</w:t>
            </w:r>
            <w:r>
              <w:rPr>
                <w:rStyle w:val="168"/>
                <w:rFonts w:hint="eastAsia" w:ascii="仿宋" w:hAnsi="仿宋" w:eastAsia="仿宋"/>
                <w:color w:val="000000"/>
                <w:sz w:val="22"/>
              </w:rPr>
              <w:t>0.5</w:t>
            </w:r>
            <w:r>
              <w:rPr>
                <w:rStyle w:val="168"/>
                <w:rFonts w:ascii="仿宋" w:hAnsi="仿宋" w:eastAsia="仿宋"/>
                <w:color w:val="000000"/>
                <w:sz w:val="22"/>
              </w:rPr>
              <w:t>分</w:t>
            </w:r>
          </w:p>
        </w:tc>
        <w:tc>
          <w:tcPr>
            <w:tcW w:w="791" w:type="dxa"/>
            <w:vAlign w:val="center"/>
          </w:tcPr>
          <w:p>
            <w:pPr>
              <w:pStyle w:val="170"/>
              <w:spacing w:beforeLines="0" w:after="0" w:afterLines="0" w:line="24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sz w:val="22"/>
              </w:rPr>
              <w:t>2</w:t>
            </w:r>
          </w:p>
        </w:tc>
      </w:tr>
    </w:tbl>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w:t>
      </w:r>
      <w:r>
        <w:rPr>
          <w:rFonts w:hint="eastAsia" w:ascii="仿宋" w:hAnsi="仿宋" w:eastAsia="仿宋"/>
          <w:b/>
          <w:bCs/>
          <w:color w:val="000000" w:themeColor="text1"/>
          <w:sz w:val="24"/>
          <w14:textFill>
            <w14:solidFill>
              <w14:schemeClr w14:val="tx1"/>
            </w14:solidFill>
          </w14:textFill>
        </w:rPr>
        <w:t>减分：投标人的信誉情况：</w:t>
      </w:r>
      <w:r>
        <w:rPr>
          <w:rFonts w:hint="eastAsia" w:ascii="仿宋" w:hAnsi="仿宋" w:eastAsia="仿宋"/>
          <w:color w:val="000000" w:themeColor="text1"/>
          <w:sz w:val="24"/>
          <w14:textFill>
            <w14:solidFill>
              <w14:schemeClr w14:val="tx1"/>
            </w14:solidFill>
          </w14:textFill>
        </w:rPr>
        <w:t>政府采购领域中投标人在项目招标、投标和合同履约期间是否存在不良行为记录。</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投标人参加本次政府采购活动前三年内在浙江省范围内政府采购领域中受到不良行为记录处罚的每次扣1分。</w:t>
      </w:r>
    </w:p>
    <w:p>
      <w:pPr>
        <w:spacing w:line="440" w:lineRule="exact"/>
        <w:jc w:val="left"/>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2.2价格分（30分）</w:t>
      </w:r>
    </w:p>
    <w:p>
      <w:pPr>
        <w:spacing w:line="440" w:lineRule="exact"/>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2.2.1评标基准价：即满足招标文件要求且投标价格最低的投标报价为评标基准价，其价格分为满分。</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2.2.2其他投标人的价格分统一按照下列公式计算(保留小数2位)：</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投标报价得分=(评标基准价／投标报价)×价格权值×100</w:t>
      </w:r>
    </w:p>
    <w:p>
      <w:pPr>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即：投标报价得分=(评标基准价／投标报价)×30</w:t>
      </w:r>
    </w:p>
    <w:p>
      <w:pPr>
        <w:snapToGrid w:val="0"/>
        <w:rPr>
          <w:rFonts w:ascii="仿宋" w:hAnsi="仿宋" w:eastAsia="仿宋"/>
          <w:b/>
          <w:color w:val="000000" w:themeColor="text1"/>
          <w:sz w:val="24"/>
          <w:u w:val="single"/>
          <w14:textFill>
            <w14:solidFill>
              <w14:schemeClr w14:val="tx1"/>
            </w14:solidFill>
          </w14:textFill>
        </w:rPr>
      </w:pPr>
    </w:p>
    <w:bookmarkEnd w:id="11"/>
    <w:bookmarkEnd w:id="12"/>
    <w:bookmarkEnd w:id="13"/>
    <w:bookmarkEnd w:id="14"/>
    <w:p>
      <w:pPr>
        <w:pageBreakBefore/>
        <w:snapToGrid w:val="0"/>
        <w:spacing w:line="360" w:lineRule="auto"/>
        <w:jc w:val="center"/>
        <w:rPr>
          <w:rFonts w:ascii="仿宋" w:hAnsi="仿宋" w:eastAsia="仿宋" w:cs="仿宋_GB2312"/>
          <w:b/>
          <w:color w:val="000000" w:themeColor="text1"/>
          <w:sz w:val="36"/>
          <w:szCs w:val="20"/>
          <w14:textFill>
            <w14:solidFill>
              <w14:schemeClr w14:val="tx1"/>
            </w14:solidFill>
          </w14:textFill>
        </w:rPr>
      </w:pPr>
      <w:r>
        <w:rPr>
          <w:rFonts w:hint="eastAsia" w:ascii="仿宋" w:hAnsi="仿宋" w:eastAsia="仿宋" w:cs="仿宋_GB2312"/>
          <w:b/>
          <w:color w:val="000000" w:themeColor="text1"/>
          <w:sz w:val="36"/>
          <w:szCs w:val="20"/>
          <w14:textFill>
            <w14:solidFill>
              <w14:schemeClr w14:val="tx1"/>
            </w14:solidFill>
          </w14:textFill>
        </w:rPr>
        <w:t>第六部分</w:t>
      </w:r>
      <w:r>
        <w:rPr>
          <w:rFonts w:hint="eastAsia" w:ascii="仿宋" w:hAnsi="仿宋" w:eastAsia="仿宋"/>
          <w:b/>
          <w:color w:val="000000" w:themeColor="text1"/>
          <w:sz w:val="36"/>
          <w:szCs w:val="36"/>
          <w14:textFill>
            <w14:solidFill>
              <w14:schemeClr w14:val="tx1"/>
            </w14:solidFill>
          </w14:textFill>
        </w:rPr>
        <w:t>投标文件</w:t>
      </w:r>
      <w:r>
        <w:rPr>
          <w:rFonts w:hint="eastAsia" w:ascii="仿宋" w:hAnsi="仿宋" w:eastAsia="仿宋" w:cs="仿宋_GB2312"/>
          <w:b/>
          <w:color w:val="000000" w:themeColor="text1"/>
          <w:sz w:val="36"/>
          <w:szCs w:val="20"/>
          <w14:textFill>
            <w14:solidFill>
              <w14:schemeClr w14:val="tx1"/>
            </w14:solidFill>
          </w14:textFill>
        </w:rPr>
        <w:t>应提交的有关格式范例</w:t>
      </w:r>
    </w:p>
    <w:p>
      <w:pPr>
        <w:spacing w:line="360" w:lineRule="auto"/>
        <w:ind w:firstLine="480" w:firstLineChars="200"/>
        <w:outlineLvl w:val="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投标人按照以下格式编制投标文件，并将报价文件、商务技术（资信）文件分别装订成册。</w:t>
      </w:r>
    </w:p>
    <w:p>
      <w:pPr>
        <w:spacing w:line="360" w:lineRule="auto"/>
        <w:ind w:firstLine="480" w:firstLineChars="200"/>
        <w:outlineLvl w:val="0"/>
        <w:rPr>
          <w:rFonts w:ascii="仿宋" w:hAnsi="仿宋" w:eastAsia="仿宋" w:cs="仿宋_GB2312"/>
          <w:color w:val="000000" w:themeColor="text1"/>
          <w:sz w:val="24"/>
          <w14:textFill>
            <w14:solidFill>
              <w14:schemeClr w14:val="tx1"/>
            </w14:solidFill>
          </w14:textFill>
        </w:rPr>
      </w:pPr>
    </w:p>
    <w:p>
      <w:pPr>
        <w:spacing w:line="360" w:lineRule="auto"/>
        <w:ind w:firstLine="480" w:firstLineChars="200"/>
        <w:outlineLvl w:val="0"/>
        <w:rPr>
          <w:rFonts w:ascii="仿宋" w:hAnsi="仿宋" w:eastAsia="仿宋" w:cs="仿宋_GB2312"/>
          <w:color w:val="000000" w:themeColor="text1"/>
          <w:sz w:val="24"/>
          <w14:textFill>
            <w14:solidFill>
              <w14:schemeClr w14:val="tx1"/>
            </w14:solidFill>
          </w14:textFill>
        </w:rPr>
      </w:pPr>
    </w:p>
    <w:p>
      <w:pPr>
        <w:spacing w:line="360" w:lineRule="auto"/>
        <w:ind w:firstLine="480" w:firstLineChars="200"/>
        <w:outlineLvl w:val="0"/>
        <w:rPr>
          <w:rFonts w:ascii="仿宋" w:hAnsi="仿宋" w:eastAsia="仿宋" w:cs="仿宋_GB2312"/>
          <w:color w:val="000000" w:themeColor="text1"/>
          <w:sz w:val="24"/>
          <w14:textFill>
            <w14:solidFill>
              <w14:schemeClr w14:val="tx1"/>
            </w14:solidFill>
          </w14:textFill>
        </w:rPr>
      </w:pPr>
    </w:p>
    <w:p>
      <w:pPr>
        <w:spacing w:line="360" w:lineRule="auto"/>
        <w:ind w:firstLine="480" w:firstLineChars="200"/>
        <w:outlineLvl w:val="0"/>
        <w:rPr>
          <w:rFonts w:ascii="仿宋" w:hAnsi="仿宋" w:eastAsia="仿宋" w:cs="仿宋_GB2312"/>
          <w:color w:val="000000" w:themeColor="text1"/>
          <w:sz w:val="24"/>
          <w14:textFill>
            <w14:solidFill>
              <w14:schemeClr w14:val="tx1"/>
            </w14:solidFill>
          </w14:textFill>
        </w:rPr>
      </w:pPr>
    </w:p>
    <w:p>
      <w:pPr>
        <w:spacing w:line="360" w:lineRule="auto"/>
        <w:ind w:firstLine="480" w:firstLineChars="200"/>
        <w:outlineLvl w:val="0"/>
        <w:rPr>
          <w:rFonts w:ascii="仿宋" w:hAnsi="仿宋" w:eastAsia="仿宋" w:cs="仿宋_GB2312"/>
          <w:color w:val="000000" w:themeColor="text1"/>
          <w:sz w:val="24"/>
          <w14:textFill>
            <w14:solidFill>
              <w14:schemeClr w14:val="tx1"/>
            </w14:solidFill>
          </w14:textFill>
        </w:rPr>
      </w:pPr>
    </w:p>
    <w:p>
      <w:pPr>
        <w:snapToGrid w:val="0"/>
        <w:spacing w:line="360" w:lineRule="auto"/>
        <w:jc w:val="center"/>
        <w:rPr>
          <w:rFonts w:ascii="仿宋" w:hAnsi="仿宋" w:eastAsia="仿宋" w:cs="仿宋_GB2312"/>
          <w:b/>
          <w:color w:val="000000" w:themeColor="text1"/>
          <w:kern w:val="0"/>
          <w:sz w:val="36"/>
          <w:szCs w:val="36"/>
          <w14:textFill>
            <w14:solidFill>
              <w14:schemeClr w14:val="tx1"/>
            </w14:solidFill>
          </w14:textFill>
        </w:rPr>
      </w:pPr>
      <w:r>
        <w:rPr>
          <w:rFonts w:hint="eastAsia" w:ascii="仿宋" w:hAnsi="仿宋" w:eastAsia="仿宋" w:cs="仿宋_GB2312"/>
          <w:b/>
          <w:color w:val="000000" w:themeColor="text1"/>
          <w:kern w:val="0"/>
          <w:sz w:val="36"/>
          <w:szCs w:val="36"/>
          <w14:textFill>
            <w14:solidFill>
              <w14:schemeClr w14:val="tx1"/>
            </w14:solidFill>
          </w14:textFill>
        </w:rPr>
        <w:t>报价文件部分</w:t>
      </w:r>
    </w:p>
    <w:p>
      <w:pPr>
        <w:spacing w:line="360" w:lineRule="auto"/>
        <w:jc w:val="center"/>
        <w:outlineLvl w:val="0"/>
        <w:rPr>
          <w:rFonts w:ascii="仿宋" w:hAnsi="仿宋" w:eastAsia="仿宋" w:cs="仿宋_GB2312"/>
          <w:b/>
          <w:color w:val="000000" w:themeColor="text1"/>
          <w:kern w:val="0"/>
          <w:sz w:val="24"/>
          <w14:textFill>
            <w14:solidFill>
              <w14:schemeClr w14:val="tx1"/>
            </w14:solidFill>
          </w14:textFill>
        </w:rPr>
      </w:pPr>
    </w:p>
    <w:p>
      <w:pPr>
        <w:spacing w:line="360" w:lineRule="auto"/>
        <w:jc w:val="center"/>
        <w:outlineLvl w:val="0"/>
        <w:rPr>
          <w:rFonts w:ascii="仿宋" w:hAnsi="仿宋" w:eastAsia="仿宋" w:cs="仿宋_GB2312"/>
          <w:b/>
          <w:color w:val="000000" w:themeColor="text1"/>
          <w:kern w:val="0"/>
          <w:sz w:val="36"/>
          <w:szCs w:val="36"/>
          <w14:textFill>
            <w14:solidFill>
              <w14:schemeClr w14:val="tx1"/>
            </w14:solidFill>
          </w14:textFill>
        </w:rPr>
      </w:pPr>
      <w:r>
        <w:rPr>
          <w:rFonts w:hint="eastAsia" w:ascii="仿宋" w:hAnsi="仿宋" w:eastAsia="仿宋" w:cs="仿宋_GB2312"/>
          <w:b/>
          <w:color w:val="000000" w:themeColor="text1"/>
          <w:kern w:val="0"/>
          <w:sz w:val="36"/>
          <w:szCs w:val="36"/>
          <w14:textFill>
            <w14:solidFill>
              <w14:schemeClr w14:val="tx1"/>
            </w14:solidFill>
          </w14:textFill>
        </w:rPr>
        <w:t>目录</w:t>
      </w:r>
    </w:p>
    <w:p>
      <w:pPr>
        <w:spacing w:line="360" w:lineRule="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（1）投标响应函……………………………………………………（页码）</w:t>
      </w:r>
    </w:p>
    <w:p>
      <w:pPr>
        <w:spacing w:line="360" w:lineRule="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（2）开标一览表……………………………………………………（页码）</w:t>
      </w:r>
    </w:p>
    <w:p>
      <w:pPr>
        <w:spacing w:line="360" w:lineRule="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（3）中小企业声明函………………………………………………（页码）</w:t>
      </w:r>
    </w:p>
    <w:p>
      <w:pPr>
        <w:spacing w:line="360" w:lineRule="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（4）残疾人福利性单位声明函</w:t>
      </w:r>
      <w:r>
        <w:rPr>
          <w:rFonts w:hint="eastAsia" w:ascii="仿宋" w:hAnsi="仿宋" w:eastAsia="仿宋" w:cs="仿宋_GB2312"/>
          <w:color w:val="000000" w:themeColor="text1"/>
          <w:kern w:val="0"/>
          <w:sz w:val="24"/>
          <w14:textFill>
            <w14:solidFill>
              <w14:schemeClr w14:val="tx1"/>
            </w14:solidFill>
          </w14:textFill>
        </w:rPr>
        <w:t>……………………………………（页码）</w:t>
      </w:r>
    </w:p>
    <w:p>
      <w:pPr>
        <w:spacing w:line="360" w:lineRule="auto"/>
        <w:ind w:left="2" w:firstLine="480" w:firstLineChars="200"/>
        <w:rPr>
          <w:rFonts w:ascii="仿宋" w:hAnsi="仿宋" w:eastAsia="仿宋" w:cs="仿宋_GB2312"/>
          <w:color w:val="000000" w:themeColor="text1"/>
          <w:kern w:val="0"/>
          <w:sz w:val="24"/>
          <w14:textFill>
            <w14:solidFill>
              <w14:schemeClr w14:val="tx1"/>
            </w14:solidFill>
          </w14:textFill>
        </w:rPr>
      </w:pPr>
    </w:p>
    <w:p>
      <w:pPr>
        <w:spacing w:line="360" w:lineRule="auto"/>
        <w:ind w:left="2" w:firstLine="480" w:firstLineChars="200"/>
        <w:rPr>
          <w:rFonts w:ascii="仿宋" w:hAnsi="仿宋" w:eastAsia="仿宋" w:cs="仿宋_GB2312"/>
          <w:color w:val="000000" w:themeColor="text1"/>
          <w:kern w:val="0"/>
          <w:sz w:val="24"/>
          <w14:textFill>
            <w14:solidFill>
              <w14:schemeClr w14:val="tx1"/>
            </w14:solidFill>
          </w14:textFill>
        </w:rPr>
      </w:pPr>
    </w:p>
    <w:p>
      <w:pPr>
        <w:spacing w:line="360" w:lineRule="auto"/>
        <w:ind w:left="2" w:firstLine="480" w:firstLineChars="200"/>
        <w:rPr>
          <w:rFonts w:ascii="仿宋" w:hAnsi="仿宋" w:eastAsia="仿宋" w:cs="仿宋_GB2312"/>
          <w:color w:val="000000" w:themeColor="text1"/>
          <w:kern w:val="0"/>
          <w:sz w:val="24"/>
          <w14:textFill>
            <w14:solidFill>
              <w14:schemeClr w14:val="tx1"/>
            </w14:solidFill>
          </w14:textFill>
        </w:rPr>
      </w:pPr>
    </w:p>
    <w:p>
      <w:pPr>
        <w:spacing w:line="360" w:lineRule="auto"/>
        <w:ind w:left="2" w:firstLine="480" w:firstLineChars="200"/>
        <w:rPr>
          <w:rFonts w:ascii="仿宋" w:hAnsi="仿宋" w:eastAsia="仿宋" w:cs="仿宋_GB2312"/>
          <w:color w:val="000000" w:themeColor="text1"/>
          <w:sz w:val="24"/>
          <w14:textFill>
            <w14:solidFill>
              <w14:schemeClr w14:val="tx1"/>
            </w14:solidFill>
          </w14:textFill>
        </w:rPr>
      </w:pPr>
    </w:p>
    <w:p>
      <w:pPr>
        <w:pStyle w:val="18"/>
        <w:spacing w:line="800" w:lineRule="atLeast"/>
        <w:ind w:left="0" w:leftChars="0"/>
        <w:rPr>
          <w:rFonts w:ascii="仿宋" w:hAnsi="仿宋" w:eastAsia="仿宋"/>
          <w:b/>
          <w:color w:val="000000" w:themeColor="text1"/>
          <w:sz w:val="36"/>
          <w:szCs w:val="36"/>
          <w14:textFill>
            <w14:solidFill>
              <w14:schemeClr w14:val="tx1"/>
            </w14:solidFill>
          </w14:textFill>
        </w:rPr>
      </w:pPr>
    </w:p>
    <w:p>
      <w:pPr>
        <w:pStyle w:val="18"/>
        <w:spacing w:line="800" w:lineRule="atLeast"/>
        <w:ind w:left="0" w:leftChars="0"/>
        <w:rPr>
          <w:rFonts w:ascii="仿宋" w:hAnsi="仿宋" w:eastAsia="仿宋"/>
          <w:b/>
          <w:color w:val="000000" w:themeColor="text1"/>
          <w:sz w:val="36"/>
          <w:szCs w:val="36"/>
          <w14:textFill>
            <w14:solidFill>
              <w14:schemeClr w14:val="tx1"/>
            </w14:solidFill>
          </w14:textFill>
        </w:rPr>
      </w:pPr>
    </w:p>
    <w:p>
      <w:pPr>
        <w:pStyle w:val="18"/>
        <w:spacing w:line="800" w:lineRule="atLeast"/>
        <w:ind w:left="0" w:leftChars="0"/>
        <w:rPr>
          <w:rFonts w:ascii="仿宋" w:hAnsi="仿宋" w:eastAsia="仿宋"/>
          <w:b/>
          <w:color w:val="000000" w:themeColor="text1"/>
          <w:sz w:val="36"/>
          <w:szCs w:val="36"/>
          <w14:textFill>
            <w14:solidFill>
              <w14:schemeClr w14:val="tx1"/>
            </w14:solidFill>
          </w14:textFill>
        </w:rPr>
      </w:pPr>
    </w:p>
    <w:p>
      <w:pPr>
        <w:pStyle w:val="18"/>
        <w:spacing w:line="800" w:lineRule="atLeast"/>
        <w:ind w:left="0" w:leftChars="0"/>
        <w:rPr>
          <w:rFonts w:ascii="仿宋" w:hAnsi="仿宋" w:eastAsia="仿宋"/>
          <w:b/>
          <w:color w:val="000000" w:themeColor="text1"/>
          <w:sz w:val="36"/>
          <w:szCs w:val="36"/>
          <w14:textFill>
            <w14:solidFill>
              <w14:schemeClr w14:val="tx1"/>
            </w14:solidFill>
          </w14:textFill>
        </w:rPr>
      </w:pPr>
    </w:p>
    <w:p>
      <w:pPr>
        <w:rPr>
          <w:rFonts w:ascii="仿宋" w:hAnsi="仿宋" w:eastAsia="仿宋"/>
          <w:b/>
          <w:color w:val="000000" w:themeColor="text1"/>
          <w:sz w:val="30"/>
          <w:szCs w:val="30"/>
          <w14:textFill>
            <w14:solidFill>
              <w14:schemeClr w14:val="tx1"/>
            </w14:solidFill>
          </w14:textFill>
        </w:rPr>
      </w:pPr>
    </w:p>
    <w:p>
      <w:pPr>
        <w:pageBreakBefore/>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1、投标响应函（格式）</w:t>
      </w:r>
    </w:p>
    <w:p>
      <w:pPr>
        <w:pStyle w:val="54"/>
        <w:spacing w:afterLines="0" w:line="440" w:lineRule="exact"/>
        <w:ind w:firstLine="0" w:firstLineChars="0"/>
        <w:rPr>
          <w:rFonts w:ascii="仿宋" w:hAnsi="仿宋" w:eastAsia="仿宋"/>
          <w:color w:val="000000" w:themeColor="text1"/>
          <w:szCs w:val="24"/>
          <w14:textFill>
            <w14:solidFill>
              <w14:schemeClr w14:val="tx1"/>
            </w14:solidFill>
          </w14:textFill>
        </w:rPr>
      </w:pPr>
    </w:p>
    <w:p>
      <w:pPr>
        <w:pStyle w:val="54"/>
        <w:spacing w:afterLines="0" w:line="440" w:lineRule="exact"/>
        <w:ind w:firstLine="0" w:firstLineChars="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致：</w:t>
      </w:r>
      <w:r>
        <w:rPr>
          <w:rFonts w:hint="eastAsia" w:ascii="仿宋" w:hAnsi="仿宋" w:eastAsia="仿宋"/>
          <w:color w:val="000000" w:themeColor="text1"/>
          <w:szCs w:val="24"/>
          <w:u w:val="single"/>
          <w14:textFill>
            <w14:solidFill>
              <w14:schemeClr w14:val="tx1"/>
            </w14:solidFill>
          </w14:textFill>
        </w:rPr>
        <w:t>绍兴文理学院附属医院、绍兴市鼎正建设工程咨询有限公司</w:t>
      </w:r>
    </w:p>
    <w:p>
      <w:pPr>
        <w:pStyle w:val="54"/>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根据贵方招标文件（</w:t>
      </w:r>
      <w:r>
        <w:rPr>
          <w:rFonts w:hint="eastAsia" w:ascii="仿宋" w:hAnsi="仿宋" w:eastAsia="仿宋"/>
          <w:b/>
          <w:color w:val="000000" w:themeColor="text1"/>
          <w:szCs w:val="24"/>
          <w:u w:val="single"/>
          <w14:textFill>
            <w14:solidFill>
              <w14:schemeClr w14:val="tx1"/>
            </w14:solidFill>
          </w14:textFill>
        </w:rPr>
        <w:t>填写招标编号：</w:t>
      </w:r>
      <w:r>
        <w:rPr>
          <w:rFonts w:hint="eastAsia" w:ascii="仿宋" w:hAnsi="仿宋" w:eastAsia="仿宋"/>
          <w:color w:val="000000" w:themeColor="text1"/>
          <w:szCs w:val="24"/>
          <w14:textFill>
            <w14:solidFill>
              <w14:schemeClr w14:val="tx1"/>
            </w14:solidFill>
          </w14:textFill>
        </w:rPr>
        <w:t>）的要求，正式授权</w:t>
      </w:r>
      <w:r>
        <w:rPr>
          <w:rFonts w:hint="eastAsia" w:ascii="仿宋" w:hAnsi="仿宋" w:eastAsia="仿宋"/>
          <w:b/>
          <w:color w:val="000000" w:themeColor="text1"/>
          <w:szCs w:val="24"/>
          <w:u w:val="single"/>
          <w14:textFill>
            <w14:solidFill>
              <w14:schemeClr w14:val="tx1"/>
            </w14:solidFill>
          </w14:textFill>
        </w:rPr>
        <w:t>（全权代表姓名    、单位    、职务   ）</w:t>
      </w:r>
      <w:r>
        <w:rPr>
          <w:rFonts w:hint="eastAsia" w:ascii="仿宋" w:hAnsi="仿宋" w:eastAsia="仿宋"/>
          <w:color w:val="000000" w:themeColor="text1"/>
          <w:szCs w:val="24"/>
          <w14:textFill>
            <w14:solidFill>
              <w14:schemeClr w14:val="tx1"/>
            </w14:solidFill>
          </w14:textFill>
        </w:rPr>
        <w:t>代表投标人</w:t>
      </w:r>
      <w:r>
        <w:rPr>
          <w:rFonts w:hint="eastAsia" w:ascii="仿宋" w:hAnsi="仿宋" w:eastAsia="仿宋"/>
          <w:color w:val="000000" w:themeColor="text1"/>
          <w:szCs w:val="24"/>
          <w:u w:val="single"/>
          <w14:textFill>
            <w14:solidFill>
              <w14:schemeClr w14:val="tx1"/>
            </w14:solidFill>
          </w14:textFill>
        </w:rPr>
        <w:t>（</w:t>
      </w:r>
      <w:r>
        <w:rPr>
          <w:rFonts w:hint="eastAsia" w:ascii="仿宋" w:hAnsi="仿宋" w:eastAsia="仿宋"/>
          <w:b/>
          <w:color w:val="000000" w:themeColor="text1"/>
          <w:szCs w:val="24"/>
          <w:u w:val="single"/>
          <w14:textFill>
            <w14:solidFill>
              <w14:schemeClr w14:val="tx1"/>
            </w14:solidFill>
          </w14:textFill>
        </w:rPr>
        <w:t xml:space="preserve">填写单位    、地址   </w:t>
      </w:r>
      <w:r>
        <w:rPr>
          <w:rFonts w:hint="eastAsia" w:ascii="仿宋" w:hAnsi="仿宋" w:eastAsia="仿宋"/>
          <w:color w:val="000000" w:themeColor="text1"/>
          <w:szCs w:val="24"/>
          <w:u w:val="single"/>
          <w14:textFill>
            <w14:solidFill>
              <w14:schemeClr w14:val="tx1"/>
            </w14:solidFill>
          </w14:textFill>
        </w:rPr>
        <w:t>）</w:t>
      </w:r>
      <w:r>
        <w:rPr>
          <w:rFonts w:hint="eastAsia" w:ascii="仿宋" w:hAnsi="仿宋" w:eastAsia="仿宋"/>
          <w:color w:val="000000" w:themeColor="text1"/>
          <w:szCs w:val="24"/>
          <w14:textFill>
            <w14:solidFill>
              <w14:schemeClr w14:val="tx1"/>
            </w14:solidFill>
          </w14:textFill>
        </w:rPr>
        <w:t>提交投标文件。</w:t>
      </w:r>
    </w:p>
    <w:p>
      <w:pPr>
        <w:pStyle w:val="54"/>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我方已完全明白招标文件的所有条款要求，兹声明同意如下：</w:t>
      </w:r>
    </w:p>
    <w:p>
      <w:pPr>
        <w:pStyle w:val="12"/>
        <w:spacing w:afterLines="0" w:line="440" w:lineRule="exact"/>
        <w:ind w:left="0" w:firstLine="420" w:firstLineChars="175"/>
        <w:rPr>
          <w:rFonts w:ascii="仿宋" w:hAnsi="仿宋" w:eastAsia="仿宋" w:cs="仿宋_GB2312"/>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w:t>
      </w:r>
      <w:r>
        <w:rPr>
          <w:rFonts w:hint="eastAsia" w:ascii="仿宋" w:hAnsi="仿宋" w:eastAsia="仿宋" w:cs="仿宋_GB2312"/>
          <w:color w:val="000000" w:themeColor="text1"/>
          <w14:textFill>
            <w14:solidFill>
              <w14:schemeClr w14:val="tx1"/>
            </w14:solidFill>
          </w14:textFill>
        </w:rPr>
        <w:t>我方同意在投标人</w:t>
      </w:r>
      <w:r>
        <w:rPr>
          <w:rFonts w:hint="eastAsia" w:ascii="仿宋" w:hAnsi="仿宋" w:eastAsia="仿宋" w:cs="仿宋_GB2312"/>
          <w:color w:val="000000" w:themeColor="text1"/>
          <w:kern w:val="44"/>
          <w14:textFill>
            <w14:solidFill>
              <w14:schemeClr w14:val="tx1"/>
            </w14:solidFill>
          </w14:textFill>
        </w:rPr>
        <w:t>须知</w:t>
      </w:r>
      <w:r>
        <w:rPr>
          <w:rFonts w:hint="eastAsia" w:ascii="仿宋" w:hAnsi="仿宋" w:eastAsia="仿宋" w:cs="仿宋_GB2312"/>
          <w:color w:val="000000" w:themeColor="text1"/>
          <w14:textFill>
            <w14:solidFill>
              <w14:schemeClr w14:val="tx1"/>
            </w14:solidFill>
          </w14:textFill>
        </w:rPr>
        <w:t>规定的开标日期起遵守本投标文件中的承诺且在投标有效期满之前均具有约束力。</w:t>
      </w:r>
    </w:p>
    <w:p>
      <w:pPr>
        <w:pStyle w:val="12"/>
        <w:tabs>
          <w:tab w:val="clear" w:pos="1697"/>
        </w:tabs>
        <w:spacing w:afterLines="0" w:line="440" w:lineRule="exact"/>
        <w:ind w:left="0" w:firstLine="480" w:firstLineChars="20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2.我方承诺已经具备《中华人民共和国政府采购法》中第二十二条规定的参加政府采购活动的供应商应当具备的条件。</w:t>
      </w:r>
    </w:p>
    <w:p>
      <w:pPr>
        <w:spacing w:line="440" w:lineRule="exact"/>
        <w:ind w:firstLine="42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 xml:space="preserve"> 我方投标文件中填列的技术参数、配置、服务、数量等相关内容都是真实、准确的。保证在本次项目中所提供的资料全部真实和合法。同意向绍兴市鼎正建设工程咨询有限公司提供可能另外要求的与投标有关的任何数据或资料。</w:t>
      </w:r>
    </w:p>
    <w:p>
      <w:pPr>
        <w:pStyle w:val="54"/>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4.我方理解贵方将不受你们所收到的最低报价的约束。</w:t>
      </w:r>
    </w:p>
    <w:p>
      <w:pPr>
        <w:pStyle w:val="12"/>
        <w:tabs>
          <w:tab w:val="clear" w:pos="1697"/>
        </w:tabs>
        <w:spacing w:afterLines="0" w:line="440" w:lineRule="exact"/>
        <w:ind w:left="0" w:firstLine="480" w:firstLineChars="20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14:textFill>
            <w14:solidFill>
              <w14:schemeClr w14:val="tx1"/>
            </w14:solidFill>
          </w14:textFill>
        </w:rPr>
        <w:t>5.</w:t>
      </w:r>
      <w:r>
        <w:rPr>
          <w:rFonts w:hint="eastAsia" w:ascii="仿宋" w:hAnsi="仿宋" w:eastAsia="仿宋"/>
          <w:color w:val="000000" w:themeColor="text1"/>
          <w:szCs w:val="24"/>
          <w14:textFill>
            <w14:solidFill>
              <w14:schemeClr w14:val="tx1"/>
            </w14:solidFill>
          </w14:textFill>
        </w:rPr>
        <w:t>本投标自开标之日（投标截止之日）起90天内有效。</w:t>
      </w:r>
    </w:p>
    <w:p>
      <w:pPr>
        <w:pStyle w:val="54"/>
        <w:spacing w:afterLines="0" w:line="440" w:lineRule="exact"/>
        <w:ind w:firstLine="480"/>
        <w:rPr>
          <w:rFonts w:ascii="仿宋" w:hAnsi="仿宋" w:eastAsia="仿宋" w:cs="仿宋_GB2312"/>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6.</w:t>
      </w:r>
      <w:r>
        <w:rPr>
          <w:rFonts w:hint="eastAsia" w:ascii="仿宋" w:hAnsi="仿宋" w:eastAsia="仿宋" w:cs="仿宋_GB2312"/>
          <w:color w:val="000000" w:themeColor="text1"/>
          <w14:textFill>
            <w14:solidFill>
              <w14:schemeClr w14:val="tx1"/>
            </w14:solidFill>
          </w14:textFill>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a)提供虚假材料谋取中标、成交的；</w:t>
      </w:r>
    </w:p>
    <w:p>
      <w:pPr>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b)采取不正当手段诋毁、排挤其他供应商的；</w:t>
      </w:r>
    </w:p>
    <w:p>
      <w:pPr>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c)与采购人、其它供应商或者采购代理机构恶意串通的；</w:t>
      </w:r>
    </w:p>
    <w:p>
      <w:pPr>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d)向采购人、采购代理机构行贿或者提供其他不正当利益的；</w:t>
      </w:r>
    </w:p>
    <w:p>
      <w:pPr>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e)在招标采购过程中与采购人进行协商谈判的；</w:t>
      </w:r>
    </w:p>
    <w:p>
      <w:pPr>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f)拒绝有关部门监督检查或提供虚假情况的。</w:t>
      </w:r>
    </w:p>
    <w:p>
      <w:pPr>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供应商有前款第a)至e)项情形之一的，中标、成交无效。</w:t>
      </w:r>
    </w:p>
    <w:p>
      <w:pPr>
        <w:pStyle w:val="54"/>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地址：　　　　　　　　　　　　　　　邮政编码：</w:t>
      </w:r>
    </w:p>
    <w:p>
      <w:pPr>
        <w:pStyle w:val="54"/>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电话：                              传真：</w:t>
      </w:r>
    </w:p>
    <w:p>
      <w:pPr>
        <w:pStyle w:val="54"/>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开户银行：                          帐号：</w:t>
      </w:r>
    </w:p>
    <w:p>
      <w:pPr>
        <w:pStyle w:val="54"/>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法定代表人或其授权代表(签字或签章)：</w:t>
      </w:r>
    </w:p>
    <w:p>
      <w:pPr>
        <w:pStyle w:val="54"/>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投标人(电子签章)：　　　　　　　　　日期：     </w:t>
      </w:r>
    </w:p>
    <w:p>
      <w:pPr>
        <w:pageBreakBefore/>
        <w:spacing w:line="800" w:lineRule="exac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2、开标一览表（格式）</w:t>
      </w:r>
    </w:p>
    <w:p>
      <w:pPr>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w:t>
      </w:r>
    </w:p>
    <w:p>
      <w:pPr>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标    项：</w:t>
      </w:r>
    </w:p>
    <w:p>
      <w:pPr>
        <w:snapToGrid w:val="0"/>
        <w:spacing w:line="400" w:lineRule="exact"/>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招标编号：</w:t>
      </w:r>
    </w:p>
    <w:p>
      <w:pPr>
        <w:spacing w:line="440" w:lineRule="exact"/>
        <w:jc w:val="left"/>
        <w:rPr>
          <w:rFonts w:asciiTheme="minorEastAsia" w:hAnsiTheme="minorEastAsia" w:eastAsiaTheme="minorEastAsia"/>
          <w:sz w:val="24"/>
        </w:rPr>
      </w:pPr>
      <w:r>
        <w:rPr>
          <w:rFonts w:hint="eastAsia" w:ascii="仿宋" w:hAnsi="仿宋" w:eastAsia="仿宋"/>
          <w:color w:val="000000" w:themeColor="text1"/>
          <w:sz w:val="24"/>
          <w14:textFill>
            <w14:solidFill>
              <w14:schemeClr w14:val="tx1"/>
            </w14:solidFill>
          </w14:textFill>
        </w:rPr>
        <w:t xml:space="preserve">                                                            单位：元</w:t>
      </w:r>
    </w:p>
    <w:tbl>
      <w:tblPr>
        <w:tblStyle w:val="39"/>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品牌（如有）</w:t>
            </w:r>
          </w:p>
        </w:tc>
        <w:tc>
          <w:tcPr>
            <w:tcW w:w="720" w:type="dxa"/>
            <w:vAlign w:val="center"/>
          </w:tcPr>
          <w:p>
            <w:pPr>
              <w:adjustRightInd w:val="0"/>
              <w:snapToGrid w:val="0"/>
              <w:ind w:left="-107" w:leftChars="-51" w:right="-107" w:rightChars="-51"/>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数量</w:t>
            </w:r>
          </w:p>
        </w:tc>
        <w:tc>
          <w:tcPr>
            <w:tcW w:w="1440" w:type="dxa"/>
            <w:vAlign w:val="center"/>
          </w:tcPr>
          <w:p>
            <w:pPr>
              <w:adjustRightInd w:val="0"/>
              <w:snapToGrid w:val="0"/>
              <w:ind w:left="-107" w:leftChars="-51" w:right="-107" w:rightChars="-51" w:firstLine="1"/>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 xml:space="preserve">型号和规格 </w:t>
            </w:r>
            <w:r>
              <w:rPr>
                <w:rFonts w:hint="eastAsia" w:asciiTheme="minorEastAsia" w:hAnsiTheme="minorEastAsia" w:eastAsiaTheme="minorEastAsia"/>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交货期</w:t>
            </w:r>
          </w:p>
        </w:tc>
        <w:tc>
          <w:tcPr>
            <w:tcW w:w="1078" w:type="dxa"/>
            <w:vAlign w:val="center"/>
          </w:tcPr>
          <w:p>
            <w:pPr>
              <w:tabs>
                <w:tab w:val="left" w:pos="1224"/>
              </w:tabs>
              <w:adjustRightInd w:val="0"/>
              <w:snapToGrid w:val="0"/>
              <w:ind w:right="-107" w:rightChars="-51"/>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900" w:type="dxa"/>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720" w:type="dxa"/>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1440" w:type="dxa"/>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720" w:type="dxa"/>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1078" w:type="dxa"/>
          </w:tcPr>
          <w:p>
            <w:pPr>
              <w:adjustRightInd w:val="0"/>
              <w:snapToGrid w:val="0"/>
              <w:ind w:right="172" w:rightChars="82" w:firstLine="444" w:firstLineChars="202"/>
              <w:rPr>
                <w:rFonts w:asciiTheme="minorEastAsia" w:hAnsiTheme="minorEastAsia" w:eastAsiaTheme="minorEastAsia"/>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900" w:type="dxa"/>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720" w:type="dxa"/>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1078" w:type="dxa"/>
          </w:tcPr>
          <w:p>
            <w:pPr>
              <w:adjustRightInd w:val="0"/>
              <w:snapToGrid w:val="0"/>
              <w:ind w:right="172" w:rightChars="82" w:firstLine="444" w:firstLineChars="202"/>
              <w:rPr>
                <w:rFonts w:asciiTheme="minorEastAsia" w:hAnsiTheme="minorEastAsia" w:eastAsiaTheme="minorEastAsia"/>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900" w:type="dxa"/>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720" w:type="dxa"/>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1078" w:type="dxa"/>
          </w:tcPr>
          <w:p>
            <w:pPr>
              <w:adjustRightInd w:val="0"/>
              <w:snapToGrid w:val="0"/>
              <w:ind w:right="172" w:rightChars="82" w:firstLine="444" w:firstLineChars="202"/>
              <w:rPr>
                <w:rFonts w:asciiTheme="minorEastAsia" w:hAnsiTheme="minorEastAsia" w:eastAsiaTheme="minorEastAsia"/>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900" w:type="dxa"/>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720" w:type="dxa"/>
            <w:vAlign w:val="center"/>
          </w:tcPr>
          <w:p>
            <w:pPr>
              <w:adjustRightInd w:val="0"/>
              <w:snapToGrid w:val="0"/>
              <w:ind w:right="172" w:rightChars="82" w:firstLine="444" w:firstLineChars="202"/>
              <w:rPr>
                <w:rFonts w:asciiTheme="minorEastAsia" w:hAnsiTheme="minorEastAsia" w:eastAsiaTheme="minorEastAsia"/>
                <w:spacing w:val="20"/>
                <w:sz w:val="18"/>
                <w:szCs w:val="18"/>
              </w:rPr>
            </w:pPr>
          </w:p>
        </w:tc>
        <w:tc>
          <w:tcPr>
            <w:tcW w:w="1078" w:type="dxa"/>
          </w:tcPr>
          <w:p>
            <w:pPr>
              <w:adjustRightInd w:val="0"/>
              <w:snapToGrid w:val="0"/>
              <w:ind w:right="172" w:rightChars="82" w:firstLine="444" w:firstLineChars="202"/>
              <w:rPr>
                <w:rFonts w:asciiTheme="minorEastAsia" w:hAnsiTheme="minorEastAsia" w:eastAsiaTheme="minorEastAsia"/>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vAlign w:val="center"/>
          </w:tcPr>
          <w:p>
            <w:pPr>
              <w:adjustRightInd w:val="0"/>
              <w:snapToGrid w:val="0"/>
              <w:ind w:right="172" w:rightChars="82" w:firstLine="426" w:firstLineChars="202"/>
              <w:rPr>
                <w:rFonts w:asciiTheme="minorEastAsia" w:hAnsiTheme="minorEastAsia" w:eastAsiaTheme="minorEastAsia"/>
                <w:spacing w:val="20"/>
                <w:szCs w:val="21"/>
              </w:rPr>
            </w:pPr>
            <w:r>
              <w:rPr>
                <w:rFonts w:hint="eastAsia" w:asciiTheme="minorEastAsia" w:hAnsiTheme="minorEastAsia" w:eastAsiaTheme="minorEastAsia"/>
                <w:b/>
                <w:szCs w:val="21"/>
              </w:rPr>
              <w:t>其中核心产品，由</w:t>
            </w:r>
            <w:r>
              <w:rPr>
                <w:rFonts w:hint="eastAsia" w:asciiTheme="minorEastAsia" w:hAnsiTheme="minorEastAsia" w:eastAsiaTheme="minorEastAsia"/>
                <w:b/>
                <w:szCs w:val="21"/>
                <w:u w:val="single"/>
              </w:rPr>
              <w:t xml:space="preserve">    </w:t>
            </w:r>
            <w:r>
              <w:rPr>
                <w:rFonts w:hint="eastAsia" w:asciiTheme="minorEastAsia" w:hAnsiTheme="minorEastAsia" w:eastAsiaTheme="minorEastAsia"/>
                <w:b/>
                <w:szCs w:val="21"/>
              </w:rPr>
              <w:t>（请填写企业名称）制造，该企业</w:t>
            </w:r>
            <w:r>
              <w:rPr>
                <w:rFonts w:hint="eastAsia" w:asciiTheme="minorEastAsia" w:hAnsiTheme="minorEastAsia" w:eastAsiaTheme="minorEastAsia"/>
                <w:b/>
                <w:szCs w:val="21"/>
                <w:u w:val="single"/>
              </w:rPr>
              <w:t xml:space="preserve">     </w:t>
            </w:r>
            <w:r>
              <w:rPr>
                <w:rFonts w:hint="eastAsia" w:asciiTheme="minorEastAsia" w:hAnsiTheme="minorEastAsia" w:eastAsiaTheme="minorEastAsia"/>
                <w:b/>
                <w:szCs w:val="21"/>
              </w:rPr>
              <w:t>（请填写属于或不属于）小型、微型企业。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Theme="minorEastAsia" w:hAnsiTheme="minorEastAsia" w:eastAsiaTheme="minorEastAsia"/>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Theme="minorEastAsia" w:hAnsiTheme="minorEastAsia" w:eastAsiaTheme="minorEastAsia"/>
                <w:spacing w:val="20"/>
                <w:sz w:val="18"/>
                <w:szCs w:val="18"/>
              </w:rPr>
            </w:pPr>
            <w:r>
              <w:rPr>
                <w:rFonts w:hint="eastAsia" w:asciiTheme="minorEastAsia" w:hAnsiTheme="minorEastAsia" w:eastAsiaTheme="minorEastAsia"/>
                <w:spacing w:val="20"/>
                <w:sz w:val="18"/>
                <w:szCs w:val="18"/>
              </w:rPr>
              <w:t>大写：</w:t>
            </w:r>
          </w:p>
        </w:tc>
      </w:tr>
    </w:tbl>
    <w:p>
      <w:pPr>
        <w:snapToGrid w:val="0"/>
        <w:jc w:val="left"/>
        <w:rPr>
          <w:rFonts w:asciiTheme="minorEastAsia" w:hAnsiTheme="minorEastAsia" w:eastAsiaTheme="minorEastAsia"/>
          <w:sz w:val="24"/>
        </w:rPr>
      </w:pPr>
      <w:r>
        <w:rPr>
          <w:rFonts w:hint="eastAsia" w:asciiTheme="minorEastAsia" w:hAnsiTheme="minorEastAsia" w:eastAsiaTheme="minorEastAsia"/>
          <w:sz w:val="24"/>
        </w:rPr>
        <w:t>注: 1.报价一经涂改，应在涂改处加盖单位公章或者由法定代表人或其授权代表签字或盖章，否则其投标作无效投标处理。</w:t>
      </w:r>
    </w:p>
    <w:p>
      <w:pPr>
        <w:snapToGrid w:val="0"/>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2.招标人不接受某一标项中有2个(含)以上的报价或方案，若投标人在此表中有2个（含）以上的报价或方案，其投标作无效投标处理。</w:t>
      </w:r>
    </w:p>
    <w:p>
      <w:pPr>
        <w:ind w:left="-2" w:leftChars="-1" w:firstLine="480" w:firstLineChars="200"/>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3.投标人需按本表格式填写，如无对应内容，则填写：“无或/”。</w:t>
      </w:r>
    </w:p>
    <w:p>
      <w:pPr>
        <w:snapToGrid w:val="0"/>
        <w:ind w:left="480"/>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4.有关本项目实施所涉及的一切费用均计入报价。</w:t>
      </w:r>
    </w:p>
    <w:p>
      <w:pPr>
        <w:snapToGrid w:val="0"/>
        <w:ind w:firstLine="480" w:firstLineChars="200"/>
        <w:jc w:val="left"/>
        <w:rPr>
          <w:rFonts w:asciiTheme="minorEastAsia" w:hAnsiTheme="minorEastAsia" w:eastAsiaTheme="minorEastAsia"/>
          <w:b/>
          <w:sz w:val="24"/>
        </w:rPr>
      </w:pPr>
      <w:r>
        <w:rPr>
          <w:rFonts w:hint="eastAsia" w:cs="仿宋_GB2312" w:asciiTheme="minorEastAsia" w:hAnsiTheme="minorEastAsia" w:eastAsiaTheme="minorEastAsia"/>
          <w:kern w:val="0"/>
          <w:sz w:val="24"/>
          <w:lang w:val="zh-CN"/>
        </w:rPr>
        <w:t>5.</w:t>
      </w:r>
      <w:r>
        <w:rPr>
          <w:rFonts w:hint="eastAsia" w:asciiTheme="minorEastAsia" w:hAnsiTheme="minorEastAsia" w:eastAsiaTheme="minorEastAsia"/>
          <w:kern w:val="0"/>
          <w:sz w:val="24"/>
          <w:lang w:val="zh-CN"/>
        </w:rPr>
        <w:t>以上表格要求细分项目及报价，</w:t>
      </w:r>
      <w:r>
        <w:rPr>
          <w:rFonts w:hint="eastAsia" w:cs="Arial" w:asciiTheme="minorEastAsia" w:hAnsiTheme="minorEastAsia" w:eastAsiaTheme="minorEastAsia"/>
          <w:b/>
          <w:kern w:val="0"/>
          <w:sz w:val="24"/>
        </w:rPr>
        <w:t>在“规格型号（或具体服务）”一栏中，货物类项目填写规格型号，服务类项目填写具体服务。</w:t>
      </w:r>
      <w:r>
        <w:rPr>
          <w:rFonts w:hint="eastAsia" w:asciiTheme="minorEastAsia" w:hAnsiTheme="minorEastAsia" w:eastAsiaTheme="minorEastAsia"/>
          <w:b/>
          <w:sz w:val="24"/>
        </w:rPr>
        <w:t>服务包含但不仅限于：服务方案、次数或人数、服务年限等，产品包含但不仅限于:名称、品牌、型号、生产厂商、数量、质保期等。</w:t>
      </w:r>
    </w:p>
    <w:p>
      <w:pPr>
        <w:ind w:firstLine="482" w:firstLineChars="200"/>
        <w:rPr>
          <w:rFonts w:asciiTheme="minorEastAsia" w:hAnsiTheme="minorEastAsia" w:eastAsiaTheme="minorEastAsia"/>
          <w:kern w:val="0"/>
          <w:sz w:val="24"/>
          <w:lang w:val="zh-CN"/>
        </w:rPr>
      </w:pPr>
      <w:r>
        <w:rPr>
          <w:rFonts w:hint="eastAsia" w:asciiTheme="minorEastAsia" w:hAnsiTheme="minorEastAsia" w:eastAsiaTheme="minorEastAsia"/>
          <w:b/>
          <w:sz w:val="24"/>
        </w:rPr>
        <w:t>6、</w:t>
      </w:r>
      <w:r>
        <w:rPr>
          <w:rFonts w:hint="eastAsia" w:cs="仿宋_GB2312" w:asciiTheme="minorEastAsia" w:hAnsiTheme="minorEastAsia" w:eastAsiaTheme="minor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Theme="minorEastAsia" w:hAnsiTheme="minorEastAsia" w:eastAsiaTheme="minorEastAsia"/>
          <w:b/>
          <w:sz w:val="24"/>
        </w:rPr>
        <w:t>投标人应如实填写是否可享受价格扣除，否则投标价格不可享受价格扣除。</w:t>
      </w:r>
    </w:p>
    <w:p>
      <w:pPr>
        <w:snapToGrid w:val="0"/>
        <w:ind w:firstLine="482" w:firstLineChars="200"/>
        <w:jc w:val="left"/>
        <w:rPr>
          <w:rFonts w:asciiTheme="minorEastAsia" w:hAnsiTheme="minorEastAsia" w:eastAsiaTheme="minorEastAsia"/>
          <w:b/>
          <w:kern w:val="0"/>
          <w:sz w:val="24"/>
          <w:lang w:val="zh-CN"/>
        </w:rPr>
      </w:pPr>
      <w:r>
        <w:rPr>
          <w:rFonts w:hint="eastAsia" w:asciiTheme="minorEastAsia" w:hAnsiTheme="minorEastAsia" w:eastAsiaTheme="minorEastAsia"/>
          <w:b/>
          <w:kern w:val="0"/>
          <w:sz w:val="24"/>
          <w:lang w:val="zh-CN"/>
        </w:rPr>
        <w:t>7.特别提示：采购机构将对</w:t>
      </w:r>
      <w:r>
        <w:rPr>
          <w:rFonts w:hint="eastAsia" w:cs="宋体" w:asciiTheme="minorEastAsia" w:hAnsiTheme="minorEastAsia" w:eastAsiaTheme="minorEastAsia"/>
          <w:b/>
          <w:kern w:val="0"/>
          <w:sz w:val="24"/>
        </w:rPr>
        <w:t>项目名称和项目编号，中标供应商名称、地址和中标金额，主要中标标的的名称、规格型号、数量、单价、服务要求等</w:t>
      </w:r>
      <w:r>
        <w:rPr>
          <w:rFonts w:hint="eastAsia" w:asciiTheme="minorEastAsia" w:hAnsiTheme="minorEastAsia" w:eastAsiaTheme="minorEastAsia"/>
          <w:b/>
          <w:kern w:val="0"/>
          <w:sz w:val="24"/>
          <w:lang w:val="zh-CN"/>
        </w:rPr>
        <w:t>予以公示。请把上述涉及的内容完整填写在开标一览表中。</w:t>
      </w:r>
    </w:p>
    <w:p>
      <w:pPr>
        <w:spacing w:line="360" w:lineRule="auto"/>
        <w:ind w:left="-3" w:leftChars="-72" w:right="-817" w:rightChars="-389" w:hanging="148" w:hangingChars="62"/>
        <w:rPr>
          <w:rFonts w:asciiTheme="minorEastAsia" w:hAnsiTheme="minorEastAsia" w:eastAsiaTheme="minorEastAsia"/>
          <w:sz w:val="24"/>
        </w:rPr>
      </w:pPr>
    </w:p>
    <w:p>
      <w:pPr>
        <w:spacing w:line="360" w:lineRule="auto"/>
        <w:ind w:left="-4" w:leftChars="-2" w:right="-817" w:rightChars="-389" w:firstLine="2"/>
        <w:rPr>
          <w:rFonts w:asciiTheme="minorEastAsia" w:hAnsiTheme="minorEastAsia" w:eastAsiaTheme="minorEastAsia"/>
          <w:sz w:val="24"/>
        </w:rPr>
      </w:pPr>
      <w:r>
        <w:rPr>
          <w:rFonts w:hint="eastAsia" w:asciiTheme="minorEastAsia" w:hAnsiTheme="minorEastAsia" w:eastAsiaTheme="minorEastAsia"/>
          <w:sz w:val="24"/>
        </w:rPr>
        <w:t>投标人名称（电子签章）：</w:t>
      </w:r>
    </w:p>
    <w:p>
      <w:pPr>
        <w:spacing w:line="360" w:lineRule="auto"/>
        <w:outlineLvl w:val="0"/>
        <w:rPr>
          <w:rFonts w:ascii="仿宋" w:hAnsi="仿宋" w:eastAsia="仿宋"/>
          <w:color w:val="000000" w:themeColor="text1"/>
          <w:sz w:val="24"/>
          <w14:textFill>
            <w14:solidFill>
              <w14:schemeClr w14:val="tx1"/>
            </w14:solidFill>
          </w14:textFill>
        </w:rPr>
      </w:pPr>
      <w:r>
        <w:rPr>
          <w:rFonts w:hint="eastAsia" w:asciiTheme="minorEastAsia" w:hAnsiTheme="minorEastAsia" w:eastAsiaTheme="minorEastAsia"/>
          <w:sz w:val="24"/>
        </w:rPr>
        <w:t>法定代表人或其授权代表（签字或盖章）：            日期：    年   月   日</w:t>
      </w:r>
    </w:p>
    <w:p>
      <w:pPr>
        <w:pageBreakBefore/>
        <w:rPr>
          <w:rFonts w:ascii="仿宋" w:hAnsi="仿宋" w:eastAsia="仿宋" w:cs="仿宋_GB2312"/>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3、中小企业声明函</w:t>
      </w:r>
    </w:p>
    <w:p>
      <w:pPr>
        <w:rPr>
          <w:rFonts w:ascii="仿宋" w:hAnsi="仿宋" w:eastAsia="仿宋"/>
          <w:color w:val="000000" w:themeColor="text1"/>
          <w14:textFill>
            <w14:solidFill>
              <w14:schemeClr w14:val="tx1"/>
            </w14:solidFill>
          </w14:textFill>
        </w:rPr>
      </w:pPr>
    </w:p>
    <w:p>
      <w:pPr>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本公司郑重声明，根据《政府采购促进中小企业发展暂行办法》（财库[2011]181号）的规定，本公司为</w:t>
      </w:r>
      <w:r>
        <w:rPr>
          <w:rFonts w:hint="eastAsia" w:ascii="仿宋" w:hAnsi="仿宋" w:eastAsia="仿宋" w:cs="仿宋_GB2312"/>
          <w:color w:val="000000" w:themeColor="text1"/>
          <w:sz w:val="24"/>
          <w:u w:val="single"/>
          <w14:textFill>
            <w14:solidFill>
              <w14:schemeClr w14:val="tx1"/>
            </w14:solidFill>
          </w14:textFill>
        </w:rPr>
        <w:t xml:space="preserve">      （请填写：中型、小型、微型）</w:t>
      </w:r>
      <w:r>
        <w:rPr>
          <w:rFonts w:hint="eastAsia" w:ascii="仿宋" w:hAnsi="仿宋" w:eastAsia="仿宋" w:cs="仿宋_GB2312"/>
          <w:color w:val="000000" w:themeColor="text1"/>
          <w:sz w:val="24"/>
          <w14:textFill>
            <w14:solidFill>
              <w14:schemeClr w14:val="tx1"/>
            </w14:solidFill>
          </w14:textFill>
        </w:rPr>
        <w:t>企业。即，本公司同时满足以下条件：</w:t>
      </w:r>
    </w:p>
    <w:p>
      <w:pPr>
        <w:rPr>
          <w:rFonts w:ascii="仿宋" w:hAnsi="仿宋" w:eastAsia="仿宋" w:cs="仿宋_GB2312"/>
          <w:color w:val="000000" w:themeColor="text1"/>
          <w:sz w:val="24"/>
          <w14:textFill>
            <w14:solidFill>
              <w14:schemeClr w14:val="tx1"/>
            </w14:solidFill>
          </w14:textFill>
        </w:rPr>
      </w:pPr>
    </w:p>
    <w:p>
      <w:pPr>
        <w:pStyle w:val="152"/>
        <w:widowControl/>
        <w:numPr>
          <w:ilvl w:val="0"/>
          <w:numId w:val="11"/>
        </w:numPr>
        <w:adjustRightInd/>
        <w:spacing w:line="240" w:lineRule="auto"/>
        <w:ind w:firstLineChars="0"/>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根据《工业和信息化部、国家统计局、国家发展和改革委员会、财政部关于印发中小企业划型标准规定的通知》（工信部联企业[2011]300号）规定的划分标准，本公司为</w:t>
      </w:r>
      <w:r>
        <w:rPr>
          <w:rFonts w:hint="eastAsia" w:ascii="仿宋" w:hAnsi="仿宋" w:eastAsia="仿宋" w:cs="仿宋_GB2312"/>
          <w:color w:val="000000" w:themeColor="text1"/>
          <w:u w:val="single"/>
          <w14:textFill>
            <w14:solidFill>
              <w14:schemeClr w14:val="tx1"/>
            </w14:solidFill>
          </w14:textFill>
        </w:rPr>
        <w:t xml:space="preserve">   （请填写：中型、小型、微型）</w:t>
      </w:r>
      <w:r>
        <w:rPr>
          <w:rFonts w:hint="eastAsia" w:ascii="仿宋" w:hAnsi="仿宋" w:eastAsia="仿宋" w:cs="仿宋_GB2312"/>
          <w:color w:val="000000" w:themeColor="text1"/>
          <w14:textFill>
            <w14:solidFill>
              <w14:schemeClr w14:val="tx1"/>
            </w14:solidFill>
          </w14:textFill>
        </w:rPr>
        <w:t>企业。</w:t>
      </w:r>
    </w:p>
    <w:p>
      <w:pPr>
        <w:pStyle w:val="152"/>
        <w:widowControl/>
        <w:numPr>
          <w:ilvl w:val="0"/>
          <w:numId w:val="11"/>
        </w:numPr>
        <w:adjustRightInd/>
        <w:spacing w:line="240" w:lineRule="auto"/>
        <w:ind w:firstLineChars="0"/>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本公司参加</w:t>
      </w:r>
      <w:r>
        <w:rPr>
          <w:rFonts w:hint="eastAsia"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的</w:t>
      </w:r>
      <w:r>
        <w:rPr>
          <w:rFonts w:hint="eastAsia"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 xml:space="preserve">采购活动提供本企业制造的货物，由本企业承担工程、提供服务，或者提供其他 </w:t>
      </w:r>
      <w:r>
        <w:rPr>
          <w:rFonts w:hint="eastAsia" w:ascii="仿宋" w:hAnsi="仿宋" w:eastAsia="仿宋" w:cs="仿宋_GB2312"/>
          <w:color w:val="000000" w:themeColor="text1"/>
          <w:u w:val="single"/>
          <w14:textFill>
            <w14:solidFill>
              <w14:schemeClr w14:val="tx1"/>
            </w14:solidFill>
          </w14:textFill>
        </w:rPr>
        <w:t xml:space="preserve">        （请填写：中型、小型、微型）</w:t>
      </w:r>
      <w:r>
        <w:rPr>
          <w:rFonts w:hint="eastAsia" w:ascii="仿宋" w:hAnsi="仿宋" w:eastAsia="仿宋" w:cs="仿宋_GB2312"/>
          <w:color w:val="000000" w:themeColor="text1"/>
          <w14:textFill>
            <w14:solidFill>
              <w14:schemeClr w14:val="tx1"/>
            </w14:solidFill>
          </w14:textFill>
        </w:rPr>
        <w:t>企业制造的货物。本条所称货物不包括使用大型企业注册商标的货物。</w:t>
      </w:r>
    </w:p>
    <w:p>
      <w:pPr>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本公司对上述声明的真实性负责。如有虚假，将依法承担相应责任。</w:t>
      </w:r>
    </w:p>
    <w:p>
      <w:pPr>
        <w:jc w:val="right"/>
        <w:rPr>
          <w:rFonts w:ascii="仿宋" w:hAnsi="仿宋" w:eastAsia="仿宋" w:cs="仿宋_GB2312"/>
          <w:color w:val="000000" w:themeColor="text1"/>
          <w:sz w:val="24"/>
          <w14:textFill>
            <w14:solidFill>
              <w14:schemeClr w14:val="tx1"/>
            </w14:solidFill>
          </w14:textFill>
        </w:rPr>
      </w:pPr>
    </w:p>
    <w:p>
      <w:pPr>
        <w:ind w:right="420" w:firstLine="5880" w:firstLineChars="2450"/>
        <w:rPr>
          <w:rFonts w:ascii="仿宋" w:hAnsi="仿宋" w:eastAsia="仿宋" w:cs="仿宋_GB2312"/>
          <w:color w:val="000000" w:themeColor="text1"/>
          <w:sz w:val="24"/>
          <w14:textFill>
            <w14:solidFill>
              <w14:schemeClr w14:val="tx1"/>
            </w14:solidFill>
          </w14:textFill>
        </w:rPr>
      </w:pPr>
    </w:p>
    <w:p>
      <w:pPr>
        <w:ind w:right="420" w:firstLine="5880" w:firstLineChars="2450"/>
        <w:rPr>
          <w:rFonts w:ascii="仿宋" w:hAnsi="仿宋" w:eastAsia="仿宋" w:cs="仿宋_GB2312"/>
          <w:color w:val="000000" w:themeColor="text1"/>
          <w:sz w:val="24"/>
          <w14:textFill>
            <w14:solidFill>
              <w14:schemeClr w14:val="tx1"/>
            </w14:solidFill>
          </w14:textFill>
        </w:rPr>
      </w:pPr>
    </w:p>
    <w:p>
      <w:pPr>
        <w:ind w:right="420" w:firstLine="5880" w:firstLineChars="245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 xml:space="preserve">声明企业（盖章）： </w:t>
      </w:r>
    </w:p>
    <w:p>
      <w:pPr>
        <w:ind w:right="420" w:firstLine="5520" w:firstLineChars="2300"/>
        <w:rPr>
          <w:rFonts w:ascii="仿宋" w:hAnsi="仿宋" w:eastAsia="仿宋"/>
          <w:color w:val="000000" w:themeColor="text1"/>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 xml:space="preserve">日期：   年     月 </w:t>
      </w:r>
      <w:r>
        <w:rPr>
          <w:rFonts w:hint="eastAsia" w:ascii="仿宋" w:hAnsi="仿宋" w:eastAsia="仿宋"/>
          <w:color w:val="000000" w:themeColor="text1"/>
          <w14:textFill>
            <w14:solidFill>
              <w14:schemeClr w14:val="tx1"/>
            </w14:solidFill>
          </w14:textFill>
        </w:rPr>
        <w:t xml:space="preserve">    日</w:t>
      </w:r>
    </w:p>
    <w:p>
      <w:pPr>
        <w:rPr>
          <w:rFonts w:ascii="仿宋" w:hAnsi="仿宋" w:eastAsia="仿宋"/>
          <w:color w:val="000000" w:themeColor="text1"/>
          <w14:textFill>
            <w14:solidFill>
              <w14:schemeClr w14:val="tx1"/>
            </w14:solidFill>
          </w14:textFill>
        </w:rPr>
      </w:pPr>
    </w:p>
    <w:p>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注：</w:t>
      </w:r>
    </w:p>
    <w:p>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1、投标人提供的中小企业声明函与实际情况不符的，视为投标人提供虚假材料投标的，投标无效。</w:t>
      </w:r>
    </w:p>
    <w:p>
      <w:pPr>
        <w:rPr>
          <w:rFonts w:hint="eastAsia" w:ascii="仿宋" w:hAnsi="仿宋" w:eastAsia="仿宋" w:cs="仿宋_GB2312"/>
          <w:color w:val="000000" w:themeColor="text1"/>
          <w:sz w:val="24"/>
          <w:lang w:eastAsia="zh-CN"/>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2、供应商（报价产品生产商）</w:t>
      </w:r>
      <w:r>
        <w:rPr>
          <w:rFonts w:hint="eastAsia" w:ascii="仿宋" w:hAnsi="仿宋" w:eastAsia="仿宋" w:cs="仿宋_GB2312"/>
          <w:color w:val="000000" w:themeColor="text1"/>
          <w:sz w:val="24"/>
          <w:lang w:eastAsia="zh-CN"/>
          <w14:textFill>
            <w14:solidFill>
              <w14:schemeClr w14:val="tx1"/>
            </w14:solidFill>
          </w14:textFill>
        </w:rPr>
        <w:t>须提供</w:t>
      </w:r>
      <w:r>
        <w:rPr>
          <w:rFonts w:hint="eastAsia" w:ascii="仿宋" w:hAnsi="仿宋" w:eastAsia="仿宋" w:cs="仿宋_GB2312"/>
          <w:color w:val="000000" w:themeColor="text1"/>
          <w:sz w:val="24"/>
          <w14:textFill>
            <w14:solidFill>
              <w14:schemeClr w14:val="tx1"/>
            </w14:solidFill>
          </w14:textFill>
        </w:rPr>
        <w:t>＂国家企业信息公示系统＂或＂浙江政府采购网＂小微企业名录查查询截图并加盖公章</w:t>
      </w:r>
      <w:r>
        <w:rPr>
          <w:rFonts w:hint="eastAsia" w:ascii="仿宋" w:hAnsi="仿宋" w:eastAsia="仿宋" w:cs="仿宋_GB2312"/>
          <w:color w:val="000000" w:themeColor="text1"/>
          <w:sz w:val="24"/>
          <w:lang w:eastAsia="zh-CN"/>
          <w14:textFill>
            <w14:solidFill>
              <w14:schemeClr w14:val="tx1"/>
            </w14:solidFill>
          </w14:textFill>
        </w:rPr>
        <w:t>，</w:t>
      </w:r>
      <w:r>
        <w:rPr>
          <w:rFonts w:hint="eastAsia" w:ascii="仿宋" w:hAnsi="仿宋" w:eastAsia="仿宋" w:cs="仿宋_GB2312"/>
          <w:color w:val="000000" w:themeColor="text1"/>
          <w:sz w:val="24"/>
          <w14:textFill>
            <w14:solidFill>
              <w14:schemeClr w14:val="tx1"/>
            </w14:solidFill>
          </w14:textFill>
        </w:rPr>
        <w:t>若供应商由于合理原因未在网络平台登记相应资质，无法查询的，可通过提供巜中小企业声明函》+经审计的企业财务报表和企业所有从业人员社保缴纳凭证等相关证明来证实。</w:t>
      </w:r>
    </w:p>
    <w:p>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ind w:firstLine="480" w:firstLineChars="200"/>
        <w:rPr>
          <w:rFonts w:ascii="仿宋" w:hAnsi="仿宋" w:eastAsia="仿宋" w:cs="仿宋_GB2312"/>
          <w:color w:val="000000" w:themeColor="text1"/>
          <w:sz w:val="24"/>
          <w14:textFill>
            <w14:solidFill>
              <w14:schemeClr w14:val="tx1"/>
            </w14:solidFill>
          </w14:textFill>
        </w:rPr>
      </w:pPr>
    </w:p>
    <w:p>
      <w:pPr>
        <w:ind w:firstLine="420" w:firstLineChars="200"/>
        <w:rPr>
          <w:rFonts w:ascii="仿宋" w:hAnsi="仿宋" w:eastAsia="仿宋"/>
          <w:color w:val="000000" w:themeColor="text1"/>
          <w14:textFill>
            <w14:solidFill>
              <w14:schemeClr w14:val="tx1"/>
            </w14:solidFill>
          </w14:textFill>
        </w:rPr>
      </w:pPr>
    </w:p>
    <w:p>
      <w:pPr>
        <w:ind w:firstLine="420" w:firstLineChars="200"/>
        <w:rPr>
          <w:rFonts w:ascii="仿宋" w:hAnsi="仿宋" w:eastAsia="仿宋"/>
          <w:color w:val="000000" w:themeColor="text1"/>
          <w14:textFill>
            <w14:solidFill>
              <w14:schemeClr w14:val="tx1"/>
            </w14:solidFill>
          </w14:textFill>
        </w:rPr>
      </w:pPr>
    </w:p>
    <w:p>
      <w:pPr>
        <w:spacing w:line="588" w:lineRule="exact"/>
        <w:rPr>
          <w:rFonts w:ascii="仿宋" w:hAnsi="仿宋" w:eastAsia="仿宋" w:cs="仿宋_GB2312"/>
          <w:color w:val="000000" w:themeColor="text1"/>
          <w:sz w:val="24"/>
          <w14:textFill>
            <w14:solidFill>
              <w14:schemeClr w14:val="tx1"/>
            </w14:solidFill>
          </w14:textFill>
        </w:rPr>
      </w:pPr>
    </w:p>
    <w:p>
      <w:pPr>
        <w:spacing w:line="588" w:lineRule="exact"/>
        <w:rPr>
          <w:rFonts w:ascii="仿宋" w:hAnsi="仿宋" w:eastAsia="仿宋" w:cs="仿宋_GB2312"/>
          <w:color w:val="000000" w:themeColor="text1"/>
          <w:sz w:val="24"/>
          <w14:textFill>
            <w14:solidFill>
              <w14:schemeClr w14:val="tx1"/>
            </w14:solidFill>
          </w14:textFill>
        </w:rPr>
      </w:pPr>
    </w:p>
    <w:p>
      <w:pPr>
        <w:spacing w:line="588" w:lineRule="exact"/>
        <w:rPr>
          <w:rFonts w:ascii="仿宋" w:hAnsi="仿宋" w:eastAsia="仿宋" w:cs="仿宋_GB2312"/>
          <w:color w:val="000000" w:themeColor="text1"/>
          <w:sz w:val="24"/>
          <w14:textFill>
            <w14:solidFill>
              <w14:schemeClr w14:val="tx1"/>
            </w14:solidFill>
          </w14:textFill>
        </w:rPr>
      </w:pPr>
    </w:p>
    <w:p>
      <w:pPr>
        <w:pageBreakBefore/>
        <w:spacing w:line="588" w:lineRule="exact"/>
        <w:rPr>
          <w:rFonts w:ascii="仿宋" w:hAnsi="仿宋" w:eastAsia="仿宋"/>
          <w:b/>
          <w:color w:val="000000" w:themeColor="text1"/>
          <w:spacing w:val="6"/>
          <w:sz w:val="32"/>
          <w:szCs w:val="32"/>
          <w14:textFill>
            <w14:solidFill>
              <w14:schemeClr w14:val="tx1"/>
            </w14:solidFill>
          </w14:textFill>
        </w:rPr>
      </w:pPr>
      <w:r>
        <w:rPr>
          <w:rFonts w:hint="eastAsia" w:ascii="仿宋" w:hAnsi="仿宋" w:eastAsia="仿宋"/>
          <w:b/>
          <w:color w:val="000000" w:themeColor="text1"/>
          <w:spacing w:val="6"/>
          <w:sz w:val="32"/>
          <w:szCs w:val="32"/>
          <w14:textFill>
            <w14:solidFill>
              <w14:schemeClr w14:val="tx1"/>
            </w14:solidFill>
          </w14:textFill>
        </w:rPr>
        <w:t>4、残疾人福利性单位声明函</w:t>
      </w:r>
    </w:p>
    <w:p>
      <w:pPr>
        <w:spacing w:line="588" w:lineRule="exact"/>
        <w:rPr>
          <w:rFonts w:ascii="仿宋" w:hAnsi="仿宋" w:eastAsia="仿宋"/>
          <w:b/>
          <w:color w:val="000000" w:themeColor="text1"/>
          <w:spacing w:val="6"/>
          <w:sz w:val="30"/>
          <w:szCs w:val="30"/>
          <w14:textFill>
            <w14:solidFill>
              <w14:schemeClr w14:val="tx1"/>
            </w14:solidFill>
          </w14:textFill>
        </w:rPr>
      </w:pPr>
    </w:p>
    <w:p>
      <w:pPr>
        <w:spacing w:line="588"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的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本单位对上述声明的真实性负责。如有虚假，将依法承担相应责任。</w:t>
      </w:r>
    </w:p>
    <w:p>
      <w:pPr>
        <w:spacing w:line="588" w:lineRule="exact"/>
        <w:ind w:firstLine="480" w:firstLineChars="200"/>
        <w:rPr>
          <w:rFonts w:ascii="仿宋" w:hAnsi="仿宋" w:eastAsia="仿宋" w:cs="仿宋_GB2312"/>
          <w:color w:val="000000" w:themeColor="text1"/>
          <w:sz w:val="24"/>
          <w14:textFill>
            <w14:solidFill>
              <w14:schemeClr w14:val="tx1"/>
            </w14:solidFill>
          </w14:textFill>
        </w:rPr>
      </w:pPr>
    </w:p>
    <w:p>
      <w:pPr>
        <w:spacing w:line="588" w:lineRule="exact"/>
        <w:ind w:firstLine="480" w:firstLineChars="200"/>
        <w:rPr>
          <w:rFonts w:ascii="仿宋" w:hAnsi="仿宋" w:eastAsia="仿宋" w:cs="仿宋_GB2312"/>
          <w:color w:val="000000" w:themeColor="text1"/>
          <w:sz w:val="24"/>
          <w14:textFill>
            <w14:solidFill>
              <w14:schemeClr w14:val="tx1"/>
            </w14:solidFill>
          </w14:textFill>
        </w:rPr>
      </w:pPr>
    </w:p>
    <w:p>
      <w:pPr>
        <w:ind w:right="420"/>
        <w:jc w:val="righ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 xml:space="preserve">        声明单位（盖章）： </w:t>
      </w:r>
    </w:p>
    <w:p>
      <w:pPr>
        <w:ind w:right="420" w:firstLine="5520" w:firstLineChars="2300"/>
        <w:rPr>
          <w:rFonts w:ascii="仿宋" w:hAnsi="仿宋" w:eastAsia="仿宋"/>
          <w:color w:val="000000" w:themeColor="text1"/>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 xml:space="preserve">日期：   年     月 </w:t>
      </w:r>
      <w:r>
        <w:rPr>
          <w:rFonts w:hint="eastAsia" w:ascii="仿宋" w:hAnsi="仿宋" w:eastAsia="仿宋"/>
          <w:color w:val="000000" w:themeColor="text1"/>
          <w14:textFill>
            <w14:solidFill>
              <w14:schemeClr w14:val="tx1"/>
            </w14:solidFill>
          </w14:textFill>
        </w:rPr>
        <w:t xml:space="preserve">    日</w:t>
      </w:r>
    </w:p>
    <w:p>
      <w:pPr>
        <w:rPr>
          <w:rFonts w:ascii="仿宋" w:hAnsi="仿宋" w:eastAsia="仿宋"/>
        </w:rPr>
      </w:pPr>
    </w:p>
    <w:p>
      <w:pPr>
        <w:tabs>
          <w:tab w:val="left" w:pos="4860"/>
        </w:tabs>
        <w:spacing w:line="588" w:lineRule="exact"/>
        <w:ind w:right="1560" w:firstLine="480" w:firstLineChars="200"/>
        <w:jc w:val="center"/>
        <w:rPr>
          <w:rFonts w:ascii="仿宋" w:hAnsi="仿宋" w:eastAsia="仿宋" w:cs="仿宋_GB2312"/>
          <w:sz w:val="24"/>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rPr>
          <w:rFonts w:ascii="仿宋" w:hAnsi="仿宋" w:eastAsia="仿宋" w:cs="仿宋_GB2312"/>
          <w:b/>
          <w:sz w:val="24"/>
        </w:rPr>
      </w:pPr>
    </w:p>
    <w:p>
      <w:pPr>
        <w:spacing w:line="800" w:lineRule="exact"/>
        <w:rPr>
          <w:rFonts w:ascii="仿宋" w:hAnsi="仿宋" w:eastAsia="仿宋"/>
          <w:b/>
          <w:sz w:val="24"/>
        </w:rPr>
      </w:pPr>
    </w:p>
    <w:p>
      <w:pPr>
        <w:pageBreakBefore/>
        <w:spacing w:line="360" w:lineRule="auto"/>
        <w:jc w:val="center"/>
        <w:outlineLvl w:val="0"/>
        <w:rPr>
          <w:rFonts w:ascii="仿宋" w:hAnsi="仿宋" w:eastAsia="仿宋" w:cs="仿宋_GB2312"/>
          <w:b/>
          <w:kern w:val="0"/>
          <w:sz w:val="36"/>
          <w:szCs w:val="36"/>
        </w:rPr>
      </w:pPr>
      <w:r>
        <w:rPr>
          <w:rFonts w:hint="eastAsia" w:ascii="仿宋" w:hAnsi="仿宋" w:eastAsia="仿宋" w:cs="仿宋_GB2312"/>
          <w:b/>
          <w:kern w:val="0"/>
          <w:sz w:val="36"/>
          <w:szCs w:val="36"/>
        </w:rPr>
        <w:t>商务技术（资信）文件部分</w:t>
      </w:r>
    </w:p>
    <w:p>
      <w:pPr>
        <w:spacing w:line="360" w:lineRule="auto"/>
        <w:jc w:val="center"/>
        <w:outlineLvl w:val="0"/>
        <w:rPr>
          <w:rFonts w:ascii="仿宋" w:hAnsi="仿宋" w:eastAsia="仿宋" w:cs="仿宋_GB2312"/>
          <w:b/>
          <w:kern w:val="0"/>
          <w:sz w:val="24"/>
        </w:rPr>
      </w:pPr>
    </w:p>
    <w:p>
      <w:pPr>
        <w:spacing w:line="360" w:lineRule="auto"/>
        <w:jc w:val="center"/>
        <w:outlineLvl w:val="0"/>
        <w:rPr>
          <w:rFonts w:ascii="仿宋" w:hAnsi="仿宋" w:eastAsia="仿宋" w:cs="仿宋_GB2312"/>
          <w:b/>
          <w:kern w:val="0"/>
          <w:sz w:val="28"/>
          <w:szCs w:val="28"/>
        </w:rPr>
      </w:pPr>
      <w:r>
        <w:rPr>
          <w:rFonts w:hint="eastAsia" w:ascii="仿宋" w:hAnsi="仿宋" w:eastAsia="仿宋" w:cs="仿宋_GB2312"/>
          <w:b/>
          <w:kern w:val="0"/>
          <w:sz w:val="28"/>
          <w:szCs w:val="28"/>
        </w:rPr>
        <w:t>目录</w:t>
      </w:r>
    </w:p>
    <w:p>
      <w:pPr>
        <w:pStyle w:val="153"/>
        <w:spacing w:line="360" w:lineRule="auto"/>
        <w:ind w:left="0" w:firstLine="0" w:firstLineChars="0"/>
        <w:rPr>
          <w:rFonts w:ascii="仿宋" w:eastAsia="仿宋" w:cs="仿宋_GB2312"/>
          <w:color w:val="000000" w:themeColor="text1"/>
          <w14:textFill>
            <w14:solidFill>
              <w14:schemeClr w14:val="tx1"/>
            </w14:solidFill>
          </w14:textFill>
        </w:rPr>
      </w:pPr>
      <w:r>
        <w:rPr>
          <w:rFonts w:hint="eastAsia" w:ascii="仿宋" w:eastAsia="仿宋" w:cs="仿宋_GB2312"/>
          <w:color w:val="000000" w:themeColor="text1"/>
          <w14:textFill>
            <w14:solidFill>
              <w14:schemeClr w14:val="tx1"/>
            </w14:solidFill>
          </w14:textFill>
        </w:rPr>
        <w:t>（1）法定代表人授权书 …………………………………………………………（页码）</w:t>
      </w:r>
    </w:p>
    <w:p>
      <w:pPr>
        <w:pStyle w:val="153"/>
        <w:spacing w:line="360" w:lineRule="auto"/>
        <w:ind w:left="0" w:firstLine="0" w:firstLineChars="0"/>
        <w:rPr>
          <w:rFonts w:ascii="仿宋" w:eastAsia="仿宋" w:cs="仿宋_GB2312"/>
          <w:color w:val="000000" w:themeColor="text1"/>
          <w14:textFill>
            <w14:solidFill>
              <w14:schemeClr w14:val="tx1"/>
            </w14:solidFill>
          </w14:textFill>
        </w:rPr>
      </w:pPr>
      <w:r>
        <w:rPr>
          <w:rFonts w:hint="eastAsia" w:ascii="仿宋" w:eastAsia="仿宋" w:cs="仿宋_GB2312"/>
          <w:color w:val="000000" w:themeColor="text1"/>
          <w14:textFill>
            <w14:solidFill>
              <w14:schemeClr w14:val="tx1"/>
            </w14:solidFill>
          </w14:textFill>
        </w:rPr>
        <w:t>（2）授权代表社保证明（复印件）………………………………………………（页码）</w:t>
      </w:r>
    </w:p>
    <w:p>
      <w:pPr>
        <w:pStyle w:val="153"/>
        <w:spacing w:line="360" w:lineRule="auto"/>
        <w:ind w:left="0" w:firstLine="0" w:firstLineChars="0"/>
        <w:rPr>
          <w:rFonts w:ascii="仿宋" w:eastAsia="仿宋" w:cs="仿宋_GB2312"/>
          <w:color w:val="000000" w:themeColor="text1"/>
          <w14:textFill>
            <w14:solidFill>
              <w14:schemeClr w14:val="tx1"/>
            </w14:solidFill>
          </w14:textFill>
        </w:rPr>
      </w:pPr>
      <w:r>
        <w:rPr>
          <w:rFonts w:hint="eastAsia" w:ascii="仿宋" w:eastAsia="仿宋" w:cs="仿宋_GB2312"/>
          <w:color w:val="000000" w:themeColor="text1"/>
          <w14:textFill>
            <w14:solidFill>
              <w14:schemeClr w14:val="tx1"/>
            </w14:solidFill>
          </w14:textFill>
        </w:rPr>
        <w:t>（3）法定代表人及其授权代表的身份证（复印件）……………………………（页码）（4）法定代表人身份证明书………………………………………………………（页码）</w:t>
      </w:r>
    </w:p>
    <w:p>
      <w:pPr>
        <w:spacing w:line="360" w:lineRule="auto"/>
        <w:outlineLvl w:val="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（5）营业执照(或事业法人登记证或其他登记证明材料)复印件</w:t>
      </w:r>
      <w:r>
        <w:rPr>
          <w:rFonts w:hint="eastAsia" w:ascii="仿宋" w:hAnsi="仿宋" w:eastAsia="仿宋" w:cs="仿宋_GB2312"/>
          <w:color w:val="000000" w:themeColor="text1"/>
          <w14:textFill>
            <w14:solidFill>
              <w14:schemeClr w14:val="tx1"/>
            </w14:solidFill>
          </w14:textFill>
        </w:rPr>
        <w:t>…………………</w:t>
      </w:r>
      <w:r>
        <w:rPr>
          <w:rFonts w:hint="eastAsia" w:ascii="仿宋" w:hAnsi="仿宋" w:eastAsia="仿宋" w:cs="仿宋_GB2312"/>
          <w:color w:val="000000" w:themeColor="text1"/>
          <w:kern w:val="0"/>
          <w:sz w:val="24"/>
          <w14:textFill>
            <w14:solidFill>
              <w14:schemeClr w14:val="tx1"/>
            </w14:solidFill>
          </w14:textFill>
        </w:rPr>
        <w:t>（页码）</w:t>
      </w:r>
    </w:p>
    <w:p>
      <w:pPr>
        <w:snapToGrid w:val="0"/>
        <w:spacing w:line="360" w:lineRule="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（6）2019年度资产负债表等财务报表资料文件(新成立的公司，提供情况说明)</w:t>
      </w:r>
      <w:r>
        <w:rPr>
          <w:rFonts w:hint="eastAsia" w:ascii="仿宋" w:hAnsi="仿宋" w:eastAsia="仿宋" w:cs="仿宋_GB2312"/>
          <w:color w:val="000000" w:themeColor="text1"/>
          <w:kern w:val="0"/>
          <w:sz w:val="24"/>
          <w14:textFill>
            <w14:solidFill>
              <w14:schemeClr w14:val="tx1"/>
            </w14:solidFill>
          </w14:textFill>
        </w:rPr>
        <w:t>…页码）</w:t>
      </w:r>
    </w:p>
    <w:p>
      <w:pPr>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（7）具有履</w:t>
      </w:r>
      <w:r>
        <w:rPr>
          <w:rFonts w:hint="eastAsia" w:ascii="仿宋" w:hAnsi="仿宋" w:eastAsia="仿宋" w:cs="仿宋_GB2312"/>
          <w:color w:val="000000" w:themeColor="text1"/>
          <w:kern w:val="0"/>
          <w:sz w:val="24"/>
          <w14:textFill>
            <w14:solidFill>
              <w14:schemeClr w14:val="tx1"/>
            </w14:solidFill>
          </w14:textFill>
        </w:rPr>
        <w:t>行合同所必需的设备和专业技术能力的承诺函……………………（页码）</w:t>
      </w:r>
    </w:p>
    <w:p>
      <w:pPr>
        <w:pStyle w:val="153"/>
        <w:spacing w:line="360" w:lineRule="auto"/>
        <w:ind w:firstLine="0" w:firstLineChars="0"/>
        <w:rPr>
          <w:rFonts w:ascii="仿宋" w:eastAsia="仿宋" w:cs="仿宋_GB2312"/>
          <w:color w:val="000000" w:themeColor="text1"/>
          <w14:textFill>
            <w14:solidFill>
              <w14:schemeClr w14:val="tx1"/>
            </w14:solidFill>
          </w14:textFill>
        </w:rPr>
      </w:pPr>
      <w:r>
        <w:rPr>
          <w:rFonts w:hint="eastAsia" w:ascii="仿宋" w:eastAsia="仿宋" w:cs="仿宋_GB2312"/>
          <w:color w:val="000000" w:themeColor="text1"/>
          <w14:textFill>
            <w14:solidFill>
              <w14:schemeClr w14:val="tx1"/>
            </w14:solidFill>
          </w14:textFill>
        </w:rPr>
        <w:t>（8）重大违法记录的声明</w:t>
      </w:r>
      <w:r>
        <w:rPr>
          <w:rFonts w:hint="eastAsia" w:ascii="仿宋" w:eastAsia="仿宋" w:cs="仿宋_GB2312"/>
          <w:color w:val="000000" w:themeColor="text1"/>
          <w:kern w:val="0"/>
          <w14:textFill>
            <w14:solidFill>
              <w14:schemeClr w14:val="tx1"/>
            </w14:solidFill>
          </w14:textFill>
        </w:rPr>
        <w:t xml:space="preserve"> …</w:t>
      </w:r>
      <w:r>
        <w:rPr>
          <w:rFonts w:hint="eastAsia" w:ascii="仿宋" w:eastAsia="仿宋" w:cs="仿宋_GB2312"/>
          <w:color w:val="000000" w:themeColor="text1"/>
          <w14:textFill>
            <w14:solidFill>
              <w14:schemeClr w14:val="tx1"/>
            </w14:solidFill>
          </w14:textFill>
        </w:rPr>
        <w:t>……………………………………………………</w:t>
      </w:r>
      <w:r>
        <w:rPr>
          <w:rFonts w:hint="eastAsia" w:ascii="仿宋" w:eastAsia="仿宋" w:cs="仿宋_GB2312"/>
          <w:color w:val="000000" w:themeColor="text1"/>
          <w:kern w:val="0"/>
          <w14:textFill>
            <w14:solidFill>
              <w14:schemeClr w14:val="tx1"/>
            </w14:solidFill>
          </w14:textFill>
        </w:rPr>
        <w:t>（页码）</w:t>
      </w:r>
      <w:r>
        <w:rPr>
          <w:rFonts w:hint="eastAsia" w:ascii="仿宋" w:eastAsia="仿宋" w:cs="仿宋_GB2312"/>
          <w:color w:val="000000" w:themeColor="text1"/>
          <w14:textFill>
            <w14:solidFill>
              <w14:schemeClr w14:val="tx1"/>
            </w14:solidFill>
          </w14:textFill>
        </w:rPr>
        <w:t>（9）符合特定资格条件（如果项目要求）的有关证明材料（复印件）………（页码）</w:t>
      </w:r>
    </w:p>
    <w:p>
      <w:pPr>
        <w:pStyle w:val="153"/>
        <w:spacing w:line="360" w:lineRule="auto"/>
        <w:ind w:left="0" w:firstLine="0" w:firstLineChars="0"/>
        <w:rPr>
          <w:rFonts w:ascii="仿宋" w:eastAsia="仿宋" w:cs="仿宋_GB2312"/>
          <w:color w:val="000000" w:themeColor="text1"/>
          <w14:textFill>
            <w14:solidFill>
              <w14:schemeClr w14:val="tx1"/>
            </w14:solidFill>
          </w14:textFill>
        </w:rPr>
      </w:pPr>
      <w:r>
        <w:rPr>
          <w:rFonts w:hint="eastAsia" w:ascii="仿宋" w:eastAsia="仿宋" w:cs="仿宋_GB2312"/>
          <w:color w:val="000000" w:themeColor="text1"/>
          <w14:textFill>
            <w14:solidFill>
              <w14:schemeClr w14:val="tx1"/>
            </w14:solidFill>
          </w14:textFill>
        </w:rPr>
        <w:t>（10）</w:t>
      </w:r>
      <w:r>
        <w:rPr>
          <w:rFonts w:hint="eastAsia" w:ascii="仿宋" w:eastAsia="仿宋" w:cs="仿宋_GB2312"/>
          <w:snapToGrid w:val="0"/>
          <w:color w:val="000000" w:themeColor="text1"/>
          <w14:textFill>
            <w14:solidFill>
              <w14:schemeClr w14:val="tx1"/>
            </w14:solidFill>
          </w14:textFill>
        </w:rPr>
        <w:t>非本地投标人售后服务机构证明材料</w:t>
      </w:r>
      <w:r>
        <w:rPr>
          <w:rFonts w:hint="eastAsia" w:ascii="仿宋" w:eastAsia="仿宋" w:cs="仿宋_GB2312"/>
          <w:color w:val="000000" w:themeColor="text1"/>
          <w14:textFill>
            <w14:solidFill>
              <w14:schemeClr w14:val="tx1"/>
            </w14:solidFill>
          </w14:textFill>
        </w:rPr>
        <w:t>……………………………………（页码）</w:t>
      </w:r>
    </w:p>
    <w:p>
      <w:pPr>
        <w:pStyle w:val="153"/>
        <w:spacing w:line="360" w:lineRule="auto"/>
        <w:ind w:left="0" w:firstLine="0" w:firstLineChars="0"/>
        <w:rPr>
          <w:rFonts w:ascii="仿宋" w:eastAsia="仿宋" w:cs="仿宋_GB2312"/>
          <w:color w:val="000000" w:themeColor="text1"/>
          <w14:textFill>
            <w14:solidFill>
              <w14:schemeClr w14:val="tx1"/>
            </w14:solidFill>
          </w14:textFill>
        </w:rPr>
      </w:pPr>
      <w:r>
        <w:rPr>
          <w:rFonts w:hint="eastAsia" w:ascii="仿宋" w:eastAsia="仿宋" w:cs="仿宋_GB2312"/>
          <w:color w:val="000000" w:themeColor="text1"/>
          <w14:textFill>
            <w14:solidFill>
              <w14:schemeClr w14:val="tx1"/>
            </w14:solidFill>
          </w14:textFill>
        </w:rPr>
        <w:t>（11）所有与符合性审查有关的资信文件（复印件） ………………………（页码）</w:t>
      </w:r>
    </w:p>
    <w:p>
      <w:pPr>
        <w:pStyle w:val="153"/>
        <w:spacing w:line="360" w:lineRule="auto"/>
        <w:ind w:left="0" w:firstLine="0" w:firstLineChars="0"/>
        <w:rPr>
          <w:rFonts w:ascii="仿宋" w:eastAsia="仿宋" w:cs="仿宋_GB2312"/>
          <w:color w:val="000000" w:themeColor="text1"/>
          <w14:textFill>
            <w14:solidFill>
              <w14:schemeClr w14:val="tx1"/>
            </w14:solidFill>
          </w14:textFill>
        </w:rPr>
      </w:pPr>
      <w:r>
        <w:rPr>
          <w:rFonts w:hint="eastAsia" w:ascii="仿宋" w:eastAsia="仿宋" w:cs="仿宋_GB2312"/>
          <w:color w:val="000000" w:themeColor="text1"/>
          <w14:textFill>
            <w14:solidFill>
              <w14:schemeClr w14:val="tx1"/>
            </w14:solidFill>
          </w14:textFill>
        </w:rPr>
        <w:t>（12）</w:t>
      </w:r>
      <w:r>
        <w:rPr>
          <w:rFonts w:hint="eastAsia" w:ascii="仿宋" w:eastAsia="仿宋" w:cs="仿宋_GB2312"/>
          <w:color w:val="000000" w:themeColor="text1"/>
          <w:lang w:val="zh-CN"/>
          <w14:textFill>
            <w14:solidFill>
              <w14:schemeClr w14:val="tx1"/>
            </w14:solidFill>
          </w14:textFill>
        </w:rPr>
        <w:t>主要业绩证明… ………………………………………………</w:t>
      </w:r>
      <w:r>
        <w:rPr>
          <w:rFonts w:hint="eastAsia" w:ascii="仿宋" w:eastAsia="仿宋" w:cs="仿宋_GB2312"/>
          <w:color w:val="000000" w:themeColor="text1"/>
          <w14:textFill>
            <w14:solidFill>
              <w14:schemeClr w14:val="tx1"/>
            </w14:solidFill>
          </w14:textFill>
        </w:rPr>
        <w:t>…………</w:t>
      </w:r>
      <w:r>
        <w:rPr>
          <w:rFonts w:hint="eastAsia" w:ascii="仿宋" w:eastAsia="仿宋" w:cs="仿宋_GB2312"/>
          <w:color w:val="000000" w:themeColor="text1"/>
          <w:lang w:val="zh-CN"/>
          <w14:textFill>
            <w14:solidFill>
              <w14:schemeClr w14:val="tx1"/>
            </w14:solidFill>
          </w14:textFill>
        </w:rPr>
        <w:t>…</w:t>
      </w:r>
      <w:r>
        <w:rPr>
          <w:rFonts w:hint="eastAsia" w:ascii="仿宋" w:eastAsia="仿宋" w:cs="仿宋_GB2312"/>
          <w:color w:val="000000" w:themeColor="text1"/>
          <w14:textFill>
            <w14:solidFill>
              <w14:schemeClr w14:val="tx1"/>
            </w14:solidFill>
          </w14:textFill>
        </w:rPr>
        <w:t>（页码）</w:t>
      </w:r>
    </w:p>
    <w:p>
      <w:pPr>
        <w:pStyle w:val="153"/>
        <w:spacing w:line="360" w:lineRule="auto"/>
        <w:ind w:left="0" w:firstLine="0" w:firstLineChars="0"/>
        <w:rPr>
          <w:rFonts w:ascii="仿宋" w:eastAsia="仿宋" w:cs="仿宋_GB2312"/>
          <w:color w:val="000000" w:themeColor="text1"/>
          <w14:textFill>
            <w14:solidFill>
              <w14:schemeClr w14:val="tx1"/>
            </w14:solidFill>
          </w14:textFill>
        </w:rPr>
      </w:pPr>
      <w:r>
        <w:rPr>
          <w:rFonts w:hint="eastAsia" w:ascii="仿宋" w:eastAsia="仿宋" w:cs="仿宋_GB2312"/>
          <w:color w:val="000000" w:themeColor="text1"/>
          <w14:textFill>
            <w14:solidFill>
              <w14:schemeClr w14:val="tx1"/>
            </w14:solidFill>
          </w14:textFill>
        </w:rPr>
        <w:t>（13）廉政承诺书 …………………………………………………………………（页码）</w:t>
      </w:r>
    </w:p>
    <w:p>
      <w:pPr>
        <w:spacing w:line="360" w:lineRule="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（14）技术解决方案…………………………………………………</w:t>
      </w:r>
      <w:r>
        <w:rPr>
          <w:rFonts w:hint="eastAsia" w:ascii="仿宋" w:hAnsi="仿宋" w:eastAsia="仿宋" w:cs="仿宋_GB2312"/>
          <w:color w:val="000000" w:themeColor="text1"/>
          <w14:textFill>
            <w14:solidFill>
              <w14:schemeClr w14:val="tx1"/>
            </w14:solidFill>
          </w14:textFill>
        </w:rPr>
        <w:t>…………</w:t>
      </w:r>
      <w:r>
        <w:rPr>
          <w:rFonts w:hint="eastAsia" w:ascii="仿宋" w:hAnsi="仿宋" w:eastAsia="仿宋" w:cs="仿宋_GB2312"/>
          <w:color w:val="000000" w:themeColor="text1"/>
          <w:kern w:val="0"/>
          <w:sz w:val="24"/>
          <w14:textFill>
            <w14:solidFill>
              <w14:schemeClr w14:val="tx1"/>
            </w14:solidFill>
          </w14:textFill>
        </w:rPr>
        <w:t>…（页码）</w:t>
      </w:r>
    </w:p>
    <w:p>
      <w:pPr>
        <w:spacing w:line="360" w:lineRule="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（15）技术偏离说明表………………………………………………</w:t>
      </w:r>
      <w:r>
        <w:rPr>
          <w:rFonts w:hint="eastAsia" w:ascii="仿宋" w:hAnsi="仿宋" w:eastAsia="仿宋" w:cs="仿宋_GB2312"/>
          <w:color w:val="000000" w:themeColor="text1"/>
          <w14:textFill>
            <w14:solidFill>
              <w14:schemeClr w14:val="tx1"/>
            </w14:solidFill>
          </w14:textFill>
        </w:rPr>
        <w:t>…………</w:t>
      </w:r>
      <w:r>
        <w:rPr>
          <w:rFonts w:hint="eastAsia" w:ascii="仿宋" w:hAnsi="仿宋" w:eastAsia="仿宋" w:cs="仿宋_GB2312"/>
          <w:color w:val="000000" w:themeColor="text1"/>
          <w:kern w:val="0"/>
          <w:sz w:val="24"/>
          <w14:textFill>
            <w14:solidFill>
              <w14:schemeClr w14:val="tx1"/>
            </w14:solidFill>
          </w14:textFill>
        </w:rPr>
        <w:t>…（页码）</w:t>
      </w:r>
    </w:p>
    <w:p>
      <w:pPr>
        <w:spacing w:line="360" w:lineRule="auto"/>
        <w:outlineLvl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（16）组织实施方案……………………………………………</w:t>
      </w:r>
      <w:r>
        <w:rPr>
          <w:rFonts w:hint="eastAsia" w:ascii="仿宋" w:hAnsi="仿宋" w:eastAsia="仿宋" w:cs="仿宋_GB2312"/>
          <w:color w:val="000000" w:themeColor="text1"/>
          <w14:textFill>
            <w14:solidFill>
              <w14:schemeClr w14:val="tx1"/>
            </w14:solidFill>
          </w14:textFill>
        </w:rPr>
        <w:t>…………</w:t>
      </w:r>
      <w:r>
        <w:rPr>
          <w:rFonts w:hint="eastAsia" w:ascii="仿宋" w:hAnsi="仿宋" w:eastAsia="仿宋" w:cs="仿宋_GB2312"/>
          <w:color w:val="000000" w:themeColor="text1"/>
          <w:kern w:val="0"/>
          <w:sz w:val="24"/>
          <w14:textFill>
            <w14:solidFill>
              <w14:schemeClr w14:val="tx1"/>
            </w14:solidFill>
          </w14:textFill>
        </w:rPr>
        <w:t>………（页码）</w:t>
      </w:r>
    </w:p>
    <w:p>
      <w:pPr>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（17）售后服务方案……………………………………………</w:t>
      </w:r>
      <w:r>
        <w:rPr>
          <w:rFonts w:hint="eastAsia" w:ascii="仿宋" w:hAnsi="仿宋" w:eastAsia="仿宋" w:cs="仿宋_GB2312"/>
          <w:color w:val="000000" w:themeColor="text1"/>
          <w14:textFill>
            <w14:solidFill>
              <w14:schemeClr w14:val="tx1"/>
            </w14:solidFill>
          </w14:textFill>
        </w:rPr>
        <w:t>…………</w:t>
      </w:r>
      <w:r>
        <w:rPr>
          <w:rFonts w:hint="eastAsia" w:ascii="仿宋" w:hAnsi="仿宋" w:eastAsia="仿宋" w:cs="仿宋_GB2312"/>
          <w:color w:val="000000" w:themeColor="text1"/>
          <w:kern w:val="0"/>
          <w:sz w:val="24"/>
          <w14:textFill>
            <w14:solidFill>
              <w14:schemeClr w14:val="tx1"/>
            </w14:solidFill>
          </w14:textFill>
        </w:rPr>
        <w:t>………（页码）</w:t>
      </w:r>
    </w:p>
    <w:p>
      <w:pPr>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（18）项目小组人员名单………………………………………</w:t>
      </w:r>
      <w:r>
        <w:rPr>
          <w:rFonts w:hint="eastAsia" w:ascii="仿宋" w:hAnsi="仿宋" w:eastAsia="仿宋" w:cs="仿宋_GB2312"/>
          <w:color w:val="000000" w:themeColor="text1"/>
          <w14:textFill>
            <w14:solidFill>
              <w14:schemeClr w14:val="tx1"/>
            </w14:solidFill>
          </w14:textFill>
        </w:rPr>
        <w:t>…………</w:t>
      </w:r>
      <w:r>
        <w:rPr>
          <w:rFonts w:hint="eastAsia" w:ascii="仿宋" w:hAnsi="仿宋" w:eastAsia="仿宋" w:cs="仿宋_GB2312"/>
          <w:color w:val="000000" w:themeColor="text1"/>
          <w:kern w:val="0"/>
          <w:sz w:val="24"/>
          <w14:textFill>
            <w14:solidFill>
              <w14:schemeClr w14:val="tx1"/>
            </w14:solidFill>
          </w14:textFill>
        </w:rPr>
        <w:t>………（页码）</w:t>
      </w:r>
    </w:p>
    <w:p>
      <w:pPr>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（19）</w:t>
      </w:r>
      <w:r>
        <w:rPr>
          <w:rFonts w:hint="eastAsia" w:ascii="仿宋" w:hAnsi="仿宋" w:eastAsia="仿宋" w:cs="仿宋_GB2312"/>
          <w:color w:val="000000" w:themeColor="text1"/>
          <w:kern w:val="0"/>
          <w:sz w:val="24"/>
          <w:lang w:val="zh-CN"/>
          <w14:textFill>
            <w14:solidFill>
              <w14:schemeClr w14:val="tx1"/>
            </w14:solidFill>
          </w14:textFill>
        </w:rPr>
        <w:t>优惠条件及特殊承诺……………………………………</w:t>
      </w:r>
      <w:r>
        <w:rPr>
          <w:rFonts w:hint="eastAsia" w:ascii="仿宋" w:hAnsi="仿宋" w:eastAsia="仿宋" w:cs="仿宋_GB2312"/>
          <w:color w:val="000000" w:themeColor="text1"/>
          <w14:textFill>
            <w14:solidFill>
              <w14:schemeClr w14:val="tx1"/>
            </w14:solidFill>
          </w14:textFill>
        </w:rPr>
        <w:t>…………</w:t>
      </w:r>
      <w:r>
        <w:rPr>
          <w:rFonts w:hint="eastAsia" w:ascii="仿宋" w:hAnsi="仿宋" w:eastAsia="仿宋" w:cs="仿宋_GB2312"/>
          <w:color w:val="000000" w:themeColor="text1"/>
          <w:kern w:val="0"/>
          <w:sz w:val="24"/>
          <w:lang w:val="zh-CN"/>
          <w14:textFill>
            <w14:solidFill>
              <w14:schemeClr w14:val="tx1"/>
            </w14:solidFill>
          </w14:textFill>
        </w:rPr>
        <w:t>………</w:t>
      </w:r>
      <w:r>
        <w:rPr>
          <w:rFonts w:hint="eastAsia" w:ascii="仿宋" w:hAnsi="仿宋" w:eastAsia="仿宋" w:cs="仿宋_GB2312"/>
          <w:color w:val="000000" w:themeColor="text1"/>
          <w:kern w:val="0"/>
          <w:sz w:val="24"/>
          <w14:textFill>
            <w14:solidFill>
              <w14:schemeClr w14:val="tx1"/>
            </w14:solidFill>
          </w14:textFill>
        </w:rPr>
        <w:t>（页码）</w:t>
      </w:r>
    </w:p>
    <w:p>
      <w:pPr>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（20）</w:t>
      </w:r>
      <w:r>
        <w:rPr>
          <w:rFonts w:hint="eastAsia" w:ascii="仿宋" w:hAnsi="仿宋" w:eastAsia="仿宋" w:cs="仿宋_GB2312"/>
          <w:color w:val="000000" w:themeColor="text1"/>
          <w:kern w:val="0"/>
          <w:sz w:val="24"/>
          <w:lang w:val="zh-CN"/>
          <w14:textFill>
            <w14:solidFill>
              <w14:schemeClr w14:val="tx1"/>
            </w14:solidFill>
          </w14:textFill>
        </w:rPr>
        <w:t>备品备件及供选择的配套零部件清单………………………</w:t>
      </w:r>
      <w:r>
        <w:rPr>
          <w:rFonts w:hint="eastAsia" w:ascii="仿宋" w:hAnsi="仿宋" w:eastAsia="仿宋" w:cs="仿宋_GB2312"/>
          <w:color w:val="000000" w:themeColor="text1"/>
          <w14:textFill>
            <w14:solidFill>
              <w14:schemeClr w14:val="tx1"/>
            </w14:solidFill>
          </w14:textFill>
        </w:rPr>
        <w:t>…………</w:t>
      </w:r>
      <w:r>
        <w:rPr>
          <w:rFonts w:hint="eastAsia" w:ascii="仿宋" w:hAnsi="仿宋" w:eastAsia="仿宋" w:cs="仿宋_GB2312"/>
          <w:color w:val="000000" w:themeColor="text1"/>
          <w:kern w:val="0"/>
          <w:sz w:val="24"/>
          <w:lang w:val="zh-CN"/>
          <w14:textFill>
            <w14:solidFill>
              <w14:schemeClr w14:val="tx1"/>
            </w14:solidFill>
          </w14:textFill>
        </w:rPr>
        <w:t>…</w:t>
      </w:r>
      <w:r>
        <w:rPr>
          <w:rFonts w:hint="eastAsia" w:ascii="仿宋" w:hAnsi="仿宋" w:eastAsia="仿宋" w:cs="仿宋_GB2312"/>
          <w:color w:val="000000" w:themeColor="text1"/>
          <w:kern w:val="0"/>
          <w:sz w:val="24"/>
          <w14:textFill>
            <w14:solidFill>
              <w14:schemeClr w14:val="tx1"/>
            </w14:solidFill>
          </w14:textFill>
        </w:rPr>
        <w:t>（页码）</w:t>
      </w:r>
    </w:p>
    <w:p>
      <w:pPr>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（21）</w:t>
      </w:r>
      <w:r>
        <w:rPr>
          <w:rFonts w:hint="eastAsia" w:ascii="仿宋" w:hAnsi="仿宋" w:eastAsia="仿宋" w:cs="仿宋_GB2312"/>
          <w:color w:val="000000" w:themeColor="text1"/>
          <w:kern w:val="0"/>
          <w:sz w:val="24"/>
          <w:lang w:val="zh-CN"/>
          <w14:textFill>
            <w14:solidFill>
              <w14:schemeClr w14:val="tx1"/>
            </w14:solidFill>
          </w14:textFill>
        </w:rPr>
        <w:t>培训计划………………………………………………………</w:t>
      </w:r>
      <w:r>
        <w:rPr>
          <w:rFonts w:hint="eastAsia" w:ascii="仿宋" w:hAnsi="仿宋" w:eastAsia="仿宋" w:cs="仿宋_GB2312"/>
          <w:color w:val="000000" w:themeColor="text1"/>
          <w14:textFill>
            <w14:solidFill>
              <w14:schemeClr w14:val="tx1"/>
            </w14:solidFill>
          </w14:textFill>
        </w:rPr>
        <w:t>…………</w:t>
      </w:r>
      <w:r>
        <w:rPr>
          <w:rFonts w:hint="eastAsia" w:ascii="仿宋" w:hAnsi="仿宋" w:eastAsia="仿宋" w:cs="仿宋_GB2312"/>
          <w:color w:val="000000" w:themeColor="text1"/>
          <w:kern w:val="0"/>
          <w:sz w:val="24"/>
          <w:lang w:val="zh-CN"/>
          <w14:textFill>
            <w14:solidFill>
              <w14:schemeClr w14:val="tx1"/>
            </w14:solidFill>
          </w14:textFill>
        </w:rPr>
        <w:t>…</w:t>
      </w:r>
      <w:r>
        <w:rPr>
          <w:rFonts w:hint="eastAsia" w:ascii="仿宋" w:hAnsi="仿宋" w:eastAsia="仿宋" w:cs="仿宋_GB2312"/>
          <w:color w:val="000000" w:themeColor="text1"/>
          <w:kern w:val="0"/>
          <w:sz w:val="24"/>
          <w14:textFill>
            <w14:solidFill>
              <w14:schemeClr w14:val="tx1"/>
            </w14:solidFill>
          </w14:textFill>
        </w:rPr>
        <w:t>（页码）</w:t>
      </w:r>
    </w:p>
    <w:p>
      <w:pPr>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（22）</w:t>
      </w:r>
      <w:r>
        <w:rPr>
          <w:rFonts w:hint="eastAsia" w:ascii="仿宋" w:hAnsi="仿宋" w:eastAsia="仿宋" w:cs="仿宋_GB2312"/>
          <w:color w:val="000000" w:themeColor="text1"/>
          <w:kern w:val="0"/>
          <w:sz w:val="24"/>
          <w:lang w:val="zh-CN"/>
          <w14:textFill>
            <w14:solidFill>
              <w14:schemeClr w14:val="tx1"/>
            </w14:solidFill>
          </w14:textFill>
        </w:rPr>
        <w:t>验收方案…………………………………………………………</w:t>
      </w:r>
      <w:r>
        <w:rPr>
          <w:rFonts w:hint="eastAsia" w:ascii="仿宋" w:hAnsi="仿宋" w:eastAsia="仿宋" w:cs="仿宋_GB2312"/>
          <w:color w:val="000000" w:themeColor="text1"/>
          <w14:textFill>
            <w14:solidFill>
              <w14:schemeClr w14:val="tx1"/>
            </w14:solidFill>
          </w14:textFill>
        </w:rPr>
        <w:t>…………</w:t>
      </w:r>
      <w:r>
        <w:rPr>
          <w:rFonts w:hint="eastAsia" w:ascii="仿宋" w:hAnsi="仿宋" w:eastAsia="仿宋" w:cs="仿宋_GB2312"/>
          <w:color w:val="000000" w:themeColor="text1"/>
          <w:kern w:val="0"/>
          <w:sz w:val="24"/>
          <w14:textFill>
            <w14:solidFill>
              <w14:schemeClr w14:val="tx1"/>
            </w14:solidFill>
          </w14:textFill>
        </w:rPr>
        <w:t>（页码）</w:t>
      </w:r>
    </w:p>
    <w:p>
      <w:pPr>
        <w:spacing w:line="360" w:lineRule="auto"/>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（23）</w:t>
      </w:r>
      <w:r>
        <w:rPr>
          <w:rFonts w:hint="eastAsia" w:ascii="仿宋" w:hAnsi="仿宋" w:eastAsia="仿宋" w:cs="仿宋_GB2312"/>
          <w:color w:val="000000" w:themeColor="text1"/>
          <w:kern w:val="0"/>
          <w:sz w:val="24"/>
          <w:lang w:val="zh-CN"/>
          <w14:textFill>
            <w14:solidFill>
              <w14:schemeClr w14:val="tx1"/>
            </w14:solidFill>
          </w14:textFill>
        </w:rPr>
        <w:t>认为需要的其他商务技术（资信）文件或说明………………</w:t>
      </w:r>
      <w:r>
        <w:rPr>
          <w:rFonts w:hint="eastAsia" w:ascii="仿宋" w:hAnsi="仿宋" w:eastAsia="仿宋" w:cs="仿宋_GB2312"/>
          <w:color w:val="000000" w:themeColor="text1"/>
          <w14:textFill>
            <w14:solidFill>
              <w14:schemeClr w14:val="tx1"/>
            </w14:solidFill>
          </w14:textFill>
        </w:rPr>
        <w:t>…………</w:t>
      </w:r>
      <w:r>
        <w:rPr>
          <w:rFonts w:hint="eastAsia" w:ascii="仿宋" w:hAnsi="仿宋" w:eastAsia="仿宋" w:cs="仿宋_GB2312"/>
          <w:color w:val="000000" w:themeColor="text1"/>
          <w:kern w:val="0"/>
          <w:sz w:val="24"/>
          <w:lang w:val="zh-CN"/>
          <w14:textFill>
            <w14:solidFill>
              <w14:schemeClr w14:val="tx1"/>
            </w14:solidFill>
          </w14:textFill>
        </w:rPr>
        <w:t>…</w:t>
      </w:r>
      <w:r>
        <w:rPr>
          <w:rFonts w:hint="eastAsia" w:ascii="仿宋" w:hAnsi="仿宋" w:eastAsia="仿宋" w:cs="仿宋_GB2312"/>
          <w:color w:val="000000" w:themeColor="text1"/>
          <w:kern w:val="0"/>
          <w:sz w:val="24"/>
          <w14:textFill>
            <w14:solidFill>
              <w14:schemeClr w14:val="tx1"/>
            </w14:solidFill>
          </w14:textFill>
        </w:rPr>
        <w:t>（页码）</w:t>
      </w:r>
    </w:p>
    <w:p>
      <w:pPr>
        <w:spacing w:line="360" w:lineRule="auto"/>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bCs/>
          <w:color w:val="000000" w:themeColor="text1"/>
          <w:sz w:val="24"/>
          <w14:textFill>
            <w14:solidFill>
              <w14:schemeClr w14:val="tx1"/>
            </w14:solidFill>
          </w14:textFill>
        </w:rPr>
        <w:t>注：以上目录是基本格式要求，各投标人可根据自身情况进一步细化。</w:t>
      </w:r>
    </w:p>
    <w:p>
      <w:pPr>
        <w:pageBreakBefore/>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 xml:space="preserve">1、法定代表人授权委托书（格式） </w:t>
      </w:r>
    </w:p>
    <w:p>
      <w:pPr>
        <w:jc w:val="center"/>
        <w:rPr>
          <w:rFonts w:ascii="仿宋" w:hAnsi="仿宋" w:eastAsia="仿宋"/>
          <w:b/>
          <w:color w:val="000000" w:themeColor="text1"/>
          <w:sz w:val="24"/>
          <w14:textFill>
            <w14:solidFill>
              <w14:schemeClr w14:val="tx1"/>
            </w14:solidFill>
          </w14:textFill>
        </w:rPr>
      </w:pPr>
    </w:p>
    <w:p>
      <w:pPr>
        <w:snapToGrid w:val="0"/>
        <w:spacing w:line="5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本授权委托书声明：我</w:t>
      </w:r>
      <w:r>
        <w:rPr>
          <w:rFonts w:hint="eastAsia" w:ascii="仿宋" w:hAnsi="仿宋" w:eastAsia="仿宋"/>
          <w:color w:val="000000" w:themeColor="text1"/>
          <w:sz w:val="24"/>
          <w:u w:val="single"/>
          <w14:textFill>
            <w14:solidFill>
              <w14:schemeClr w14:val="tx1"/>
            </w14:solidFill>
          </w14:textFill>
        </w:rPr>
        <w:t xml:space="preserve">         (填写姓名)</w:t>
      </w:r>
      <w:r>
        <w:rPr>
          <w:rFonts w:hint="eastAsia" w:ascii="仿宋" w:hAnsi="仿宋" w:eastAsia="仿宋"/>
          <w:color w:val="000000" w:themeColor="text1"/>
          <w:sz w:val="24"/>
          <w14:textFill>
            <w14:solidFill>
              <w14:schemeClr w14:val="tx1"/>
            </w14:solidFill>
          </w14:textFill>
        </w:rPr>
        <w:t>系</w:t>
      </w:r>
      <w:r>
        <w:rPr>
          <w:rFonts w:hint="eastAsia" w:ascii="仿宋" w:hAnsi="仿宋" w:eastAsia="仿宋"/>
          <w:color w:val="000000" w:themeColor="text1"/>
          <w:sz w:val="24"/>
          <w:u w:val="single"/>
          <w14:textFill>
            <w14:solidFill>
              <w14:schemeClr w14:val="tx1"/>
            </w14:solidFill>
          </w14:textFill>
        </w:rPr>
        <w:t xml:space="preserve">                   （填写投标人单位全称）</w:t>
      </w:r>
      <w:r>
        <w:rPr>
          <w:rFonts w:hint="eastAsia" w:ascii="仿宋" w:hAnsi="仿宋" w:eastAsia="仿宋"/>
          <w:color w:val="000000" w:themeColor="text1"/>
          <w:sz w:val="24"/>
          <w14:textFill>
            <w14:solidFill>
              <w14:schemeClr w14:val="tx1"/>
            </w14:solidFill>
          </w14:textFill>
        </w:rPr>
        <w:t>的法定代表人，现授权委托</w:t>
      </w:r>
      <w:r>
        <w:rPr>
          <w:rFonts w:hint="eastAsia" w:ascii="仿宋" w:hAnsi="仿宋" w:eastAsia="仿宋"/>
          <w:color w:val="000000" w:themeColor="text1"/>
          <w:sz w:val="24"/>
          <w:u w:val="single"/>
          <w14:textFill>
            <w14:solidFill>
              <w14:schemeClr w14:val="tx1"/>
            </w14:solidFill>
          </w14:textFill>
        </w:rPr>
        <w:t xml:space="preserve">                  （填写单位全称）</w:t>
      </w:r>
      <w:r>
        <w:rPr>
          <w:rFonts w:hint="eastAsia" w:ascii="仿宋" w:hAnsi="仿宋" w:eastAsia="仿宋"/>
          <w:color w:val="000000" w:themeColor="text1"/>
          <w:sz w:val="24"/>
          <w14:textFill>
            <w14:solidFill>
              <w14:schemeClr w14:val="tx1"/>
            </w14:solidFill>
          </w14:textFill>
        </w:rPr>
        <w:t>的（填写姓名）为我公司授权代表，</w:t>
      </w:r>
      <w:r>
        <w:rPr>
          <w:rFonts w:hint="eastAsia" w:ascii="仿宋" w:hAnsi="仿宋" w:eastAsia="仿宋"/>
          <w:color w:val="000000" w:themeColor="text1"/>
          <w:sz w:val="24"/>
          <w:u w:val="single"/>
          <w14:textFill>
            <w14:solidFill>
              <w14:schemeClr w14:val="tx1"/>
            </w14:solidFill>
          </w14:textFill>
        </w:rPr>
        <w:t>（填写身份证号码：                       ）</w:t>
      </w:r>
      <w:r>
        <w:rPr>
          <w:rFonts w:hint="eastAsia" w:ascii="仿宋" w:hAnsi="仿宋" w:eastAsia="仿宋"/>
          <w:color w:val="000000" w:themeColor="text1"/>
          <w:sz w:val="24"/>
          <w14:textFill>
            <w14:solidFill>
              <w14:schemeClr w14:val="tx1"/>
            </w14:solidFill>
          </w14:textFill>
        </w:rPr>
        <w:t>。以本公司的名义参加</w:t>
      </w:r>
      <w:r>
        <w:rPr>
          <w:rFonts w:hint="eastAsia" w:ascii="仿宋" w:hAnsi="仿宋" w:eastAsia="仿宋"/>
          <w:color w:val="000000" w:themeColor="text1"/>
          <w:sz w:val="24"/>
          <w:u w:val="single"/>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授权代表无转委托权。特此委托。</w:t>
      </w:r>
    </w:p>
    <w:p>
      <w:pPr>
        <w:snapToGrid w:val="0"/>
        <w:spacing w:line="600" w:lineRule="exact"/>
        <w:jc w:val="lef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授权代表姓名：              性别：               年龄：</w:t>
      </w:r>
    </w:p>
    <w:p>
      <w:pPr>
        <w:spacing w:line="360" w:lineRule="exac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                      部门：               职务：</w:t>
      </w:r>
    </w:p>
    <w:p>
      <w:pPr>
        <w:spacing w:line="360" w:lineRule="exact"/>
        <w:rPr>
          <w:rFonts w:ascii="仿宋" w:hAnsi="仿宋" w:eastAsia="仿宋"/>
          <w:color w:val="000000" w:themeColor="text1"/>
          <w:sz w:val="24"/>
          <w14:textFill>
            <w14:solidFill>
              <w14:schemeClr w14:val="tx1"/>
            </w14:solidFill>
          </w14:textFill>
        </w:rPr>
      </w:pPr>
    </w:p>
    <w:p>
      <w:pPr>
        <w:widowControl/>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办公地址：                  联系电话：           传真：</w:t>
      </w:r>
    </w:p>
    <w:p>
      <w:pPr>
        <w:spacing w:line="360" w:lineRule="exac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投标人（电子签章）：</w:t>
      </w:r>
    </w:p>
    <w:p>
      <w:pPr>
        <w:spacing w:line="360" w:lineRule="exac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法定代表人（签字或盖章）：</w:t>
      </w:r>
    </w:p>
    <w:p>
      <w:pPr>
        <w:spacing w:line="360" w:lineRule="exact"/>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p>
    <w:p>
      <w:pPr>
        <w:ind w:firstLine="5280" w:firstLineChars="2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    年   月   日</w:t>
      </w:r>
    </w:p>
    <w:p>
      <w:pPr>
        <w:ind w:firstLine="4920" w:firstLineChars="2050"/>
        <w:jc w:val="left"/>
        <w:rPr>
          <w:rFonts w:ascii="仿宋" w:hAnsi="仿宋" w:eastAsia="仿宋"/>
          <w:color w:val="000000" w:themeColor="text1"/>
          <w:sz w:val="24"/>
          <w14:textFill>
            <w14:solidFill>
              <w14:schemeClr w14:val="tx1"/>
            </w14:solidFill>
          </w14:textFill>
        </w:rPr>
      </w:pPr>
    </w:p>
    <w:p>
      <w:pPr>
        <w:spacing w:line="800" w:lineRule="exact"/>
        <w:rPr>
          <w:rFonts w:ascii="仿宋" w:hAnsi="仿宋" w:eastAsia="仿宋"/>
          <w:b/>
          <w:color w:val="000000" w:themeColor="text1"/>
          <w:sz w:val="24"/>
          <w14:textFill>
            <w14:solidFill>
              <w14:schemeClr w14:val="tx1"/>
            </w14:solidFill>
          </w14:textFill>
        </w:rPr>
      </w:pPr>
    </w:p>
    <w:p>
      <w:pPr>
        <w:pageBreakBefore/>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2、授权代表社保证明（复印件）</w:t>
      </w:r>
    </w:p>
    <w:p>
      <w:pPr>
        <w:spacing w:line="800" w:lineRule="exact"/>
        <w:ind w:firstLine="480" w:firstLineChars="200"/>
        <w:rPr>
          <w:rFonts w:ascii="仿宋" w:hAnsi="仿宋" w:eastAsia="仿宋"/>
          <w:color w:val="000000" w:themeColor="text1"/>
          <w:sz w:val="24"/>
          <w:u w:val="wave"/>
          <w14:textFill>
            <w14:solidFill>
              <w14:schemeClr w14:val="tx1"/>
            </w14:solidFill>
          </w14:textFill>
        </w:rPr>
      </w:pPr>
      <w:r>
        <w:rPr>
          <w:rFonts w:hint="eastAsia" w:ascii="仿宋" w:hAnsi="仿宋" w:eastAsia="仿宋"/>
          <w:color w:val="000000" w:themeColor="text1"/>
          <w:sz w:val="24"/>
          <w:u w:val="wave"/>
          <w14:textFill>
            <w14:solidFill>
              <w14:schemeClr w14:val="tx1"/>
            </w14:solidFill>
          </w14:textFill>
        </w:rPr>
        <w:t>出具距投标截止时间一个月以内的社保机构盖公章的授权代表社保缴纳证明（如授权代表为</w:t>
      </w:r>
      <w:r>
        <w:rPr>
          <w:rFonts w:ascii="仿宋" w:hAnsi="仿宋" w:eastAsia="仿宋"/>
          <w:color w:val="000000" w:themeColor="text1"/>
          <w:sz w:val="24"/>
          <w:u w:val="wave"/>
          <w14:textFill>
            <w14:solidFill>
              <w14:schemeClr w14:val="tx1"/>
            </w14:solidFill>
          </w14:textFill>
        </w:rPr>
        <w:t>离退休返聘人员的，投标响应文件技术部分内</w:t>
      </w:r>
      <w:r>
        <w:rPr>
          <w:rFonts w:hint="eastAsia" w:ascii="仿宋" w:hAnsi="仿宋" w:eastAsia="仿宋"/>
          <w:color w:val="000000" w:themeColor="text1"/>
          <w:sz w:val="24"/>
          <w:u w:val="wave"/>
          <w14:textFill>
            <w14:solidFill>
              <w14:schemeClr w14:val="tx1"/>
            </w14:solidFill>
          </w14:textFill>
        </w:rPr>
        <w:t>需提供</w:t>
      </w:r>
      <w:r>
        <w:rPr>
          <w:rFonts w:ascii="仿宋" w:hAnsi="仿宋" w:eastAsia="仿宋"/>
          <w:color w:val="000000" w:themeColor="text1"/>
          <w:sz w:val="24"/>
          <w:u w:val="wave"/>
          <w14:textFill>
            <w14:solidFill>
              <w14:schemeClr w14:val="tx1"/>
            </w14:solidFill>
          </w14:textFill>
        </w:rPr>
        <w:t>退休证明及单位聘用证明</w:t>
      </w:r>
      <w:r>
        <w:rPr>
          <w:rFonts w:hint="eastAsia" w:ascii="仿宋" w:hAnsi="仿宋" w:eastAsia="仿宋"/>
          <w:color w:val="000000" w:themeColor="text1"/>
          <w:sz w:val="24"/>
          <w:u w:val="wave"/>
          <w14:textFill>
            <w14:solidFill>
              <w14:schemeClr w14:val="tx1"/>
            </w14:solidFill>
          </w14:textFill>
        </w:rPr>
        <w:t>；如由第三方代理社保事项的，则需提供委托代理协议复印件），格式自拟。</w:t>
      </w:r>
      <w:r>
        <w:rPr>
          <w:rFonts w:ascii="仿宋" w:hAnsi="仿宋" w:eastAsia="仿宋"/>
          <w:b/>
          <w:color w:val="000000" w:themeColor="text1"/>
          <w:sz w:val="24"/>
          <w14:textFill>
            <w14:solidFill>
              <w14:schemeClr w14:val="tx1"/>
            </w14:solidFill>
          </w14:textFill>
        </w:rPr>
        <w:t>未提供</w:t>
      </w:r>
      <w:r>
        <w:rPr>
          <w:rFonts w:hint="eastAsia" w:ascii="仿宋" w:hAnsi="仿宋" w:eastAsia="仿宋"/>
          <w:b/>
          <w:color w:val="000000" w:themeColor="text1"/>
          <w:sz w:val="24"/>
          <w14:textFill>
            <w14:solidFill>
              <w14:schemeClr w14:val="tx1"/>
            </w14:solidFill>
          </w14:textFill>
        </w:rPr>
        <w:t>上述</w:t>
      </w:r>
      <w:r>
        <w:rPr>
          <w:rFonts w:ascii="仿宋" w:hAnsi="仿宋" w:eastAsia="仿宋"/>
          <w:b/>
          <w:color w:val="000000" w:themeColor="text1"/>
          <w:sz w:val="24"/>
          <w14:textFill>
            <w14:solidFill>
              <w14:schemeClr w14:val="tx1"/>
            </w14:solidFill>
          </w14:textFill>
        </w:rPr>
        <w:t>证明的投标</w:t>
      </w:r>
      <w:r>
        <w:rPr>
          <w:rFonts w:hint="eastAsia" w:ascii="仿宋" w:hAnsi="仿宋" w:eastAsia="仿宋"/>
          <w:b/>
          <w:color w:val="000000" w:themeColor="text1"/>
          <w:sz w:val="24"/>
          <w14:textFill>
            <w14:solidFill>
              <w14:schemeClr w14:val="tx1"/>
            </w14:solidFill>
          </w14:textFill>
        </w:rPr>
        <w:t>做无效投标处理</w:t>
      </w:r>
      <w:r>
        <w:rPr>
          <w:rFonts w:ascii="仿宋" w:hAnsi="仿宋" w:eastAsia="仿宋"/>
          <w:b/>
          <w:color w:val="000000" w:themeColor="text1"/>
          <w:sz w:val="24"/>
          <w14:textFill>
            <w14:solidFill>
              <w14:schemeClr w14:val="tx1"/>
            </w14:solidFill>
          </w14:textFill>
        </w:rPr>
        <w:t>。</w:t>
      </w:r>
    </w:p>
    <w:p>
      <w:pPr>
        <w:spacing w:line="800" w:lineRule="exact"/>
        <w:ind w:firstLine="4320" w:firstLineChars="1800"/>
        <w:rPr>
          <w:rFonts w:ascii="仿宋" w:hAnsi="仿宋" w:eastAsia="仿宋"/>
          <w:color w:val="000000" w:themeColor="text1"/>
          <w:sz w:val="24"/>
          <w14:textFill>
            <w14:solidFill>
              <w14:schemeClr w14:val="tx1"/>
            </w14:solidFill>
          </w14:textFill>
        </w:rPr>
      </w:pPr>
    </w:p>
    <w:p>
      <w:pPr>
        <w:spacing w:line="800" w:lineRule="exact"/>
        <w:ind w:firstLine="4337" w:firstLineChars="1800"/>
        <w:rPr>
          <w:rFonts w:ascii="仿宋" w:hAnsi="仿宋" w:eastAsia="仿宋"/>
          <w:b/>
          <w:color w:val="000000" w:themeColor="text1"/>
          <w:sz w:val="24"/>
          <w14:textFill>
            <w14:solidFill>
              <w14:schemeClr w14:val="tx1"/>
            </w14:solidFill>
          </w14:textFill>
        </w:rPr>
      </w:pPr>
    </w:p>
    <w:p>
      <w:pPr>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3、法定代表人及其授权代表身份证复印件（正反面）</w:t>
      </w:r>
    </w:p>
    <w:p>
      <w:pPr>
        <w:spacing w:line="800" w:lineRule="exact"/>
        <w:rPr>
          <w:rFonts w:ascii="仿宋" w:hAnsi="仿宋" w:eastAsia="仿宋"/>
          <w:b/>
          <w:color w:val="000000" w:themeColor="text1"/>
          <w:sz w:val="24"/>
          <w14:textFill>
            <w14:solidFill>
              <w14:schemeClr w14:val="tx1"/>
            </w14:solidFill>
          </w14:textFill>
        </w:rPr>
      </w:pPr>
    </w:p>
    <w:p>
      <w:pPr>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4、法定代表人身份证明书(格式)</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 标 人：</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    址：</w:t>
      </w:r>
    </w:p>
    <w:p>
      <w:pPr>
        <w:spacing w:line="440" w:lineRule="exact"/>
        <w:ind w:right="281" w:rightChars="134"/>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    名：</w:t>
      </w:r>
    </w:p>
    <w:p>
      <w:pPr>
        <w:spacing w:line="440" w:lineRule="exact"/>
        <w:ind w:right="281" w:rightChars="134"/>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身份证号码：</w:t>
      </w:r>
    </w:p>
    <w:p>
      <w:pPr>
        <w:spacing w:line="440" w:lineRule="exact"/>
        <w:ind w:right="281" w:rightChars="134"/>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   务：</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系</w:t>
      </w:r>
      <w:r>
        <w:rPr>
          <w:rFonts w:hint="eastAsia" w:ascii="仿宋" w:hAnsi="仿宋" w:eastAsia="仿宋"/>
          <w:color w:val="000000" w:themeColor="text1"/>
          <w:sz w:val="24"/>
          <w:u w:val="single"/>
          <w14:textFill>
            <w14:solidFill>
              <w14:schemeClr w14:val="tx1"/>
            </w14:solidFill>
          </w14:textFill>
        </w:rPr>
        <w:t xml:space="preserve">                           （填写投标人名称）</w:t>
      </w:r>
      <w:r>
        <w:rPr>
          <w:rFonts w:hint="eastAsia" w:ascii="仿宋" w:hAnsi="仿宋" w:eastAsia="仿宋"/>
          <w:color w:val="000000" w:themeColor="text1"/>
          <w:sz w:val="24"/>
          <w14:textFill>
            <w14:solidFill>
              <w14:schemeClr w14:val="tx1"/>
            </w14:solidFill>
          </w14:textFill>
        </w:rPr>
        <w:t>的法定代表人。</w:t>
      </w: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特此证明。</w:t>
      </w:r>
    </w:p>
    <w:p>
      <w:pPr>
        <w:spacing w:line="440" w:lineRule="exact"/>
        <w:rPr>
          <w:rFonts w:ascii="仿宋" w:hAnsi="仿宋" w:eastAsia="仿宋"/>
          <w:color w:val="000000" w:themeColor="text1"/>
          <w:sz w:val="24"/>
          <w14:textFill>
            <w14:solidFill>
              <w14:schemeClr w14:val="tx1"/>
            </w14:solidFill>
          </w14:textFill>
        </w:rPr>
      </w:pPr>
    </w:p>
    <w:p>
      <w:pPr>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                             （电子签章）</w:t>
      </w:r>
    </w:p>
    <w:p>
      <w:pPr>
        <w:spacing w:line="440" w:lineRule="exact"/>
        <w:ind w:right="480"/>
        <w:rPr>
          <w:rFonts w:ascii="仿宋" w:hAnsi="仿宋" w:eastAsia="仿宋"/>
          <w:color w:val="000000" w:themeColor="text1"/>
          <w:sz w:val="24"/>
          <w14:textFill>
            <w14:solidFill>
              <w14:schemeClr w14:val="tx1"/>
            </w14:solidFill>
          </w14:textFill>
        </w:rPr>
      </w:pPr>
    </w:p>
    <w:p>
      <w:pPr>
        <w:spacing w:line="440" w:lineRule="exact"/>
        <w:ind w:right="720"/>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年月日</w:t>
      </w:r>
    </w:p>
    <w:p>
      <w:pPr>
        <w:spacing w:line="360" w:lineRule="auto"/>
        <w:jc w:val="center"/>
        <w:rPr>
          <w:rFonts w:ascii="仿宋" w:hAnsi="仿宋" w:eastAsia="仿宋"/>
          <w:b/>
          <w:color w:val="000000" w:themeColor="text1"/>
          <w:sz w:val="30"/>
          <w:szCs w:val="30"/>
          <w14:textFill>
            <w14:solidFill>
              <w14:schemeClr w14:val="tx1"/>
            </w14:solidFill>
          </w14:textFill>
        </w:rPr>
      </w:pPr>
    </w:p>
    <w:p>
      <w:pPr>
        <w:pageBreakBefore/>
        <w:spacing w:line="360" w:lineRule="auto"/>
        <w:rPr>
          <w:rFonts w:ascii="仿宋" w:hAnsi="仿宋" w:eastAsia="仿宋" w:cs="仿宋_GB2312"/>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5</w:t>
      </w:r>
      <w:r>
        <w:rPr>
          <w:rFonts w:hint="eastAsia" w:ascii="仿宋" w:hAnsi="仿宋" w:eastAsia="仿宋" w:cs="仿宋_GB2312"/>
          <w:b/>
          <w:color w:val="000000" w:themeColor="text1"/>
          <w:kern w:val="0"/>
          <w:sz w:val="30"/>
          <w:szCs w:val="30"/>
          <w:lang w:val="zh-CN"/>
          <w14:textFill>
            <w14:solidFill>
              <w14:schemeClr w14:val="tx1"/>
            </w14:solidFill>
          </w14:textFill>
        </w:rPr>
        <w:t>、</w:t>
      </w:r>
      <w:r>
        <w:rPr>
          <w:rFonts w:hint="eastAsia" w:ascii="仿宋" w:hAnsi="仿宋" w:eastAsia="仿宋" w:cs="仿宋_GB2312"/>
          <w:b/>
          <w:color w:val="000000" w:themeColor="text1"/>
          <w:sz w:val="30"/>
          <w:szCs w:val="30"/>
          <w14:textFill>
            <w14:solidFill>
              <w14:schemeClr w14:val="tx1"/>
            </w14:solidFill>
          </w14:textFill>
        </w:rPr>
        <w:t>营业执照（或事业法人登记证或其他登记证明材料）（复印件）</w:t>
      </w:r>
    </w:p>
    <w:p>
      <w:pPr>
        <w:spacing w:line="360" w:lineRule="auto"/>
        <w:jc w:val="center"/>
        <w:rPr>
          <w:rFonts w:ascii="仿宋" w:hAnsi="仿宋" w:eastAsia="仿宋" w:cs="仿宋_GB2312"/>
          <w:b/>
          <w:color w:val="000000" w:themeColor="text1"/>
          <w:sz w:val="30"/>
          <w:szCs w:val="30"/>
          <w14:textFill>
            <w14:solidFill>
              <w14:schemeClr w14:val="tx1"/>
            </w14:solidFill>
          </w14:textFill>
        </w:rPr>
      </w:pPr>
    </w:p>
    <w:p>
      <w:pPr>
        <w:spacing w:line="360" w:lineRule="auto"/>
        <w:jc w:val="center"/>
        <w:rPr>
          <w:rFonts w:ascii="仿宋" w:hAnsi="仿宋" w:eastAsia="仿宋" w:cs="仿宋_GB2312"/>
          <w:b/>
          <w:color w:val="000000" w:themeColor="text1"/>
          <w:sz w:val="30"/>
          <w:szCs w:val="30"/>
          <w14:textFill>
            <w14:solidFill>
              <w14:schemeClr w14:val="tx1"/>
            </w14:solidFill>
          </w14:textFill>
        </w:rPr>
      </w:pPr>
    </w:p>
    <w:p>
      <w:pPr>
        <w:spacing w:line="360" w:lineRule="auto"/>
        <w:jc w:val="center"/>
        <w:rPr>
          <w:rFonts w:ascii="仿宋" w:hAnsi="仿宋" w:eastAsia="仿宋" w:cs="仿宋_GB2312"/>
          <w:b/>
          <w:color w:val="000000" w:themeColor="text1"/>
          <w:sz w:val="30"/>
          <w:szCs w:val="30"/>
          <w14:textFill>
            <w14:solidFill>
              <w14:schemeClr w14:val="tx1"/>
            </w14:solidFill>
          </w14:textFill>
        </w:rPr>
      </w:pPr>
    </w:p>
    <w:p>
      <w:pPr>
        <w:spacing w:line="360" w:lineRule="auto"/>
        <w:jc w:val="center"/>
        <w:rPr>
          <w:rFonts w:ascii="仿宋" w:hAnsi="仿宋" w:eastAsia="仿宋" w:cs="仿宋_GB2312"/>
          <w:b/>
          <w:color w:val="000000" w:themeColor="text1"/>
          <w:sz w:val="30"/>
          <w:szCs w:val="30"/>
          <w14:textFill>
            <w14:solidFill>
              <w14:schemeClr w14:val="tx1"/>
            </w14:solidFill>
          </w14:textFill>
        </w:rPr>
      </w:pPr>
    </w:p>
    <w:p>
      <w:pPr>
        <w:spacing w:line="360" w:lineRule="auto"/>
        <w:jc w:val="center"/>
        <w:rPr>
          <w:rFonts w:ascii="仿宋" w:hAnsi="仿宋" w:eastAsia="仿宋" w:cs="仿宋_GB2312"/>
          <w:b/>
          <w:color w:val="000000" w:themeColor="text1"/>
          <w:sz w:val="30"/>
          <w:szCs w:val="30"/>
          <w14:textFill>
            <w14:solidFill>
              <w14:schemeClr w14:val="tx1"/>
            </w14:solidFill>
          </w14:textFill>
        </w:rPr>
      </w:pPr>
    </w:p>
    <w:p>
      <w:pPr>
        <w:spacing w:line="360" w:lineRule="auto"/>
        <w:rPr>
          <w:rFonts w:ascii="仿宋" w:hAnsi="仿宋" w:eastAsia="仿宋" w:cs="仿宋_GB2312"/>
          <w:b/>
          <w:color w:val="000000" w:themeColor="text1"/>
          <w:sz w:val="30"/>
          <w:szCs w:val="30"/>
          <w14:textFill>
            <w14:solidFill>
              <w14:schemeClr w14:val="tx1"/>
            </w14:solidFill>
          </w14:textFill>
        </w:rPr>
      </w:pPr>
      <w:r>
        <w:rPr>
          <w:rFonts w:hint="eastAsia" w:ascii="仿宋" w:hAnsi="仿宋" w:eastAsia="仿宋" w:cs="仿宋_GB2312"/>
          <w:b/>
          <w:color w:val="000000" w:themeColor="text1"/>
          <w:sz w:val="30"/>
          <w:szCs w:val="30"/>
          <w14:textFill>
            <w14:solidFill>
              <w14:schemeClr w14:val="tx1"/>
            </w14:solidFill>
          </w14:textFill>
        </w:rPr>
        <w:t>6、财务报表资料文件（2019年度资产负债表等财务报表资料文件(新成立的公司，提供情况说明，格式自拟)）</w:t>
      </w:r>
    </w:p>
    <w:p>
      <w:pPr>
        <w:spacing w:line="360" w:lineRule="auto"/>
        <w:rPr>
          <w:rFonts w:ascii="仿宋" w:hAnsi="仿宋" w:eastAsia="仿宋" w:cs="仿宋_GB2312"/>
          <w:b/>
          <w:color w:val="000000" w:themeColor="text1"/>
          <w:sz w:val="30"/>
          <w:szCs w:val="30"/>
          <w14:textFill>
            <w14:solidFill>
              <w14:schemeClr w14:val="tx1"/>
            </w14:solidFill>
          </w14:textFill>
        </w:rPr>
      </w:pPr>
    </w:p>
    <w:p>
      <w:pPr>
        <w:spacing w:line="360" w:lineRule="auto"/>
        <w:rPr>
          <w:rFonts w:ascii="仿宋" w:hAnsi="仿宋" w:eastAsia="仿宋" w:cs="仿宋_GB2312"/>
          <w:b/>
          <w:color w:val="000000" w:themeColor="text1"/>
          <w:sz w:val="30"/>
          <w:szCs w:val="30"/>
          <w14:textFill>
            <w14:solidFill>
              <w14:schemeClr w14:val="tx1"/>
            </w14:solidFill>
          </w14:textFill>
        </w:rPr>
      </w:pPr>
    </w:p>
    <w:p>
      <w:pPr>
        <w:spacing w:line="360" w:lineRule="auto"/>
        <w:rPr>
          <w:rFonts w:ascii="仿宋" w:hAnsi="仿宋" w:eastAsia="仿宋" w:cs="仿宋_GB2312"/>
          <w:b/>
          <w:color w:val="000000" w:themeColor="text1"/>
          <w:sz w:val="30"/>
          <w:szCs w:val="30"/>
          <w14:textFill>
            <w14:solidFill>
              <w14:schemeClr w14:val="tx1"/>
            </w14:solidFill>
          </w14:textFill>
        </w:rPr>
      </w:pPr>
    </w:p>
    <w:p>
      <w:pPr>
        <w:spacing w:line="360" w:lineRule="auto"/>
        <w:rPr>
          <w:rFonts w:ascii="仿宋" w:hAnsi="仿宋" w:eastAsia="仿宋" w:cs="仿宋_GB2312"/>
          <w:b/>
          <w:color w:val="000000" w:themeColor="text1"/>
          <w:sz w:val="30"/>
          <w:szCs w:val="30"/>
          <w14:textFill>
            <w14:solidFill>
              <w14:schemeClr w14:val="tx1"/>
            </w14:solidFill>
          </w14:textFill>
        </w:rPr>
      </w:pPr>
    </w:p>
    <w:p>
      <w:pPr>
        <w:snapToGrid w:val="0"/>
        <w:spacing w:line="360" w:lineRule="auto"/>
        <w:ind w:right="480"/>
        <w:jc w:val="center"/>
        <w:rPr>
          <w:rFonts w:ascii="仿宋" w:hAnsi="仿宋" w:eastAsia="仿宋" w:cs="仿宋_GB2312"/>
          <w:b/>
          <w:color w:val="000000" w:themeColor="text1"/>
          <w:kern w:val="0"/>
          <w:sz w:val="32"/>
          <w:szCs w:val="32"/>
          <w:lang w:val="zh-CN"/>
          <w14:textFill>
            <w14:solidFill>
              <w14:schemeClr w14:val="tx1"/>
            </w14:solidFill>
          </w14:textFill>
        </w:rPr>
      </w:pPr>
    </w:p>
    <w:p>
      <w:pPr>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r>
        <w:rPr>
          <w:rFonts w:hint="eastAsia" w:ascii="仿宋" w:hAnsi="仿宋" w:eastAsia="仿宋" w:cs="仿宋_GB2312"/>
          <w:b/>
          <w:color w:val="000000" w:themeColor="text1"/>
          <w:kern w:val="0"/>
          <w:sz w:val="32"/>
          <w:szCs w:val="32"/>
          <w14:textFill>
            <w14:solidFill>
              <w14:schemeClr w14:val="tx1"/>
            </w14:solidFill>
          </w14:textFill>
        </w:rPr>
        <w:t>7、具有履行合同所必需的设备和专业技术能力的承诺函</w:t>
      </w:r>
    </w:p>
    <w:p>
      <w:pPr>
        <w:pStyle w:val="54"/>
        <w:spacing w:afterLines="0" w:line="440" w:lineRule="exact"/>
        <w:ind w:firstLine="0" w:firstLineChars="0"/>
        <w:rPr>
          <w:rFonts w:ascii="仿宋" w:hAnsi="仿宋" w:eastAsia="仿宋"/>
          <w:szCs w:val="24"/>
        </w:rPr>
      </w:pPr>
      <w:r>
        <w:rPr>
          <w:rFonts w:hint="eastAsia" w:ascii="仿宋" w:hAnsi="仿宋" w:eastAsia="仿宋"/>
          <w:color w:val="FF0000"/>
          <w:szCs w:val="24"/>
          <w:u w:val="single"/>
        </w:rPr>
        <w:t>绍兴文理学院附属医院、绍兴市鼎正建设工程咨询有限公司</w:t>
      </w:r>
      <w:r>
        <w:rPr>
          <w:rFonts w:hint="eastAsia" w:ascii="仿宋" w:hAnsi="仿宋" w:eastAsia="仿宋" w:cs="仿宋_GB2312"/>
          <w:color w:val="000000" w:themeColor="text1"/>
          <w:lang w:val="zh-CN"/>
          <w14:textFill>
            <w14:solidFill>
              <w14:schemeClr w14:val="tx1"/>
            </w14:solidFill>
          </w14:textFill>
        </w:rPr>
        <w:t>：</w:t>
      </w:r>
    </w:p>
    <w:p>
      <w:pPr>
        <w:snapToGrid w:val="0"/>
        <w:spacing w:line="360" w:lineRule="auto"/>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我方郑重承诺，我方具有履行项目（招标编号:）合同所必需的设备和专业技术能力。如中标，我方将保证合同顺利履行。</w:t>
      </w:r>
    </w:p>
    <w:p>
      <w:pPr>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月日</w:t>
      </w:r>
    </w:p>
    <w:p>
      <w:pPr>
        <w:spacing w:line="360" w:lineRule="auto"/>
        <w:jc w:val="center"/>
        <w:rPr>
          <w:rFonts w:ascii="仿宋" w:hAnsi="仿宋" w:eastAsia="仿宋" w:cs="仿宋_GB2312"/>
          <w:b/>
          <w:color w:val="000000" w:themeColor="text1"/>
          <w:kern w:val="0"/>
          <w:sz w:val="32"/>
          <w:szCs w:val="32"/>
          <w14:textFill>
            <w14:solidFill>
              <w14:schemeClr w14:val="tx1"/>
            </w14:solidFill>
          </w14:textFill>
        </w:rPr>
      </w:pPr>
    </w:p>
    <w:p>
      <w:pPr>
        <w:spacing w:line="360" w:lineRule="auto"/>
        <w:jc w:val="center"/>
        <w:rPr>
          <w:rFonts w:ascii="仿宋" w:hAnsi="仿宋" w:eastAsia="仿宋" w:cs="仿宋_GB2312"/>
          <w:b/>
          <w:color w:val="000000" w:themeColor="text1"/>
          <w:kern w:val="0"/>
          <w:sz w:val="32"/>
          <w:szCs w:val="32"/>
          <w14:textFill>
            <w14:solidFill>
              <w14:schemeClr w14:val="tx1"/>
            </w14:solidFill>
          </w14:textFill>
        </w:rPr>
      </w:pPr>
    </w:p>
    <w:p>
      <w:pPr>
        <w:pageBreakBefore/>
        <w:spacing w:line="360" w:lineRule="auto"/>
        <w:rPr>
          <w:rFonts w:ascii="仿宋" w:hAnsi="仿宋" w:eastAsia="仿宋" w:cs="仿宋_GB2312"/>
          <w:b/>
          <w:color w:val="000000" w:themeColor="text1"/>
          <w:kern w:val="0"/>
          <w:sz w:val="32"/>
          <w:szCs w:val="32"/>
          <w:lang w:val="zh-CN"/>
          <w14:textFill>
            <w14:solidFill>
              <w14:schemeClr w14:val="tx1"/>
            </w14:solidFill>
          </w14:textFill>
        </w:rPr>
      </w:pPr>
      <w:r>
        <w:rPr>
          <w:rFonts w:hint="eastAsia" w:ascii="仿宋" w:hAnsi="仿宋" w:eastAsia="仿宋" w:cs="仿宋_GB2312"/>
          <w:b/>
          <w:color w:val="000000" w:themeColor="text1"/>
          <w:kern w:val="0"/>
          <w:sz w:val="32"/>
          <w:szCs w:val="32"/>
          <w14:textFill>
            <w14:solidFill>
              <w14:schemeClr w14:val="tx1"/>
            </w14:solidFill>
          </w14:textFill>
        </w:rPr>
        <w:t>8、重大违法记录的声明</w:t>
      </w:r>
    </w:p>
    <w:p>
      <w:pPr>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u w:val="single"/>
          <w14:textFill>
            <w14:solidFill>
              <w14:schemeClr w14:val="tx1"/>
            </w14:solidFill>
          </w14:textFill>
        </w:rPr>
        <w:t>绍兴文理学院附属医院、绍兴市鼎正建设工程咨询有限公司</w:t>
      </w:r>
      <w:r>
        <w:rPr>
          <w:rFonts w:hint="eastAsia" w:ascii="仿宋" w:hAnsi="仿宋" w:eastAsia="仿宋" w:cs="仿宋_GB2312"/>
          <w:color w:val="000000" w:themeColor="text1"/>
          <w:kern w:val="0"/>
          <w:sz w:val="24"/>
          <w14:textFill>
            <w14:solidFill>
              <w14:schemeClr w14:val="tx1"/>
            </w14:solidFill>
          </w14:textFill>
        </w:rPr>
        <w:t>：</w:t>
      </w:r>
    </w:p>
    <w:p>
      <w:pPr>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我公司</w:t>
      </w:r>
      <w:r>
        <w:rPr>
          <w:rFonts w:hint="eastAsia" w:ascii="仿宋" w:hAnsi="仿宋" w:eastAsia="仿宋" w:cs="仿宋_GB2312"/>
          <w:color w:val="000000" w:themeColor="text1"/>
          <w:sz w:val="24"/>
          <w14:textFill>
            <w14:solidFill>
              <w14:schemeClr w14:val="tx1"/>
            </w14:solidFill>
          </w14:textFill>
        </w:rPr>
        <w:t>声明参加本次政府采购活动前三年内，在</w:t>
      </w:r>
      <w:r>
        <w:rPr>
          <w:rFonts w:hint="eastAsia" w:ascii="仿宋" w:hAnsi="仿宋" w:eastAsia="仿宋" w:cs="仿宋_GB2312"/>
          <w:color w:val="000000" w:themeColor="text1"/>
          <w:kern w:val="0"/>
          <w:sz w:val="24"/>
          <w14:textFill>
            <w14:solidFill>
              <w14:schemeClr w14:val="tx1"/>
            </w14:solidFill>
          </w14:textFill>
        </w:rPr>
        <w:t>经营活动中</w:t>
      </w:r>
      <w:r>
        <w:rPr>
          <w:rFonts w:hint="eastAsia" w:ascii="仿宋" w:hAnsi="仿宋" w:eastAsia="仿宋" w:cs="仿宋_GB2312"/>
          <w:color w:val="000000" w:themeColor="text1"/>
          <w:sz w:val="24"/>
          <w14:textFill>
            <w14:solidFill>
              <w14:schemeClr w14:val="tx1"/>
            </w14:solidFill>
          </w14:textFill>
        </w:rPr>
        <w:t>没有重大违法记录；也</w:t>
      </w:r>
      <w:r>
        <w:rPr>
          <w:rFonts w:hint="eastAsia" w:ascii="仿宋" w:hAnsi="仿宋" w:eastAsia="仿宋" w:cs="仿宋_GB2312"/>
          <w:color w:val="000000" w:themeColor="text1"/>
          <w:sz w:val="24"/>
          <w:szCs w:val="20"/>
          <w14:textFill>
            <w14:solidFill>
              <w14:schemeClr w14:val="tx1"/>
            </w14:solidFill>
          </w14:textFill>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月日</w:t>
      </w:r>
    </w:p>
    <w:p>
      <w:pPr>
        <w:snapToGrid w:val="0"/>
        <w:spacing w:line="360" w:lineRule="auto"/>
        <w:rPr>
          <w:rFonts w:ascii="仿宋" w:hAnsi="仿宋" w:eastAsia="仿宋" w:cs="仿宋_GB2312"/>
          <w:b/>
          <w:color w:val="000000" w:themeColor="text1"/>
          <w:sz w:val="30"/>
          <w:szCs w:val="30"/>
          <w14:textFill>
            <w14:solidFill>
              <w14:schemeClr w14:val="tx1"/>
            </w14:solidFill>
          </w14:textFill>
        </w:rPr>
      </w:pPr>
    </w:p>
    <w:p>
      <w:pPr>
        <w:spacing w:line="360" w:lineRule="auto"/>
        <w:rPr>
          <w:rFonts w:ascii="仿宋" w:hAnsi="仿宋" w:eastAsia="仿宋" w:cs="仿宋_GB2312"/>
          <w:b/>
          <w:color w:val="000000" w:themeColor="text1"/>
          <w:sz w:val="32"/>
          <w:szCs w:val="32"/>
          <w14:textFill>
            <w14:solidFill>
              <w14:schemeClr w14:val="tx1"/>
            </w14:solidFill>
          </w14:textFill>
        </w:rPr>
      </w:pPr>
      <w:r>
        <w:rPr>
          <w:rFonts w:hint="eastAsia" w:ascii="仿宋" w:hAnsi="仿宋" w:eastAsia="仿宋" w:cs="仿宋_GB2312"/>
          <w:b/>
          <w:color w:val="000000" w:themeColor="text1"/>
          <w:sz w:val="32"/>
          <w:szCs w:val="32"/>
          <w14:textFill>
            <w14:solidFill>
              <w14:schemeClr w14:val="tx1"/>
            </w14:solidFill>
          </w14:textFill>
        </w:rPr>
        <w:t>9、特定资格条件要求的资质文件（复印件）</w:t>
      </w:r>
    </w:p>
    <w:p>
      <w:pPr>
        <w:widowControl/>
        <w:spacing w:line="360" w:lineRule="auto"/>
        <w:ind w:firstLine="480" w:firstLineChars="200"/>
        <w:jc w:val="left"/>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（由投标人根据招标公告合格的投标人应具备的特定资格要求编制）</w:t>
      </w:r>
    </w:p>
    <w:p>
      <w:pPr>
        <w:spacing w:line="360" w:lineRule="auto"/>
        <w:rPr>
          <w:rFonts w:ascii="仿宋" w:hAnsi="仿宋" w:eastAsia="仿宋" w:cs="仿宋_GB2312"/>
          <w:b/>
          <w:color w:val="000000" w:themeColor="text1"/>
          <w:sz w:val="30"/>
          <w:szCs w:val="30"/>
          <w14:textFill>
            <w14:solidFill>
              <w14:schemeClr w14:val="tx1"/>
            </w14:solidFill>
          </w14:textFill>
        </w:rPr>
      </w:pPr>
    </w:p>
    <w:p>
      <w:pPr>
        <w:spacing w:line="360" w:lineRule="auto"/>
        <w:rPr>
          <w:rFonts w:ascii="仿宋" w:hAnsi="仿宋" w:eastAsia="仿宋" w:cs="仿宋_GB2312"/>
          <w:b/>
          <w:color w:val="000000" w:themeColor="text1"/>
          <w:sz w:val="30"/>
          <w:szCs w:val="30"/>
          <w14:textFill>
            <w14:solidFill>
              <w14:schemeClr w14:val="tx1"/>
            </w14:solidFill>
          </w14:textFill>
        </w:rPr>
      </w:pPr>
    </w:p>
    <w:p>
      <w:pPr>
        <w:spacing w:line="360" w:lineRule="auto"/>
        <w:rPr>
          <w:rFonts w:ascii="仿宋" w:hAnsi="仿宋" w:eastAsia="仿宋" w:cs="仿宋_GB2312"/>
          <w:b/>
          <w:color w:val="000000" w:themeColor="text1"/>
          <w:sz w:val="30"/>
          <w:szCs w:val="30"/>
          <w14:textFill>
            <w14:solidFill>
              <w14:schemeClr w14:val="tx1"/>
            </w14:solidFill>
          </w14:textFill>
        </w:rPr>
      </w:pPr>
      <w:r>
        <w:rPr>
          <w:rFonts w:hint="eastAsia" w:ascii="仿宋" w:hAnsi="仿宋" w:eastAsia="仿宋" w:cs="仿宋_GB2312"/>
          <w:b/>
          <w:color w:val="000000" w:themeColor="text1"/>
          <w:sz w:val="30"/>
          <w:szCs w:val="30"/>
          <w14:textFill>
            <w14:solidFill>
              <w14:schemeClr w14:val="tx1"/>
            </w14:solidFill>
          </w14:textFill>
        </w:rPr>
        <w:t>10、非本地投标人售后服务机构证明材料</w:t>
      </w:r>
    </w:p>
    <w:p>
      <w:pPr>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（由非本地投标人根据采购需求及招标文件要求编制）</w:t>
      </w:r>
    </w:p>
    <w:p>
      <w:pPr>
        <w:spacing w:line="360" w:lineRule="auto"/>
        <w:jc w:val="center"/>
        <w:rPr>
          <w:rFonts w:ascii="仿宋" w:hAnsi="仿宋" w:eastAsia="仿宋" w:cs="仿宋_GB2312"/>
          <w:b/>
          <w:color w:val="000000" w:themeColor="text1"/>
          <w:sz w:val="32"/>
          <w:szCs w:val="32"/>
          <w14:textFill>
            <w14:solidFill>
              <w14:schemeClr w14:val="tx1"/>
            </w14:solidFill>
          </w14:textFill>
        </w:rPr>
      </w:pPr>
    </w:p>
    <w:p>
      <w:pPr>
        <w:spacing w:line="360" w:lineRule="auto"/>
        <w:jc w:val="center"/>
        <w:rPr>
          <w:rFonts w:ascii="仿宋" w:hAnsi="仿宋" w:eastAsia="仿宋" w:cs="仿宋_GB2312"/>
          <w:b/>
          <w:color w:val="000000" w:themeColor="text1"/>
          <w:sz w:val="32"/>
          <w:szCs w:val="32"/>
          <w14:textFill>
            <w14:solidFill>
              <w14:schemeClr w14:val="tx1"/>
            </w14:solidFill>
          </w14:textFill>
        </w:rPr>
      </w:pPr>
    </w:p>
    <w:p>
      <w:pPr>
        <w:spacing w:line="360" w:lineRule="auto"/>
        <w:jc w:val="center"/>
        <w:rPr>
          <w:rFonts w:ascii="仿宋" w:hAnsi="仿宋" w:eastAsia="仿宋" w:cs="仿宋_GB2312"/>
          <w:b/>
          <w:color w:val="000000" w:themeColor="text1"/>
          <w:sz w:val="32"/>
          <w:szCs w:val="32"/>
          <w14:textFill>
            <w14:solidFill>
              <w14:schemeClr w14:val="tx1"/>
            </w14:solidFill>
          </w14:textFill>
        </w:rPr>
      </w:pPr>
    </w:p>
    <w:p>
      <w:pPr>
        <w:spacing w:line="360" w:lineRule="auto"/>
        <w:jc w:val="center"/>
        <w:rPr>
          <w:rFonts w:ascii="仿宋" w:hAnsi="仿宋" w:eastAsia="仿宋" w:cs="仿宋_GB2312"/>
          <w:b/>
          <w:color w:val="000000" w:themeColor="text1"/>
          <w:sz w:val="32"/>
          <w:szCs w:val="32"/>
          <w14:textFill>
            <w14:solidFill>
              <w14:schemeClr w14:val="tx1"/>
            </w14:solidFill>
          </w14:textFill>
        </w:rPr>
      </w:pPr>
    </w:p>
    <w:p>
      <w:pPr>
        <w:spacing w:line="360" w:lineRule="auto"/>
        <w:jc w:val="center"/>
        <w:rPr>
          <w:rFonts w:ascii="仿宋" w:hAnsi="仿宋" w:eastAsia="仿宋" w:cs="仿宋_GB2312"/>
          <w:b/>
          <w:color w:val="000000" w:themeColor="text1"/>
          <w:sz w:val="32"/>
          <w:szCs w:val="32"/>
          <w14:textFill>
            <w14:solidFill>
              <w14:schemeClr w14:val="tx1"/>
            </w14:solidFill>
          </w14:textFill>
        </w:rPr>
      </w:pPr>
    </w:p>
    <w:p>
      <w:pPr>
        <w:pageBreakBefore/>
        <w:spacing w:line="360" w:lineRule="auto"/>
        <w:rPr>
          <w:rFonts w:ascii="仿宋" w:hAnsi="仿宋" w:eastAsia="仿宋" w:cs="仿宋_GB2312"/>
          <w:b/>
          <w:color w:val="000000" w:themeColor="text1"/>
          <w:sz w:val="32"/>
          <w:szCs w:val="32"/>
          <w14:textFill>
            <w14:solidFill>
              <w14:schemeClr w14:val="tx1"/>
            </w14:solidFill>
          </w14:textFill>
        </w:rPr>
      </w:pPr>
      <w:r>
        <w:rPr>
          <w:rFonts w:hint="eastAsia" w:ascii="仿宋" w:hAnsi="仿宋" w:eastAsia="仿宋" w:cs="仿宋_GB2312"/>
          <w:b/>
          <w:color w:val="000000" w:themeColor="text1"/>
          <w:sz w:val="32"/>
          <w:szCs w:val="32"/>
          <w14:textFill>
            <w14:solidFill>
              <w14:schemeClr w14:val="tx1"/>
            </w14:solidFill>
          </w14:textFill>
        </w:rPr>
        <w:t>11、所有与符合性审查有关的资信文件（复印件）</w:t>
      </w:r>
    </w:p>
    <w:p>
      <w:pPr>
        <w:spacing w:line="360" w:lineRule="auto"/>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（1. 提供依法缴纳税收和社会保障资金的良好记录证明，税收和社保证明打印时间不得早于投标截止时间前1个月；2.</w:t>
      </w:r>
      <w:r>
        <w:rPr>
          <w:rFonts w:hint="eastAsia" w:ascii="仿宋" w:hAnsi="仿宋" w:eastAsia="仿宋" w:cs="仿宋_GB2312"/>
          <w:color w:val="000000" w:themeColor="text1"/>
          <w:sz w:val="24"/>
          <w14:textFill>
            <w14:solidFill>
              <w14:schemeClr w14:val="tx1"/>
            </w14:solidFill>
          </w14:textFill>
        </w:rPr>
        <w:t>其他资料由投标人根据采购需求及招标文件要求编制。</w:t>
      </w:r>
      <w:r>
        <w:rPr>
          <w:rFonts w:hint="eastAsia" w:ascii="仿宋" w:hAnsi="仿宋" w:eastAsia="仿宋" w:cs="仿宋_GB2312"/>
          <w:b/>
          <w:color w:val="000000" w:themeColor="text1"/>
          <w:sz w:val="24"/>
          <w14:textFill>
            <w14:solidFill>
              <w14:schemeClr w14:val="tx1"/>
            </w14:solidFill>
          </w14:textFill>
        </w:rPr>
        <w:t>）</w:t>
      </w:r>
    </w:p>
    <w:p>
      <w:pPr>
        <w:spacing w:line="360" w:lineRule="auto"/>
        <w:rPr>
          <w:rFonts w:ascii="仿宋" w:hAnsi="仿宋" w:eastAsia="仿宋" w:cs="仿宋_GB2312"/>
          <w:b/>
          <w:bCs/>
          <w:color w:val="000000" w:themeColor="text1"/>
          <w:sz w:val="32"/>
          <w:szCs w:val="32"/>
          <w14:textFill>
            <w14:solidFill>
              <w14:schemeClr w14:val="tx1"/>
            </w14:solidFill>
          </w14:textFill>
        </w:rPr>
      </w:pPr>
    </w:p>
    <w:p>
      <w:pPr>
        <w:spacing w:line="360" w:lineRule="auto"/>
        <w:rPr>
          <w:rFonts w:ascii="仿宋" w:hAnsi="仿宋" w:eastAsia="仿宋" w:cs="仿宋_GB2312"/>
          <w:b/>
          <w:bCs/>
          <w:color w:val="000000" w:themeColor="text1"/>
          <w:sz w:val="32"/>
          <w:szCs w:val="32"/>
          <w14:textFill>
            <w14:solidFill>
              <w14:schemeClr w14:val="tx1"/>
            </w14:solidFill>
          </w14:textFill>
        </w:rPr>
      </w:pPr>
    </w:p>
    <w:p>
      <w:pPr>
        <w:spacing w:line="360" w:lineRule="auto"/>
        <w:rPr>
          <w:rFonts w:ascii="仿宋" w:hAnsi="仿宋" w:eastAsia="仿宋" w:cs="仿宋_GB2312"/>
          <w:b/>
          <w:bCs/>
          <w:color w:val="000000" w:themeColor="text1"/>
          <w:sz w:val="32"/>
          <w:szCs w:val="32"/>
          <w14:textFill>
            <w14:solidFill>
              <w14:schemeClr w14:val="tx1"/>
            </w14:solidFill>
          </w14:textFill>
        </w:rPr>
      </w:pPr>
    </w:p>
    <w:p>
      <w:pPr>
        <w:spacing w:line="360" w:lineRule="auto"/>
        <w:rPr>
          <w:rFonts w:ascii="仿宋" w:hAnsi="仿宋" w:eastAsia="仿宋" w:cs="仿宋_GB2312"/>
          <w:b/>
          <w:bCs/>
          <w:color w:val="000000" w:themeColor="text1"/>
          <w:sz w:val="32"/>
          <w:szCs w:val="32"/>
          <w14:textFill>
            <w14:solidFill>
              <w14:schemeClr w14:val="tx1"/>
            </w14:solidFill>
          </w14:textFill>
        </w:rPr>
      </w:pPr>
    </w:p>
    <w:p>
      <w:pPr>
        <w:spacing w:line="360" w:lineRule="auto"/>
        <w:rPr>
          <w:rFonts w:ascii="仿宋" w:hAnsi="仿宋" w:eastAsia="仿宋" w:cs="仿宋_GB2312"/>
          <w:b/>
          <w:bCs/>
          <w:color w:val="000000" w:themeColor="text1"/>
          <w:sz w:val="32"/>
          <w:szCs w:val="32"/>
          <w14:textFill>
            <w14:solidFill>
              <w14:schemeClr w14:val="tx1"/>
            </w14:solidFill>
          </w14:textFill>
        </w:rPr>
      </w:pPr>
    </w:p>
    <w:p>
      <w:pPr>
        <w:spacing w:line="360" w:lineRule="auto"/>
        <w:rPr>
          <w:rFonts w:ascii="仿宋" w:hAnsi="仿宋" w:eastAsia="仿宋" w:cs="仿宋_GB2312"/>
          <w:b/>
          <w:bCs/>
          <w:color w:val="000000" w:themeColor="text1"/>
          <w:sz w:val="32"/>
          <w:szCs w:val="32"/>
          <w14:textFill>
            <w14:solidFill>
              <w14:schemeClr w14:val="tx1"/>
            </w14:solidFill>
          </w14:textFill>
        </w:rPr>
      </w:pPr>
    </w:p>
    <w:p>
      <w:pPr>
        <w:spacing w:line="360" w:lineRule="auto"/>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12、</w:t>
      </w:r>
      <w:r>
        <w:rPr>
          <w:rFonts w:hint="eastAsia" w:ascii="仿宋" w:hAnsi="仿宋" w:eastAsia="仿宋" w:cs="仿宋_GB2312"/>
          <w:b/>
          <w:color w:val="000000" w:themeColor="text1"/>
          <w:kern w:val="0"/>
          <w:sz w:val="32"/>
          <w:szCs w:val="32"/>
          <w:lang w:val="zh-CN"/>
          <w14:textFill>
            <w14:solidFill>
              <w14:schemeClr w14:val="tx1"/>
            </w14:solidFill>
          </w14:textFill>
        </w:rPr>
        <w:t>主要业绩证明</w:t>
      </w:r>
    </w:p>
    <w:p>
      <w:pPr>
        <w:autoSpaceDE w:val="0"/>
        <w:autoSpaceDN w:val="0"/>
        <w:spacing w:line="360" w:lineRule="auto"/>
        <w:ind w:firstLine="120"/>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附表 :相关项目建设业绩一览表</w:t>
      </w:r>
    </w:p>
    <w:tbl>
      <w:tblPr>
        <w:tblStyle w:val="39"/>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项目</w:t>
            </w:r>
          </w:p>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合同</w:t>
            </w:r>
          </w:p>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金额</w:t>
            </w:r>
          </w:p>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r>
    </w:tbl>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注：投标人可按上述的格式自行编制，须随表提交相应的合同复印件和用户单位验收证明并注明页码。</w:t>
      </w:r>
    </w:p>
    <w:p>
      <w:pPr>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月日</w:t>
      </w:r>
    </w:p>
    <w:p>
      <w:pPr>
        <w:pStyle w:val="154"/>
        <w:ind w:firstLine="0"/>
        <w:jc w:val="both"/>
        <w:rPr>
          <w:rFonts w:ascii="仿宋" w:eastAsia="仿宋" w:cs="仿宋_GB2312"/>
          <w:color w:val="000000" w:themeColor="text1"/>
          <w14:textFill>
            <w14:solidFill>
              <w14:schemeClr w14:val="tx1"/>
            </w14:solidFill>
          </w14:textFill>
        </w:rPr>
      </w:pPr>
    </w:p>
    <w:p>
      <w:pPr>
        <w:pStyle w:val="154"/>
        <w:pageBreakBefore/>
        <w:ind w:firstLine="0"/>
        <w:jc w:val="both"/>
        <w:rPr>
          <w:rFonts w:ascii="仿宋" w:eastAsia="仿宋" w:cs="仿宋_GB2312"/>
          <w:color w:val="000000" w:themeColor="text1"/>
          <w14:textFill>
            <w14:solidFill>
              <w14:schemeClr w14:val="tx1"/>
            </w14:solidFill>
          </w14:textFill>
        </w:rPr>
      </w:pPr>
      <w:r>
        <w:rPr>
          <w:rFonts w:hint="eastAsia" w:ascii="仿宋" w:eastAsia="仿宋" w:cs="仿宋_GB2312"/>
          <w:color w:val="000000" w:themeColor="text1"/>
          <w14:textFill>
            <w14:solidFill>
              <w14:schemeClr w14:val="tx1"/>
            </w14:solidFill>
          </w14:textFill>
        </w:rPr>
        <w:t>13、廉政承诺书</w:t>
      </w:r>
    </w:p>
    <w:p>
      <w:pPr>
        <w:autoSpaceDE w:val="0"/>
        <w:autoSpaceDN w:val="0"/>
        <w:spacing w:line="360" w:lineRule="auto"/>
        <w:ind w:left="2"/>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u w:val="single"/>
          <w:lang w:val="zh-CN"/>
          <w14:textFill>
            <w14:solidFill>
              <w14:schemeClr w14:val="tx1"/>
            </w14:solidFill>
          </w14:textFill>
        </w:rPr>
        <w:t>绍兴文理学院附属医院、绍兴市鼎正建设工程咨询有限公司</w:t>
      </w:r>
      <w:r>
        <w:rPr>
          <w:rFonts w:hint="eastAsia" w:ascii="仿宋" w:hAnsi="仿宋" w:eastAsia="仿宋" w:cs="仿宋_GB2312"/>
          <w:color w:val="000000" w:themeColor="text1"/>
          <w:kern w:val="0"/>
          <w:sz w:val="24"/>
          <w:lang w:val="zh-CN"/>
          <w14:textFill>
            <w14:solidFill>
              <w14:schemeClr w14:val="tx1"/>
            </w14:solidFill>
          </w14:textFill>
        </w:rPr>
        <w:t xml:space="preserve">：    </w:t>
      </w:r>
    </w:p>
    <w:p>
      <w:pPr>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我单位响应你</w:t>
      </w:r>
      <w:r>
        <w:rPr>
          <w:rFonts w:hint="eastAsia" w:ascii="仿宋" w:hAnsi="仿宋" w:eastAsia="仿宋" w:cs="仿宋_GB2312"/>
          <w:color w:val="000000" w:themeColor="text1"/>
          <w:sz w:val="24"/>
          <w14:textFill>
            <w14:solidFill>
              <w14:schemeClr w14:val="tx1"/>
            </w14:solidFill>
          </w14:textFill>
        </w:rPr>
        <w:t>单位</w:t>
      </w:r>
      <w:r>
        <w:rPr>
          <w:rFonts w:hint="eastAsia" w:ascii="仿宋" w:hAnsi="仿宋" w:eastAsia="仿宋" w:cs="仿宋_GB2312"/>
          <w:color w:val="000000" w:themeColor="text1"/>
          <w:kern w:val="0"/>
          <w:sz w:val="24"/>
          <w:lang w:val="zh-CN"/>
          <w14:textFill>
            <w14:solidFill>
              <w14:schemeClr w14:val="tx1"/>
            </w14:solidFill>
          </w14:textFill>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如违反上述承诺，你</w:t>
      </w:r>
      <w:r>
        <w:rPr>
          <w:rFonts w:hint="eastAsia" w:ascii="仿宋" w:hAnsi="仿宋" w:eastAsia="仿宋" w:cs="仿宋_GB2312"/>
          <w:color w:val="000000" w:themeColor="text1"/>
          <w:sz w:val="24"/>
          <w14:textFill>
            <w14:solidFill>
              <w14:schemeClr w14:val="tx1"/>
            </w14:solidFill>
          </w14:textFill>
        </w:rPr>
        <w:t>单位</w:t>
      </w:r>
      <w:r>
        <w:rPr>
          <w:rFonts w:hint="eastAsia" w:ascii="仿宋" w:hAnsi="仿宋" w:eastAsia="仿宋" w:cs="仿宋_GB2312"/>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_GB2312"/>
          <w:color w:val="000000" w:themeColor="text1"/>
          <w:sz w:val="24"/>
          <w14:textFill>
            <w14:solidFill>
              <w14:schemeClr w14:val="tx1"/>
            </w14:solidFill>
          </w14:textFill>
        </w:rPr>
        <w:t>单位</w:t>
      </w:r>
      <w:r>
        <w:rPr>
          <w:rFonts w:hint="eastAsia" w:ascii="仿宋" w:hAnsi="仿宋" w:eastAsia="仿宋" w:cs="仿宋_GB2312"/>
          <w:color w:val="000000" w:themeColor="text1"/>
          <w:kern w:val="0"/>
          <w:sz w:val="24"/>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_GB2312"/>
          <w:color w:val="000000" w:themeColor="text1"/>
          <w:kern w:val="0"/>
          <w:sz w:val="24"/>
          <w:lang w:val="zh-CN"/>
          <w14:textFill>
            <w14:solidFill>
              <w14:schemeClr w14:val="tx1"/>
            </w14:solidFill>
          </w14:textFill>
        </w:rPr>
      </w:pPr>
    </w:p>
    <w:p>
      <w:pPr>
        <w:autoSpaceDE w:val="0"/>
        <w:autoSpaceDN w:val="0"/>
        <w:spacing w:line="360" w:lineRule="auto"/>
        <w:ind w:left="2"/>
        <w:jc w:val="left"/>
        <w:rPr>
          <w:rFonts w:ascii="仿宋" w:hAnsi="仿宋" w:eastAsia="仿宋" w:cs="仿宋_GB2312"/>
          <w:color w:val="000000" w:themeColor="text1"/>
          <w:kern w:val="0"/>
          <w:sz w:val="24"/>
          <w:lang w:val="zh-CN"/>
          <w14:textFill>
            <w14:solidFill>
              <w14:schemeClr w14:val="tx1"/>
            </w14:solidFill>
          </w14:textFill>
        </w:rPr>
      </w:pPr>
    </w:p>
    <w:p>
      <w:pPr>
        <w:autoSpaceDE w:val="0"/>
        <w:autoSpaceDN w:val="0"/>
        <w:spacing w:line="360" w:lineRule="auto"/>
        <w:ind w:left="2"/>
        <w:jc w:val="left"/>
        <w:rPr>
          <w:rFonts w:ascii="仿宋" w:hAnsi="仿宋" w:eastAsia="仿宋" w:cs="仿宋_GB2312"/>
          <w:color w:val="000000" w:themeColor="text1"/>
          <w:kern w:val="0"/>
          <w:sz w:val="24"/>
          <w:lang w:val="zh-CN"/>
          <w14:textFill>
            <w14:solidFill>
              <w14:schemeClr w14:val="tx1"/>
            </w14:solidFill>
          </w14:textFill>
        </w:rPr>
      </w:pPr>
    </w:p>
    <w:p>
      <w:pPr>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月日</w:t>
      </w:r>
    </w:p>
    <w:p>
      <w:pPr>
        <w:spacing w:line="360" w:lineRule="auto"/>
        <w:jc w:val="center"/>
        <w:rPr>
          <w:rFonts w:ascii="仿宋" w:hAnsi="仿宋" w:eastAsia="仿宋" w:cs="仿宋_GB2312"/>
          <w:b/>
          <w:bCs/>
          <w:color w:val="000000" w:themeColor="text1"/>
          <w:sz w:val="32"/>
          <w:szCs w:val="32"/>
          <w14:textFill>
            <w14:solidFill>
              <w14:schemeClr w14:val="tx1"/>
            </w14:solidFill>
          </w14:textFill>
        </w:rPr>
      </w:pPr>
    </w:p>
    <w:p>
      <w:pPr>
        <w:spacing w:line="360" w:lineRule="auto"/>
        <w:jc w:val="center"/>
        <w:rPr>
          <w:rFonts w:ascii="仿宋" w:hAnsi="仿宋" w:eastAsia="仿宋" w:cs="仿宋_GB2312"/>
          <w:b/>
          <w:bCs/>
          <w:color w:val="000000" w:themeColor="text1"/>
          <w:sz w:val="32"/>
          <w:szCs w:val="32"/>
          <w14:textFill>
            <w14:solidFill>
              <w14:schemeClr w14:val="tx1"/>
            </w14:solidFill>
          </w14:textFill>
        </w:rPr>
      </w:pPr>
    </w:p>
    <w:p>
      <w:pPr>
        <w:spacing w:line="360" w:lineRule="auto"/>
        <w:jc w:val="center"/>
        <w:rPr>
          <w:rFonts w:ascii="仿宋" w:hAnsi="仿宋" w:eastAsia="仿宋" w:cs="仿宋_GB2312"/>
          <w:b/>
          <w:bCs/>
          <w:color w:val="000000" w:themeColor="text1"/>
          <w:sz w:val="32"/>
          <w:szCs w:val="32"/>
          <w14:textFill>
            <w14:solidFill>
              <w14:schemeClr w14:val="tx1"/>
            </w14:solidFill>
          </w14:textFill>
        </w:rPr>
      </w:pPr>
    </w:p>
    <w:p>
      <w:pPr>
        <w:spacing w:line="360" w:lineRule="auto"/>
        <w:jc w:val="center"/>
        <w:rPr>
          <w:rFonts w:ascii="仿宋" w:hAnsi="仿宋" w:eastAsia="仿宋" w:cs="仿宋_GB2312"/>
          <w:b/>
          <w:bCs/>
          <w:color w:val="000000" w:themeColor="text1"/>
          <w:sz w:val="32"/>
          <w:szCs w:val="32"/>
          <w14:textFill>
            <w14:solidFill>
              <w14:schemeClr w14:val="tx1"/>
            </w14:solidFill>
          </w14:textFill>
        </w:rPr>
      </w:pPr>
    </w:p>
    <w:p>
      <w:pPr>
        <w:spacing w:line="360" w:lineRule="auto"/>
        <w:jc w:val="center"/>
        <w:rPr>
          <w:rFonts w:ascii="仿宋" w:hAnsi="仿宋" w:eastAsia="仿宋" w:cs="仿宋_GB2312"/>
          <w:b/>
          <w:bCs/>
          <w:color w:val="000000" w:themeColor="text1"/>
          <w:sz w:val="32"/>
          <w:szCs w:val="32"/>
          <w14:textFill>
            <w14:solidFill>
              <w14:schemeClr w14:val="tx1"/>
            </w14:solidFill>
          </w14:textFill>
        </w:rPr>
      </w:pPr>
    </w:p>
    <w:p>
      <w:pPr>
        <w:pageBreakBefore/>
        <w:spacing w:line="360" w:lineRule="auto"/>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14、技术解决方案</w:t>
      </w:r>
    </w:p>
    <w:p>
      <w:pPr>
        <w:spacing w:line="360" w:lineRule="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（由投标人根据采购需求及招标文件要求编制）</w:t>
      </w:r>
    </w:p>
    <w:p>
      <w:pPr>
        <w:spacing w:line="360" w:lineRule="auto"/>
        <w:jc w:val="center"/>
        <w:rPr>
          <w:rFonts w:ascii="仿宋" w:hAnsi="仿宋" w:eastAsia="仿宋" w:cs="仿宋_GB2312"/>
          <w:color w:val="000000" w:themeColor="text1"/>
          <w:sz w:val="24"/>
          <w14:textFill>
            <w14:solidFill>
              <w14:schemeClr w14:val="tx1"/>
            </w14:solidFill>
          </w14:textFill>
        </w:rPr>
      </w:pPr>
    </w:p>
    <w:p>
      <w:pPr>
        <w:snapToGrid w:val="0"/>
        <w:spacing w:line="360" w:lineRule="auto"/>
        <w:jc w:val="center"/>
        <w:rPr>
          <w:rFonts w:ascii="仿宋" w:hAnsi="仿宋" w:eastAsia="仿宋" w:cs="仿宋_GB2312"/>
          <w:b/>
          <w:color w:val="000000" w:themeColor="text1"/>
          <w:sz w:val="32"/>
          <w:szCs w:val="32"/>
          <w14:textFill>
            <w14:solidFill>
              <w14:schemeClr w14:val="tx1"/>
            </w14:solidFill>
          </w14:textFill>
        </w:rPr>
      </w:pPr>
      <w:r>
        <w:rPr>
          <w:rFonts w:hint="eastAsia" w:ascii="仿宋" w:hAnsi="仿宋" w:eastAsia="仿宋" w:cs="仿宋_GB2312"/>
          <w:b/>
          <w:color w:val="000000" w:themeColor="text1"/>
          <w:sz w:val="32"/>
          <w:szCs w:val="32"/>
          <w14:textFill>
            <w14:solidFill>
              <w14:schemeClr w14:val="tx1"/>
            </w14:solidFill>
          </w14:textFill>
        </w:rPr>
        <w:t>投标产品规格配置清单</w:t>
      </w:r>
    </w:p>
    <w:tbl>
      <w:tblPr>
        <w:tblStyle w:val="3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序号</w:t>
            </w:r>
          </w:p>
        </w:tc>
        <w:tc>
          <w:tcPr>
            <w:tcW w:w="1531" w:type="dxa"/>
            <w:vAlign w:val="center"/>
          </w:tcPr>
          <w:p>
            <w:pPr>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设备名称</w:t>
            </w:r>
          </w:p>
        </w:tc>
        <w:tc>
          <w:tcPr>
            <w:tcW w:w="2160" w:type="dxa"/>
            <w:vAlign w:val="center"/>
          </w:tcPr>
          <w:p>
            <w:pPr>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投标品牌及型号</w:t>
            </w:r>
          </w:p>
        </w:tc>
        <w:tc>
          <w:tcPr>
            <w:tcW w:w="2340" w:type="dxa"/>
            <w:vAlign w:val="center"/>
          </w:tcPr>
          <w:p>
            <w:pPr>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规格配置详细说明</w:t>
            </w:r>
          </w:p>
        </w:tc>
        <w:tc>
          <w:tcPr>
            <w:tcW w:w="1080" w:type="dxa"/>
            <w:vAlign w:val="center"/>
          </w:tcPr>
          <w:p>
            <w:pPr>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数量</w:t>
            </w:r>
          </w:p>
        </w:tc>
        <w:tc>
          <w:tcPr>
            <w:tcW w:w="1332" w:type="dxa"/>
            <w:vAlign w:val="center"/>
          </w:tcPr>
          <w:p>
            <w:pPr>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w:t>
            </w:r>
          </w:p>
        </w:tc>
        <w:tc>
          <w:tcPr>
            <w:tcW w:w="1531" w:type="dxa"/>
            <w:vAlign w:val="center"/>
          </w:tcPr>
          <w:p>
            <w:pPr>
              <w:snapToGrid w:val="0"/>
              <w:spacing w:line="360" w:lineRule="auto"/>
              <w:jc w:val="center"/>
              <w:rPr>
                <w:rFonts w:ascii="仿宋" w:hAnsi="仿宋" w:eastAsia="仿宋"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 w:hAnsi="仿宋" w:eastAsia="仿宋"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 w:hAnsi="仿宋" w:eastAsia="仿宋"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 w:hAnsi="仿宋" w:eastAsia="仿宋"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 w:hAnsi="仿宋" w:eastAsia="仿宋"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w:t>
            </w:r>
          </w:p>
        </w:tc>
        <w:tc>
          <w:tcPr>
            <w:tcW w:w="1531" w:type="dxa"/>
            <w:vAlign w:val="center"/>
          </w:tcPr>
          <w:p>
            <w:pPr>
              <w:snapToGrid w:val="0"/>
              <w:spacing w:line="360" w:lineRule="auto"/>
              <w:jc w:val="center"/>
              <w:rPr>
                <w:rFonts w:ascii="仿宋" w:hAnsi="仿宋" w:eastAsia="仿宋"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 w:hAnsi="仿宋" w:eastAsia="仿宋"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 w:hAnsi="仿宋" w:eastAsia="仿宋"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 w:hAnsi="仿宋" w:eastAsia="仿宋"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 w:hAnsi="仿宋" w:eastAsia="仿宋"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w:t>
            </w:r>
          </w:p>
        </w:tc>
        <w:tc>
          <w:tcPr>
            <w:tcW w:w="1531" w:type="dxa"/>
            <w:vAlign w:val="center"/>
          </w:tcPr>
          <w:p>
            <w:pPr>
              <w:snapToGrid w:val="0"/>
              <w:spacing w:line="360" w:lineRule="auto"/>
              <w:jc w:val="center"/>
              <w:rPr>
                <w:rFonts w:ascii="仿宋" w:hAnsi="仿宋" w:eastAsia="仿宋"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 w:hAnsi="仿宋" w:eastAsia="仿宋"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 w:hAnsi="仿宋" w:eastAsia="仿宋"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 w:hAnsi="仿宋" w:eastAsia="仿宋"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 w:hAnsi="仿宋" w:eastAsia="仿宋"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w:t>
            </w:r>
          </w:p>
        </w:tc>
        <w:tc>
          <w:tcPr>
            <w:tcW w:w="1531" w:type="dxa"/>
            <w:vAlign w:val="center"/>
          </w:tcPr>
          <w:p>
            <w:pPr>
              <w:snapToGrid w:val="0"/>
              <w:spacing w:line="360" w:lineRule="auto"/>
              <w:jc w:val="center"/>
              <w:rPr>
                <w:rFonts w:ascii="仿宋" w:hAnsi="仿宋" w:eastAsia="仿宋"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 w:hAnsi="仿宋" w:eastAsia="仿宋"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 w:hAnsi="仿宋" w:eastAsia="仿宋"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 w:hAnsi="仿宋" w:eastAsia="仿宋"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 w:hAnsi="仿宋" w:eastAsia="仿宋"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w:t>
            </w:r>
          </w:p>
        </w:tc>
        <w:tc>
          <w:tcPr>
            <w:tcW w:w="1531" w:type="dxa"/>
            <w:vAlign w:val="center"/>
          </w:tcPr>
          <w:p>
            <w:pPr>
              <w:snapToGrid w:val="0"/>
              <w:spacing w:line="360" w:lineRule="auto"/>
              <w:jc w:val="center"/>
              <w:rPr>
                <w:rFonts w:ascii="仿宋" w:hAnsi="仿宋" w:eastAsia="仿宋"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 w:hAnsi="仿宋" w:eastAsia="仿宋"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 w:hAnsi="仿宋" w:eastAsia="仿宋"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 w:hAnsi="仿宋" w:eastAsia="仿宋"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 w:hAnsi="仿宋" w:eastAsia="仿宋" w:cs="仿宋_GB2312"/>
                <w:color w:val="000000" w:themeColor="text1"/>
                <w:sz w:val="24"/>
                <w14:textFill>
                  <w14:solidFill>
                    <w14:schemeClr w14:val="tx1"/>
                  </w14:solidFill>
                </w14:textFill>
              </w:rPr>
            </w:pPr>
          </w:p>
        </w:tc>
      </w:tr>
    </w:tbl>
    <w:p>
      <w:pPr>
        <w:autoSpaceDE w:val="0"/>
        <w:autoSpaceDN w:val="0"/>
        <w:spacing w:line="360" w:lineRule="auto"/>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kern w:val="0"/>
          <w:sz w:val="24"/>
          <w14:textFill>
            <w14:solidFill>
              <w14:schemeClr w14:val="tx1"/>
            </w14:solidFill>
          </w14:textFill>
        </w:rPr>
        <w:t>注：1.</w:t>
      </w:r>
      <w:r>
        <w:rPr>
          <w:rFonts w:hint="eastAsia" w:ascii="仿宋" w:hAnsi="仿宋" w:eastAsia="仿宋" w:cs="仿宋_GB2312"/>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000000" w:themeColor="text1"/>
          <w:spacing w:val="6"/>
          <w:sz w:val="24"/>
          <w14:textFill>
            <w14:solidFill>
              <w14:schemeClr w14:val="tx1"/>
            </w14:solidFill>
          </w14:textFill>
        </w:rPr>
      </w:pPr>
      <w:r>
        <w:rPr>
          <w:rFonts w:hint="eastAsia" w:ascii="仿宋" w:hAnsi="仿宋" w:eastAsia="仿宋"/>
          <w:b/>
          <w:color w:val="000000" w:themeColor="text1"/>
          <w:spacing w:val="6"/>
          <w:sz w:val="24"/>
          <w14:textFill>
            <w14:solidFill>
              <w14:schemeClr w14:val="tx1"/>
            </w14:solidFill>
          </w14:textFill>
        </w:rPr>
        <w:t>2.</w:t>
      </w:r>
      <w:r>
        <w:rPr>
          <w:rFonts w:hint="eastAsia" w:ascii="仿宋" w:hAnsi="仿宋" w:eastAsia="仿宋" w:cs="仿宋_GB2312"/>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 w:hAnsi="仿宋" w:eastAsia="仿宋" w:cs="仿宋_GB2312"/>
          <w:b/>
          <w:color w:val="000000" w:themeColor="text1"/>
          <w:kern w:val="0"/>
          <w:sz w:val="28"/>
          <w:szCs w:val="28"/>
          <w14:textFill>
            <w14:solidFill>
              <w14:schemeClr w14:val="tx1"/>
            </w14:solidFill>
          </w14:textFill>
        </w:rPr>
      </w:pPr>
      <w:r>
        <w:rPr>
          <w:rFonts w:hint="eastAsia" w:ascii="仿宋" w:hAnsi="仿宋" w:eastAsia="仿宋" w:cs="仿宋_GB2312"/>
          <w:b/>
          <w:color w:val="000000" w:themeColor="text1"/>
          <w:kern w:val="0"/>
          <w:sz w:val="28"/>
          <w:szCs w:val="28"/>
          <w14:textFill>
            <w14:solidFill>
              <w14:schemeClr w14:val="tx1"/>
            </w14:solidFill>
          </w14:textFill>
        </w:rPr>
        <w:t>附：</w:t>
      </w:r>
      <w:r>
        <w:rPr>
          <w:rFonts w:ascii="仿宋" w:hAnsi="仿宋" w:eastAsia="仿宋" w:cs="仿宋_GB2312"/>
          <w:b/>
          <w:color w:val="000000" w:themeColor="text1"/>
          <w:kern w:val="0"/>
          <w:sz w:val="28"/>
          <w:szCs w:val="28"/>
          <w14:textFill>
            <w14:solidFill>
              <w14:schemeClr w14:val="tx1"/>
            </w14:solidFill>
          </w14:textFill>
        </w:rPr>
        <w:object>
          <v:shape id="_x0000_i1025" o:spt="75" type="#_x0000_t75" style="height:42pt;width:442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 w:hAnsi="仿宋" w:eastAsia="仿宋" w:cs="仿宋_GB2312"/>
          <w:b/>
          <w:color w:val="000000" w:themeColor="text1"/>
          <w:kern w:val="0"/>
          <w:sz w:val="28"/>
          <w:szCs w:val="28"/>
          <w14:textFill>
            <w14:solidFill>
              <w14:schemeClr w14:val="tx1"/>
            </w14:solidFill>
          </w14:textFill>
        </w:rPr>
        <w:object>
          <v:shape id="_x0000_i1026" o:spt="75" type="#_x0000_t75" style="height:42pt;width:442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color w:val="000000" w:themeColor="text1"/>
          <w:kern w:val="0"/>
          <w:sz w:val="24"/>
          <w:lang w:val="zh-CN"/>
          <w14:textFill>
            <w14:solidFill>
              <w14:schemeClr w14:val="tx1"/>
            </w14:solidFill>
          </w14:textFill>
        </w:rPr>
      </w:pPr>
      <w:r>
        <w:rPr>
          <w:rFonts w:hint="eastAsia" w:ascii="仿宋" w:hAnsi="仿宋" w:eastAsia="仿宋" w:cs="仿宋_GB2312"/>
          <w:b/>
          <w:bCs/>
          <w:color w:val="000000" w:themeColor="text1"/>
          <w:kern w:val="0"/>
          <w:sz w:val="24"/>
          <w:lang w:val="zh-CN"/>
          <w14:textFill>
            <w14:solidFill>
              <w14:schemeClr w14:val="tx1"/>
            </w14:solidFill>
          </w14:textFill>
        </w:rPr>
        <w:tab/>
      </w:r>
      <w:r>
        <w:rPr>
          <w:rFonts w:hint="eastAsia" w:ascii="仿宋" w:hAnsi="仿宋" w:eastAsia="仿宋" w:cs="仿宋_GB2312"/>
          <w:b/>
          <w:bCs/>
          <w:color w:val="000000" w:themeColor="text1"/>
          <w:kern w:val="0"/>
          <w:sz w:val="24"/>
          <w:lang w:val="zh-CN"/>
          <w14:textFill>
            <w14:solidFill>
              <w14:schemeClr w14:val="tx1"/>
            </w14:solidFill>
          </w14:textFill>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color w:val="000000" w:themeColor="text1"/>
          <w:kern w:val="0"/>
          <w:sz w:val="24"/>
          <w:lang w:val="zh-CN"/>
          <w14:textFill>
            <w14:solidFill>
              <w14:schemeClr w14:val="tx1"/>
            </w14:solidFill>
          </w14:textFill>
        </w:rPr>
      </w:pPr>
    </w:p>
    <w:p>
      <w:pPr>
        <w:pageBreakBefore/>
        <w:spacing w:line="360" w:lineRule="auto"/>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15、技术偏离说明表</w:t>
      </w:r>
    </w:p>
    <w:p>
      <w:pPr>
        <w:spacing w:line="360" w:lineRule="auto"/>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（由投标人根据采购需求及招标文件要求编制）</w:t>
      </w:r>
    </w:p>
    <w:tbl>
      <w:tblPr>
        <w:tblStyle w:val="39"/>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招标文件技术要求</w:t>
            </w:r>
          </w:p>
          <w:p>
            <w:pPr>
              <w:tabs>
                <w:tab w:val="left" w:pos="4905"/>
              </w:tabs>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olor w:val="000000" w:themeColor="text1"/>
                <w:sz w:val="24"/>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olor w:val="000000" w:themeColor="text1"/>
                <w:sz w:val="24"/>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olor w:val="000000" w:themeColor="text1"/>
                <w:sz w:val="24"/>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olor w:val="000000" w:themeColor="text1"/>
                <w:sz w:val="24"/>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olor w:val="000000" w:themeColor="text1"/>
                <w:sz w:val="24"/>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olor w:val="000000" w:themeColor="text1"/>
                <w:sz w:val="24"/>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olor w:val="000000" w:themeColor="text1"/>
                <w:sz w:val="24"/>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olor w:val="000000" w:themeColor="text1"/>
                <w:sz w:val="24"/>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olor w:val="000000" w:themeColor="text1"/>
                <w:sz w:val="24"/>
                <w14:textFill>
                  <w14:solidFill>
                    <w14:schemeClr w14:val="tx1"/>
                  </w14:solidFill>
                </w14:textFill>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olor w:val="000000" w:themeColor="text1"/>
                <w:sz w:val="24"/>
                <w14:textFill>
                  <w14:solidFill>
                    <w14:schemeClr w14:val="tx1"/>
                  </w14:solidFill>
                </w14:textFill>
              </w:rPr>
            </w:pPr>
          </w:p>
        </w:tc>
      </w:tr>
    </w:tbl>
    <w:p>
      <w:pPr>
        <w:tabs>
          <w:tab w:val="left" w:pos="570"/>
        </w:tabs>
        <w:spacing w:line="440" w:lineRule="exact"/>
        <w:ind w:firstLine="120" w:firstLineChars="5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注：1.此表须与</w:t>
      </w:r>
      <w:r>
        <w:rPr>
          <w:rFonts w:hint="eastAsia" w:ascii="仿宋" w:hAnsi="仿宋" w:eastAsia="仿宋"/>
          <w:color w:val="000000" w:themeColor="text1"/>
          <w:kern w:val="0"/>
          <w:sz w:val="24"/>
          <w14:textFill>
            <w14:solidFill>
              <w14:schemeClr w14:val="tx1"/>
            </w14:solidFill>
          </w14:textFill>
        </w:rPr>
        <w:t>招标文件“</w:t>
      </w:r>
      <w:r>
        <w:rPr>
          <w:rFonts w:hint="eastAsia" w:ascii="仿宋" w:hAnsi="仿宋" w:eastAsia="仿宋"/>
          <w:color w:val="000000" w:themeColor="text1"/>
          <w:sz w:val="24"/>
          <w14:textFill>
            <w14:solidFill>
              <w14:schemeClr w14:val="tx1"/>
            </w14:solidFill>
          </w14:textFill>
        </w:rPr>
        <w:t>招标项目说明及要求</w:t>
      </w:r>
      <w:r>
        <w:rPr>
          <w:rFonts w:hint="eastAsia" w:ascii="仿宋" w:hAnsi="仿宋" w:eastAsia="仿宋"/>
          <w:color w:val="000000" w:themeColor="text1"/>
          <w:kern w:val="0"/>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相应标项内的所有技术规格相比较且一一对应</w:t>
      </w:r>
      <w:r>
        <w:rPr>
          <w:rFonts w:hint="eastAsia" w:ascii="仿宋" w:hAnsi="仿宋" w:eastAsia="仿宋" w:cs="宋体"/>
          <w:color w:val="000000" w:themeColor="text1"/>
          <w:sz w:val="24"/>
          <w14:textFill>
            <w14:solidFill>
              <w14:schemeClr w14:val="tx1"/>
            </w14:solidFill>
          </w14:textFill>
        </w:rPr>
        <w:t>真实逐条</w:t>
      </w:r>
      <w:r>
        <w:rPr>
          <w:rFonts w:hint="eastAsia" w:ascii="仿宋" w:hAnsi="仿宋" w:eastAsia="仿宋"/>
          <w:color w:val="000000" w:themeColor="text1"/>
          <w:sz w:val="24"/>
          <w14:textFill>
            <w14:solidFill>
              <w14:schemeClr w14:val="tx1"/>
            </w14:solidFill>
          </w14:textFill>
        </w:rPr>
        <w:t>填列。</w:t>
      </w:r>
    </w:p>
    <w:p>
      <w:pPr>
        <w:tabs>
          <w:tab w:val="left" w:pos="570"/>
        </w:tabs>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hint="eastAsia" w:ascii="仿宋" w:hAnsi="仿宋" w:eastAsia="仿宋" w:cs="宋体"/>
          <w:color w:val="000000" w:themeColor="text1"/>
          <w:sz w:val="24"/>
          <w14:textFill>
            <w14:solidFill>
              <w14:schemeClr w14:val="tx1"/>
            </w14:solidFill>
          </w14:textFill>
        </w:rPr>
        <w:t>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_GB2312"/>
          <w:color w:val="000000" w:themeColor="text1"/>
          <w:kern w:val="0"/>
          <w:sz w:val="24"/>
          <w:lang w:val="zh-CN"/>
          <w14:textFill>
            <w14:solidFill>
              <w14:schemeClr w14:val="tx1"/>
            </w14:solidFill>
          </w14:textFill>
        </w:rPr>
      </w:pPr>
    </w:p>
    <w:p>
      <w:pPr>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月日</w:t>
      </w:r>
    </w:p>
    <w:p>
      <w:pPr>
        <w:tabs>
          <w:tab w:val="left" w:pos="2790"/>
          <w:tab w:val="left" w:pos="4230"/>
        </w:tabs>
        <w:autoSpaceDE w:val="0"/>
        <w:autoSpaceDN w:val="0"/>
        <w:spacing w:line="360" w:lineRule="auto"/>
        <w:ind w:right="1400"/>
        <w:jc w:val="center"/>
        <w:outlineLvl w:val="1"/>
        <w:rPr>
          <w:rFonts w:ascii="仿宋" w:hAnsi="仿宋" w:eastAsia="仿宋" w:cs="仿宋_GB2312"/>
          <w:b/>
          <w:bCs/>
          <w:color w:val="000000" w:themeColor="text1"/>
          <w:kern w:val="0"/>
          <w:sz w:val="36"/>
          <w:szCs w:val="36"/>
          <w:lang w:val="zh-CN"/>
          <w14:textFill>
            <w14:solidFill>
              <w14:schemeClr w14:val="tx1"/>
            </w14:solidFill>
          </w14:textFill>
        </w:rPr>
      </w:pPr>
    </w:p>
    <w:p>
      <w:pPr>
        <w:tabs>
          <w:tab w:val="left" w:pos="2790"/>
          <w:tab w:val="left" w:pos="4230"/>
        </w:tabs>
        <w:autoSpaceDE w:val="0"/>
        <w:autoSpaceDN w:val="0"/>
        <w:spacing w:line="360" w:lineRule="auto"/>
        <w:ind w:right="1400"/>
        <w:jc w:val="center"/>
        <w:outlineLvl w:val="1"/>
        <w:rPr>
          <w:rFonts w:ascii="仿宋" w:hAnsi="仿宋" w:eastAsia="仿宋" w:cs="仿宋_GB2312"/>
          <w:b/>
          <w:bCs/>
          <w:color w:val="000000" w:themeColor="text1"/>
          <w:kern w:val="0"/>
          <w:sz w:val="36"/>
          <w:szCs w:val="36"/>
          <w:lang w:val="zh-CN"/>
          <w14:textFill>
            <w14:solidFill>
              <w14:schemeClr w14:val="tx1"/>
            </w14:solidFill>
          </w14:textFill>
        </w:rPr>
      </w:pPr>
    </w:p>
    <w:p>
      <w:pPr>
        <w:tabs>
          <w:tab w:val="left" w:pos="2790"/>
          <w:tab w:val="left" w:pos="4230"/>
        </w:tabs>
        <w:autoSpaceDE w:val="0"/>
        <w:autoSpaceDN w:val="0"/>
        <w:spacing w:line="360" w:lineRule="auto"/>
        <w:ind w:right="1400"/>
        <w:jc w:val="center"/>
        <w:outlineLvl w:val="1"/>
        <w:rPr>
          <w:rFonts w:ascii="仿宋" w:hAnsi="仿宋" w:eastAsia="仿宋" w:cs="仿宋_GB2312"/>
          <w:b/>
          <w:bCs/>
          <w:color w:val="000000" w:themeColor="text1"/>
          <w:kern w:val="0"/>
          <w:sz w:val="36"/>
          <w:szCs w:val="36"/>
          <w:lang w:val="zh-CN"/>
          <w14:textFill>
            <w14:solidFill>
              <w14:schemeClr w14:val="tx1"/>
            </w14:solidFill>
          </w14:textFill>
        </w:rPr>
      </w:pPr>
    </w:p>
    <w:p>
      <w:pPr>
        <w:tabs>
          <w:tab w:val="left" w:pos="2790"/>
          <w:tab w:val="left" w:pos="4230"/>
        </w:tabs>
        <w:autoSpaceDE w:val="0"/>
        <w:autoSpaceDN w:val="0"/>
        <w:spacing w:line="360" w:lineRule="auto"/>
        <w:ind w:right="1400"/>
        <w:jc w:val="center"/>
        <w:outlineLvl w:val="1"/>
        <w:rPr>
          <w:rFonts w:ascii="仿宋" w:hAnsi="仿宋" w:eastAsia="仿宋" w:cs="仿宋_GB2312"/>
          <w:b/>
          <w:bCs/>
          <w:color w:val="000000" w:themeColor="text1"/>
          <w:kern w:val="0"/>
          <w:sz w:val="36"/>
          <w:szCs w:val="36"/>
          <w:lang w:val="zh-CN"/>
          <w14:textFill>
            <w14:solidFill>
              <w14:schemeClr w14:val="tx1"/>
            </w14:solidFill>
          </w14:textFill>
        </w:rPr>
      </w:pPr>
    </w:p>
    <w:p>
      <w:pPr>
        <w:pageBreakBefore/>
        <w:tabs>
          <w:tab w:val="left" w:pos="2790"/>
          <w:tab w:val="left" w:pos="4230"/>
        </w:tabs>
        <w:autoSpaceDE w:val="0"/>
        <w:autoSpaceDN w:val="0"/>
        <w:spacing w:line="360" w:lineRule="auto"/>
        <w:ind w:right="1400"/>
        <w:outlineLvl w:val="1"/>
        <w:rPr>
          <w:rFonts w:ascii="仿宋" w:hAnsi="仿宋" w:eastAsia="仿宋" w:cs="仿宋_GB2312"/>
          <w:b/>
          <w:bCs/>
          <w:color w:val="000000" w:themeColor="text1"/>
          <w:kern w:val="0"/>
          <w:sz w:val="32"/>
          <w:szCs w:val="32"/>
          <w:lang w:val="zh-CN"/>
          <w14:textFill>
            <w14:solidFill>
              <w14:schemeClr w14:val="tx1"/>
            </w14:solidFill>
          </w14:textFill>
        </w:rPr>
      </w:pPr>
      <w:r>
        <w:rPr>
          <w:rFonts w:hint="eastAsia" w:ascii="仿宋" w:hAnsi="仿宋" w:eastAsia="仿宋" w:cs="仿宋_GB2312"/>
          <w:b/>
          <w:bCs/>
          <w:color w:val="000000" w:themeColor="text1"/>
          <w:kern w:val="0"/>
          <w:sz w:val="32"/>
          <w:szCs w:val="32"/>
          <w:lang w:val="zh-CN"/>
          <w14:textFill>
            <w14:solidFill>
              <w14:schemeClr w14:val="tx1"/>
            </w14:solidFill>
          </w14:textFill>
        </w:rPr>
        <w:t>16、组织实施方案</w:t>
      </w:r>
    </w:p>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_GB2312"/>
          <w:b/>
          <w:bCs/>
          <w:color w:val="000000" w:themeColor="text1"/>
          <w:kern w:val="0"/>
          <w:sz w:val="24"/>
          <w:lang w:val="zh-CN"/>
          <w14:textFill>
            <w14:solidFill>
              <w14:schemeClr w14:val="tx1"/>
            </w14:solidFill>
          </w14:textFill>
        </w:rPr>
      </w:pPr>
      <w:r>
        <w:rPr>
          <w:rFonts w:hint="eastAsia" w:ascii="仿宋" w:hAnsi="仿宋" w:eastAsia="仿宋" w:cs="仿宋_GB2312"/>
          <w:b/>
          <w:bCs/>
          <w:color w:val="000000" w:themeColor="text1"/>
          <w:kern w:val="0"/>
          <w:sz w:val="24"/>
          <w:lang w:val="zh-CN"/>
          <w14:textFill>
            <w14:solidFill>
              <w14:schemeClr w14:val="tx1"/>
            </w14:solidFill>
          </w14:textFill>
        </w:rPr>
        <w:t>附表:项目实施进度计划表</w:t>
      </w:r>
      <w:r>
        <w:rPr>
          <w:rFonts w:hint="eastAsia" w:ascii="仿宋" w:hAnsi="仿宋" w:eastAsia="仿宋" w:cs="仿宋_GB2312"/>
          <w:b/>
          <w:color w:val="000000" w:themeColor="text1"/>
          <w:sz w:val="24"/>
          <w14:textFill>
            <w14:solidFill>
              <w14:schemeClr w14:val="tx1"/>
            </w14:solidFill>
          </w14:textFill>
        </w:rPr>
        <w:t xml:space="preserve">(以生效日算起) </w:t>
      </w:r>
    </w:p>
    <w:tbl>
      <w:tblPr>
        <w:tblStyle w:val="39"/>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 xml:space="preserve">  工作日</w:t>
            </w:r>
          </w:p>
          <w:p>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内容</w:t>
            </w:r>
          </w:p>
        </w:tc>
        <w:tc>
          <w:tcPr>
            <w:tcW w:w="552" w:type="dxa"/>
            <w:vAlign w:val="center"/>
          </w:tcPr>
          <w:p>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w:t>
            </w:r>
          </w:p>
        </w:tc>
        <w:tc>
          <w:tcPr>
            <w:tcW w:w="552" w:type="dxa"/>
            <w:vAlign w:val="center"/>
          </w:tcPr>
          <w:p>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w:t>
            </w:r>
          </w:p>
        </w:tc>
        <w:tc>
          <w:tcPr>
            <w:tcW w:w="552" w:type="dxa"/>
            <w:vAlign w:val="center"/>
          </w:tcPr>
          <w:p>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w:t>
            </w:r>
          </w:p>
        </w:tc>
        <w:tc>
          <w:tcPr>
            <w:tcW w:w="552" w:type="dxa"/>
            <w:vAlign w:val="center"/>
          </w:tcPr>
          <w:p>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w:t>
            </w:r>
          </w:p>
        </w:tc>
        <w:tc>
          <w:tcPr>
            <w:tcW w:w="552" w:type="dxa"/>
            <w:vAlign w:val="center"/>
          </w:tcPr>
          <w:p>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5</w:t>
            </w:r>
          </w:p>
        </w:tc>
        <w:tc>
          <w:tcPr>
            <w:tcW w:w="552" w:type="dxa"/>
            <w:vAlign w:val="center"/>
          </w:tcPr>
          <w:p>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6</w:t>
            </w:r>
          </w:p>
        </w:tc>
        <w:tc>
          <w:tcPr>
            <w:tcW w:w="553" w:type="dxa"/>
            <w:vAlign w:val="center"/>
          </w:tcPr>
          <w:p>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7</w:t>
            </w:r>
          </w:p>
        </w:tc>
        <w:tc>
          <w:tcPr>
            <w:tcW w:w="553" w:type="dxa"/>
            <w:vAlign w:val="center"/>
          </w:tcPr>
          <w:p>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8</w:t>
            </w:r>
          </w:p>
        </w:tc>
        <w:tc>
          <w:tcPr>
            <w:tcW w:w="553" w:type="dxa"/>
            <w:vAlign w:val="center"/>
          </w:tcPr>
          <w:p>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9</w:t>
            </w:r>
          </w:p>
        </w:tc>
        <w:tc>
          <w:tcPr>
            <w:tcW w:w="553" w:type="dxa"/>
            <w:vAlign w:val="center"/>
          </w:tcPr>
          <w:p>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10</w:t>
            </w:r>
          </w:p>
        </w:tc>
        <w:tc>
          <w:tcPr>
            <w:tcW w:w="553" w:type="dxa"/>
            <w:vAlign w:val="center"/>
          </w:tcPr>
          <w:p>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11</w:t>
            </w:r>
          </w:p>
        </w:tc>
        <w:tc>
          <w:tcPr>
            <w:tcW w:w="553" w:type="dxa"/>
            <w:vAlign w:val="center"/>
          </w:tcPr>
          <w:p>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12</w:t>
            </w:r>
          </w:p>
        </w:tc>
        <w:tc>
          <w:tcPr>
            <w:tcW w:w="553" w:type="dxa"/>
            <w:vAlign w:val="center"/>
          </w:tcPr>
          <w:p>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13</w:t>
            </w:r>
          </w:p>
        </w:tc>
        <w:tc>
          <w:tcPr>
            <w:tcW w:w="553" w:type="dxa"/>
            <w:vAlign w:val="center"/>
          </w:tcPr>
          <w:p>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14</w:t>
            </w:r>
          </w:p>
        </w:tc>
        <w:tc>
          <w:tcPr>
            <w:tcW w:w="553" w:type="dxa"/>
            <w:vAlign w:val="center"/>
          </w:tcPr>
          <w:p>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15</w:t>
            </w:r>
          </w:p>
        </w:tc>
        <w:tc>
          <w:tcPr>
            <w:tcW w:w="553" w:type="dxa"/>
            <w:vAlign w:val="center"/>
          </w:tcPr>
          <w:p>
            <w:pP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color w:val="000000" w:themeColor="text1"/>
                <w:sz w:val="24"/>
                <w14:textFill>
                  <w14:solidFill>
                    <w14:schemeClr w14:val="tx1"/>
                  </w14:solidFill>
                </w14:textFill>
              </w:rPr>
            </w:pPr>
          </w:p>
        </w:tc>
        <w:tc>
          <w:tcPr>
            <w:tcW w:w="552"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2"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2"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2"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2"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2"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color w:val="000000" w:themeColor="text1"/>
                <w:sz w:val="24"/>
                <w14:textFill>
                  <w14:solidFill>
                    <w14:schemeClr w14:val="tx1"/>
                  </w14:solidFill>
                </w14:textFill>
              </w:rPr>
            </w:pPr>
          </w:p>
        </w:tc>
        <w:tc>
          <w:tcPr>
            <w:tcW w:w="552"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2"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2"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2"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2"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2"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color w:val="000000" w:themeColor="text1"/>
                <w:sz w:val="24"/>
                <w14:textFill>
                  <w14:solidFill>
                    <w14:schemeClr w14:val="tx1"/>
                  </w14:solidFill>
                </w14:textFill>
              </w:rPr>
            </w:pPr>
          </w:p>
        </w:tc>
        <w:tc>
          <w:tcPr>
            <w:tcW w:w="552"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2"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2"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2"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2"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2"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c>
          <w:tcPr>
            <w:tcW w:w="553" w:type="dxa"/>
          </w:tcPr>
          <w:p>
            <w:pPr>
              <w:spacing w:line="360" w:lineRule="auto"/>
              <w:rPr>
                <w:rFonts w:ascii="仿宋" w:hAnsi="仿宋" w:eastAsia="仿宋" w:cs="仿宋_GB2312"/>
                <w:color w:val="000000" w:themeColor="text1"/>
                <w:sz w:val="24"/>
                <w14:textFill>
                  <w14:solidFill>
                    <w14:schemeClr w14:val="tx1"/>
                  </w14:solidFill>
                </w14:textFill>
              </w:rPr>
            </w:pPr>
          </w:p>
        </w:tc>
      </w:tr>
    </w:tbl>
    <w:p>
      <w:pPr>
        <w:autoSpaceDE w:val="0"/>
        <w:autoSpaceDN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注：投标人可按上述时间表的格式自行编制切合实际的具体时间表。</w:t>
      </w:r>
    </w:p>
    <w:p>
      <w:pPr>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月日</w:t>
      </w:r>
    </w:p>
    <w:p>
      <w:pPr>
        <w:spacing w:line="360" w:lineRule="auto"/>
        <w:jc w:val="center"/>
        <w:rPr>
          <w:rFonts w:ascii="仿宋" w:hAnsi="仿宋" w:eastAsia="仿宋" w:cs="仿宋_GB2312"/>
          <w:b/>
          <w:bCs/>
          <w:color w:val="000000" w:themeColor="text1"/>
          <w:sz w:val="32"/>
          <w:szCs w:val="32"/>
          <w14:textFill>
            <w14:solidFill>
              <w14:schemeClr w14:val="tx1"/>
            </w14:solidFill>
          </w14:textFill>
        </w:rPr>
      </w:pPr>
    </w:p>
    <w:p>
      <w:pPr>
        <w:spacing w:line="360" w:lineRule="auto"/>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17、售后服务方案</w:t>
      </w:r>
    </w:p>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（由投标人根据采购需求及招标文件要求编制）</w:t>
      </w:r>
    </w:p>
    <w:p>
      <w:pPr>
        <w:autoSpaceDE w:val="0"/>
        <w:autoSpaceDN w:val="0"/>
        <w:spacing w:line="360" w:lineRule="auto"/>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附表A:售后服务机构情况表</w:t>
      </w:r>
      <w:r>
        <w:rPr>
          <w:rFonts w:hint="eastAsia" w:ascii="仿宋" w:hAnsi="仿宋" w:eastAsia="仿宋" w:cs="仿宋_GB2312"/>
          <w:color w:val="000000" w:themeColor="text1"/>
          <w:sz w:val="24"/>
          <w14:textFill>
            <w14:solidFill>
              <w14:schemeClr w14:val="tx1"/>
            </w14:solidFill>
          </w14:textFill>
        </w:rPr>
        <w:t>（按此格式自制）</w:t>
      </w:r>
    </w:p>
    <w:tbl>
      <w:tblPr>
        <w:tblStyle w:val="3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序号</w:t>
            </w:r>
          </w:p>
        </w:tc>
        <w:tc>
          <w:tcPr>
            <w:tcW w:w="2160" w:type="dxa"/>
          </w:tcPr>
          <w:p>
            <w:pPr>
              <w:autoSpaceDE w:val="0"/>
              <w:autoSpaceDN w:val="0"/>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机构名称</w:t>
            </w:r>
          </w:p>
        </w:tc>
        <w:tc>
          <w:tcPr>
            <w:tcW w:w="1620" w:type="dxa"/>
          </w:tcPr>
          <w:p>
            <w:pPr>
              <w:autoSpaceDE w:val="0"/>
              <w:autoSpaceDN w:val="0"/>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机构性质</w:t>
            </w:r>
          </w:p>
        </w:tc>
        <w:tc>
          <w:tcPr>
            <w:tcW w:w="1245" w:type="dxa"/>
          </w:tcPr>
          <w:p>
            <w:pPr>
              <w:autoSpaceDE w:val="0"/>
              <w:autoSpaceDN w:val="0"/>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注册地址</w:t>
            </w:r>
          </w:p>
        </w:tc>
        <w:tc>
          <w:tcPr>
            <w:tcW w:w="2175" w:type="dxa"/>
          </w:tcPr>
          <w:p>
            <w:pPr>
              <w:autoSpaceDE w:val="0"/>
              <w:autoSpaceDN w:val="0"/>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服务技术人员数量</w:t>
            </w:r>
          </w:p>
        </w:tc>
        <w:tc>
          <w:tcPr>
            <w:tcW w:w="1260" w:type="dxa"/>
          </w:tcPr>
          <w:p>
            <w:pPr>
              <w:autoSpaceDE w:val="0"/>
              <w:autoSpaceDN w:val="0"/>
              <w:spacing w:line="360" w:lineRule="auto"/>
              <w:jc w:val="center"/>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r>
    </w:tbl>
    <w:p>
      <w:pPr>
        <w:autoSpaceDE w:val="0"/>
        <w:autoSpaceDN w:val="0"/>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注：关于项目涉及的所有售后服务机构均在本表注明，包括投标人本单位和符合条件的第三方服务机构；</w:t>
      </w:r>
    </w:p>
    <w:p>
      <w:pPr>
        <w:autoSpaceDE w:val="0"/>
        <w:autoSpaceDN w:val="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b/>
          <w:color w:val="000000" w:themeColor="text1"/>
          <w:kern w:val="0"/>
          <w:sz w:val="24"/>
          <w14:textFill>
            <w14:solidFill>
              <w14:schemeClr w14:val="tx1"/>
            </w14:solidFill>
          </w14:textFill>
        </w:rPr>
        <w:t>附表B：售后服务人员情况表</w:t>
      </w:r>
      <w:r>
        <w:rPr>
          <w:rFonts w:hint="eastAsia" w:ascii="仿宋" w:hAnsi="仿宋" w:eastAsia="仿宋" w:cs="仿宋_GB2312"/>
          <w:color w:val="000000" w:themeColor="text1"/>
          <w:sz w:val="24"/>
          <w14:textFill>
            <w14:solidFill>
              <w14:schemeClr w14:val="tx1"/>
            </w14:solidFill>
          </w14:textFill>
        </w:rPr>
        <w:t>（按此格式自制）</w:t>
      </w:r>
    </w:p>
    <w:tbl>
      <w:tblPr>
        <w:tblStyle w:val="39"/>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color w:val="000000" w:themeColor="text1"/>
                <w:sz w:val="24"/>
                <w14:textFill>
                  <w14:solidFill>
                    <w14:schemeClr w14:val="tx1"/>
                  </w14:solidFill>
                </w14:textFill>
              </w:rPr>
            </w:pPr>
            <w:r>
              <w:rPr>
                <w:rFonts w:ascii="仿宋" w:hAnsi="仿宋" w:eastAsia="仿宋" w:cs="仿宋_GB2312"/>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color w:val="000000" w:themeColor="text1"/>
                <w:sz w:val="24"/>
                <w14:textFill>
                  <w14:solidFill>
                    <w14:schemeClr w14:val="tx1"/>
                  </w14:solidFill>
                </w14:textFill>
              </w:rPr>
            </w:pPr>
          </w:p>
        </w:tc>
      </w:tr>
    </w:tbl>
    <w:p>
      <w:pPr>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月日</w:t>
      </w:r>
    </w:p>
    <w:p>
      <w:pPr>
        <w:pageBreakBefore/>
        <w:spacing w:line="360" w:lineRule="auto"/>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18、项目小组人员名单</w:t>
      </w:r>
    </w:p>
    <w:p>
      <w:pPr>
        <w:spacing w:line="360" w:lineRule="auto"/>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（由投标人根据采购需求及招标文件要求编制）</w:t>
      </w:r>
    </w:p>
    <w:p>
      <w:pPr>
        <w:keepNext/>
        <w:autoSpaceDE w:val="0"/>
        <w:autoSpaceDN w:val="0"/>
        <w:spacing w:line="360" w:lineRule="auto"/>
        <w:ind w:firstLine="477"/>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附表A:本项目的项目经理情况表</w:t>
      </w:r>
    </w:p>
    <w:tbl>
      <w:tblPr>
        <w:tblStyle w:val="39"/>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r>
    </w:tbl>
    <w:p>
      <w:pPr>
        <w:autoSpaceDE w:val="0"/>
        <w:autoSpaceDN w:val="0"/>
        <w:spacing w:line="360" w:lineRule="auto"/>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注：须随表提交相应的证书复印件并注明所在投标技术文件页码。</w:t>
      </w:r>
    </w:p>
    <w:p>
      <w:pPr>
        <w:autoSpaceDE w:val="0"/>
        <w:autoSpaceDN w:val="0"/>
        <w:spacing w:line="360" w:lineRule="auto"/>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附表B:本项目的项目小组人员情况表</w:t>
      </w:r>
      <w:r>
        <w:rPr>
          <w:rFonts w:hint="eastAsia" w:ascii="仿宋" w:hAnsi="仿宋" w:eastAsia="仿宋" w:cs="仿宋_GB2312"/>
          <w:color w:val="000000" w:themeColor="text1"/>
          <w:sz w:val="24"/>
          <w14:textFill>
            <w14:solidFill>
              <w14:schemeClr w14:val="tx1"/>
            </w14:solidFill>
          </w14:textFill>
        </w:rPr>
        <w:t>（按此格式自制）</w:t>
      </w:r>
    </w:p>
    <w:tbl>
      <w:tblPr>
        <w:tblStyle w:val="39"/>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学历</w:t>
            </w:r>
          </w:p>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专业</w:t>
            </w:r>
          </w:p>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职称</w:t>
            </w:r>
          </w:p>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r>
    </w:tbl>
    <w:p>
      <w:pPr>
        <w:spacing w:line="360" w:lineRule="auto"/>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注：投标人可按上述的格式自行编制，须随表提交相应的证书复印件并注明所在投标技术文件页码。</w:t>
      </w:r>
    </w:p>
    <w:p>
      <w:pPr>
        <w:spacing w:line="360" w:lineRule="auto"/>
        <w:rPr>
          <w:rFonts w:ascii="仿宋" w:hAnsi="仿宋" w:eastAsia="仿宋" w:cs="仿宋_GB2312"/>
          <w:b/>
          <w:bCs/>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附表C:本项目的项目经理和小组人员近3个月交纳社保记录情况表</w:t>
      </w:r>
      <w:r>
        <w:rPr>
          <w:rFonts w:hint="eastAsia" w:ascii="仿宋" w:hAnsi="仿宋" w:eastAsia="仿宋" w:cs="仿宋_GB2312"/>
          <w:color w:val="000000" w:themeColor="text1"/>
          <w:sz w:val="24"/>
          <w14:textFill>
            <w14:solidFill>
              <w14:schemeClr w14:val="tx1"/>
            </w14:solidFill>
          </w14:textFill>
        </w:rPr>
        <w:t>（以社保局缴纳凭证作附件）</w:t>
      </w:r>
    </w:p>
    <w:p>
      <w:pPr>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月日</w:t>
      </w:r>
    </w:p>
    <w:p>
      <w:pPr>
        <w:pageBreakBefore/>
        <w:spacing w:line="360" w:lineRule="auto"/>
        <w:rPr>
          <w:rFonts w:ascii="仿宋" w:hAnsi="仿宋" w:eastAsia="仿宋" w:cs="仿宋_GB2312"/>
          <w:b/>
          <w:color w:val="000000" w:themeColor="text1"/>
          <w:kern w:val="0"/>
          <w:sz w:val="32"/>
          <w:szCs w:val="32"/>
          <w:lang w:val="zh-CN"/>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19、</w:t>
      </w:r>
      <w:r>
        <w:rPr>
          <w:rFonts w:hint="eastAsia" w:ascii="仿宋" w:hAnsi="仿宋" w:eastAsia="仿宋" w:cs="仿宋_GB2312"/>
          <w:b/>
          <w:color w:val="000000" w:themeColor="text1"/>
          <w:kern w:val="0"/>
          <w:sz w:val="32"/>
          <w:szCs w:val="32"/>
          <w:lang w:val="zh-CN"/>
          <w14:textFill>
            <w14:solidFill>
              <w14:schemeClr w14:val="tx1"/>
            </w14:solidFill>
          </w14:textFill>
        </w:rPr>
        <w:t>优惠条件及特殊承诺</w:t>
      </w:r>
    </w:p>
    <w:p>
      <w:pPr>
        <w:spacing w:line="360" w:lineRule="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（由投标人根据采购需求自行编制）</w:t>
      </w:r>
    </w:p>
    <w:p>
      <w:pPr>
        <w:spacing w:line="360" w:lineRule="auto"/>
        <w:rPr>
          <w:rFonts w:ascii="仿宋" w:hAnsi="仿宋" w:eastAsia="仿宋" w:cs="仿宋_GB2312"/>
          <w:color w:val="000000" w:themeColor="text1"/>
          <w:sz w:val="18"/>
          <w:szCs w:val="18"/>
          <w14:textFill>
            <w14:solidFill>
              <w14:schemeClr w14:val="tx1"/>
            </w14:solidFill>
          </w14:textFill>
        </w:rPr>
      </w:pPr>
    </w:p>
    <w:p>
      <w:pPr>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月日</w:t>
      </w:r>
    </w:p>
    <w:p>
      <w:pPr>
        <w:spacing w:line="360" w:lineRule="auto"/>
        <w:rPr>
          <w:rFonts w:ascii="仿宋" w:hAnsi="仿宋" w:eastAsia="仿宋" w:cs="仿宋_GB2312"/>
          <w:b/>
          <w:bCs/>
          <w:color w:val="000000" w:themeColor="text1"/>
          <w:sz w:val="18"/>
          <w:szCs w:val="18"/>
          <w14:textFill>
            <w14:solidFill>
              <w14:schemeClr w14:val="tx1"/>
            </w14:solidFill>
          </w14:textFill>
        </w:rPr>
      </w:pPr>
    </w:p>
    <w:p>
      <w:pPr>
        <w:spacing w:line="360" w:lineRule="auto"/>
        <w:rPr>
          <w:rFonts w:ascii="仿宋" w:hAnsi="仿宋" w:eastAsia="仿宋" w:cs="仿宋_GB2312"/>
          <w:b/>
          <w:color w:val="000000" w:themeColor="text1"/>
          <w:kern w:val="0"/>
          <w:sz w:val="32"/>
          <w:szCs w:val="32"/>
          <w:lang w:val="zh-CN"/>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20、</w:t>
      </w:r>
      <w:r>
        <w:rPr>
          <w:rFonts w:hint="eastAsia" w:ascii="仿宋" w:hAnsi="仿宋" w:eastAsia="仿宋" w:cs="仿宋_GB2312"/>
          <w:b/>
          <w:color w:val="000000" w:themeColor="text1"/>
          <w:kern w:val="0"/>
          <w:sz w:val="32"/>
          <w:szCs w:val="32"/>
          <w:lang w:val="zh-CN"/>
          <w14:textFill>
            <w14:solidFill>
              <w14:schemeClr w14:val="tx1"/>
            </w14:solidFill>
          </w14:textFill>
        </w:rPr>
        <w:t>备品备件及供选择的配套零部件清单</w:t>
      </w:r>
    </w:p>
    <w:p>
      <w:pPr>
        <w:spacing w:line="360" w:lineRule="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（由投标人根据采购需求自行编制）</w:t>
      </w:r>
    </w:p>
    <w:p>
      <w:pPr>
        <w:spacing w:line="360" w:lineRule="auto"/>
        <w:rPr>
          <w:rFonts w:ascii="仿宋" w:hAnsi="仿宋" w:eastAsia="仿宋" w:cs="仿宋_GB2312"/>
          <w:b/>
          <w:bCs/>
          <w:color w:val="000000" w:themeColor="text1"/>
          <w:sz w:val="32"/>
          <w:szCs w:val="32"/>
          <w14:textFill>
            <w14:solidFill>
              <w14:schemeClr w14:val="tx1"/>
            </w14:solidFill>
          </w14:textFill>
        </w:rPr>
      </w:pPr>
    </w:p>
    <w:p>
      <w:pPr>
        <w:spacing w:line="360" w:lineRule="auto"/>
        <w:rPr>
          <w:rFonts w:ascii="仿宋" w:hAnsi="仿宋" w:eastAsia="仿宋" w:cs="仿宋_GB2312"/>
          <w:b/>
          <w:color w:val="000000" w:themeColor="text1"/>
          <w:kern w:val="0"/>
          <w:sz w:val="32"/>
          <w:szCs w:val="32"/>
          <w:lang w:val="zh-CN"/>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21、</w:t>
      </w:r>
      <w:r>
        <w:rPr>
          <w:rFonts w:hint="eastAsia" w:ascii="仿宋" w:hAnsi="仿宋" w:eastAsia="仿宋" w:cs="仿宋_GB2312"/>
          <w:b/>
          <w:color w:val="000000" w:themeColor="text1"/>
          <w:kern w:val="0"/>
          <w:sz w:val="32"/>
          <w:szCs w:val="32"/>
          <w:lang w:val="zh-CN"/>
          <w14:textFill>
            <w14:solidFill>
              <w14:schemeClr w14:val="tx1"/>
            </w14:solidFill>
          </w14:textFill>
        </w:rPr>
        <w:t>培训计划</w:t>
      </w:r>
    </w:p>
    <w:p>
      <w:pPr>
        <w:spacing w:line="360" w:lineRule="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（由投标人根据采购需求自行编制）</w:t>
      </w:r>
    </w:p>
    <w:p>
      <w:pPr>
        <w:keepNext/>
        <w:autoSpaceDE w:val="0"/>
        <w:autoSpaceDN w:val="0"/>
        <w:spacing w:line="360" w:lineRule="auto"/>
        <w:ind w:firstLine="477"/>
        <w:jc w:val="lef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附表: 培训日程及费用</w:t>
      </w:r>
    </w:p>
    <w:tbl>
      <w:tblPr>
        <w:tblStyle w:val="39"/>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注解:A</w:t>
      </w:r>
      <w:r>
        <w:rPr>
          <w:rFonts w:hint="eastAsia" w:ascii="仿宋" w:hAnsi="仿宋" w:eastAsia="仿宋" w:cs="仿宋_GB2312"/>
          <w:color w:val="000000" w:themeColor="text1"/>
          <w:sz w:val="24"/>
          <w14:textFill>
            <w14:solidFill>
              <w14:schemeClr w14:val="tx1"/>
            </w14:solidFill>
          </w14:textFill>
        </w:rPr>
        <w:tab/>
      </w:r>
      <w:r>
        <w:rPr>
          <w:rFonts w:hint="eastAsia" w:ascii="仿宋" w:hAnsi="仿宋" w:eastAsia="仿宋" w:cs="仿宋_GB2312"/>
          <w:color w:val="000000" w:themeColor="text1"/>
          <w:sz w:val="24"/>
          <w14:textFill>
            <w14:solidFill>
              <w14:schemeClr w14:val="tx1"/>
            </w14:solidFill>
          </w14:textFill>
        </w:rPr>
        <w:t>课程清单按时间顺序排列，并提供以下详细资料：</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课程概要</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课程目的</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教学方式</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先决条件</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教材目录</w:t>
      </w:r>
    </w:p>
    <w:p>
      <w:pPr>
        <w:autoSpaceDE w:val="0"/>
        <w:autoSpaceDN w:val="0"/>
        <w:spacing w:line="360" w:lineRule="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B  按照附表A提供授课教师的简历</w:t>
      </w:r>
    </w:p>
    <w:p>
      <w:pPr>
        <w:autoSpaceDE w:val="0"/>
        <w:autoSpaceDN w:val="0"/>
        <w:spacing w:line="360" w:lineRule="auto"/>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注：须随表提交相应的证书复印件并注明所在投标技术文件页码。</w:t>
      </w:r>
    </w:p>
    <w:p>
      <w:pPr>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月日</w:t>
      </w:r>
    </w:p>
    <w:p>
      <w:pPr>
        <w:pageBreakBefore/>
        <w:spacing w:line="360" w:lineRule="auto"/>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22、验收方案</w:t>
      </w:r>
    </w:p>
    <w:p>
      <w:pPr>
        <w:spacing w:line="360" w:lineRule="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（由投标人根据采购需求自行编制）</w:t>
      </w:r>
    </w:p>
    <w:p>
      <w:pPr>
        <w:spacing w:line="360" w:lineRule="auto"/>
        <w:jc w:val="center"/>
        <w:rPr>
          <w:rFonts w:ascii="仿宋" w:hAnsi="仿宋" w:eastAsia="仿宋" w:cs="仿宋_GB2312"/>
          <w:color w:val="000000" w:themeColor="text1"/>
          <w:sz w:val="24"/>
          <w14:textFill>
            <w14:solidFill>
              <w14:schemeClr w14:val="tx1"/>
            </w14:solidFill>
          </w14:textFill>
        </w:rPr>
      </w:pPr>
    </w:p>
    <w:p>
      <w:pPr>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月日</w:t>
      </w:r>
    </w:p>
    <w:p>
      <w:pPr>
        <w:spacing w:line="360" w:lineRule="auto"/>
        <w:jc w:val="center"/>
        <w:rPr>
          <w:rFonts w:ascii="仿宋" w:hAnsi="仿宋" w:eastAsia="仿宋" w:cs="仿宋_GB2312"/>
          <w:b/>
          <w:bCs/>
          <w:color w:val="000000" w:themeColor="text1"/>
          <w:sz w:val="30"/>
          <w:szCs w:val="30"/>
          <w14:textFill>
            <w14:solidFill>
              <w14:schemeClr w14:val="tx1"/>
            </w14:solidFill>
          </w14:textFill>
        </w:rPr>
      </w:pPr>
    </w:p>
    <w:p>
      <w:pPr>
        <w:spacing w:line="360" w:lineRule="auto"/>
        <w:jc w:val="center"/>
        <w:rPr>
          <w:rFonts w:ascii="仿宋" w:hAnsi="仿宋" w:eastAsia="仿宋" w:cs="仿宋_GB2312"/>
          <w:b/>
          <w:bCs/>
          <w:color w:val="000000" w:themeColor="text1"/>
          <w:sz w:val="30"/>
          <w:szCs w:val="30"/>
          <w14:textFill>
            <w14:solidFill>
              <w14:schemeClr w14:val="tx1"/>
            </w14:solidFill>
          </w14:textFill>
        </w:rPr>
      </w:pPr>
    </w:p>
    <w:p>
      <w:pPr>
        <w:spacing w:line="360" w:lineRule="auto"/>
        <w:jc w:val="center"/>
        <w:rPr>
          <w:rFonts w:ascii="仿宋" w:hAnsi="仿宋" w:eastAsia="仿宋" w:cs="仿宋_GB2312"/>
          <w:b/>
          <w:bCs/>
          <w:color w:val="000000" w:themeColor="text1"/>
          <w:sz w:val="24"/>
          <w14:textFill>
            <w14:solidFill>
              <w14:schemeClr w14:val="tx1"/>
            </w14:solidFill>
          </w14:textFill>
        </w:rPr>
      </w:pPr>
    </w:p>
    <w:p>
      <w:pPr>
        <w:spacing w:line="360" w:lineRule="auto"/>
        <w:jc w:val="center"/>
        <w:rPr>
          <w:rFonts w:ascii="仿宋" w:hAnsi="仿宋" w:eastAsia="仿宋" w:cs="仿宋_GB2312"/>
          <w:b/>
          <w:bCs/>
          <w:color w:val="000000" w:themeColor="text1"/>
          <w:sz w:val="24"/>
          <w14:textFill>
            <w14:solidFill>
              <w14:schemeClr w14:val="tx1"/>
            </w14:solidFill>
          </w14:textFill>
        </w:rPr>
      </w:pPr>
    </w:p>
    <w:p>
      <w:pPr>
        <w:spacing w:line="360" w:lineRule="auto"/>
        <w:rPr>
          <w:rFonts w:ascii="仿宋" w:hAnsi="仿宋" w:eastAsia="仿宋" w:cs="仿宋_GB2312"/>
          <w:b/>
          <w:color w:val="000000" w:themeColor="text1"/>
          <w:kern w:val="0"/>
          <w:sz w:val="32"/>
          <w:szCs w:val="32"/>
          <w:lang w:val="zh-CN"/>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23、认为需要的</w:t>
      </w:r>
      <w:r>
        <w:rPr>
          <w:rFonts w:hint="eastAsia" w:ascii="仿宋" w:hAnsi="仿宋" w:eastAsia="仿宋" w:cs="仿宋_GB2312"/>
          <w:b/>
          <w:color w:val="000000" w:themeColor="text1"/>
          <w:kern w:val="0"/>
          <w:sz w:val="32"/>
          <w:szCs w:val="32"/>
          <w:lang w:val="zh-CN"/>
          <w14:textFill>
            <w14:solidFill>
              <w14:schemeClr w14:val="tx1"/>
            </w14:solidFill>
          </w14:textFill>
        </w:rPr>
        <w:t>其他商务技术（资信）文件或说明</w:t>
      </w:r>
    </w:p>
    <w:p>
      <w:pPr>
        <w:spacing w:line="360" w:lineRule="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（由投标人根据采购需求自行编制）</w:t>
      </w:r>
    </w:p>
    <w:p>
      <w:pPr>
        <w:spacing w:line="360" w:lineRule="auto"/>
        <w:rPr>
          <w:rFonts w:ascii="仿宋" w:hAnsi="仿宋" w:eastAsia="仿宋" w:cs="仿宋_GB2312"/>
          <w:color w:val="000000" w:themeColor="text1"/>
          <w:sz w:val="24"/>
          <w14:textFill>
            <w14:solidFill>
              <w14:schemeClr w14:val="tx1"/>
            </w14:solidFill>
          </w14:textFill>
        </w:rPr>
      </w:pPr>
    </w:p>
    <w:p>
      <w:pPr>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月日</w:t>
      </w:r>
    </w:p>
    <w:p>
      <w:pPr>
        <w:spacing w:line="360" w:lineRule="auto"/>
        <w:rPr>
          <w:rFonts w:ascii="仿宋" w:hAnsi="仿宋" w:eastAsia="仿宋" w:cs="仿宋_GB2312"/>
          <w:color w:val="000000" w:themeColor="text1"/>
          <w:kern w:val="0"/>
          <w:sz w:val="24"/>
          <w:lang w:val="zh-CN"/>
          <w14:textFill>
            <w14:solidFill>
              <w14:schemeClr w14:val="tx1"/>
            </w14:solidFill>
          </w14:textFill>
        </w:rPr>
      </w:pPr>
    </w:p>
    <w:p>
      <w:pPr>
        <w:spacing w:line="360" w:lineRule="auto"/>
        <w:rPr>
          <w:rFonts w:ascii="仿宋" w:hAnsi="仿宋" w:eastAsia="仿宋" w:cs="仿宋_GB2312"/>
          <w:color w:val="000000" w:themeColor="text1"/>
          <w:kern w:val="0"/>
          <w:sz w:val="24"/>
          <w:lang w:val="zh-CN"/>
          <w14:textFill>
            <w14:solidFill>
              <w14:schemeClr w14:val="tx1"/>
            </w14:solidFill>
          </w14:textFill>
        </w:rPr>
      </w:pPr>
    </w:p>
    <w:p>
      <w:pPr>
        <w:spacing w:line="360" w:lineRule="auto"/>
        <w:rPr>
          <w:rFonts w:ascii="仿宋" w:hAnsi="仿宋" w:eastAsia="仿宋" w:cs="仿宋_GB2312"/>
          <w:color w:val="000000" w:themeColor="text1"/>
          <w:kern w:val="0"/>
          <w:sz w:val="24"/>
          <w:lang w:val="zh-CN"/>
          <w14:textFill>
            <w14:solidFill>
              <w14:schemeClr w14:val="tx1"/>
            </w14:solidFill>
          </w14:textFill>
        </w:rPr>
      </w:pPr>
    </w:p>
    <w:p>
      <w:pPr>
        <w:spacing w:line="360" w:lineRule="auto"/>
        <w:rPr>
          <w:rFonts w:ascii="仿宋" w:hAnsi="仿宋" w:eastAsia="仿宋" w:cs="仿宋_GB2312"/>
          <w:color w:val="000000" w:themeColor="text1"/>
          <w:kern w:val="0"/>
          <w:sz w:val="24"/>
          <w:lang w:val="zh-CN"/>
          <w14:textFill>
            <w14:solidFill>
              <w14:schemeClr w14:val="tx1"/>
            </w14:solidFill>
          </w14:textFill>
        </w:rPr>
      </w:pPr>
    </w:p>
    <w:p>
      <w:pPr>
        <w:spacing w:line="360" w:lineRule="auto"/>
        <w:rPr>
          <w:rFonts w:ascii="仿宋" w:hAnsi="仿宋" w:eastAsia="仿宋" w:cs="仿宋_GB2312"/>
          <w:color w:val="000000" w:themeColor="text1"/>
          <w:kern w:val="0"/>
          <w:sz w:val="24"/>
          <w:lang w:val="zh-CN"/>
          <w14:textFill>
            <w14:solidFill>
              <w14:schemeClr w14:val="tx1"/>
            </w14:solidFill>
          </w14:textFill>
        </w:rPr>
      </w:pPr>
    </w:p>
    <w:p>
      <w:pPr>
        <w:spacing w:line="360" w:lineRule="auto"/>
        <w:rPr>
          <w:rFonts w:ascii="仿宋" w:hAnsi="仿宋" w:eastAsia="仿宋" w:cs="仿宋_GB2312"/>
          <w:color w:val="000000" w:themeColor="text1"/>
          <w:kern w:val="0"/>
          <w:sz w:val="24"/>
          <w:lang w:val="zh-CN"/>
          <w14:textFill>
            <w14:solidFill>
              <w14:schemeClr w14:val="tx1"/>
            </w14:solidFill>
          </w14:textFill>
        </w:rPr>
      </w:pPr>
    </w:p>
    <w:p>
      <w:pPr>
        <w:spacing w:line="360" w:lineRule="auto"/>
        <w:rPr>
          <w:rFonts w:ascii="仿宋" w:hAnsi="仿宋" w:eastAsia="仿宋" w:cs="仿宋_GB2312"/>
          <w:color w:val="000000" w:themeColor="text1"/>
          <w:kern w:val="0"/>
          <w:sz w:val="24"/>
          <w:lang w:val="zh-CN"/>
          <w14:textFill>
            <w14:solidFill>
              <w14:schemeClr w14:val="tx1"/>
            </w14:solidFill>
          </w14:textFill>
        </w:rPr>
      </w:pPr>
    </w:p>
    <w:p>
      <w:pPr>
        <w:spacing w:line="360" w:lineRule="auto"/>
        <w:rPr>
          <w:rFonts w:ascii="仿宋" w:hAnsi="仿宋" w:eastAsia="仿宋" w:cs="仿宋_GB2312"/>
          <w:color w:val="000000" w:themeColor="text1"/>
          <w:kern w:val="0"/>
          <w:sz w:val="24"/>
          <w:lang w:val="zh-CN"/>
          <w14:textFill>
            <w14:solidFill>
              <w14:schemeClr w14:val="tx1"/>
            </w14:solidFill>
          </w14:textFill>
        </w:rPr>
      </w:pPr>
    </w:p>
    <w:p>
      <w:pPr>
        <w:spacing w:line="360" w:lineRule="auto"/>
        <w:rPr>
          <w:rFonts w:ascii="仿宋" w:hAnsi="仿宋" w:eastAsia="仿宋" w:cs="仿宋_GB2312"/>
          <w:color w:val="000000" w:themeColor="text1"/>
          <w:kern w:val="0"/>
          <w:sz w:val="24"/>
          <w:lang w:val="zh-CN"/>
          <w14:textFill>
            <w14:solidFill>
              <w14:schemeClr w14:val="tx1"/>
            </w14:solidFill>
          </w14:textFill>
        </w:rPr>
      </w:pPr>
    </w:p>
    <w:p>
      <w:pPr>
        <w:spacing w:line="360" w:lineRule="auto"/>
        <w:rPr>
          <w:rFonts w:ascii="仿宋" w:hAnsi="仿宋" w:eastAsia="仿宋" w:cs="仿宋_GB2312"/>
          <w:color w:val="000000" w:themeColor="text1"/>
          <w:kern w:val="0"/>
          <w:sz w:val="24"/>
          <w:lang w:val="zh-CN"/>
          <w14:textFill>
            <w14:solidFill>
              <w14:schemeClr w14:val="tx1"/>
            </w14:solidFill>
          </w14:textFill>
        </w:rPr>
      </w:pPr>
    </w:p>
    <w:p>
      <w:pPr>
        <w:spacing w:line="360" w:lineRule="auto"/>
        <w:rPr>
          <w:rFonts w:ascii="仿宋" w:hAnsi="仿宋" w:eastAsia="仿宋" w:cs="仿宋_GB2312"/>
          <w:kern w:val="0"/>
          <w:sz w:val="24"/>
          <w:lang w:val="zh-CN"/>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Songti SC">
    <w:altName w:val="宋体"/>
    <w:panose1 w:val="00000000000000000000"/>
    <w:charset w:val="86"/>
    <w:family w:val="auto"/>
    <w:pitch w:val="default"/>
    <w:sig w:usb0="00000000" w:usb1="00000000" w:usb2="00000010" w:usb3="00000000" w:csb0="0004009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42</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3"/>
      </w:rPr>
    </w:pPr>
    <w:r>
      <w:rPr>
        <w:rStyle w:val="43"/>
      </w:rPr>
      <w:fldChar w:fldCharType="begin"/>
    </w:r>
    <w:r>
      <w:rPr>
        <w:rStyle w:val="43"/>
      </w:rPr>
      <w:instrText xml:space="preserve">PAGE  </w:instrText>
    </w:r>
    <w:r>
      <w:rPr>
        <w:rStyle w:val="43"/>
      </w:rPr>
      <w:fldChar w:fldCharType="end"/>
    </w:r>
  </w:p>
  <w:p>
    <w:pPr>
      <w:pStyle w:val="2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r>
      <w:rPr>
        <w:rFonts w:hint="eastAsia"/>
      </w:rPr>
      <w:t>绍兴市鼎正建设工程咨询有限公司招标文件                                   招标编号:</w:t>
    </w:r>
    <w:r>
      <w:t xml:space="preserve"> </w:t>
    </w:r>
    <w:r>
      <w:rPr>
        <w:rFonts w:hint="eastAsia"/>
      </w:rPr>
      <w:t>SXDZ-2020-8-21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6"/>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D4D490D"/>
    <w:multiLevelType w:val="multilevel"/>
    <w:tmpl w:val="1D4D490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346416CA"/>
    <w:multiLevelType w:val="multilevel"/>
    <w:tmpl w:val="346416C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41CC5023"/>
    <w:multiLevelType w:val="singleLevel"/>
    <w:tmpl w:val="41CC5023"/>
    <w:lvl w:ilvl="0" w:tentative="0">
      <w:start w:val="1"/>
      <w:numFmt w:val="decimal"/>
      <w:suff w:val="nothing"/>
      <w:lvlText w:val="（%1）"/>
      <w:lvlJc w:val="left"/>
    </w:lvl>
  </w:abstractNum>
  <w:abstractNum w:abstractNumId="8">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0">
    <w:nsid w:val="6CAC619C"/>
    <w:multiLevelType w:val="multilevel"/>
    <w:tmpl w:val="6CAC619C"/>
    <w:lvl w:ilvl="0" w:tentative="0">
      <w:start w:val="1"/>
      <w:numFmt w:val="bullet"/>
      <w:pStyle w:val="120"/>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1">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8"/>
  </w:num>
  <w:num w:numId="2">
    <w:abstractNumId w:val="1"/>
  </w:num>
  <w:num w:numId="3">
    <w:abstractNumId w:val="0"/>
  </w:num>
  <w:num w:numId="4">
    <w:abstractNumId w:val="9"/>
  </w:num>
  <w:num w:numId="5">
    <w:abstractNumId w:val="10"/>
  </w:num>
  <w:num w:numId="6">
    <w:abstractNumId w:val="3"/>
  </w:num>
  <w:num w:numId="7">
    <w:abstractNumId w:val="7"/>
  </w:num>
  <w:num w:numId="8">
    <w:abstractNumId w:val="11"/>
  </w:num>
  <w:num w:numId="9">
    <w:abstractNumId w:val="4"/>
  </w:num>
  <w:num w:numId="10">
    <w:abstractNumId w:val="5"/>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0288"/>
    <w:rsid w:val="00014C26"/>
    <w:rsid w:val="000164EA"/>
    <w:rsid w:val="000213BD"/>
    <w:rsid w:val="0002203D"/>
    <w:rsid w:val="0002468D"/>
    <w:rsid w:val="00027D17"/>
    <w:rsid w:val="00031F75"/>
    <w:rsid w:val="000329A7"/>
    <w:rsid w:val="00034829"/>
    <w:rsid w:val="00035491"/>
    <w:rsid w:val="00036451"/>
    <w:rsid w:val="000367D4"/>
    <w:rsid w:val="00037850"/>
    <w:rsid w:val="00040A03"/>
    <w:rsid w:val="000413A3"/>
    <w:rsid w:val="00041FF0"/>
    <w:rsid w:val="00042FFF"/>
    <w:rsid w:val="00043952"/>
    <w:rsid w:val="00047957"/>
    <w:rsid w:val="00047CD5"/>
    <w:rsid w:val="000517D0"/>
    <w:rsid w:val="00051C47"/>
    <w:rsid w:val="00051F2D"/>
    <w:rsid w:val="00054AAA"/>
    <w:rsid w:val="00055EAC"/>
    <w:rsid w:val="00061305"/>
    <w:rsid w:val="00061571"/>
    <w:rsid w:val="00065248"/>
    <w:rsid w:val="00065EFB"/>
    <w:rsid w:val="00067179"/>
    <w:rsid w:val="00074373"/>
    <w:rsid w:val="00077669"/>
    <w:rsid w:val="00083E93"/>
    <w:rsid w:val="000933A2"/>
    <w:rsid w:val="00094E92"/>
    <w:rsid w:val="00097868"/>
    <w:rsid w:val="000A1105"/>
    <w:rsid w:val="000A2858"/>
    <w:rsid w:val="000A4F03"/>
    <w:rsid w:val="000A5AC0"/>
    <w:rsid w:val="000A6E1E"/>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4A4F"/>
    <w:rsid w:val="000E5A4E"/>
    <w:rsid w:val="000F473D"/>
    <w:rsid w:val="00104663"/>
    <w:rsid w:val="00111C9B"/>
    <w:rsid w:val="00112B08"/>
    <w:rsid w:val="0011449B"/>
    <w:rsid w:val="00114B03"/>
    <w:rsid w:val="00114C81"/>
    <w:rsid w:val="00115E6F"/>
    <w:rsid w:val="00116EDA"/>
    <w:rsid w:val="0012018C"/>
    <w:rsid w:val="001218E0"/>
    <w:rsid w:val="0012458E"/>
    <w:rsid w:val="00130D54"/>
    <w:rsid w:val="00131F59"/>
    <w:rsid w:val="00131F8C"/>
    <w:rsid w:val="001345B3"/>
    <w:rsid w:val="0013565E"/>
    <w:rsid w:val="00137525"/>
    <w:rsid w:val="001506F7"/>
    <w:rsid w:val="00150D5E"/>
    <w:rsid w:val="00157269"/>
    <w:rsid w:val="00161E6C"/>
    <w:rsid w:val="00162214"/>
    <w:rsid w:val="00165068"/>
    <w:rsid w:val="00165C06"/>
    <w:rsid w:val="00166E3E"/>
    <w:rsid w:val="00173659"/>
    <w:rsid w:val="001737BE"/>
    <w:rsid w:val="001751A8"/>
    <w:rsid w:val="00182BCE"/>
    <w:rsid w:val="001841D9"/>
    <w:rsid w:val="00184C15"/>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B2770"/>
    <w:rsid w:val="001B485F"/>
    <w:rsid w:val="001B4A44"/>
    <w:rsid w:val="001B70E5"/>
    <w:rsid w:val="001C07C7"/>
    <w:rsid w:val="001C1E8B"/>
    <w:rsid w:val="001C3739"/>
    <w:rsid w:val="001C5267"/>
    <w:rsid w:val="001C6042"/>
    <w:rsid w:val="001D108D"/>
    <w:rsid w:val="001D24BB"/>
    <w:rsid w:val="001D509C"/>
    <w:rsid w:val="001D6ED7"/>
    <w:rsid w:val="001D7C85"/>
    <w:rsid w:val="001E0576"/>
    <w:rsid w:val="001E3B20"/>
    <w:rsid w:val="001E4A9F"/>
    <w:rsid w:val="001F2767"/>
    <w:rsid w:val="001F34EA"/>
    <w:rsid w:val="001F3859"/>
    <w:rsid w:val="001F429B"/>
    <w:rsid w:val="001F43C6"/>
    <w:rsid w:val="001F4C63"/>
    <w:rsid w:val="001F7E31"/>
    <w:rsid w:val="002020B2"/>
    <w:rsid w:val="0020567D"/>
    <w:rsid w:val="002056F9"/>
    <w:rsid w:val="002062F2"/>
    <w:rsid w:val="00210619"/>
    <w:rsid w:val="00210CAC"/>
    <w:rsid w:val="00211374"/>
    <w:rsid w:val="00215D38"/>
    <w:rsid w:val="00216FBF"/>
    <w:rsid w:val="00231CB7"/>
    <w:rsid w:val="00231D98"/>
    <w:rsid w:val="00233356"/>
    <w:rsid w:val="0023638E"/>
    <w:rsid w:val="00241007"/>
    <w:rsid w:val="002428D6"/>
    <w:rsid w:val="00247AB8"/>
    <w:rsid w:val="00250440"/>
    <w:rsid w:val="0025749B"/>
    <w:rsid w:val="00264FFB"/>
    <w:rsid w:val="00266447"/>
    <w:rsid w:val="00274841"/>
    <w:rsid w:val="0028096B"/>
    <w:rsid w:val="002825DA"/>
    <w:rsid w:val="00283617"/>
    <w:rsid w:val="00285EAD"/>
    <w:rsid w:val="002860D2"/>
    <w:rsid w:val="00286495"/>
    <w:rsid w:val="002945E5"/>
    <w:rsid w:val="002A0921"/>
    <w:rsid w:val="002A13E9"/>
    <w:rsid w:val="002A15EF"/>
    <w:rsid w:val="002A168D"/>
    <w:rsid w:val="002A4A75"/>
    <w:rsid w:val="002A586E"/>
    <w:rsid w:val="002A62AE"/>
    <w:rsid w:val="002A683A"/>
    <w:rsid w:val="002A6B48"/>
    <w:rsid w:val="002B006C"/>
    <w:rsid w:val="002B186A"/>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7ADA"/>
    <w:rsid w:val="002F1672"/>
    <w:rsid w:val="002F2363"/>
    <w:rsid w:val="002F34ED"/>
    <w:rsid w:val="002F3755"/>
    <w:rsid w:val="002F6ECB"/>
    <w:rsid w:val="002F72E9"/>
    <w:rsid w:val="003006C3"/>
    <w:rsid w:val="00302514"/>
    <w:rsid w:val="003063E7"/>
    <w:rsid w:val="00307917"/>
    <w:rsid w:val="003103BE"/>
    <w:rsid w:val="00310479"/>
    <w:rsid w:val="0031459C"/>
    <w:rsid w:val="00315E77"/>
    <w:rsid w:val="00316329"/>
    <w:rsid w:val="003263C0"/>
    <w:rsid w:val="0032789C"/>
    <w:rsid w:val="00327BE3"/>
    <w:rsid w:val="00334AE8"/>
    <w:rsid w:val="00335134"/>
    <w:rsid w:val="00346756"/>
    <w:rsid w:val="0036433A"/>
    <w:rsid w:val="00365E4D"/>
    <w:rsid w:val="003676AE"/>
    <w:rsid w:val="00367EAB"/>
    <w:rsid w:val="00371214"/>
    <w:rsid w:val="00372A03"/>
    <w:rsid w:val="0037368A"/>
    <w:rsid w:val="00375107"/>
    <w:rsid w:val="0037517D"/>
    <w:rsid w:val="00375265"/>
    <w:rsid w:val="00381405"/>
    <w:rsid w:val="00383216"/>
    <w:rsid w:val="00384E3C"/>
    <w:rsid w:val="0039130B"/>
    <w:rsid w:val="00393589"/>
    <w:rsid w:val="00393A4C"/>
    <w:rsid w:val="003A2040"/>
    <w:rsid w:val="003A25EB"/>
    <w:rsid w:val="003A74F5"/>
    <w:rsid w:val="003B2B02"/>
    <w:rsid w:val="003B2E46"/>
    <w:rsid w:val="003B6B82"/>
    <w:rsid w:val="003C0638"/>
    <w:rsid w:val="003C2D53"/>
    <w:rsid w:val="003C4BA8"/>
    <w:rsid w:val="003C637D"/>
    <w:rsid w:val="003C7D51"/>
    <w:rsid w:val="003D1A22"/>
    <w:rsid w:val="003D7052"/>
    <w:rsid w:val="003D7693"/>
    <w:rsid w:val="003E074D"/>
    <w:rsid w:val="003E4007"/>
    <w:rsid w:val="003E6C02"/>
    <w:rsid w:val="003F18F3"/>
    <w:rsid w:val="003F24EC"/>
    <w:rsid w:val="003F26F7"/>
    <w:rsid w:val="003F4084"/>
    <w:rsid w:val="003F4F31"/>
    <w:rsid w:val="003F5EF9"/>
    <w:rsid w:val="003F61F8"/>
    <w:rsid w:val="003F77E0"/>
    <w:rsid w:val="003F7C78"/>
    <w:rsid w:val="00400057"/>
    <w:rsid w:val="004014F5"/>
    <w:rsid w:val="0040274E"/>
    <w:rsid w:val="00405C1A"/>
    <w:rsid w:val="00405C36"/>
    <w:rsid w:val="00407896"/>
    <w:rsid w:val="00407D88"/>
    <w:rsid w:val="004109FD"/>
    <w:rsid w:val="004126B4"/>
    <w:rsid w:val="004138A3"/>
    <w:rsid w:val="0041394C"/>
    <w:rsid w:val="0041468F"/>
    <w:rsid w:val="004169D9"/>
    <w:rsid w:val="00417C8A"/>
    <w:rsid w:val="00420156"/>
    <w:rsid w:val="004225F0"/>
    <w:rsid w:val="00423A07"/>
    <w:rsid w:val="00426003"/>
    <w:rsid w:val="00426E6F"/>
    <w:rsid w:val="004307B2"/>
    <w:rsid w:val="00431F99"/>
    <w:rsid w:val="004350B7"/>
    <w:rsid w:val="00441843"/>
    <w:rsid w:val="00442935"/>
    <w:rsid w:val="0044374C"/>
    <w:rsid w:val="0044422F"/>
    <w:rsid w:val="00445C1C"/>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5B26"/>
    <w:rsid w:val="004964DA"/>
    <w:rsid w:val="00497699"/>
    <w:rsid w:val="00497DB2"/>
    <w:rsid w:val="004A0174"/>
    <w:rsid w:val="004A19C4"/>
    <w:rsid w:val="004A236E"/>
    <w:rsid w:val="004A4471"/>
    <w:rsid w:val="004A5A3A"/>
    <w:rsid w:val="004A7A78"/>
    <w:rsid w:val="004B5136"/>
    <w:rsid w:val="004C0238"/>
    <w:rsid w:val="004C1A9C"/>
    <w:rsid w:val="004D08EE"/>
    <w:rsid w:val="004D0EA8"/>
    <w:rsid w:val="004D2D24"/>
    <w:rsid w:val="004D314A"/>
    <w:rsid w:val="004D42D8"/>
    <w:rsid w:val="004D4938"/>
    <w:rsid w:val="004D5457"/>
    <w:rsid w:val="004D5BFF"/>
    <w:rsid w:val="004D6FCA"/>
    <w:rsid w:val="004E04D2"/>
    <w:rsid w:val="004E1AB8"/>
    <w:rsid w:val="004E22FC"/>
    <w:rsid w:val="004E4899"/>
    <w:rsid w:val="004F5E51"/>
    <w:rsid w:val="004F63C8"/>
    <w:rsid w:val="004F69CA"/>
    <w:rsid w:val="004F7507"/>
    <w:rsid w:val="005017DB"/>
    <w:rsid w:val="005041C0"/>
    <w:rsid w:val="005042A7"/>
    <w:rsid w:val="00504CE0"/>
    <w:rsid w:val="005106CF"/>
    <w:rsid w:val="00511FD6"/>
    <w:rsid w:val="00513E17"/>
    <w:rsid w:val="005144B2"/>
    <w:rsid w:val="005148A4"/>
    <w:rsid w:val="00516C98"/>
    <w:rsid w:val="00517C86"/>
    <w:rsid w:val="005228D8"/>
    <w:rsid w:val="005240D9"/>
    <w:rsid w:val="00524E64"/>
    <w:rsid w:val="00524F0F"/>
    <w:rsid w:val="00524FD6"/>
    <w:rsid w:val="005314CB"/>
    <w:rsid w:val="00536FBF"/>
    <w:rsid w:val="0054018C"/>
    <w:rsid w:val="0054254A"/>
    <w:rsid w:val="00544130"/>
    <w:rsid w:val="0055182F"/>
    <w:rsid w:val="00555780"/>
    <w:rsid w:val="0056065C"/>
    <w:rsid w:val="005611C0"/>
    <w:rsid w:val="00566B52"/>
    <w:rsid w:val="0057066B"/>
    <w:rsid w:val="00572BAD"/>
    <w:rsid w:val="00573BCB"/>
    <w:rsid w:val="00576529"/>
    <w:rsid w:val="00577014"/>
    <w:rsid w:val="00585E68"/>
    <w:rsid w:val="00586C3A"/>
    <w:rsid w:val="00587796"/>
    <w:rsid w:val="005879E7"/>
    <w:rsid w:val="00590E09"/>
    <w:rsid w:val="00591584"/>
    <w:rsid w:val="00594CDD"/>
    <w:rsid w:val="005A0348"/>
    <w:rsid w:val="005A32D9"/>
    <w:rsid w:val="005A32FB"/>
    <w:rsid w:val="005A38C6"/>
    <w:rsid w:val="005A3E6E"/>
    <w:rsid w:val="005A7A4A"/>
    <w:rsid w:val="005B2740"/>
    <w:rsid w:val="005B280F"/>
    <w:rsid w:val="005B5915"/>
    <w:rsid w:val="005C1CD8"/>
    <w:rsid w:val="005C3154"/>
    <w:rsid w:val="005C3A22"/>
    <w:rsid w:val="005C54A7"/>
    <w:rsid w:val="005C6F10"/>
    <w:rsid w:val="005D2C66"/>
    <w:rsid w:val="005D2F62"/>
    <w:rsid w:val="005D521D"/>
    <w:rsid w:val="005D6253"/>
    <w:rsid w:val="005D7D2C"/>
    <w:rsid w:val="005E282B"/>
    <w:rsid w:val="005E47D9"/>
    <w:rsid w:val="005E68E7"/>
    <w:rsid w:val="005F103D"/>
    <w:rsid w:val="005F26CD"/>
    <w:rsid w:val="005F2EC2"/>
    <w:rsid w:val="005F37E8"/>
    <w:rsid w:val="005F5691"/>
    <w:rsid w:val="00600E63"/>
    <w:rsid w:val="006050C1"/>
    <w:rsid w:val="00605DB2"/>
    <w:rsid w:val="0060696F"/>
    <w:rsid w:val="00611B76"/>
    <w:rsid w:val="006120C0"/>
    <w:rsid w:val="00615A32"/>
    <w:rsid w:val="00625BC2"/>
    <w:rsid w:val="0063038E"/>
    <w:rsid w:val="006329C9"/>
    <w:rsid w:val="006351A3"/>
    <w:rsid w:val="006366FE"/>
    <w:rsid w:val="00651C90"/>
    <w:rsid w:val="00655480"/>
    <w:rsid w:val="00655744"/>
    <w:rsid w:val="00656E00"/>
    <w:rsid w:val="00660A99"/>
    <w:rsid w:val="00666762"/>
    <w:rsid w:val="00667E4E"/>
    <w:rsid w:val="00670445"/>
    <w:rsid w:val="0067526F"/>
    <w:rsid w:val="00675C4B"/>
    <w:rsid w:val="006839B6"/>
    <w:rsid w:val="006854BE"/>
    <w:rsid w:val="00694B34"/>
    <w:rsid w:val="00697E44"/>
    <w:rsid w:val="006A1906"/>
    <w:rsid w:val="006A69A8"/>
    <w:rsid w:val="006A6E74"/>
    <w:rsid w:val="006B183A"/>
    <w:rsid w:val="006B1AA2"/>
    <w:rsid w:val="006B456B"/>
    <w:rsid w:val="006B4C67"/>
    <w:rsid w:val="006B502C"/>
    <w:rsid w:val="006B6B67"/>
    <w:rsid w:val="006C02F5"/>
    <w:rsid w:val="006C5FEF"/>
    <w:rsid w:val="006E64A5"/>
    <w:rsid w:val="006E6C77"/>
    <w:rsid w:val="006E797A"/>
    <w:rsid w:val="006F0A0C"/>
    <w:rsid w:val="006F10EE"/>
    <w:rsid w:val="006F2510"/>
    <w:rsid w:val="006F4237"/>
    <w:rsid w:val="006F6CC2"/>
    <w:rsid w:val="007014C0"/>
    <w:rsid w:val="00702458"/>
    <w:rsid w:val="0070332B"/>
    <w:rsid w:val="00703A32"/>
    <w:rsid w:val="00705E50"/>
    <w:rsid w:val="00707395"/>
    <w:rsid w:val="007079AE"/>
    <w:rsid w:val="007122EB"/>
    <w:rsid w:val="0071292E"/>
    <w:rsid w:val="00715B4B"/>
    <w:rsid w:val="00721BF4"/>
    <w:rsid w:val="00721EC4"/>
    <w:rsid w:val="00722CB9"/>
    <w:rsid w:val="00727E2C"/>
    <w:rsid w:val="00727FEB"/>
    <w:rsid w:val="007367B3"/>
    <w:rsid w:val="007402C2"/>
    <w:rsid w:val="00743C5C"/>
    <w:rsid w:val="0074525D"/>
    <w:rsid w:val="00746B00"/>
    <w:rsid w:val="0075094E"/>
    <w:rsid w:val="00751CFD"/>
    <w:rsid w:val="00757BAC"/>
    <w:rsid w:val="0076216F"/>
    <w:rsid w:val="007626A0"/>
    <w:rsid w:val="00762B5C"/>
    <w:rsid w:val="00763A08"/>
    <w:rsid w:val="0077137D"/>
    <w:rsid w:val="00772AC2"/>
    <w:rsid w:val="00775269"/>
    <w:rsid w:val="0077587F"/>
    <w:rsid w:val="00777C1A"/>
    <w:rsid w:val="00780334"/>
    <w:rsid w:val="007822C3"/>
    <w:rsid w:val="0078258D"/>
    <w:rsid w:val="00782AB5"/>
    <w:rsid w:val="007857DD"/>
    <w:rsid w:val="00791C5A"/>
    <w:rsid w:val="00794F1B"/>
    <w:rsid w:val="007954F2"/>
    <w:rsid w:val="00795702"/>
    <w:rsid w:val="007977F6"/>
    <w:rsid w:val="007A06F2"/>
    <w:rsid w:val="007A06F3"/>
    <w:rsid w:val="007A3154"/>
    <w:rsid w:val="007A5209"/>
    <w:rsid w:val="007A5361"/>
    <w:rsid w:val="007A74DD"/>
    <w:rsid w:val="007B3ED8"/>
    <w:rsid w:val="007C2B7A"/>
    <w:rsid w:val="007C5716"/>
    <w:rsid w:val="007D0704"/>
    <w:rsid w:val="007D3E95"/>
    <w:rsid w:val="007D4361"/>
    <w:rsid w:val="007D4726"/>
    <w:rsid w:val="007D4C69"/>
    <w:rsid w:val="007D59FE"/>
    <w:rsid w:val="007D610F"/>
    <w:rsid w:val="007D7005"/>
    <w:rsid w:val="007E765C"/>
    <w:rsid w:val="007F0976"/>
    <w:rsid w:val="007F4A8F"/>
    <w:rsid w:val="007F52CF"/>
    <w:rsid w:val="008029E2"/>
    <w:rsid w:val="00804990"/>
    <w:rsid w:val="008057C2"/>
    <w:rsid w:val="008078B6"/>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27D59"/>
    <w:rsid w:val="008325F0"/>
    <w:rsid w:val="00840769"/>
    <w:rsid w:val="008419D8"/>
    <w:rsid w:val="008423DF"/>
    <w:rsid w:val="00842C80"/>
    <w:rsid w:val="00845510"/>
    <w:rsid w:val="0084613D"/>
    <w:rsid w:val="008461F1"/>
    <w:rsid w:val="00850FEA"/>
    <w:rsid w:val="00852CE0"/>
    <w:rsid w:val="008532F1"/>
    <w:rsid w:val="008557E8"/>
    <w:rsid w:val="00856440"/>
    <w:rsid w:val="008564BD"/>
    <w:rsid w:val="0085672E"/>
    <w:rsid w:val="00857B1C"/>
    <w:rsid w:val="00863478"/>
    <w:rsid w:val="00863945"/>
    <w:rsid w:val="008730BE"/>
    <w:rsid w:val="008737A3"/>
    <w:rsid w:val="00875763"/>
    <w:rsid w:val="0088347A"/>
    <w:rsid w:val="008847DE"/>
    <w:rsid w:val="00885258"/>
    <w:rsid w:val="00886234"/>
    <w:rsid w:val="008863A7"/>
    <w:rsid w:val="008863D4"/>
    <w:rsid w:val="00886634"/>
    <w:rsid w:val="00887B85"/>
    <w:rsid w:val="00890DCD"/>
    <w:rsid w:val="00896FB1"/>
    <w:rsid w:val="00897356"/>
    <w:rsid w:val="008A357F"/>
    <w:rsid w:val="008A5161"/>
    <w:rsid w:val="008B1F5C"/>
    <w:rsid w:val="008B2DF1"/>
    <w:rsid w:val="008B43D4"/>
    <w:rsid w:val="008B598A"/>
    <w:rsid w:val="008C4974"/>
    <w:rsid w:val="008C4A9E"/>
    <w:rsid w:val="008C4E5B"/>
    <w:rsid w:val="008C6DCD"/>
    <w:rsid w:val="008C7BFE"/>
    <w:rsid w:val="008D18FD"/>
    <w:rsid w:val="008D1CE8"/>
    <w:rsid w:val="008D1F65"/>
    <w:rsid w:val="008D2080"/>
    <w:rsid w:val="008D2195"/>
    <w:rsid w:val="008D23C5"/>
    <w:rsid w:val="008D4AB1"/>
    <w:rsid w:val="008D69B8"/>
    <w:rsid w:val="008D71A8"/>
    <w:rsid w:val="008D7398"/>
    <w:rsid w:val="008D7B31"/>
    <w:rsid w:val="008E0F6F"/>
    <w:rsid w:val="008E19EE"/>
    <w:rsid w:val="008E316D"/>
    <w:rsid w:val="008E49CA"/>
    <w:rsid w:val="008E5F0C"/>
    <w:rsid w:val="008E612F"/>
    <w:rsid w:val="008F03D5"/>
    <w:rsid w:val="008F07DF"/>
    <w:rsid w:val="008F08A0"/>
    <w:rsid w:val="008F1219"/>
    <w:rsid w:val="008F65DB"/>
    <w:rsid w:val="008F7DDE"/>
    <w:rsid w:val="0090287D"/>
    <w:rsid w:val="00907104"/>
    <w:rsid w:val="00907974"/>
    <w:rsid w:val="00910677"/>
    <w:rsid w:val="00912BD2"/>
    <w:rsid w:val="00912D79"/>
    <w:rsid w:val="00916794"/>
    <w:rsid w:val="0092030F"/>
    <w:rsid w:val="00920F72"/>
    <w:rsid w:val="00925EA5"/>
    <w:rsid w:val="00926541"/>
    <w:rsid w:val="009271D3"/>
    <w:rsid w:val="00930220"/>
    <w:rsid w:val="009309E4"/>
    <w:rsid w:val="009328AC"/>
    <w:rsid w:val="00933465"/>
    <w:rsid w:val="00933FD9"/>
    <w:rsid w:val="00934ED5"/>
    <w:rsid w:val="00936426"/>
    <w:rsid w:val="00936632"/>
    <w:rsid w:val="009415ED"/>
    <w:rsid w:val="00946CEA"/>
    <w:rsid w:val="0094780E"/>
    <w:rsid w:val="00947F2D"/>
    <w:rsid w:val="00947FE6"/>
    <w:rsid w:val="00950D07"/>
    <w:rsid w:val="00954C7E"/>
    <w:rsid w:val="009557D2"/>
    <w:rsid w:val="009568D3"/>
    <w:rsid w:val="009568DF"/>
    <w:rsid w:val="00963B11"/>
    <w:rsid w:val="0096450C"/>
    <w:rsid w:val="00966F91"/>
    <w:rsid w:val="00970F9E"/>
    <w:rsid w:val="009727EA"/>
    <w:rsid w:val="00976C85"/>
    <w:rsid w:val="009829FC"/>
    <w:rsid w:val="009921C2"/>
    <w:rsid w:val="009924D5"/>
    <w:rsid w:val="00995623"/>
    <w:rsid w:val="00995BF2"/>
    <w:rsid w:val="00995FD6"/>
    <w:rsid w:val="00997898"/>
    <w:rsid w:val="009A266F"/>
    <w:rsid w:val="009A2D5B"/>
    <w:rsid w:val="009A5E9D"/>
    <w:rsid w:val="009B1C17"/>
    <w:rsid w:val="009B206E"/>
    <w:rsid w:val="009B3D13"/>
    <w:rsid w:val="009B44CF"/>
    <w:rsid w:val="009B55F5"/>
    <w:rsid w:val="009C3597"/>
    <w:rsid w:val="009C3712"/>
    <w:rsid w:val="009C3B05"/>
    <w:rsid w:val="009C725B"/>
    <w:rsid w:val="009C76D3"/>
    <w:rsid w:val="009D1860"/>
    <w:rsid w:val="009D3E5A"/>
    <w:rsid w:val="009D4270"/>
    <w:rsid w:val="009D4691"/>
    <w:rsid w:val="009D5067"/>
    <w:rsid w:val="009D5C27"/>
    <w:rsid w:val="009D7183"/>
    <w:rsid w:val="009D744F"/>
    <w:rsid w:val="009E1C49"/>
    <w:rsid w:val="009E3626"/>
    <w:rsid w:val="009E6D86"/>
    <w:rsid w:val="009E7112"/>
    <w:rsid w:val="009E7B18"/>
    <w:rsid w:val="009F5CDD"/>
    <w:rsid w:val="009F6F5D"/>
    <w:rsid w:val="00A01CA1"/>
    <w:rsid w:val="00A0299D"/>
    <w:rsid w:val="00A079EA"/>
    <w:rsid w:val="00A12612"/>
    <w:rsid w:val="00A140B8"/>
    <w:rsid w:val="00A15C91"/>
    <w:rsid w:val="00A2031E"/>
    <w:rsid w:val="00A20F2A"/>
    <w:rsid w:val="00A216B1"/>
    <w:rsid w:val="00A21F10"/>
    <w:rsid w:val="00A23D3B"/>
    <w:rsid w:val="00A26379"/>
    <w:rsid w:val="00A27EE2"/>
    <w:rsid w:val="00A32EA8"/>
    <w:rsid w:val="00A41EAC"/>
    <w:rsid w:val="00A41EDA"/>
    <w:rsid w:val="00A42B9E"/>
    <w:rsid w:val="00A4718E"/>
    <w:rsid w:val="00A5012D"/>
    <w:rsid w:val="00A546F9"/>
    <w:rsid w:val="00A551BB"/>
    <w:rsid w:val="00A55AF4"/>
    <w:rsid w:val="00A55F87"/>
    <w:rsid w:val="00A56E2E"/>
    <w:rsid w:val="00A62C6F"/>
    <w:rsid w:val="00A714BB"/>
    <w:rsid w:val="00A7154B"/>
    <w:rsid w:val="00A733D2"/>
    <w:rsid w:val="00A81059"/>
    <w:rsid w:val="00A820C3"/>
    <w:rsid w:val="00A87265"/>
    <w:rsid w:val="00A9044C"/>
    <w:rsid w:val="00A90951"/>
    <w:rsid w:val="00A9106B"/>
    <w:rsid w:val="00A915B3"/>
    <w:rsid w:val="00A915BC"/>
    <w:rsid w:val="00A91F9A"/>
    <w:rsid w:val="00A926FB"/>
    <w:rsid w:val="00A93AC6"/>
    <w:rsid w:val="00A95DBC"/>
    <w:rsid w:val="00A96926"/>
    <w:rsid w:val="00A97D3D"/>
    <w:rsid w:val="00AA17DC"/>
    <w:rsid w:val="00AA3B9C"/>
    <w:rsid w:val="00AB2650"/>
    <w:rsid w:val="00AB29D3"/>
    <w:rsid w:val="00AB2CD5"/>
    <w:rsid w:val="00AB370A"/>
    <w:rsid w:val="00AB38A1"/>
    <w:rsid w:val="00AB39F3"/>
    <w:rsid w:val="00AC2B19"/>
    <w:rsid w:val="00AC343E"/>
    <w:rsid w:val="00AC346A"/>
    <w:rsid w:val="00AC4A89"/>
    <w:rsid w:val="00AD212B"/>
    <w:rsid w:val="00AD5414"/>
    <w:rsid w:val="00AD5F30"/>
    <w:rsid w:val="00AE2286"/>
    <w:rsid w:val="00AE2ED6"/>
    <w:rsid w:val="00AE7E12"/>
    <w:rsid w:val="00AF039F"/>
    <w:rsid w:val="00AF25E7"/>
    <w:rsid w:val="00AF4A99"/>
    <w:rsid w:val="00AF65F7"/>
    <w:rsid w:val="00B00F7A"/>
    <w:rsid w:val="00B012D5"/>
    <w:rsid w:val="00B01A6C"/>
    <w:rsid w:val="00B0332B"/>
    <w:rsid w:val="00B127DA"/>
    <w:rsid w:val="00B12ECD"/>
    <w:rsid w:val="00B138A5"/>
    <w:rsid w:val="00B14C0B"/>
    <w:rsid w:val="00B17B18"/>
    <w:rsid w:val="00B2146D"/>
    <w:rsid w:val="00B22071"/>
    <w:rsid w:val="00B3313A"/>
    <w:rsid w:val="00B34302"/>
    <w:rsid w:val="00B36043"/>
    <w:rsid w:val="00B37781"/>
    <w:rsid w:val="00B37BCC"/>
    <w:rsid w:val="00B475BB"/>
    <w:rsid w:val="00B54A1C"/>
    <w:rsid w:val="00B55791"/>
    <w:rsid w:val="00B56FBC"/>
    <w:rsid w:val="00B61CB2"/>
    <w:rsid w:val="00B63318"/>
    <w:rsid w:val="00B645BA"/>
    <w:rsid w:val="00B66525"/>
    <w:rsid w:val="00B665B7"/>
    <w:rsid w:val="00B729E1"/>
    <w:rsid w:val="00B80D7D"/>
    <w:rsid w:val="00B8314C"/>
    <w:rsid w:val="00B850D2"/>
    <w:rsid w:val="00B91124"/>
    <w:rsid w:val="00B91C47"/>
    <w:rsid w:val="00B933BD"/>
    <w:rsid w:val="00B936D8"/>
    <w:rsid w:val="00B93C87"/>
    <w:rsid w:val="00B94480"/>
    <w:rsid w:val="00BA093C"/>
    <w:rsid w:val="00BA1AF6"/>
    <w:rsid w:val="00BA4929"/>
    <w:rsid w:val="00BB5CED"/>
    <w:rsid w:val="00BC02D7"/>
    <w:rsid w:val="00BC3D6F"/>
    <w:rsid w:val="00BC4DE1"/>
    <w:rsid w:val="00BC5B55"/>
    <w:rsid w:val="00BC6117"/>
    <w:rsid w:val="00BC61AC"/>
    <w:rsid w:val="00BC7E9B"/>
    <w:rsid w:val="00BD0550"/>
    <w:rsid w:val="00BD0EBD"/>
    <w:rsid w:val="00BD312A"/>
    <w:rsid w:val="00BD4F13"/>
    <w:rsid w:val="00BD4F3D"/>
    <w:rsid w:val="00BD504E"/>
    <w:rsid w:val="00BD57EA"/>
    <w:rsid w:val="00BD5BF9"/>
    <w:rsid w:val="00BD6622"/>
    <w:rsid w:val="00BD72D6"/>
    <w:rsid w:val="00BE6FA5"/>
    <w:rsid w:val="00BF28ED"/>
    <w:rsid w:val="00BF35B6"/>
    <w:rsid w:val="00BF63C6"/>
    <w:rsid w:val="00C00FA5"/>
    <w:rsid w:val="00C0150B"/>
    <w:rsid w:val="00C01E03"/>
    <w:rsid w:val="00C036EC"/>
    <w:rsid w:val="00C0598F"/>
    <w:rsid w:val="00C13CEC"/>
    <w:rsid w:val="00C13CF5"/>
    <w:rsid w:val="00C1781A"/>
    <w:rsid w:val="00C17DB8"/>
    <w:rsid w:val="00C20683"/>
    <w:rsid w:val="00C20DC8"/>
    <w:rsid w:val="00C256B4"/>
    <w:rsid w:val="00C31EB2"/>
    <w:rsid w:val="00C329C3"/>
    <w:rsid w:val="00C40CD1"/>
    <w:rsid w:val="00C607B3"/>
    <w:rsid w:val="00C62563"/>
    <w:rsid w:val="00C628DA"/>
    <w:rsid w:val="00C6395F"/>
    <w:rsid w:val="00C66EE6"/>
    <w:rsid w:val="00C670AB"/>
    <w:rsid w:val="00C721C3"/>
    <w:rsid w:val="00C73213"/>
    <w:rsid w:val="00C7421C"/>
    <w:rsid w:val="00C75DA4"/>
    <w:rsid w:val="00C765AF"/>
    <w:rsid w:val="00C83068"/>
    <w:rsid w:val="00C83429"/>
    <w:rsid w:val="00C8637A"/>
    <w:rsid w:val="00C87311"/>
    <w:rsid w:val="00C87ABD"/>
    <w:rsid w:val="00C87F1E"/>
    <w:rsid w:val="00C93022"/>
    <w:rsid w:val="00C93BAF"/>
    <w:rsid w:val="00C961A5"/>
    <w:rsid w:val="00C96B1D"/>
    <w:rsid w:val="00C97773"/>
    <w:rsid w:val="00CA27AA"/>
    <w:rsid w:val="00CA374D"/>
    <w:rsid w:val="00CA45AE"/>
    <w:rsid w:val="00CA6080"/>
    <w:rsid w:val="00CA627A"/>
    <w:rsid w:val="00CA6806"/>
    <w:rsid w:val="00CA70BF"/>
    <w:rsid w:val="00CA7348"/>
    <w:rsid w:val="00CB16E8"/>
    <w:rsid w:val="00CB7229"/>
    <w:rsid w:val="00CC0519"/>
    <w:rsid w:val="00CC1D36"/>
    <w:rsid w:val="00CD1CAB"/>
    <w:rsid w:val="00CD257D"/>
    <w:rsid w:val="00CD3E5C"/>
    <w:rsid w:val="00CD62C7"/>
    <w:rsid w:val="00CD6DE5"/>
    <w:rsid w:val="00CE10A2"/>
    <w:rsid w:val="00CE3AD7"/>
    <w:rsid w:val="00CE50F5"/>
    <w:rsid w:val="00CE5EE3"/>
    <w:rsid w:val="00CE67F5"/>
    <w:rsid w:val="00CF0C69"/>
    <w:rsid w:val="00CF33C3"/>
    <w:rsid w:val="00CF3431"/>
    <w:rsid w:val="00CF37D2"/>
    <w:rsid w:val="00CF7251"/>
    <w:rsid w:val="00CF7F29"/>
    <w:rsid w:val="00CF7F2A"/>
    <w:rsid w:val="00CF7F8F"/>
    <w:rsid w:val="00D01299"/>
    <w:rsid w:val="00D026F7"/>
    <w:rsid w:val="00D056AF"/>
    <w:rsid w:val="00D056B2"/>
    <w:rsid w:val="00D05BBB"/>
    <w:rsid w:val="00D10648"/>
    <w:rsid w:val="00D1373D"/>
    <w:rsid w:val="00D200E4"/>
    <w:rsid w:val="00D2049A"/>
    <w:rsid w:val="00D212FB"/>
    <w:rsid w:val="00D23BFA"/>
    <w:rsid w:val="00D24803"/>
    <w:rsid w:val="00D353FF"/>
    <w:rsid w:val="00D369AC"/>
    <w:rsid w:val="00D40795"/>
    <w:rsid w:val="00D41C06"/>
    <w:rsid w:val="00D460AD"/>
    <w:rsid w:val="00D47043"/>
    <w:rsid w:val="00D51479"/>
    <w:rsid w:val="00D56345"/>
    <w:rsid w:val="00D56B35"/>
    <w:rsid w:val="00D56F39"/>
    <w:rsid w:val="00D625F8"/>
    <w:rsid w:val="00D643EF"/>
    <w:rsid w:val="00D645DE"/>
    <w:rsid w:val="00D71AFA"/>
    <w:rsid w:val="00D72324"/>
    <w:rsid w:val="00D73693"/>
    <w:rsid w:val="00D742EF"/>
    <w:rsid w:val="00D74A49"/>
    <w:rsid w:val="00D75066"/>
    <w:rsid w:val="00D820CA"/>
    <w:rsid w:val="00D832F2"/>
    <w:rsid w:val="00D840D8"/>
    <w:rsid w:val="00D93A13"/>
    <w:rsid w:val="00D9553C"/>
    <w:rsid w:val="00D97508"/>
    <w:rsid w:val="00DA1E37"/>
    <w:rsid w:val="00DA2DFC"/>
    <w:rsid w:val="00DA3FC7"/>
    <w:rsid w:val="00DA4EC4"/>
    <w:rsid w:val="00DA55DB"/>
    <w:rsid w:val="00DA5D11"/>
    <w:rsid w:val="00DA68FB"/>
    <w:rsid w:val="00DA7361"/>
    <w:rsid w:val="00DA7BFE"/>
    <w:rsid w:val="00DB3061"/>
    <w:rsid w:val="00DB663C"/>
    <w:rsid w:val="00DB6F25"/>
    <w:rsid w:val="00DC0A87"/>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32F3"/>
    <w:rsid w:val="00E04FDF"/>
    <w:rsid w:val="00E05F15"/>
    <w:rsid w:val="00E0608C"/>
    <w:rsid w:val="00E07D2B"/>
    <w:rsid w:val="00E10531"/>
    <w:rsid w:val="00E17D79"/>
    <w:rsid w:val="00E20A02"/>
    <w:rsid w:val="00E21681"/>
    <w:rsid w:val="00E21FFA"/>
    <w:rsid w:val="00E239A5"/>
    <w:rsid w:val="00E27A41"/>
    <w:rsid w:val="00E30390"/>
    <w:rsid w:val="00E32F22"/>
    <w:rsid w:val="00E35D90"/>
    <w:rsid w:val="00E3742A"/>
    <w:rsid w:val="00E41FB0"/>
    <w:rsid w:val="00E42DE4"/>
    <w:rsid w:val="00E4356C"/>
    <w:rsid w:val="00E45756"/>
    <w:rsid w:val="00E45909"/>
    <w:rsid w:val="00E46623"/>
    <w:rsid w:val="00E47EEF"/>
    <w:rsid w:val="00E51C1B"/>
    <w:rsid w:val="00E533C4"/>
    <w:rsid w:val="00E535AC"/>
    <w:rsid w:val="00E53964"/>
    <w:rsid w:val="00E56E06"/>
    <w:rsid w:val="00E56FC4"/>
    <w:rsid w:val="00E57296"/>
    <w:rsid w:val="00E575C3"/>
    <w:rsid w:val="00E622B2"/>
    <w:rsid w:val="00E65A9B"/>
    <w:rsid w:val="00E66918"/>
    <w:rsid w:val="00E72A91"/>
    <w:rsid w:val="00E73458"/>
    <w:rsid w:val="00E85789"/>
    <w:rsid w:val="00E91B94"/>
    <w:rsid w:val="00E93356"/>
    <w:rsid w:val="00E938AF"/>
    <w:rsid w:val="00E9512A"/>
    <w:rsid w:val="00EA17E3"/>
    <w:rsid w:val="00EA33ED"/>
    <w:rsid w:val="00EA3654"/>
    <w:rsid w:val="00EA37AB"/>
    <w:rsid w:val="00EA4736"/>
    <w:rsid w:val="00EA62B8"/>
    <w:rsid w:val="00EA6B0D"/>
    <w:rsid w:val="00EB0AE3"/>
    <w:rsid w:val="00EB72A5"/>
    <w:rsid w:val="00EB7E69"/>
    <w:rsid w:val="00EC075C"/>
    <w:rsid w:val="00EC155E"/>
    <w:rsid w:val="00EC209C"/>
    <w:rsid w:val="00EC2864"/>
    <w:rsid w:val="00EC3182"/>
    <w:rsid w:val="00EC57BD"/>
    <w:rsid w:val="00EC7697"/>
    <w:rsid w:val="00EC77D6"/>
    <w:rsid w:val="00ED1F25"/>
    <w:rsid w:val="00ED29D1"/>
    <w:rsid w:val="00ED3A96"/>
    <w:rsid w:val="00EE0071"/>
    <w:rsid w:val="00EE0DF6"/>
    <w:rsid w:val="00EE2519"/>
    <w:rsid w:val="00EE54FE"/>
    <w:rsid w:val="00EE5E15"/>
    <w:rsid w:val="00EF0648"/>
    <w:rsid w:val="00EF0988"/>
    <w:rsid w:val="00EF394B"/>
    <w:rsid w:val="00EF3CEE"/>
    <w:rsid w:val="00EF40B3"/>
    <w:rsid w:val="00F01C96"/>
    <w:rsid w:val="00F03D7F"/>
    <w:rsid w:val="00F0661F"/>
    <w:rsid w:val="00F07BDA"/>
    <w:rsid w:val="00F12CBB"/>
    <w:rsid w:val="00F1355C"/>
    <w:rsid w:val="00F15F80"/>
    <w:rsid w:val="00F2566F"/>
    <w:rsid w:val="00F26477"/>
    <w:rsid w:val="00F27259"/>
    <w:rsid w:val="00F31C9B"/>
    <w:rsid w:val="00F32164"/>
    <w:rsid w:val="00F33527"/>
    <w:rsid w:val="00F33DF7"/>
    <w:rsid w:val="00F35DF7"/>
    <w:rsid w:val="00F360DB"/>
    <w:rsid w:val="00F37C1A"/>
    <w:rsid w:val="00F405B5"/>
    <w:rsid w:val="00F41632"/>
    <w:rsid w:val="00F42267"/>
    <w:rsid w:val="00F454C9"/>
    <w:rsid w:val="00F506B6"/>
    <w:rsid w:val="00F515FC"/>
    <w:rsid w:val="00F5295B"/>
    <w:rsid w:val="00F54935"/>
    <w:rsid w:val="00F564FA"/>
    <w:rsid w:val="00F57CCC"/>
    <w:rsid w:val="00F63771"/>
    <w:rsid w:val="00F63922"/>
    <w:rsid w:val="00F65BA4"/>
    <w:rsid w:val="00F6668D"/>
    <w:rsid w:val="00F70C83"/>
    <w:rsid w:val="00F76826"/>
    <w:rsid w:val="00F76A15"/>
    <w:rsid w:val="00F77CA1"/>
    <w:rsid w:val="00F8068F"/>
    <w:rsid w:val="00F82E38"/>
    <w:rsid w:val="00F9250E"/>
    <w:rsid w:val="00F95492"/>
    <w:rsid w:val="00FA2478"/>
    <w:rsid w:val="00FA4846"/>
    <w:rsid w:val="00FA67C2"/>
    <w:rsid w:val="00FB1EB6"/>
    <w:rsid w:val="00FB28F5"/>
    <w:rsid w:val="00FB466D"/>
    <w:rsid w:val="00FB4DA7"/>
    <w:rsid w:val="00FB4E10"/>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6E5E"/>
    <w:rsid w:val="00FF724C"/>
    <w:rsid w:val="00FF7A04"/>
    <w:rsid w:val="00FF7BD2"/>
    <w:rsid w:val="09BD7221"/>
    <w:rsid w:val="128D29A4"/>
    <w:rsid w:val="14824FD8"/>
    <w:rsid w:val="2BAA3380"/>
    <w:rsid w:val="2ED91608"/>
    <w:rsid w:val="2FF360FE"/>
    <w:rsid w:val="3725418F"/>
    <w:rsid w:val="3B5F4F0B"/>
    <w:rsid w:val="4C040819"/>
    <w:rsid w:val="54821631"/>
    <w:rsid w:val="5C883B40"/>
    <w:rsid w:val="63D9292B"/>
    <w:rsid w:val="76210A70"/>
    <w:rsid w:val="77564E3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unhideWhenUsed="0" w:uiPriority="0" w:semiHidden="0" w:name="toc 3"/>
    <w:lsdException w:qFormat="1" w:unhideWhenUsed="0" w:uiPriority="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8"/>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10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10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50"/>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51"/>
    <w:qFormat/>
    <w:uiPriority w:val="0"/>
    <w:pPr>
      <w:keepNext/>
      <w:widowControl/>
      <w:numPr>
        <w:ilvl w:val="0"/>
        <w:numId w:val="4"/>
      </w:numPr>
      <w:jc w:val="left"/>
      <w:outlineLvl w:val="4"/>
    </w:pPr>
    <w:rPr>
      <w:kern w:val="0"/>
      <w:sz w:val="24"/>
      <w:szCs w:val="20"/>
    </w:rPr>
  </w:style>
  <w:style w:type="paragraph" w:styleId="8">
    <w:name w:val="heading 6"/>
    <w:basedOn w:val="1"/>
    <w:next w:val="1"/>
    <w:link w:val="108"/>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10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11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11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49"/>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119"/>
    <w:semiHidden/>
    <w:qFormat/>
    <w:uiPriority w:val="0"/>
    <w:pPr>
      <w:jc w:val="left"/>
    </w:pPr>
  </w:style>
  <w:style w:type="paragraph" w:styleId="17">
    <w:name w:val="Body Text"/>
    <w:basedOn w:val="1"/>
    <w:link w:val="66"/>
    <w:qFormat/>
    <w:uiPriority w:val="0"/>
    <w:pPr>
      <w:spacing w:line="360" w:lineRule="auto"/>
    </w:pPr>
    <w:rPr>
      <w:rFonts w:eastAsia="仿宋_GB2312"/>
      <w:sz w:val="28"/>
    </w:rPr>
  </w:style>
  <w:style w:type="paragraph" w:styleId="18">
    <w:name w:val="Body Text Indent"/>
    <w:basedOn w:val="1"/>
    <w:link w:val="101"/>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Plain Text"/>
    <w:basedOn w:val="1"/>
    <w:link w:val="52"/>
    <w:qFormat/>
    <w:uiPriority w:val="0"/>
    <w:rPr>
      <w:rFonts w:ascii="宋体" w:hAnsi="Courier New"/>
      <w:szCs w:val="20"/>
    </w:rPr>
  </w:style>
  <w:style w:type="paragraph" w:styleId="22">
    <w:name w:val="Date"/>
    <w:basedOn w:val="1"/>
    <w:next w:val="1"/>
    <w:link w:val="112"/>
    <w:qFormat/>
    <w:uiPriority w:val="0"/>
    <w:rPr>
      <w:rFonts w:ascii="楷体_GB2312" w:eastAsia="楷体_GB2312"/>
      <w:b/>
      <w:sz w:val="28"/>
      <w:szCs w:val="20"/>
    </w:rPr>
  </w:style>
  <w:style w:type="paragraph" w:styleId="23">
    <w:name w:val="Body Text Indent 2"/>
    <w:basedOn w:val="1"/>
    <w:link w:val="62"/>
    <w:qFormat/>
    <w:uiPriority w:val="0"/>
    <w:pPr>
      <w:spacing w:after="120" w:line="480" w:lineRule="auto"/>
      <w:ind w:left="420" w:leftChars="200"/>
    </w:pPr>
  </w:style>
  <w:style w:type="paragraph" w:styleId="24">
    <w:name w:val="Balloon Text"/>
    <w:basedOn w:val="1"/>
    <w:link w:val="157"/>
    <w:semiHidden/>
    <w:qFormat/>
    <w:uiPriority w:val="99"/>
    <w:rPr>
      <w:sz w:val="18"/>
      <w:szCs w:val="18"/>
    </w:rPr>
  </w:style>
  <w:style w:type="paragraph" w:styleId="25">
    <w:name w:val="footer"/>
    <w:basedOn w:val="1"/>
    <w:link w:val="156"/>
    <w:qFormat/>
    <w:uiPriority w:val="99"/>
    <w:pPr>
      <w:tabs>
        <w:tab w:val="center" w:pos="4153"/>
        <w:tab w:val="right" w:pos="8306"/>
      </w:tabs>
      <w:snapToGrid w:val="0"/>
      <w:jc w:val="left"/>
    </w:pPr>
    <w:rPr>
      <w:sz w:val="18"/>
      <w:szCs w:val="18"/>
    </w:rPr>
  </w:style>
  <w:style w:type="paragraph" w:styleId="26">
    <w:name w:val="header"/>
    <w:basedOn w:val="1"/>
    <w:link w:val="116"/>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semiHidden/>
    <w:qFormat/>
    <w:uiPriority w:val="0"/>
  </w:style>
  <w:style w:type="paragraph" w:styleId="28">
    <w:name w:val="toc 4"/>
    <w:basedOn w:val="1"/>
    <w:next w:val="1"/>
    <w:semiHidden/>
    <w:qFormat/>
    <w:uiPriority w:val="0"/>
    <w:pPr>
      <w:tabs>
        <w:tab w:val="right" w:leader="dot" w:pos="8314"/>
      </w:tabs>
      <w:ind w:firstLine="588" w:firstLineChars="245"/>
    </w:pPr>
  </w:style>
  <w:style w:type="paragraph" w:styleId="29">
    <w:name w:val="Body Text Indent 3"/>
    <w:basedOn w:val="1"/>
    <w:qFormat/>
    <w:uiPriority w:val="0"/>
    <w:pPr>
      <w:spacing w:after="120"/>
      <w:ind w:left="420" w:leftChars="200"/>
    </w:pPr>
    <w:rPr>
      <w:sz w:val="16"/>
      <w:szCs w:val="16"/>
    </w:rPr>
  </w:style>
  <w:style w:type="paragraph" w:styleId="30">
    <w:name w:val="toc 2"/>
    <w:basedOn w:val="1"/>
    <w:next w:val="1"/>
    <w:semiHidden/>
    <w:qFormat/>
    <w:uiPriority w:val="0"/>
    <w:pPr>
      <w:ind w:left="420" w:leftChars="200"/>
    </w:pPr>
  </w:style>
  <w:style w:type="paragraph" w:styleId="31">
    <w:name w:val="Body Text 2"/>
    <w:basedOn w:val="1"/>
    <w:link w:val="124"/>
    <w:qFormat/>
    <w:uiPriority w:val="0"/>
    <w:pPr>
      <w:widowControl/>
      <w:spacing w:afterLines="50" w:line="216" w:lineRule="auto"/>
      <w:jc w:val="center"/>
    </w:pPr>
    <w:rPr>
      <w:rFonts w:ascii="隶书" w:eastAsia="隶书"/>
      <w:bCs/>
      <w:kern w:val="0"/>
      <w:sz w:val="72"/>
      <w:szCs w:val="84"/>
    </w:rPr>
  </w:style>
  <w:style w:type="paragraph" w:styleId="32">
    <w:name w:val="List Continue 2"/>
    <w:basedOn w:val="1"/>
    <w:qFormat/>
    <w:uiPriority w:val="0"/>
    <w:pPr>
      <w:spacing w:after="120"/>
      <w:ind w:left="840" w:leftChars="400"/>
    </w:pPr>
  </w:style>
  <w:style w:type="paragraph" w:styleId="3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4">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5">
    <w:name w:val="index 1"/>
    <w:basedOn w:val="1"/>
    <w:next w:val="1"/>
    <w:semiHidden/>
    <w:qFormat/>
    <w:uiPriority w:val="0"/>
    <w:pPr>
      <w:spacing w:line="320" w:lineRule="exact"/>
    </w:pPr>
    <w:rPr>
      <w:b/>
      <w:snapToGrid w:val="0"/>
      <w:color w:val="FF6600"/>
      <w:kern w:val="0"/>
      <w:sz w:val="18"/>
      <w:szCs w:val="21"/>
    </w:rPr>
  </w:style>
  <w:style w:type="paragraph" w:styleId="36">
    <w:name w:val="annotation subject"/>
    <w:basedOn w:val="16"/>
    <w:next w:val="16"/>
    <w:semiHidden/>
    <w:qFormat/>
    <w:uiPriority w:val="0"/>
    <w:pPr>
      <w:widowControl/>
      <w:spacing w:afterLines="50"/>
    </w:pPr>
    <w:rPr>
      <w:b/>
      <w:bCs/>
      <w:kern w:val="0"/>
      <w:sz w:val="24"/>
      <w:szCs w:val="20"/>
    </w:rPr>
  </w:style>
  <w:style w:type="paragraph" w:styleId="37">
    <w:name w:val="Body Text First Indent"/>
    <w:basedOn w:val="17"/>
    <w:link w:val="167"/>
    <w:qFormat/>
    <w:uiPriority w:val="0"/>
    <w:pPr>
      <w:spacing w:after="120" w:line="240" w:lineRule="auto"/>
      <w:ind w:firstLine="420" w:firstLineChars="100"/>
    </w:pPr>
    <w:rPr>
      <w:rFonts w:eastAsia="宋体"/>
      <w:sz w:val="21"/>
    </w:rPr>
  </w:style>
  <w:style w:type="paragraph" w:styleId="38">
    <w:name w:val="Body Text First Indent 2"/>
    <w:basedOn w:val="18"/>
    <w:qFormat/>
    <w:uiPriority w:val="0"/>
    <w:pPr>
      <w:ind w:firstLine="420" w:firstLineChars="200"/>
    </w:pPr>
  </w:style>
  <w:style w:type="table" w:styleId="40">
    <w:name w:val="Table Grid"/>
    <w:basedOn w:val="3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qFormat/>
    <w:uiPriority w:val="0"/>
    <w:rPr>
      <w:b/>
      <w:bCs/>
    </w:rPr>
  </w:style>
  <w:style w:type="character" w:styleId="43">
    <w:name w:val="page number"/>
    <w:basedOn w:val="41"/>
    <w:qFormat/>
    <w:uiPriority w:val="0"/>
  </w:style>
  <w:style w:type="character" w:styleId="44">
    <w:name w:val="FollowedHyperlink"/>
    <w:basedOn w:val="41"/>
    <w:qFormat/>
    <w:uiPriority w:val="0"/>
    <w:rPr>
      <w:color w:val="800080"/>
      <w:u w:val="single"/>
    </w:rPr>
  </w:style>
  <w:style w:type="character" w:styleId="45">
    <w:name w:val="Emphasis"/>
    <w:basedOn w:val="41"/>
    <w:qFormat/>
    <w:uiPriority w:val="0"/>
    <w:rPr>
      <w:color w:val="CC0000"/>
    </w:rPr>
  </w:style>
  <w:style w:type="character" w:styleId="46">
    <w:name w:val="Hyperlink"/>
    <w:basedOn w:val="41"/>
    <w:qFormat/>
    <w:uiPriority w:val="99"/>
    <w:rPr>
      <w:color w:val="0000FF"/>
      <w:u w:val="single"/>
    </w:rPr>
  </w:style>
  <w:style w:type="character" w:styleId="47">
    <w:name w:val="annotation reference"/>
    <w:basedOn w:val="41"/>
    <w:semiHidden/>
    <w:qFormat/>
    <w:uiPriority w:val="0"/>
    <w:rPr>
      <w:sz w:val="21"/>
      <w:szCs w:val="21"/>
    </w:rPr>
  </w:style>
  <w:style w:type="character" w:customStyle="1" w:styleId="48">
    <w:name w:val="标题 1 Char"/>
    <w:link w:val="2"/>
    <w:qFormat/>
    <w:uiPriority w:val="0"/>
    <w:rPr>
      <w:rFonts w:eastAsia="仿宋_GB2312"/>
      <w:b/>
      <w:kern w:val="44"/>
      <w:sz w:val="44"/>
      <w:lang w:val="en-US" w:eastAsia="zh-CN" w:bidi="ar-SA"/>
    </w:rPr>
  </w:style>
  <w:style w:type="character" w:customStyle="1" w:styleId="49">
    <w:name w:val="正文缩进 Char"/>
    <w:basedOn w:val="41"/>
    <w:link w:val="5"/>
    <w:qFormat/>
    <w:uiPriority w:val="0"/>
    <w:rPr>
      <w:rFonts w:eastAsia="宋体"/>
      <w:kern w:val="2"/>
      <w:sz w:val="21"/>
      <w:szCs w:val="24"/>
      <w:lang w:val="en-US" w:eastAsia="zh-CN" w:bidi="ar-SA"/>
    </w:rPr>
  </w:style>
  <w:style w:type="character" w:customStyle="1" w:styleId="50">
    <w:name w:val="标题 4 Char"/>
    <w:link w:val="6"/>
    <w:qFormat/>
    <w:uiPriority w:val="0"/>
    <w:rPr>
      <w:rFonts w:ascii="Arial" w:hAnsi="Arial" w:eastAsia="黑体"/>
      <w:b/>
      <w:kern w:val="2"/>
      <w:sz w:val="28"/>
      <w:lang w:val="en-US" w:eastAsia="zh-CN" w:bidi="ar-SA"/>
    </w:rPr>
  </w:style>
  <w:style w:type="character" w:customStyle="1" w:styleId="51">
    <w:name w:val="标题 5 Char"/>
    <w:link w:val="7"/>
    <w:qFormat/>
    <w:uiPriority w:val="0"/>
    <w:rPr>
      <w:rFonts w:eastAsia="宋体"/>
      <w:sz w:val="24"/>
      <w:lang w:val="en-US" w:eastAsia="zh-CN" w:bidi="ar-SA"/>
    </w:rPr>
  </w:style>
  <w:style w:type="character" w:customStyle="1" w:styleId="52">
    <w:name w:val="纯文本 Char"/>
    <w:basedOn w:val="41"/>
    <w:link w:val="21"/>
    <w:qFormat/>
    <w:uiPriority w:val="0"/>
    <w:rPr>
      <w:rFonts w:ascii="宋体" w:hAnsi="Courier New" w:eastAsia="宋体"/>
      <w:kern w:val="2"/>
      <w:sz w:val="21"/>
      <w:lang w:val="en-US" w:eastAsia="zh-CN" w:bidi="ar-SA"/>
    </w:rPr>
  </w:style>
  <w:style w:type="paragraph" w:customStyle="1" w:styleId="53">
    <w:name w:val="表正文"/>
    <w:basedOn w:val="1"/>
    <w:next w:val="21"/>
    <w:qFormat/>
    <w:uiPriority w:val="0"/>
    <w:rPr>
      <w:rFonts w:ascii="宋体" w:hAnsi="Courier New"/>
      <w:szCs w:val="20"/>
    </w:rPr>
  </w:style>
  <w:style w:type="paragraph" w:customStyle="1" w:styleId="54">
    <w:name w:val="正文段"/>
    <w:basedOn w:val="1"/>
    <w:link w:val="150"/>
    <w:qFormat/>
    <w:uiPriority w:val="0"/>
    <w:pPr>
      <w:widowControl/>
      <w:snapToGrid w:val="0"/>
      <w:spacing w:afterLines="50"/>
      <w:ind w:firstLine="200" w:firstLineChars="200"/>
    </w:pPr>
    <w:rPr>
      <w:kern w:val="0"/>
      <w:sz w:val="24"/>
      <w:szCs w:val="20"/>
    </w:rPr>
  </w:style>
  <w:style w:type="paragraph" w:customStyle="1" w:styleId="55">
    <w:name w:val="Char"/>
    <w:basedOn w:val="1"/>
    <w:qFormat/>
    <w:uiPriority w:val="0"/>
    <w:rPr>
      <w:rFonts w:ascii="仿宋_GB2312" w:eastAsia="仿宋_GB2312"/>
      <w:b/>
      <w:sz w:val="32"/>
      <w:szCs w:val="32"/>
    </w:rPr>
  </w:style>
  <w:style w:type="paragraph" w:customStyle="1" w:styleId="56">
    <w:name w:val="Table Text"/>
    <w:link w:val="57"/>
    <w:qFormat/>
    <w:uiPriority w:val="0"/>
    <w:pPr>
      <w:snapToGrid w:val="0"/>
      <w:spacing w:before="80" w:after="80"/>
    </w:pPr>
    <w:rPr>
      <w:rFonts w:ascii="Arial" w:hAnsi="Arial" w:eastAsia="宋体" w:cs="Times New Roman"/>
      <w:sz w:val="18"/>
      <w:lang w:val="en-US" w:eastAsia="zh-CN" w:bidi="ar-SA"/>
    </w:rPr>
  </w:style>
  <w:style w:type="character" w:customStyle="1" w:styleId="57">
    <w:name w:val="Table Text Char1"/>
    <w:basedOn w:val="41"/>
    <w:link w:val="56"/>
    <w:qFormat/>
    <w:uiPriority w:val="0"/>
    <w:rPr>
      <w:rFonts w:ascii="Arial" w:hAnsi="Arial"/>
      <w:sz w:val="18"/>
      <w:lang w:val="en-US" w:eastAsia="zh-CN" w:bidi="ar-SA"/>
    </w:rPr>
  </w:style>
  <w:style w:type="character" w:customStyle="1" w:styleId="58">
    <w:name w:val="正文（缩进2汉字） Char"/>
    <w:basedOn w:val="41"/>
    <w:link w:val="59"/>
    <w:qFormat/>
    <w:uiPriority w:val="0"/>
    <w:rPr>
      <w:rFonts w:ascii="宋体"/>
      <w:kern w:val="2"/>
      <w:sz w:val="21"/>
      <w:lang w:bidi="ar-SA"/>
    </w:rPr>
  </w:style>
  <w:style w:type="paragraph" w:customStyle="1" w:styleId="59">
    <w:name w:val="正文（缩进2汉字）"/>
    <w:basedOn w:val="1"/>
    <w:link w:val="58"/>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0">
    <w:name w:val="Char11"/>
    <w:basedOn w:val="1"/>
    <w:qFormat/>
    <w:uiPriority w:val="0"/>
    <w:pPr>
      <w:tabs>
        <w:tab w:val="left" w:pos="432"/>
      </w:tabs>
      <w:spacing w:beforeLines="50" w:afterLines="50"/>
      <w:ind w:left="432" w:hanging="432"/>
      <w:jc w:val="center"/>
    </w:pPr>
    <w:rPr>
      <w:sz w:val="24"/>
    </w:rPr>
  </w:style>
  <w:style w:type="paragraph" w:customStyle="1" w:styleId="61">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62">
    <w:name w:val="正文文本缩进 2 Char"/>
    <w:link w:val="23"/>
    <w:qFormat/>
    <w:locked/>
    <w:uiPriority w:val="0"/>
    <w:rPr>
      <w:rFonts w:eastAsia="宋体"/>
      <w:kern w:val="2"/>
      <w:sz w:val="21"/>
      <w:szCs w:val="24"/>
      <w:lang w:val="en-US" w:eastAsia="zh-CN" w:bidi="ar-SA"/>
    </w:rPr>
  </w:style>
  <w:style w:type="paragraph" w:customStyle="1" w:styleId="63">
    <w:name w:val="缺省文本"/>
    <w:basedOn w:val="1"/>
    <w:qFormat/>
    <w:uiPriority w:val="0"/>
    <w:pPr>
      <w:autoSpaceDE w:val="0"/>
      <w:autoSpaceDN w:val="0"/>
      <w:adjustRightInd w:val="0"/>
      <w:jc w:val="left"/>
    </w:pPr>
    <w:rPr>
      <w:kern w:val="0"/>
      <w:sz w:val="24"/>
    </w:rPr>
  </w:style>
  <w:style w:type="paragraph" w:customStyle="1" w:styleId="64">
    <w:name w:val="WW-正文文字缩进 2"/>
    <w:basedOn w:val="1"/>
    <w:qFormat/>
    <w:uiPriority w:val="0"/>
    <w:pPr>
      <w:suppressAutoHyphens/>
      <w:ind w:firstLine="420"/>
    </w:pPr>
    <w:rPr>
      <w:kern w:val="1"/>
      <w:szCs w:val="20"/>
    </w:rPr>
  </w:style>
  <w:style w:type="paragraph" w:customStyle="1" w:styleId="65">
    <w:name w:val="默认段落字体 Para Char Char Char Char Char Char Char Char Char1 Char Char Char Char"/>
    <w:basedOn w:val="1"/>
    <w:qFormat/>
    <w:uiPriority w:val="0"/>
    <w:rPr>
      <w:rFonts w:ascii="Tahoma" w:hAnsi="Tahoma"/>
      <w:sz w:val="24"/>
      <w:szCs w:val="20"/>
    </w:rPr>
  </w:style>
  <w:style w:type="character" w:customStyle="1" w:styleId="66">
    <w:name w:val="正文文本 Char"/>
    <w:link w:val="17"/>
    <w:qFormat/>
    <w:locked/>
    <w:uiPriority w:val="0"/>
    <w:rPr>
      <w:rFonts w:eastAsia="仿宋_GB2312"/>
      <w:kern w:val="2"/>
      <w:sz w:val="28"/>
      <w:szCs w:val="24"/>
      <w:lang w:val="en-US" w:eastAsia="zh-CN" w:bidi="ar-SA"/>
    </w:rPr>
  </w:style>
  <w:style w:type="paragraph" w:customStyle="1" w:styleId="67">
    <w:name w:val="项目排列"/>
    <w:basedOn w:val="1"/>
    <w:link w:val="68"/>
    <w:qFormat/>
    <w:uiPriority w:val="0"/>
    <w:pPr>
      <w:tabs>
        <w:tab w:val="left" w:pos="900"/>
      </w:tabs>
      <w:spacing w:beforeLines="50" w:afterLines="50" w:line="300" w:lineRule="auto"/>
      <w:ind w:left="900" w:hanging="420"/>
    </w:pPr>
    <w:rPr>
      <w:sz w:val="24"/>
    </w:rPr>
  </w:style>
  <w:style w:type="character" w:customStyle="1" w:styleId="68">
    <w:name w:val="项目排列 Char"/>
    <w:basedOn w:val="41"/>
    <w:link w:val="67"/>
    <w:qFormat/>
    <w:uiPriority w:val="0"/>
    <w:rPr>
      <w:kern w:val="2"/>
      <w:sz w:val="24"/>
      <w:szCs w:val="24"/>
    </w:rPr>
  </w:style>
  <w:style w:type="character" w:customStyle="1" w:styleId="69">
    <w:name w:val="style21"/>
    <w:basedOn w:val="41"/>
    <w:qFormat/>
    <w:uiPriority w:val="0"/>
    <w:rPr>
      <w:sz w:val="15"/>
      <w:szCs w:val="15"/>
    </w:rPr>
  </w:style>
  <w:style w:type="paragraph" w:customStyle="1" w:styleId="7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7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2">
    <w:name w:val="Char1"/>
    <w:basedOn w:val="1"/>
    <w:qFormat/>
    <w:uiPriority w:val="0"/>
    <w:rPr>
      <w:szCs w:val="20"/>
    </w:rPr>
  </w:style>
  <w:style w:type="paragraph" w:customStyle="1" w:styleId="73">
    <w:name w:val="列出段落1"/>
    <w:basedOn w:val="1"/>
    <w:qFormat/>
    <w:uiPriority w:val="0"/>
    <w:pPr>
      <w:ind w:firstLine="420" w:firstLineChars="200"/>
    </w:pPr>
    <w:rPr>
      <w:rFonts w:ascii="Calibri" w:hAnsi="Calibri"/>
      <w:szCs w:val="22"/>
    </w:rPr>
  </w:style>
  <w:style w:type="paragraph" w:customStyle="1" w:styleId="74">
    <w:name w:val="默认段落字体 Para Char Char Char Char"/>
    <w:basedOn w:val="1"/>
    <w:qFormat/>
    <w:uiPriority w:val="0"/>
  </w:style>
  <w:style w:type="paragraph" w:customStyle="1" w:styleId="75">
    <w:name w:val="Char Char Char1 Char Char Char1 Char Char Char Char"/>
    <w:basedOn w:val="1"/>
    <w:qFormat/>
    <w:uiPriority w:val="0"/>
  </w:style>
  <w:style w:type="character" w:customStyle="1" w:styleId="76">
    <w:name w:val="font1"/>
    <w:basedOn w:val="41"/>
    <w:qFormat/>
    <w:uiPriority w:val="0"/>
    <w:rPr>
      <w:color w:val="999999"/>
      <w:sz w:val="18"/>
      <w:szCs w:val="18"/>
      <w:u w:val="none"/>
    </w:rPr>
  </w:style>
  <w:style w:type="paragraph" w:customStyle="1" w:styleId="7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78">
    <w:name w:val="Char Char Char Char Char Char Char Char Char Char"/>
    <w:basedOn w:val="1"/>
    <w:qFormat/>
    <w:uiPriority w:val="0"/>
    <w:rPr>
      <w:rFonts w:ascii="Tahoma" w:hAnsi="Tahoma"/>
      <w:sz w:val="24"/>
      <w:szCs w:val="20"/>
    </w:rPr>
  </w:style>
  <w:style w:type="character" w:customStyle="1" w:styleId="79">
    <w:name w:val="apple-style-span"/>
    <w:basedOn w:val="41"/>
    <w:qFormat/>
    <w:uiPriority w:val="0"/>
  </w:style>
  <w:style w:type="paragraph" w:customStyle="1" w:styleId="80">
    <w:name w:val="正文无缩进"/>
    <w:basedOn w:val="1"/>
    <w:link w:val="81"/>
    <w:qFormat/>
    <w:uiPriority w:val="0"/>
    <w:pPr>
      <w:spacing w:line="360" w:lineRule="auto"/>
    </w:pPr>
    <w:rPr>
      <w:rFonts w:ascii="宋体"/>
      <w:color w:val="000000"/>
      <w:sz w:val="24"/>
    </w:rPr>
  </w:style>
  <w:style w:type="character" w:customStyle="1" w:styleId="81">
    <w:name w:val="正文无缩进 Char"/>
    <w:basedOn w:val="41"/>
    <w:link w:val="80"/>
    <w:qFormat/>
    <w:uiPriority w:val="0"/>
    <w:rPr>
      <w:rFonts w:ascii="宋体" w:eastAsia="宋体"/>
      <w:color w:val="000000"/>
      <w:kern w:val="2"/>
      <w:sz w:val="24"/>
      <w:szCs w:val="24"/>
      <w:lang w:val="en-US" w:eastAsia="zh-CN" w:bidi="ar-SA"/>
    </w:rPr>
  </w:style>
  <w:style w:type="paragraph" w:customStyle="1" w:styleId="8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3">
    <w:name w:val="ca-3"/>
    <w:basedOn w:val="41"/>
    <w:qFormat/>
    <w:uiPriority w:val="0"/>
  </w:style>
  <w:style w:type="paragraph" w:customStyle="1" w:styleId="8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5">
    <w:name w:val="表格 Char Char"/>
    <w:link w:val="86"/>
    <w:qFormat/>
    <w:locked/>
    <w:uiPriority w:val="0"/>
    <w:rPr>
      <w:rFonts w:ascii="宋体" w:hAnsi="宋体" w:eastAsia="宋体"/>
      <w:lang w:val="en-US" w:eastAsia="zh-CN" w:bidi="ar-SA"/>
    </w:rPr>
  </w:style>
  <w:style w:type="paragraph" w:customStyle="1" w:styleId="86">
    <w:name w:val="表格"/>
    <w:basedOn w:val="1"/>
    <w:link w:val="85"/>
    <w:qFormat/>
    <w:uiPriority w:val="0"/>
    <w:pPr>
      <w:snapToGrid w:val="0"/>
      <w:ind w:firstLine="42" w:firstLineChars="21"/>
    </w:pPr>
    <w:rPr>
      <w:rFonts w:ascii="宋体" w:hAnsi="宋体"/>
      <w:kern w:val="0"/>
      <w:sz w:val="20"/>
      <w:szCs w:val="20"/>
    </w:rPr>
  </w:style>
  <w:style w:type="paragraph" w:customStyle="1" w:styleId="8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88">
    <w:name w:val="Char Char1 Char Char Char Char Char Char"/>
    <w:basedOn w:val="1"/>
    <w:qFormat/>
    <w:uiPriority w:val="0"/>
    <w:pPr>
      <w:widowControl/>
      <w:spacing w:after="160" w:line="240" w:lineRule="exact"/>
      <w:jc w:val="left"/>
    </w:pPr>
  </w:style>
  <w:style w:type="character" w:customStyle="1" w:styleId="89">
    <w:name w:val="Char Char"/>
    <w:qFormat/>
    <w:uiPriority w:val="0"/>
    <w:rPr>
      <w:rFonts w:hint="eastAsia" w:ascii="宋体" w:hAnsi="Courier New" w:eastAsia="宋体"/>
      <w:kern w:val="2"/>
      <w:sz w:val="21"/>
      <w:lang w:val="en-US" w:eastAsia="zh-CN" w:bidi="ar-SA"/>
    </w:rPr>
  </w:style>
  <w:style w:type="character" w:customStyle="1" w:styleId="90">
    <w:name w:val="style51"/>
    <w:basedOn w:val="41"/>
    <w:qFormat/>
    <w:uiPriority w:val="0"/>
    <w:rPr>
      <w:sz w:val="21"/>
      <w:szCs w:val="21"/>
    </w:rPr>
  </w:style>
  <w:style w:type="paragraph" w:customStyle="1" w:styleId="9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92">
    <w:name w:val="标准文本"/>
    <w:basedOn w:val="1"/>
    <w:link w:val="93"/>
    <w:qFormat/>
    <w:uiPriority w:val="0"/>
    <w:pPr>
      <w:spacing w:line="360" w:lineRule="auto"/>
      <w:ind w:firstLine="480" w:firstLineChars="200"/>
    </w:pPr>
    <w:rPr>
      <w:rFonts w:cs="宋体"/>
      <w:sz w:val="24"/>
      <w:szCs w:val="20"/>
    </w:rPr>
  </w:style>
  <w:style w:type="character" w:customStyle="1" w:styleId="93">
    <w:name w:val="标准文本 Char"/>
    <w:basedOn w:val="41"/>
    <w:link w:val="92"/>
    <w:qFormat/>
    <w:uiPriority w:val="0"/>
    <w:rPr>
      <w:rFonts w:eastAsia="宋体" w:cs="宋体"/>
      <w:kern w:val="2"/>
      <w:sz w:val="24"/>
      <w:lang w:val="en-US" w:eastAsia="zh-CN" w:bidi="ar-SA"/>
    </w:rPr>
  </w:style>
  <w:style w:type="paragraph" w:customStyle="1" w:styleId="9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5">
    <w:name w:val="自定义正文"/>
    <w:basedOn w:val="1"/>
    <w:link w:val="96"/>
    <w:qFormat/>
    <w:uiPriority w:val="0"/>
    <w:pPr>
      <w:spacing w:line="480" w:lineRule="exact"/>
      <w:ind w:firstLine="200" w:firstLineChars="200"/>
      <w:jc w:val="left"/>
    </w:pPr>
    <w:rPr>
      <w:rFonts w:ascii="仿宋_GB2312" w:eastAsia="仿宋_GB2312"/>
      <w:sz w:val="28"/>
    </w:rPr>
  </w:style>
  <w:style w:type="character" w:customStyle="1" w:styleId="96">
    <w:name w:val="自定义正文 Char"/>
    <w:basedOn w:val="41"/>
    <w:link w:val="95"/>
    <w:qFormat/>
    <w:uiPriority w:val="0"/>
    <w:rPr>
      <w:rFonts w:ascii="仿宋_GB2312" w:eastAsia="仿宋_GB2312"/>
      <w:kern w:val="2"/>
      <w:sz w:val="28"/>
      <w:szCs w:val="24"/>
      <w:lang w:val="en-US" w:eastAsia="zh-CN" w:bidi="ar-SA"/>
    </w:rPr>
  </w:style>
  <w:style w:type="paragraph" w:customStyle="1" w:styleId="9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98">
    <w:name w:val="自定义表格文字"/>
    <w:basedOn w:val="1"/>
    <w:qFormat/>
    <w:uiPriority w:val="0"/>
    <w:pPr>
      <w:spacing w:before="60" w:after="60" w:line="320" w:lineRule="exact"/>
      <w:jc w:val="left"/>
    </w:pPr>
    <w:rPr>
      <w:rFonts w:ascii="宋体" w:eastAsia="楷体_GB2312"/>
    </w:rPr>
  </w:style>
  <w:style w:type="paragraph" w:customStyle="1" w:styleId="9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0">
    <w:name w:val="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01">
    <w:name w:val="正文文本缩进 Char"/>
    <w:link w:val="18"/>
    <w:qFormat/>
    <w:uiPriority w:val="0"/>
    <w:rPr>
      <w:rFonts w:eastAsia="宋体"/>
      <w:kern w:val="2"/>
      <w:sz w:val="21"/>
      <w:szCs w:val="24"/>
      <w:lang w:val="en-US" w:eastAsia="zh-CN" w:bidi="ar-SA"/>
    </w:rPr>
  </w:style>
  <w:style w:type="character" w:customStyle="1" w:styleId="102">
    <w:name w:val="Char Char1"/>
    <w:qFormat/>
    <w:uiPriority w:val="0"/>
    <w:rPr>
      <w:rFonts w:ascii="宋体" w:hAnsi="Courier New" w:eastAsia="宋体"/>
      <w:kern w:val="2"/>
      <w:sz w:val="21"/>
      <w:lang w:val="en-US" w:eastAsia="zh-CN" w:bidi="ar-SA"/>
    </w:rPr>
  </w:style>
  <w:style w:type="paragraph" w:customStyle="1" w:styleId="103">
    <w:name w:val="Char Char Char Char1"/>
    <w:basedOn w:val="1"/>
    <w:qFormat/>
    <w:uiPriority w:val="0"/>
    <w:rPr>
      <w:rFonts w:ascii="Tahoma" w:hAnsi="Tahoma"/>
      <w:sz w:val="24"/>
      <w:szCs w:val="20"/>
    </w:rPr>
  </w:style>
  <w:style w:type="character" w:customStyle="1" w:styleId="104">
    <w:name w:val="标题 2 Char"/>
    <w:link w:val="3"/>
    <w:qFormat/>
    <w:uiPriority w:val="0"/>
    <w:rPr>
      <w:rFonts w:ascii="Arial" w:hAnsi="Arial" w:eastAsia="黑体"/>
      <w:b/>
      <w:kern w:val="2"/>
      <w:sz w:val="32"/>
      <w:lang w:val="en-US" w:eastAsia="zh-CN" w:bidi="ar-SA"/>
    </w:rPr>
  </w:style>
  <w:style w:type="character" w:customStyle="1" w:styleId="105">
    <w:name w:val="标题 3 Char"/>
    <w:link w:val="4"/>
    <w:qFormat/>
    <w:uiPriority w:val="0"/>
    <w:rPr>
      <w:rFonts w:eastAsia="仿宋_GB2312"/>
      <w:b/>
      <w:kern w:val="2"/>
      <w:sz w:val="32"/>
      <w:lang w:val="en-US" w:eastAsia="zh-CN" w:bidi="ar-SA"/>
    </w:rPr>
  </w:style>
  <w:style w:type="character" w:customStyle="1" w:styleId="106">
    <w:name w:val="H4 Char"/>
    <w:qFormat/>
    <w:uiPriority w:val="0"/>
    <w:rPr>
      <w:rFonts w:ascii="宋体" w:hAnsi="宋体" w:eastAsia="黑体"/>
      <w:b/>
      <w:bCs/>
      <w:color w:val="000000"/>
      <w:spacing w:val="-4"/>
      <w:kern w:val="2"/>
      <w:sz w:val="24"/>
      <w:szCs w:val="30"/>
      <w:lang w:val="en-US" w:eastAsia="zh-CN" w:bidi="ar-SA"/>
    </w:rPr>
  </w:style>
  <w:style w:type="character" w:customStyle="1" w:styleId="107">
    <w:name w:val="H5 Char"/>
    <w:qFormat/>
    <w:uiPriority w:val="0"/>
    <w:rPr>
      <w:rFonts w:ascii="Arial" w:hAnsi="Arial" w:eastAsia="宋体"/>
      <w:sz w:val="24"/>
      <w:lang w:val="en-US" w:eastAsia="zh-CN" w:bidi="ar-SA"/>
    </w:rPr>
  </w:style>
  <w:style w:type="character" w:customStyle="1" w:styleId="108">
    <w:name w:val="标题 6 Char"/>
    <w:link w:val="8"/>
    <w:qFormat/>
    <w:uiPriority w:val="0"/>
    <w:rPr>
      <w:rFonts w:ascii="宋体" w:hAnsi="Arial" w:eastAsia="宋体"/>
      <w:sz w:val="24"/>
      <w:lang w:val="en-US" w:eastAsia="zh-CN" w:bidi="ar-SA"/>
    </w:rPr>
  </w:style>
  <w:style w:type="character" w:customStyle="1" w:styleId="109">
    <w:name w:val="标题 7 Char"/>
    <w:link w:val="9"/>
    <w:qFormat/>
    <w:uiPriority w:val="0"/>
    <w:rPr>
      <w:rFonts w:ascii="宋体" w:hAnsi="Arial" w:eastAsia="宋体"/>
      <w:b/>
      <w:sz w:val="24"/>
      <w:lang w:val="en-US" w:eastAsia="zh-CN" w:bidi="ar-SA"/>
    </w:rPr>
  </w:style>
  <w:style w:type="character" w:customStyle="1" w:styleId="110">
    <w:name w:val="标题 8 Char"/>
    <w:link w:val="10"/>
    <w:qFormat/>
    <w:uiPriority w:val="0"/>
    <w:rPr>
      <w:rFonts w:ascii="Arial" w:hAnsi="Arial" w:eastAsia="黑体"/>
      <w:sz w:val="24"/>
      <w:lang w:val="en-US" w:eastAsia="zh-CN" w:bidi="ar-SA"/>
    </w:rPr>
  </w:style>
  <w:style w:type="character" w:customStyle="1" w:styleId="111">
    <w:name w:val="标题 9 Char"/>
    <w:link w:val="11"/>
    <w:qFormat/>
    <w:uiPriority w:val="0"/>
    <w:rPr>
      <w:rFonts w:ascii="Arial" w:hAnsi="Arial" w:eastAsia="黑体"/>
      <w:sz w:val="24"/>
      <w:lang w:val="en-US" w:eastAsia="zh-CN" w:bidi="ar-SA"/>
    </w:rPr>
  </w:style>
  <w:style w:type="character" w:customStyle="1" w:styleId="112">
    <w:name w:val="日期 Char"/>
    <w:link w:val="22"/>
    <w:qFormat/>
    <w:uiPriority w:val="0"/>
    <w:rPr>
      <w:rFonts w:ascii="楷体_GB2312" w:eastAsia="楷体_GB2312"/>
      <w:b/>
      <w:kern w:val="2"/>
      <w:sz w:val="28"/>
      <w:lang w:val="en-US" w:eastAsia="zh-CN" w:bidi="ar-SA"/>
    </w:rPr>
  </w:style>
  <w:style w:type="character" w:customStyle="1" w:styleId="113">
    <w:name w:val="Char Char8"/>
    <w:qFormat/>
    <w:uiPriority w:val="0"/>
    <w:rPr>
      <w:rFonts w:ascii="宋体" w:eastAsia="宋体"/>
      <w:kern w:val="2"/>
      <w:sz w:val="28"/>
      <w:lang w:val="en-US" w:eastAsia="zh-CN" w:bidi="ar-SA"/>
    </w:rPr>
  </w:style>
  <w:style w:type="character" w:customStyle="1" w:styleId="114">
    <w:name w:val="Char Char7"/>
    <w:qFormat/>
    <w:uiPriority w:val="0"/>
    <w:rPr>
      <w:rFonts w:eastAsia="仿宋_GB2312"/>
      <w:kern w:val="2"/>
      <w:sz w:val="24"/>
      <w:szCs w:val="24"/>
      <w:lang w:val="en-US" w:eastAsia="zh-CN" w:bidi="ar-SA"/>
    </w:rPr>
  </w:style>
  <w:style w:type="paragraph" w:customStyle="1" w:styleId="115">
    <w:name w:val="表内文字"/>
    <w:basedOn w:val="1"/>
    <w:qFormat/>
    <w:uiPriority w:val="0"/>
    <w:pPr>
      <w:jc w:val="center"/>
    </w:pPr>
    <w:rPr>
      <w:color w:val="FF0000"/>
      <w:kern w:val="0"/>
      <w:sz w:val="24"/>
    </w:rPr>
  </w:style>
  <w:style w:type="character" w:customStyle="1" w:styleId="116">
    <w:name w:val="页眉 Char"/>
    <w:link w:val="26"/>
    <w:qFormat/>
    <w:uiPriority w:val="99"/>
    <w:rPr>
      <w:rFonts w:eastAsia="宋体"/>
      <w:kern w:val="2"/>
      <w:sz w:val="18"/>
      <w:szCs w:val="18"/>
      <w:lang w:val="en-US" w:eastAsia="zh-CN" w:bidi="ar-SA"/>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3"/>
    <w:qFormat/>
    <w:uiPriority w:val="0"/>
    <w:rPr>
      <w:rFonts w:eastAsia="仿宋_GB2312"/>
      <w:kern w:val="2"/>
      <w:sz w:val="28"/>
      <w:szCs w:val="24"/>
      <w:lang w:val="en-US" w:eastAsia="zh-CN" w:bidi="ar-SA"/>
    </w:rPr>
  </w:style>
  <w:style w:type="character" w:customStyle="1" w:styleId="119">
    <w:name w:val="批注文字 Char"/>
    <w:link w:val="16"/>
    <w:semiHidden/>
    <w:qFormat/>
    <w:uiPriority w:val="0"/>
    <w:rPr>
      <w:rFonts w:eastAsia="宋体"/>
      <w:kern w:val="2"/>
      <w:sz w:val="21"/>
      <w:szCs w:val="24"/>
      <w:lang w:val="en-US" w:eastAsia="zh-CN" w:bidi="ar-SA"/>
    </w:rPr>
  </w:style>
  <w:style w:type="paragraph" w:customStyle="1" w:styleId="120">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1">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2">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3">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4">
    <w:name w:val="正文文本 2 Char"/>
    <w:link w:val="31"/>
    <w:qFormat/>
    <w:uiPriority w:val="0"/>
    <w:rPr>
      <w:rFonts w:ascii="隶书" w:eastAsia="隶书"/>
      <w:bCs/>
      <w:sz w:val="72"/>
      <w:szCs w:val="84"/>
      <w:lang w:val="en-US" w:eastAsia="zh-CN" w:bidi="ar-SA"/>
    </w:rPr>
  </w:style>
  <w:style w:type="paragraph" w:customStyle="1" w:styleId="125">
    <w:name w:val="项目1"/>
    <w:basedOn w:val="1"/>
    <w:qFormat/>
    <w:uiPriority w:val="0"/>
    <w:pPr>
      <w:tabs>
        <w:tab w:val="left" w:pos="840"/>
      </w:tabs>
      <w:spacing w:after="60"/>
      <w:ind w:left="840" w:hanging="420"/>
    </w:pPr>
    <w:rPr>
      <w:rFonts w:ascii="宋体"/>
      <w:spacing w:val="4"/>
      <w:szCs w:val="20"/>
    </w:rPr>
  </w:style>
  <w:style w:type="paragraph" w:customStyle="1" w:styleId="126">
    <w:name w:val="编10号"/>
    <w:basedOn w:val="1"/>
    <w:qFormat/>
    <w:uiPriority w:val="0"/>
    <w:pPr>
      <w:numPr>
        <w:ilvl w:val="3"/>
        <w:numId w:val="6"/>
      </w:numPr>
    </w:pPr>
  </w:style>
  <w:style w:type="paragraph" w:customStyle="1" w:styleId="127">
    <w:name w:val="段"/>
    <w:basedOn w:val="1"/>
    <w:qFormat/>
    <w:uiPriority w:val="0"/>
    <w:pPr>
      <w:ind w:firstLine="425"/>
    </w:pPr>
    <w:rPr>
      <w:rFonts w:ascii="宋体"/>
      <w:szCs w:val="20"/>
    </w:rPr>
  </w:style>
  <w:style w:type="paragraph" w:customStyle="1" w:styleId="128">
    <w:name w:val="Char Char Char Char"/>
    <w:basedOn w:val="1"/>
    <w:qFormat/>
    <w:uiPriority w:val="0"/>
    <w:pPr>
      <w:widowControl/>
      <w:spacing w:after="160" w:line="240" w:lineRule="exact"/>
      <w:jc w:val="left"/>
    </w:pPr>
    <w:rPr>
      <w:kern w:val="0"/>
      <w:sz w:val="24"/>
    </w:rPr>
  </w:style>
  <w:style w:type="paragraph" w:customStyle="1" w:styleId="129">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0">
    <w:name w:val="bulletintext1"/>
    <w:qFormat/>
    <w:uiPriority w:val="0"/>
    <w:rPr>
      <w:rFonts w:hint="eastAsia" w:ascii="宋体" w:hAnsi="宋体" w:eastAsia="宋体"/>
      <w:sz w:val="18"/>
      <w:szCs w:val="18"/>
    </w:rPr>
  </w:style>
  <w:style w:type="paragraph" w:customStyle="1" w:styleId="131">
    <w:name w:val="Char1 Char Char Char Char Char Char"/>
    <w:basedOn w:val="1"/>
    <w:qFormat/>
    <w:uiPriority w:val="0"/>
    <w:rPr>
      <w:rFonts w:ascii="Tahoma" w:hAnsi="Tahoma"/>
      <w:sz w:val="24"/>
      <w:szCs w:val="20"/>
    </w:rPr>
  </w:style>
  <w:style w:type="paragraph" w:customStyle="1" w:styleId="132">
    <w:name w:val="Char Char2 Char Char Char Char"/>
    <w:basedOn w:val="15"/>
    <w:qFormat/>
    <w:uiPriority w:val="0"/>
    <w:rPr>
      <w:rFonts w:ascii="Tahoma" w:hAnsi="Tahoma"/>
      <w:sz w:val="24"/>
    </w:rPr>
  </w:style>
  <w:style w:type="paragraph" w:customStyle="1" w:styleId="133">
    <w:name w:val="Char Char Char"/>
    <w:basedOn w:val="15"/>
    <w:qFormat/>
    <w:uiPriority w:val="0"/>
    <w:rPr>
      <w:rFonts w:ascii="Tahoma" w:hAnsi="Tahoma"/>
      <w:sz w:val="24"/>
    </w:rPr>
  </w:style>
  <w:style w:type="paragraph" w:customStyle="1" w:styleId="134">
    <w:name w:val="正文缩进 New"/>
    <w:basedOn w:val="1"/>
    <w:qFormat/>
    <w:uiPriority w:val="0"/>
    <w:pPr>
      <w:ind w:firstLine="420" w:firstLineChars="200"/>
    </w:pPr>
    <w:rPr>
      <w:szCs w:val="20"/>
    </w:rPr>
  </w:style>
  <w:style w:type="paragraph" w:customStyle="1" w:styleId="135">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6">
    <w:name w:val="tpc_content1"/>
    <w:qFormat/>
    <w:uiPriority w:val="0"/>
    <w:rPr>
      <w:sz w:val="20"/>
      <w:szCs w:val="20"/>
    </w:rPr>
  </w:style>
  <w:style w:type="character" w:customStyle="1" w:styleId="137">
    <w:name w:val="Char Char11"/>
    <w:qFormat/>
    <w:uiPriority w:val="0"/>
    <w:rPr>
      <w:b/>
      <w:kern w:val="44"/>
      <w:sz w:val="44"/>
    </w:rPr>
  </w:style>
  <w:style w:type="character" w:customStyle="1" w:styleId="138">
    <w:name w:val="Char Char10"/>
    <w:qFormat/>
    <w:uiPriority w:val="0"/>
    <w:rPr>
      <w:b/>
      <w:kern w:val="2"/>
      <w:sz w:val="28"/>
      <w:szCs w:val="28"/>
    </w:rPr>
  </w:style>
  <w:style w:type="character" w:customStyle="1" w:styleId="139">
    <w:name w:val="Char Char9"/>
    <w:qFormat/>
    <w:uiPriority w:val="0"/>
    <w:rPr>
      <w:b/>
      <w:kern w:val="2"/>
      <w:sz w:val="24"/>
      <w:szCs w:val="24"/>
    </w:rPr>
  </w:style>
  <w:style w:type="paragraph" w:customStyle="1" w:styleId="140">
    <w:name w:val="Char Char Char 字元 字元"/>
    <w:basedOn w:val="1"/>
    <w:qFormat/>
    <w:uiPriority w:val="0"/>
    <w:pPr>
      <w:spacing w:line="360" w:lineRule="auto"/>
      <w:ind w:firstLine="200" w:firstLineChars="200"/>
    </w:pPr>
    <w:rPr>
      <w:szCs w:val="20"/>
    </w:rPr>
  </w:style>
  <w:style w:type="paragraph" w:customStyle="1" w:styleId="141">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2">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3">
    <w:name w:val="style11"/>
    <w:basedOn w:val="41"/>
    <w:qFormat/>
    <w:uiPriority w:val="0"/>
    <w:rPr>
      <w:b/>
      <w:bCs/>
      <w:color w:val="FF0000"/>
    </w:rPr>
  </w:style>
  <w:style w:type="character" w:customStyle="1" w:styleId="144">
    <w:name w:val="info"/>
    <w:basedOn w:val="41"/>
    <w:qFormat/>
    <w:uiPriority w:val="0"/>
  </w:style>
  <w:style w:type="paragraph" w:customStyle="1" w:styleId="145">
    <w:name w:val="样式 正文缩进 + 首行缩进:  2 字符"/>
    <w:basedOn w:val="5"/>
    <w:link w:val="146"/>
    <w:qFormat/>
    <w:uiPriority w:val="0"/>
    <w:pPr>
      <w:spacing w:line="360" w:lineRule="auto"/>
      <w:ind w:firstLine="480"/>
    </w:pPr>
    <w:rPr>
      <w:rFonts w:ascii="宋体" w:hAnsi="宋体"/>
      <w:color w:val="000000"/>
      <w:kern w:val="0"/>
      <w:sz w:val="24"/>
      <w:szCs w:val="20"/>
    </w:rPr>
  </w:style>
  <w:style w:type="character" w:customStyle="1" w:styleId="146">
    <w:name w:val="样式 正文缩进 + 首行缩进:  2 字符 Char"/>
    <w:link w:val="145"/>
    <w:qFormat/>
    <w:locked/>
    <w:uiPriority w:val="0"/>
    <w:rPr>
      <w:rFonts w:ascii="宋体" w:hAnsi="宋体" w:eastAsia="宋体"/>
      <w:color w:val="000000"/>
      <w:sz w:val="24"/>
      <w:lang w:bidi="ar-SA"/>
    </w:rPr>
  </w:style>
  <w:style w:type="paragraph" w:customStyle="1" w:styleId="147">
    <w:name w:val="正文2"/>
    <w:basedOn w:val="1"/>
    <w:link w:val="148"/>
    <w:qFormat/>
    <w:uiPriority w:val="0"/>
    <w:pPr>
      <w:spacing w:before="156" w:line="360" w:lineRule="auto"/>
      <w:ind w:firstLine="510" w:firstLineChars="200"/>
    </w:pPr>
    <w:rPr>
      <w:sz w:val="24"/>
      <w:szCs w:val="20"/>
    </w:rPr>
  </w:style>
  <w:style w:type="character" w:customStyle="1" w:styleId="148">
    <w:name w:val="正文2 Char"/>
    <w:link w:val="147"/>
    <w:qFormat/>
    <w:uiPriority w:val="0"/>
    <w:rPr>
      <w:rFonts w:eastAsia="宋体"/>
      <w:kern w:val="2"/>
      <w:sz w:val="24"/>
      <w:lang w:val="en-US" w:eastAsia="zh-CN" w:bidi="ar-SA"/>
    </w:rPr>
  </w:style>
  <w:style w:type="paragraph" w:customStyle="1" w:styleId="149">
    <w:name w:val="p0"/>
    <w:basedOn w:val="1"/>
    <w:qFormat/>
    <w:uiPriority w:val="0"/>
    <w:pPr>
      <w:widowControl/>
    </w:pPr>
    <w:rPr>
      <w:kern w:val="0"/>
      <w:szCs w:val="21"/>
    </w:rPr>
  </w:style>
  <w:style w:type="character" w:customStyle="1" w:styleId="150">
    <w:name w:val="正文段 Char"/>
    <w:link w:val="54"/>
    <w:qFormat/>
    <w:uiPriority w:val="0"/>
    <w:rPr>
      <w:rFonts w:eastAsia="宋体"/>
      <w:sz w:val="24"/>
      <w:lang w:val="en-US" w:eastAsia="zh-CN" w:bidi="ar-SA"/>
    </w:rPr>
  </w:style>
  <w:style w:type="paragraph" w:customStyle="1" w:styleId="15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5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55">
    <w:name w:val="日期 Char2"/>
    <w:qFormat/>
    <w:uiPriority w:val="0"/>
    <w:rPr>
      <w:rFonts w:ascii="楷体_GB2312" w:eastAsia="楷体_GB2312"/>
      <w:b/>
      <w:kern w:val="2"/>
      <w:sz w:val="28"/>
      <w:lang w:val="en-US" w:eastAsia="zh-CN" w:bidi="ar-SA"/>
    </w:rPr>
  </w:style>
  <w:style w:type="character" w:customStyle="1" w:styleId="156">
    <w:name w:val="页脚 Char"/>
    <w:link w:val="25"/>
    <w:qFormat/>
    <w:uiPriority w:val="99"/>
    <w:rPr>
      <w:kern w:val="2"/>
      <w:sz w:val="18"/>
      <w:szCs w:val="18"/>
    </w:rPr>
  </w:style>
  <w:style w:type="character" w:customStyle="1" w:styleId="157">
    <w:name w:val="批注框文本 Char"/>
    <w:link w:val="24"/>
    <w:semiHidden/>
    <w:qFormat/>
    <w:uiPriority w:val="99"/>
    <w:rPr>
      <w:kern w:val="2"/>
      <w:sz w:val="18"/>
      <w:szCs w:val="18"/>
    </w:rPr>
  </w:style>
  <w:style w:type="character" w:customStyle="1" w:styleId="158">
    <w:name w:val="正文文本 2 Char1"/>
    <w:qFormat/>
    <w:uiPriority w:val="0"/>
    <w:rPr>
      <w:rFonts w:ascii="隶书" w:eastAsia="隶书"/>
      <w:bCs/>
      <w:sz w:val="72"/>
      <w:szCs w:val="84"/>
      <w:lang w:val="en-US" w:eastAsia="zh-CN" w:bidi="ar-SA"/>
    </w:rPr>
  </w:style>
  <w:style w:type="character" w:customStyle="1" w:styleId="159">
    <w:name w:val="普通文字 Char Char Char2"/>
    <w:qFormat/>
    <w:uiPriority w:val="0"/>
    <w:rPr>
      <w:rFonts w:ascii="宋体" w:hAnsi="Courier New" w:eastAsia="宋体"/>
      <w:kern w:val="2"/>
      <w:sz w:val="21"/>
      <w:lang w:val="en-US" w:eastAsia="zh-CN" w:bidi="ar-SA"/>
    </w:rPr>
  </w:style>
  <w:style w:type="character" w:customStyle="1" w:styleId="160">
    <w:name w:val="font11"/>
    <w:qFormat/>
    <w:uiPriority w:val="0"/>
    <w:rPr>
      <w:rFonts w:hint="eastAsia" w:ascii="宋体" w:hAnsi="宋体" w:eastAsia="宋体" w:cs="宋体"/>
      <w:color w:val="000000"/>
      <w:sz w:val="20"/>
      <w:szCs w:val="20"/>
      <w:u w:val="none"/>
    </w:rPr>
  </w:style>
  <w:style w:type="character" w:customStyle="1" w:styleId="161">
    <w:name w:val="font51"/>
    <w:qFormat/>
    <w:uiPriority w:val="0"/>
    <w:rPr>
      <w:rFonts w:hint="eastAsia" w:ascii="宋体" w:hAnsi="宋体" w:eastAsia="宋体" w:cs="宋体"/>
      <w:color w:val="000000"/>
      <w:sz w:val="22"/>
      <w:szCs w:val="22"/>
      <w:u w:val="none"/>
    </w:rPr>
  </w:style>
  <w:style w:type="character" w:customStyle="1" w:styleId="162">
    <w:name w:val="font41"/>
    <w:qFormat/>
    <w:uiPriority w:val="0"/>
    <w:rPr>
      <w:rFonts w:hint="eastAsia" w:ascii="宋体" w:hAnsi="宋体" w:eastAsia="宋体" w:cs="宋体"/>
      <w:color w:val="000000"/>
      <w:sz w:val="22"/>
      <w:szCs w:val="22"/>
      <w:u w:val="none"/>
    </w:rPr>
  </w:style>
  <w:style w:type="paragraph" w:customStyle="1" w:styleId="163">
    <w:name w:val="_Style 2"/>
    <w:basedOn w:val="1"/>
    <w:qFormat/>
    <w:uiPriority w:val="0"/>
    <w:pPr>
      <w:widowControl/>
      <w:ind w:firstLine="420"/>
    </w:pPr>
    <w:rPr>
      <w:rFonts w:ascii="Calibri" w:hAnsi="Calibri" w:eastAsia="Calibri"/>
      <w:kern w:val="0"/>
      <w:sz w:val="20"/>
      <w:szCs w:val="20"/>
    </w:rPr>
  </w:style>
  <w:style w:type="paragraph" w:customStyle="1" w:styleId="164">
    <w:name w:val="标准投标正文"/>
    <w:basedOn w:val="1"/>
    <w:qFormat/>
    <w:uiPriority w:val="0"/>
    <w:pPr>
      <w:snapToGrid w:val="0"/>
      <w:spacing w:line="360" w:lineRule="auto"/>
      <w:ind w:firstLine="200" w:firstLineChars="200"/>
      <w:jc w:val="left"/>
    </w:pPr>
    <w:rPr>
      <w:sz w:val="24"/>
    </w:rPr>
  </w:style>
  <w:style w:type="paragraph" w:customStyle="1" w:styleId="165">
    <w:name w:val="*正文"/>
    <w:basedOn w:val="1"/>
    <w:qFormat/>
    <w:uiPriority w:val="0"/>
    <w:pPr>
      <w:spacing w:line="360" w:lineRule="auto"/>
      <w:ind w:firstLine="482"/>
    </w:pPr>
    <w:rPr>
      <w:rFonts w:ascii="宋体" w:hAnsi="宋体"/>
      <w:kern w:val="0"/>
      <w:sz w:val="24"/>
      <w:szCs w:val="20"/>
      <w:shd w:val="clear" w:color="auto" w:fill="FFFFFF"/>
    </w:rPr>
  </w:style>
  <w:style w:type="character" w:customStyle="1" w:styleId="166">
    <w:name w:val="font01"/>
    <w:basedOn w:val="41"/>
    <w:qFormat/>
    <w:uiPriority w:val="0"/>
    <w:rPr>
      <w:rFonts w:hint="eastAsia" w:ascii="宋体" w:hAnsi="宋体" w:eastAsia="宋体" w:cs="宋体"/>
      <w:color w:val="000000"/>
      <w:sz w:val="24"/>
      <w:szCs w:val="24"/>
      <w:u w:val="none"/>
    </w:rPr>
  </w:style>
  <w:style w:type="character" w:customStyle="1" w:styleId="167">
    <w:name w:val="正文首行缩进 Char"/>
    <w:basedOn w:val="41"/>
    <w:link w:val="37"/>
    <w:qFormat/>
    <w:uiPriority w:val="0"/>
    <w:rPr>
      <w:rFonts w:ascii="Times New Roman" w:hAnsi="Times New Roman"/>
      <w:kern w:val="2"/>
      <w:sz w:val="21"/>
      <w:szCs w:val="24"/>
    </w:rPr>
  </w:style>
  <w:style w:type="character" w:customStyle="1" w:styleId="168">
    <w:name w:val="NormalCharacter"/>
    <w:qFormat/>
    <w:uiPriority w:val="0"/>
  </w:style>
  <w:style w:type="paragraph" w:customStyle="1" w:styleId="169">
    <w:name w:val="1"/>
    <w:basedOn w:val="1"/>
    <w:next w:val="71"/>
    <w:qFormat/>
    <w:uiPriority w:val="34"/>
    <w:pPr>
      <w:spacing w:line="360" w:lineRule="auto"/>
      <w:ind w:firstLine="420" w:firstLineChars="200"/>
    </w:pPr>
    <w:rPr>
      <w:rFonts w:ascii="Verdana" w:hAnsi="Verdana"/>
    </w:rPr>
  </w:style>
  <w:style w:type="paragraph" w:customStyle="1" w:styleId="170">
    <w:name w:val="U_正文2"/>
    <w:basedOn w:val="1"/>
    <w:qFormat/>
    <w:uiPriority w:val="0"/>
    <w:pPr>
      <w:spacing w:beforeLines="10" w:after="200" w:afterLines="10" w:line="300" w:lineRule="auto"/>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35A948-E00F-4A97-83B0-D33FA2AED260}">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69</Pages>
  <Words>7004</Words>
  <Characters>39926</Characters>
  <Lines>332</Lines>
  <Paragraphs>93</Paragraphs>
  <TotalTime>242</TotalTime>
  <ScaleCrop>false</ScaleCrop>
  <LinksUpToDate>false</LinksUpToDate>
  <CharactersWithSpaces>46837</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2020-09-07T06:51:00Z</dcterms:created>
  <dc:creator>USER</dc:creator>
  <cp:lastModifiedBy>Administrator</cp:lastModifiedBy>
  <cp:lastPrinted>2020-08-27T02:30:00Z</cp:lastPrinted>
  <dcterms:modified xsi:type="dcterms:W3CDTF">2020-09-16T06:22:38Z</dcterms:modified>
  <dc:title>绍兴文理学院计算机机房设备及录播系统供货项目</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