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spacing w:line="360" w:lineRule="auto"/>
        <w:rPr>
          <w:rFonts w:hint="eastAsia" w:ascii="黑体" w:hAnsi="宋体" w:eastAsia="黑体"/>
          <w:sz w:val="44"/>
          <w:szCs w:val="44"/>
        </w:rPr>
      </w:pPr>
      <w:bookmarkStart w:id="105" w:name="_GoBack"/>
      <w:bookmarkEnd w:id="105"/>
      <w:r>
        <w:rPr>
          <w:rFonts w:hint="eastAsia" w:ascii="黑体" w:hAnsi="宋体" w:eastAsia="黑体"/>
          <w:sz w:val="44"/>
          <w:szCs w:val="44"/>
        </w:rPr>
        <w:t xml:space="preserve"> </w:t>
      </w:r>
    </w:p>
    <w:p>
      <w:pPr>
        <w:pStyle w:val="18"/>
        <w:spacing w:line="360" w:lineRule="auto"/>
        <w:rPr>
          <w:rFonts w:hint="eastAsia" w:ascii="黑体" w:hAnsi="黑体" w:eastAsia="黑体"/>
          <w:b w:val="0"/>
          <w:sz w:val="44"/>
          <w:szCs w:val="44"/>
        </w:rPr>
      </w:pPr>
      <w:r>
        <w:rPr>
          <w:rFonts w:hint="eastAsia" w:ascii="黑体" w:hAnsi="黑体" w:eastAsia="黑体" w:cs="宋体"/>
          <w:b w:val="0"/>
          <w:bCs w:val="0"/>
          <w:spacing w:val="-4"/>
          <w:kern w:val="0"/>
          <w:sz w:val="36"/>
          <w:szCs w:val="32"/>
        </w:rPr>
        <w:t>2018年柯桥区钱清镇智能交通（设备、线路）建设项目</w:t>
      </w:r>
    </w:p>
    <w:p>
      <w:pPr>
        <w:ind w:firstLine="1960" w:firstLineChars="700"/>
        <w:rPr>
          <w:rFonts w:hint="eastAsia" w:ascii="宋体" w:hAnsi="宋体"/>
          <w:b/>
          <w:kern w:val="28"/>
          <w:sz w:val="28"/>
          <w:szCs w:val="28"/>
        </w:rPr>
      </w:pPr>
      <w:r>
        <w:rPr>
          <w:rFonts w:hint="eastAsia"/>
          <w:sz w:val="28"/>
          <w:szCs w:val="28"/>
        </w:rPr>
        <w:t>（采购编号：</w:t>
      </w:r>
      <w:r>
        <w:rPr>
          <w:rFonts w:hint="eastAsia"/>
          <w:sz w:val="28"/>
          <w:szCs w:val="28"/>
          <w:u w:val="single"/>
        </w:rPr>
        <w:t>Z绍柯采[2018] 1829号</w:t>
      </w:r>
      <w:r>
        <w:rPr>
          <w:rFonts w:hint="eastAsia"/>
          <w:sz w:val="28"/>
          <w:szCs w:val="28"/>
        </w:rPr>
        <w:t>）</w:t>
      </w:r>
    </w:p>
    <w:p>
      <w:pPr>
        <w:spacing w:line="360" w:lineRule="auto"/>
        <w:jc w:val="center"/>
        <w:rPr>
          <w:rFonts w:hint="eastAsia" w:ascii="黑体" w:hAnsi="宋体" w:eastAsia="黑体"/>
          <w:bCs/>
          <w:sz w:val="32"/>
          <w:szCs w:val="32"/>
        </w:rPr>
      </w:pPr>
    </w:p>
    <w:p>
      <w:pPr>
        <w:tabs>
          <w:tab w:val="left" w:pos="1380"/>
        </w:tabs>
        <w:spacing w:line="360" w:lineRule="auto"/>
        <w:rPr>
          <w:rFonts w:hint="eastAsia" w:ascii="黑体" w:hAnsi="宋体" w:eastAsia="黑体"/>
          <w:b/>
          <w:bCs/>
          <w:sz w:val="32"/>
          <w:szCs w:val="32"/>
        </w:rPr>
      </w:pPr>
      <w:r>
        <w:rPr>
          <w:rFonts w:ascii="黑体" w:hAnsi="宋体" w:eastAsia="黑体"/>
          <w:b/>
          <w:bCs/>
          <w:sz w:val="32"/>
          <w:szCs w:val="32"/>
        </w:rPr>
        <w:tab/>
      </w:r>
    </w:p>
    <w:p>
      <w:pPr>
        <w:pStyle w:val="18"/>
        <w:spacing w:line="360" w:lineRule="auto"/>
        <w:rPr>
          <w:rFonts w:hint="eastAsia" w:ascii="黑体" w:hAnsi="宋体" w:eastAsia="黑体"/>
          <w:b w:val="0"/>
          <w:szCs w:val="52"/>
        </w:rPr>
      </w:pPr>
      <w:r>
        <w:rPr>
          <w:rFonts w:hint="eastAsia" w:ascii="黑体" w:hAnsi="宋体" w:eastAsia="黑体"/>
          <w:b w:val="0"/>
          <w:szCs w:val="52"/>
        </w:rPr>
        <w:t>采</w:t>
      </w:r>
    </w:p>
    <w:p>
      <w:pPr>
        <w:pStyle w:val="18"/>
        <w:spacing w:line="360" w:lineRule="auto"/>
        <w:rPr>
          <w:rFonts w:hint="eastAsia" w:ascii="黑体" w:hAnsi="宋体" w:eastAsia="黑体"/>
          <w:b w:val="0"/>
          <w:szCs w:val="52"/>
        </w:rPr>
      </w:pPr>
      <w:r>
        <w:rPr>
          <w:rFonts w:hint="eastAsia" w:ascii="黑体" w:hAnsi="宋体" w:eastAsia="黑体"/>
          <w:b w:val="0"/>
          <w:szCs w:val="52"/>
        </w:rPr>
        <w:t>购</w:t>
      </w:r>
    </w:p>
    <w:p>
      <w:pPr>
        <w:pStyle w:val="18"/>
        <w:spacing w:line="360" w:lineRule="auto"/>
        <w:rPr>
          <w:rFonts w:hint="eastAsia" w:ascii="黑体" w:hAnsi="宋体" w:eastAsia="黑体"/>
          <w:b w:val="0"/>
          <w:szCs w:val="52"/>
        </w:rPr>
      </w:pPr>
      <w:r>
        <w:rPr>
          <w:rFonts w:hint="eastAsia" w:ascii="黑体" w:hAnsi="宋体" w:eastAsia="黑体"/>
          <w:b w:val="0"/>
          <w:szCs w:val="52"/>
        </w:rPr>
        <w:t>文</w:t>
      </w:r>
    </w:p>
    <w:p>
      <w:pPr>
        <w:pStyle w:val="18"/>
        <w:spacing w:line="360" w:lineRule="auto"/>
        <w:rPr>
          <w:rFonts w:hint="eastAsia" w:ascii="黑体" w:hAnsi="宋体" w:eastAsia="黑体"/>
          <w:b w:val="0"/>
          <w:szCs w:val="52"/>
        </w:rPr>
      </w:pPr>
      <w:r>
        <w:rPr>
          <w:rFonts w:hint="eastAsia" w:ascii="黑体" w:hAnsi="宋体" w:eastAsia="黑体"/>
          <w:b w:val="0"/>
          <w:szCs w:val="52"/>
        </w:rPr>
        <w:t>件</w:t>
      </w:r>
    </w:p>
    <w:p>
      <w:pPr>
        <w:jc w:val="center"/>
        <w:rPr>
          <w:rFonts w:hint="eastAsia" w:ascii="宋体" w:hAnsi="宋体"/>
          <w:bCs/>
          <w:sz w:val="28"/>
        </w:rPr>
      </w:pPr>
    </w:p>
    <w:p>
      <w:pPr>
        <w:jc w:val="center"/>
        <w:rPr>
          <w:rFonts w:hint="eastAsia" w:ascii="宋体" w:hAnsi="宋体"/>
          <w:bCs/>
          <w:sz w:val="28"/>
        </w:rPr>
      </w:pPr>
    </w:p>
    <w:p>
      <w:pPr>
        <w:spacing w:line="520" w:lineRule="exact"/>
        <w:rPr>
          <w:rFonts w:hint="eastAsia" w:ascii="黑体" w:hAnsi="宋体" w:eastAsia="黑体"/>
          <w:b/>
          <w:sz w:val="32"/>
        </w:rPr>
      </w:pPr>
    </w:p>
    <w:p>
      <w:pPr>
        <w:spacing w:line="520" w:lineRule="exact"/>
        <w:rPr>
          <w:rFonts w:hint="eastAsia" w:ascii="黑体" w:hAnsi="宋体" w:eastAsia="黑体"/>
          <w:b/>
          <w:sz w:val="32"/>
        </w:rPr>
      </w:pPr>
    </w:p>
    <w:p>
      <w:pPr>
        <w:spacing w:line="520" w:lineRule="exact"/>
        <w:rPr>
          <w:rFonts w:hint="eastAsia" w:ascii="黑体" w:hAnsi="宋体" w:eastAsia="黑体"/>
          <w:b/>
          <w:sz w:val="32"/>
        </w:rPr>
      </w:pPr>
    </w:p>
    <w:p>
      <w:pPr>
        <w:spacing w:line="520" w:lineRule="exact"/>
        <w:rPr>
          <w:rFonts w:hint="eastAsia" w:ascii="黑体" w:hAnsi="宋体" w:eastAsia="黑体"/>
          <w:b/>
          <w:sz w:val="32"/>
        </w:rPr>
      </w:pPr>
    </w:p>
    <w:p>
      <w:pPr>
        <w:spacing w:line="360" w:lineRule="auto"/>
        <w:rPr>
          <w:rFonts w:ascii="黑体" w:hAnsi="宋体" w:eastAsia="黑体"/>
          <w:sz w:val="32"/>
        </w:rPr>
      </w:pPr>
      <w:r>
        <w:rPr>
          <w:rFonts w:hint="eastAsia" w:ascii="黑体" w:hAnsi="宋体" w:eastAsia="黑体"/>
          <w:spacing w:val="239"/>
          <w:kern w:val="0"/>
          <w:sz w:val="32"/>
        </w:rPr>
        <w:t>采购</w:t>
      </w:r>
      <w:r>
        <w:rPr>
          <w:rFonts w:hint="eastAsia" w:ascii="黑体" w:hAnsi="宋体" w:eastAsia="黑体"/>
          <w:spacing w:val="1"/>
          <w:kern w:val="0"/>
          <w:sz w:val="32"/>
        </w:rPr>
        <w:t>人</w:t>
      </w:r>
      <w:r>
        <w:rPr>
          <w:rFonts w:hint="eastAsia" w:ascii="黑体" w:hAnsi="宋体" w:eastAsia="黑体"/>
          <w:sz w:val="32"/>
        </w:rPr>
        <w:t>：</w:t>
      </w:r>
      <w:r>
        <w:rPr>
          <w:rFonts w:hint="eastAsia" w:ascii="黑体" w:hAnsi="宋体" w:eastAsia="黑体"/>
          <w:kern w:val="0"/>
          <w:sz w:val="32"/>
          <w:u w:val="single"/>
        </w:rPr>
        <w:t>绍兴市柯桥区钱清镇人民政府</w:t>
      </w:r>
      <w:r>
        <w:rPr>
          <w:rFonts w:hint="eastAsia" w:ascii="黑体" w:hAnsi="宋体" w:eastAsia="黑体"/>
          <w:kern w:val="0"/>
          <w:sz w:val="32"/>
        </w:rPr>
        <w:t>(盖章)</w:t>
      </w:r>
    </w:p>
    <w:p>
      <w:pPr>
        <w:spacing w:line="360" w:lineRule="auto"/>
        <w:rPr>
          <w:rFonts w:ascii="黑体" w:hAnsi="宋体" w:eastAsia="黑体"/>
          <w:sz w:val="32"/>
        </w:rPr>
      </w:pPr>
      <w:r>
        <w:rPr>
          <w:rFonts w:hint="eastAsia" w:ascii="黑体" w:hAnsi="宋体" w:eastAsia="黑体"/>
          <w:kern w:val="0"/>
          <w:sz w:val="32"/>
        </w:rPr>
        <w:t>采购代理机构</w:t>
      </w:r>
      <w:r>
        <w:rPr>
          <w:rFonts w:hint="eastAsia" w:ascii="黑体" w:hAnsi="宋体" w:eastAsia="黑体"/>
          <w:sz w:val="32"/>
        </w:rPr>
        <w:t>：</w:t>
      </w:r>
      <w:r>
        <w:rPr>
          <w:rFonts w:hint="eastAsia" w:ascii="黑体" w:hAnsi="宋体" w:eastAsia="黑体"/>
          <w:sz w:val="32"/>
          <w:u w:val="single"/>
        </w:rPr>
        <w:t>绍兴市鼎正建设工程咨询有限公司</w:t>
      </w:r>
      <w:r>
        <w:rPr>
          <w:rFonts w:hint="eastAsia" w:ascii="黑体" w:hAnsi="宋体" w:eastAsia="黑体"/>
          <w:kern w:val="0"/>
          <w:sz w:val="32"/>
        </w:rPr>
        <w:t>(盖章)</w:t>
      </w:r>
    </w:p>
    <w:p>
      <w:pPr>
        <w:spacing w:line="360" w:lineRule="auto"/>
        <w:jc w:val="center"/>
        <w:rPr>
          <w:rFonts w:hint="eastAsia" w:ascii="黑体" w:hAnsi="宋体" w:eastAsia="黑体"/>
          <w:sz w:val="36"/>
          <w:u w:val="single"/>
        </w:rPr>
      </w:pPr>
      <w:r>
        <w:rPr>
          <w:rFonts w:hint="eastAsia" w:ascii="黑体" w:hAnsi="宋体" w:eastAsia="黑体"/>
          <w:b/>
          <w:sz w:val="44"/>
          <w:szCs w:val="44"/>
          <w:u w:val="single"/>
        </w:rPr>
        <w:t xml:space="preserve"> 2018 </w:t>
      </w:r>
      <w:r>
        <w:rPr>
          <w:rFonts w:hint="eastAsia" w:ascii="黑体" w:hAnsi="宋体" w:eastAsia="黑体"/>
          <w:sz w:val="36"/>
        </w:rPr>
        <w:t>年</w:t>
      </w:r>
      <w:r>
        <w:rPr>
          <w:rFonts w:hint="eastAsia" w:ascii="黑体" w:hAnsi="宋体" w:eastAsia="黑体"/>
          <w:b/>
          <w:sz w:val="44"/>
          <w:szCs w:val="44"/>
          <w:u w:val="single"/>
        </w:rPr>
        <w:t xml:space="preserve"> </w:t>
      </w:r>
      <w:r>
        <w:rPr>
          <w:rFonts w:ascii="黑体" w:hAnsi="宋体" w:eastAsia="黑体"/>
          <w:b/>
          <w:sz w:val="44"/>
          <w:szCs w:val="44"/>
          <w:u w:val="single"/>
        </w:rPr>
        <w:t>10</w:t>
      </w:r>
      <w:r>
        <w:rPr>
          <w:rFonts w:hint="eastAsia" w:ascii="黑体" w:hAnsi="宋体" w:eastAsia="黑体"/>
          <w:b/>
          <w:sz w:val="44"/>
          <w:szCs w:val="44"/>
          <w:u w:val="single"/>
        </w:rPr>
        <w:t xml:space="preserve"> </w:t>
      </w:r>
      <w:r>
        <w:rPr>
          <w:rFonts w:hint="eastAsia" w:ascii="黑体" w:hAnsi="宋体" w:eastAsia="黑体"/>
          <w:sz w:val="36"/>
        </w:rPr>
        <w:t>月</w:t>
      </w:r>
    </w:p>
    <w:p>
      <w:pPr>
        <w:pStyle w:val="23"/>
        <w:jc w:val="center"/>
        <w:rPr>
          <w:rFonts w:hint="eastAsia" w:hAnsi="宋体"/>
          <w:b/>
          <w:bCs/>
          <w:sz w:val="44"/>
          <w:szCs w:val="44"/>
        </w:rPr>
      </w:pPr>
    </w:p>
    <w:p>
      <w:pPr>
        <w:pStyle w:val="23"/>
        <w:spacing w:line="800" w:lineRule="exact"/>
        <w:rPr>
          <w:rFonts w:hint="eastAsia" w:hAnsi="宋体"/>
          <w:bCs/>
          <w:sz w:val="30"/>
          <w:szCs w:val="30"/>
          <w:u w:val="single"/>
        </w:rPr>
      </w:pPr>
    </w:p>
    <w:p>
      <w:pPr>
        <w:pStyle w:val="23"/>
        <w:jc w:val="center"/>
        <w:rPr>
          <w:rFonts w:hint="eastAsia" w:ascii="黑体" w:hAnsi="宋体" w:eastAsia="黑体"/>
          <w:b/>
          <w:bCs/>
          <w:sz w:val="44"/>
          <w:szCs w:val="44"/>
        </w:rPr>
      </w:pPr>
      <w:r>
        <w:rPr>
          <w:rFonts w:hint="eastAsia" w:ascii="黑体" w:hAnsi="宋体" w:eastAsia="黑体"/>
          <w:b/>
          <w:bCs/>
          <w:sz w:val="44"/>
          <w:szCs w:val="44"/>
        </w:rPr>
        <w:t>目   录</w:t>
      </w:r>
    </w:p>
    <w:p>
      <w:pPr>
        <w:pStyle w:val="23"/>
        <w:jc w:val="center"/>
        <w:rPr>
          <w:rFonts w:hint="eastAsia" w:hAnsi="宋体"/>
          <w:b/>
          <w:bCs/>
          <w:sz w:val="44"/>
          <w:szCs w:val="44"/>
        </w:rPr>
      </w:pPr>
    </w:p>
    <w:p>
      <w:pPr>
        <w:pStyle w:val="31"/>
        <w:tabs>
          <w:tab w:val="right" w:leader="dot" w:pos="9027"/>
          <w:tab w:val="clear" w:pos="8280"/>
        </w:tabs>
        <w:rPr>
          <w:bCs/>
          <w:lang/>
        </w:rPr>
      </w:pPr>
      <w:r>
        <w:rPr>
          <w:rFonts w:ascii="宋体" w:hAnsi="宋体"/>
          <w:bCs/>
          <w:sz w:val="28"/>
          <w:szCs w:val="28"/>
        </w:rPr>
        <w:fldChar w:fldCharType="begin"/>
      </w:r>
      <w:r>
        <w:rPr>
          <w:rFonts w:ascii="宋体" w:hAnsi="宋体"/>
          <w:bCs/>
          <w:sz w:val="28"/>
          <w:szCs w:val="28"/>
        </w:rPr>
        <w:instrText xml:space="preserve"> TOC \o "1-3" \h \z \u </w:instrText>
      </w:r>
      <w:r>
        <w:rPr>
          <w:rFonts w:ascii="宋体" w:hAnsi="宋体"/>
          <w:bCs/>
          <w:sz w:val="28"/>
          <w:szCs w:val="28"/>
        </w:rPr>
        <w:fldChar w:fldCharType="separate"/>
      </w:r>
      <w:r>
        <w:rPr>
          <w:rFonts w:ascii="宋体" w:hAnsi="宋体"/>
          <w:bCs/>
          <w:szCs w:val="28"/>
          <w:lang/>
        </w:rPr>
        <w:fldChar w:fldCharType="begin"/>
      </w:r>
      <w:r>
        <w:rPr>
          <w:rFonts w:ascii="宋体" w:hAnsi="宋体"/>
          <w:bCs/>
          <w:szCs w:val="28"/>
          <w:lang/>
        </w:rPr>
        <w:instrText xml:space="preserve"> HYPERLINK \l _Toc26665 </w:instrText>
      </w:r>
      <w:r>
        <w:rPr>
          <w:rFonts w:ascii="宋体" w:hAnsi="宋体"/>
          <w:bCs/>
          <w:szCs w:val="28"/>
          <w:lang/>
        </w:rPr>
        <w:fldChar w:fldCharType="separate"/>
      </w:r>
      <w:r>
        <w:rPr>
          <w:rFonts w:hint="eastAsia" w:ascii="宋体" w:hAnsi="宋体" w:cs="宋体"/>
          <w:bCs/>
          <w:spacing w:val="-4"/>
          <w:kern w:val="0"/>
          <w:szCs w:val="32"/>
          <w:lang/>
        </w:rPr>
        <w:t>关于2018年柯桥区钱清镇智能交通（设备、线路）建设项目的采购公告</w:t>
      </w:r>
      <w:r>
        <w:rPr>
          <w:bCs/>
          <w:lang/>
        </w:rPr>
        <w:tab/>
      </w:r>
      <w:r>
        <w:rPr>
          <w:bCs/>
          <w:lang/>
        </w:rPr>
        <w:fldChar w:fldCharType="begin"/>
      </w:r>
      <w:r>
        <w:rPr>
          <w:bCs/>
          <w:lang/>
        </w:rPr>
        <w:instrText xml:space="preserve"> PAGEREF _Toc26665 </w:instrText>
      </w:r>
      <w:r>
        <w:rPr>
          <w:bCs/>
          <w:lang/>
        </w:rPr>
        <w:fldChar w:fldCharType="separate"/>
      </w:r>
      <w:r>
        <w:rPr>
          <w:bCs/>
          <w:lang/>
        </w:rPr>
        <w:t>4</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_Toc27740 </w:instrText>
      </w:r>
      <w:r>
        <w:rPr>
          <w:rFonts w:ascii="宋体" w:hAnsi="宋体"/>
          <w:bCs/>
          <w:szCs w:val="28"/>
          <w:lang/>
        </w:rPr>
        <w:fldChar w:fldCharType="separate"/>
      </w:r>
      <w:r>
        <w:rPr>
          <w:rFonts w:hint="eastAsia" w:ascii="宋体" w:hAnsi="宋体"/>
          <w:bCs/>
          <w:szCs w:val="28"/>
          <w:lang/>
        </w:rPr>
        <w:t>一、前附表</w:t>
      </w:r>
      <w:r>
        <w:rPr>
          <w:bCs/>
          <w:lang/>
        </w:rPr>
        <w:tab/>
      </w:r>
      <w:r>
        <w:rPr>
          <w:bCs/>
          <w:lang/>
        </w:rPr>
        <w:fldChar w:fldCharType="begin"/>
      </w:r>
      <w:r>
        <w:rPr>
          <w:bCs/>
          <w:lang/>
        </w:rPr>
        <w:instrText xml:space="preserve"> PAGEREF _Toc27740 </w:instrText>
      </w:r>
      <w:r>
        <w:rPr>
          <w:bCs/>
          <w:lang/>
        </w:rPr>
        <w:fldChar w:fldCharType="separate"/>
      </w:r>
      <w:r>
        <w:rPr>
          <w:bCs/>
          <w:lang/>
        </w:rPr>
        <w:t>6</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_Toc13854 </w:instrText>
      </w:r>
      <w:r>
        <w:rPr>
          <w:rFonts w:ascii="宋体" w:hAnsi="宋体"/>
          <w:bCs/>
          <w:szCs w:val="28"/>
          <w:lang/>
        </w:rPr>
        <w:fldChar w:fldCharType="separate"/>
      </w:r>
      <w:r>
        <w:rPr>
          <w:rFonts w:hint="eastAsia" w:ascii="宋体" w:hAnsi="宋体"/>
          <w:bCs/>
          <w:szCs w:val="28"/>
          <w:lang/>
        </w:rPr>
        <w:t>二、供应商须知</w:t>
      </w:r>
      <w:r>
        <w:rPr>
          <w:bCs/>
          <w:lang/>
        </w:rPr>
        <w:tab/>
      </w:r>
      <w:r>
        <w:rPr>
          <w:bCs/>
          <w:lang/>
        </w:rPr>
        <w:fldChar w:fldCharType="begin"/>
      </w:r>
      <w:r>
        <w:rPr>
          <w:bCs/>
          <w:lang/>
        </w:rPr>
        <w:instrText xml:space="preserve"> PAGEREF _Toc13854 </w:instrText>
      </w:r>
      <w:r>
        <w:rPr>
          <w:bCs/>
          <w:lang/>
        </w:rPr>
        <w:fldChar w:fldCharType="separate"/>
      </w:r>
      <w:r>
        <w:rPr>
          <w:bCs/>
          <w:lang/>
        </w:rPr>
        <w:t>8</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_Toc21819 </w:instrText>
      </w:r>
      <w:r>
        <w:rPr>
          <w:rFonts w:ascii="宋体" w:hAnsi="宋体"/>
          <w:bCs/>
          <w:szCs w:val="28"/>
          <w:lang/>
        </w:rPr>
        <w:fldChar w:fldCharType="separate"/>
      </w:r>
      <w:r>
        <w:rPr>
          <w:rFonts w:hint="eastAsia" w:ascii="宋体" w:hAnsi="宋体"/>
          <w:bCs/>
          <w:szCs w:val="28"/>
          <w:lang/>
        </w:rPr>
        <w:t>三、供应商应当提交的资格（资信）证明文件</w:t>
      </w:r>
      <w:r>
        <w:rPr>
          <w:bCs/>
          <w:lang/>
        </w:rPr>
        <w:tab/>
      </w:r>
      <w:r>
        <w:rPr>
          <w:bCs/>
          <w:lang/>
        </w:rPr>
        <w:fldChar w:fldCharType="begin"/>
      </w:r>
      <w:r>
        <w:rPr>
          <w:bCs/>
          <w:lang/>
        </w:rPr>
        <w:instrText xml:space="preserve"> PAGEREF _Toc21819 </w:instrText>
      </w:r>
      <w:r>
        <w:rPr>
          <w:bCs/>
          <w:lang/>
        </w:rPr>
        <w:fldChar w:fldCharType="separate"/>
      </w:r>
      <w:r>
        <w:rPr>
          <w:bCs/>
          <w:lang/>
        </w:rPr>
        <w:t>12</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_Toc17510 </w:instrText>
      </w:r>
      <w:r>
        <w:rPr>
          <w:rFonts w:ascii="宋体" w:hAnsi="宋体"/>
          <w:bCs/>
          <w:szCs w:val="28"/>
          <w:lang/>
        </w:rPr>
        <w:fldChar w:fldCharType="separate"/>
      </w:r>
      <w:r>
        <w:rPr>
          <w:rFonts w:hint="eastAsia" w:ascii="宋体" w:hAnsi="宋体"/>
          <w:bCs/>
          <w:szCs w:val="28"/>
          <w:lang/>
        </w:rPr>
        <w:t>四、投标报价要求、投标文件编制要求和投标保证金交纳方式</w:t>
      </w:r>
      <w:r>
        <w:rPr>
          <w:bCs/>
          <w:lang/>
        </w:rPr>
        <w:tab/>
      </w:r>
      <w:r>
        <w:rPr>
          <w:bCs/>
          <w:lang/>
        </w:rPr>
        <w:fldChar w:fldCharType="begin"/>
      </w:r>
      <w:r>
        <w:rPr>
          <w:bCs/>
          <w:lang/>
        </w:rPr>
        <w:instrText xml:space="preserve"> PAGEREF _Toc17510 </w:instrText>
      </w:r>
      <w:r>
        <w:rPr>
          <w:bCs/>
          <w:lang/>
        </w:rPr>
        <w:fldChar w:fldCharType="separate"/>
      </w:r>
      <w:r>
        <w:rPr>
          <w:bCs/>
          <w:lang/>
        </w:rPr>
        <w:t>13</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_Toc3150 </w:instrText>
      </w:r>
      <w:r>
        <w:rPr>
          <w:rFonts w:ascii="宋体" w:hAnsi="宋体"/>
          <w:bCs/>
          <w:szCs w:val="28"/>
          <w:lang/>
        </w:rPr>
        <w:fldChar w:fldCharType="separate"/>
      </w:r>
      <w:r>
        <w:rPr>
          <w:rFonts w:hint="eastAsia" w:ascii="宋体" w:hAnsi="宋体"/>
          <w:bCs/>
          <w:szCs w:val="28"/>
          <w:lang/>
        </w:rPr>
        <w:t>五、采购项目的技术规格、要求和数量，包括附件、图纸等</w:t>
      </w:r>
      <w:r>
        <w:rPr>
          <w:bCs/>
          <w:lang/>
        </w:rPr>
        <w:tab/>
      </w:r>
      <w:r>
        <w:rPr>
          <w:bCs/>
          <w:lang/>
        </w:rPr>
        <w:fldChar w:fldCharType="begin"/>
      </w:r>
      <w:r>
        <w:rPr>
          <w:bCs/>
          <w:lang/>
        </w:rPr>
        <w:instrText xml:space="preserve"> PAGEREF _Toc3150 </w:instrText>
      </w:r>
      <w:r>
        <w:rPr>
          <w:bCs/>
          <w:lang/>
        </w:rPr>
        <w:fldChar w:fldCharType="separate"/>
      </w:r>
      <w:r>
        <w:rPr>
          <w:bCs/>
          <w:lang/>
        </w:rPr>
        <w:t>14</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_Toc17288 </w:instrText>
      </w:r>
      <w:r>
        <w:rPr>
          <w:rFonts w:ascii="宋体" w:hAnsi="宋体"/>
          <w:bCs/>
          <w:szCs w:val="28"/>
          <w:lang/>
        </w:rPr>
        <w:fldChar w:fldCharType="separate"/>
      </w:r>
      <w:r>
        <w:rPr>
          <w:rFonts w:hint="eastAsia" w:ascii="宋体" w:hAnsi="宋体"/>
          <w:bCs/>
          <w:szCs w:val="28"/>
          <w:lang/>
        </w:rPr>
        <w:t>六、合同主要条款及合同签订方式</w:t>
      </w:r>
      <w:r>
        <w:rPr>
          <w:bCs/>
          <w:lang/>
        </w:rPr>
        <w:tab/>
      </w:r>
      <w:r>
        <w:rPr>
          <w:bCs/>
          <w:lang/>
        </w:rPr>
        <w:fldChar w:fldCharType="begin"/>
      </w:r>
      <w:r>
        <w:rPr>
          <w:bCs/>
          <w:lang/>
        </w:rPr>
        <w:instrText xml:space="preserve"> PAGEREF _Toc17288 </w:instrText>
      </w:r>
      <w:r>
        <w:rPr>
          <w:bCs/>
          <w:lang/>
        </w:rPr>
        <w:fldChar w:fldCharType="separate"/>
      </w:r>
      <w:r>
        <w:rPr>
          <w:bCs/>
          <w:lang/>
        </w:rPr>
        <w:t>14</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_Toc17269 </w:instrText>
      </w:r>
      <w:r>
        <w:rPr>
          <w:rFonts w:ascii="宋体" w:hAnsi="宋体"/>
          <w:bCs/>
          <w:szCs w:val="28"/>
          <w:lang/>
        </w:rPr>
        <w:fldChar w:fldCharType="separate"/>
      </w:r>
      <w:r>
        <w:rPr>
          <w:rFonts w:hint="eastAsia" w:ascii="宋体" w:hAnsi="宋体"/>
          <w:bCs/>
          <w:szCs w:val="28"/>
          <w:lang/>
        </w:rPr>
        <w:t>七、交货和提供服务的时间</w:t>
      </w:r>
      <w:r>
        <w:rPr>
          <w:bCs/>
          <w:lang/>
        </w:rPr>
        <w:tab/>
      </w:r>
      <w:r>
        <w:rPr>
          <w:bCs/>
          <w:lang/>
        </w:rPr>
        <w:fldChar w:fldCharType="begin"/>
      </w:r>
      <w:r>
        <w:rPr>
          <w:bCs/>
          <w:lang/>
        </w:rPr>
        <w:instrText xml:space="preserve"> PAGEREF _Toc17269 </w:instrText>
      </w:r>
      <w:r>
        <w:rPr>
          <w:bCs/>
          <w:lang/>
        </w:rPr>
        <w:fldChar w:fldCharType="separate"/>
      </w:r>
      <w:r>
        <w:rPr>
          <w:bCs/>
          <w:lang/>
        </w:rPr>
        <w:t>19</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_Toc7056 </w:instrText>
      </w:r>
      <w:r>
        <w:rPr>
          <w:rFonts w:ascii="宋体" w:hAnsi="宋体"/>
          <w:bCs/>
          <w:szCs w:val="28"/>
          <w:lang/>
        </w:rPr>
        <w:fldChar w:fldCharType="separate"/>
      </w:r>
      <w:r>
        <w:rPr>
          <w:rFonts w:hint="eastAsia" w:ascii="宋体" w:hAnsi="宋体"/>
          <w:bCs/>
          <w:szCs w:val="28"/>
          <w:lang/>
        </w:rPr>
        <w:t>八、评标方法、评标标准和废标条款</w:t>
      </w:r>
      <w:r>
        <w:rPr>
          <w:bCs/>
          <w:lang/>
        </w:rPr>
        <w:tab/>
      </w:r>
      <w:r>
        <w:rPr>
          <w:bCs/>
          <w:lang/>
        </w:rPr>
        <w:fldChar w:fldCharType="begin"/>
      </w:r>
      <w:r>
        <w:rPr>
          <w:bCs/>
          <w:lang/>
        </w:rPr>
        <w:instrText xml:space="preserve"> PAGEREF _Toc7056 </w:instrText>
      </w:r>
      <w:r>
        <w:rPr>
          <w:bCs/>
          <w:lang/>
        </w:rPr>
        <w:fldChar w:fldCharType="separate"/>
      </w:r>
      <w:r>
        <w:rPr>
          <w:bCs/>
          <w:lang/>
        </w:rPr>
        <w:t>20</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_Toc29069 </w:instrText>
      </w:r>
      <w:r>
        <w:rPr>
          <w:rFonts w:ascii="宋体" w:hAnsi="宋体"/>
          <w:bCs/>
          <w:szCs w:val="28"/>
          <w:lang/>
        </w:rPr>
        <w:fldChar w:fldCharType="separate"/>
      </w:r>
      <w:r>
        <w:rPr>
          <w:rFonts w:hint="eastAsia" w:ascii="宋体" w:hAnsi="宋体"/>
          <w:bCs/>
          <w:szCs w:val="28"/>
          <w:lang/>
        </w:rPr>
        <w:t>九、投标截止时间、开标时间及地点</w:t>
      </w:r>
      <w:r>
        <w:rPr>
          <w:bCs/>
          <w:lang/>
        </w:rPr>
        <w:tab/>
      </w:r>
      <w:r>
        <w:rPr>
          <w:bCs/>
          <w:lang/>
        </w:rPr>
        <w:fldChar w:fldCharType="begin"/>
      </w:r>
      <w:r>
        <w:rPr>
          <w:bCs/>
          <w:lang/>
        </w:rPr>
        <w:instrText xml:space="preserve"> PAGEREF _Toc29069 </w:instrText>
      </w:r>
      <w:r>
        <w:rPr>
          <w:bCs/>
          <w:lang/>
        </w:rPr>
        <w:fldChar w:fldCharType="separate"/>
      </w:r>
      <w:r>
        <w:rPr>
          <w:bCs/>
          <w:lang/>
        </w:rPr>
        <w:t>21</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_Toc25307 </w:instrText>
      </w:r>
      <w:r>
        <w:rPr>
          <w:rFonts w:ascii="宋体" w:hAnsi="宋体"/>
          <w:bCs/>
          <w:szCs w:val="28"/>
          <w:lang/>
        </w:rPr>
        <w:fldChar w:fldCharType="separate"/>
      </w:r>
      <w:r>
        <w:rPr>
          <w:rFonts w:hint="eastAsia" w:ascii="宋体" w:hAnsi="宋体"/>
          <w:bCs/>
          <w:szCs w:val="28"/>
          <w:lang/>
        </w:rPr>
        <w:t>十、其他事项</w:t>
      </w:r>
      <w:r>
        <w:rPr>
          <w:bCs/>
          <w:lang/>
        </w:rPr>
        <w:tab/>
      </w:r>
      <w:r>
        <w:rPr>
          <w:bCs/>
          <w:lang/>
        </w:rPr>
        <w:fldChar w:fldCharType="begin"/>
      </w:r>
      <w:r>
        <w:rPr>
          <w:bCs/>
          <w:lang/>
        </w:rPr>
        <w:instrText xml:space="preserve"> PAGEREF _Toc25307 </w:instrText>
      </w:r>
      <w:r>
        <w:rPr>
          <w:bCs/>
          <w:lang/>
        </w:rPr>
        <w:fldChar w:fldCharType="separate"/>
      </w:r>
      <w:r>
        <w:rPr>
          <w:bCs/>
          <w:lang/>
        </w:rPr>
        <w:t>22</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_Toc19085 </w:instrText>
      </w:r>
      <w:r>
        <w:rPr>
          <w:rFonts w:ascii="宋体" w:hAnsi="宋体"/>
          <w:bCs/>
          <w:szCs w:val="28"/>
          <w:lang/>
        </w:rPr>
        <w:fldChar w:fldCharType="separate"/>
      </w:r>
      <w:r>
        <w:rPr>
          <w:rFonts w:hint="eastAsia" w:ascii="宋体" w:hAnsi="宋体"/>
          <w:bCs/>
          <w:lang/>
        </w:rPr>
        <w:t>附件一：投标函</w:t>
      </w:r>
      <w:r>
        <w:rPr>
          <w:bCs/>
          <w:lang/>
        </w:rPr>
        <w:tab/>
      </w:r>
      <w:r>
        <w:rPr>
          <w:bCs/>
          <w:lang/>
        </w:rPr>
        <w:fldChar w:fldCharType="begin"/>
      </w:r>
      <w:r>
        <w:rPr>
          <w:bCs/>
          <w:lang/>
        </w:rPr>
        <w:instrText xml:space="preserve"> PAGEREF _Toc19085 </w:instrText>
      </w:r>
      <w:r>
        <w:rPr>
          <w:bCs/>
          <w:lang/>
        </w:rPr>
        <w:fldChar w:fldCharType="separate"/>
      </w:r>
      <w:r>
        <w:rPr>
          <w:bCs/>
          <w:lang/>
        </w:rPr>
        <w:t>23</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_Toc24658 </w:instrText>
      </w:r>
      <w:r>
        <w:rPr>
          <w:rFonts w:ascii="宋体" w:hAnsi="宋体"/>
          <w:bCs/>
          <w:szCs w:val="28"/>
          <w:lang/>
        </w:rPr>
        <w:fldChar w:fldCharType="separate"/>
      </w:r>
      <w:r>
        <w:rPr>
          <w:rFonts w:hint="eastAsia" w:ascii="宋体" w:hAnsi="宋体"/>
          <w:bCs/>
          <w:lang/>
        </w:rPr>
        <w:t>附件二：法定代表人授权书</w:t>
      </w:r>
      <w:r>
        <w:rPr>
          <w:bCs/>
          <w:lang/>
        </w:rPr>
        <w:tab/>
      </w:r>
      <w:r>
        <w:rPr>
          <w:bCs/>
          <w:lang/>
        </w:rPr>
        <w:fldChar w:fldCharType="begin"/>
      </w:r>
      <w:r>
        <w:rPr>
          <w:bCs/>
          <w:lang/>
        </w:rPr>
        <w:instrText xml:space="preserve"> PAGEREF _Toc24658 </w:instrText>
      </w:r>
      <w:r>
        <w:rPr>
          <w:bCs/>
          <w:lang/>
        </w:rPr>
        <w:fldChar w:fldCharType="separate"/>
      </w:r>
      <w:r>
        <w:rPr>
          <w:bCs/>
          <w:lang/>
        </w:rPr>
        <w:t>24</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_Toc31073 </w:instrText>
      </w:r>
      <w:r>
        <w:rPr>
          <w:rFonts w:ascii="宋体" w:hAnsi="宋体"/>
          <w:bCs/>
          <w:szCs w:val="28"/>
          <w:lang/>
        </w:rPr>
        <w:fldChar w:fldCharType="separate"/>
      </w:r>
      <w:r>
        <w:rPr>
          <w:rFonts w:hint="eastAsia" w:ascii="宋体" w:hAnsi="宋体"/>
          <w:bCs/>
          <w:lang/>
        </w:rPr>
        <w:t>附件三：开标一览表（报价表）</w:t>
      </w:r>
      <w:r>
        <w:rPr>
          <w:bCs/>
          <w:lang/>
        </w:rPr>
        <w:tab/>
      </w:r>
      <w:r>
        <w:rPr>
          <w:bCs/>
          <w:lang/>
        </w:rPr>
        <w:fldChar w:fldCharType="begin"/>
      </w:r>
      <w:r>
        <w:rPr>
          <w:bCs/>
          <w:lang/>
        </w:rPr>
        <w:instrText xml:space="preserve"> PAGEREF _Toc31073 </w:instrText>
      </w:r>
      <w:r>
        <w:rPr>
          <w:bCs/>
          <w:lang/>
        </w:rPr>
        <w:fldChar w:fldCharType="separate"/>
      </w:r>
      <w:r>
        <w:rPr>
          <w:bCs/>
          <w:lang/>
        </w:rPr>
        <w:t>25</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_Toc7245 </w:instrText>
      </w:r>
      <w:r>
        <w:rPr>
          <w:rFonts w:ascii="宋体" w:hAnsi="宋体"/>
          <w:bCs/>
          <w:szCs w:val="28"/>
          <w:lang/>
        </w:rPr>
        <w:fldChar w:fldCharType="separate"/>
      </w:r>
      <w:r>
        <w:rPr>
          <w:rFonts w:hint="eastAsia" w:ascii="宋体" w:hAnsi="宋体"/>
          <w:bCs/>
          <w:lang/>
        </w:rPr>
        <w:t>附件四：投标报价明细表</w:t>
      </w:r>
      <w:r>
        <w:rPr>
          <w:bCs/>
          <w:lang/>
        </w:rPr>
        <w:tab/>
      </w:r>
      <w:r>
        <w:rPr>
          <w:bCs/>
          <w:lang/>
        </w:rPr>
        <w:fldChar w:fldCharType="begin"/>
      </w:r>
      <w:r>
        <w:rPr>
          <w:bCs/>
          <w:lang/>
        </w:rPr>
        <w:instrText xml:space="preserve"> PAGEREF _Toc7245 </w:instrText>
      </w:r>
      <w:r>
        <w:rPr>
          <w:bCs/>
          <w:lang/>
        </w:rPr>
        <w:fldChar w:fldCharType="separate"/>
      </w:r>
      <w:r>
        <w:rPr>
          <w:bCs/>
          <w:lang/>
        </w:rPr>
        <w:t>26</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_Toc12723 </w:instrText>
      </w:r>
      <w:r>
        <w:rPr>
          <w:rFonts w:ascii="宋体" w:hAnsi="宋体"/>
          <w:bCs/>
          <w:szCs w:val="28"/>
          <w:lang/>
        </w:rPr>
        <w:fldChar w:fldCharType="separate"/>
      </w:r>
      <w:r>
        <w:rPr>
          <w:rFonts w:hint="eastAsia" w:ascii="宋体" w:hAnsi="宋体"/>
          <w:bCs/>
          <w:lang/>
        </w:rPr>
        <w:t>附件五：投标技术方案和人力资源安排</w:t>
      </w:r>
      <w:r>
        <w:rPr>
          <w:bCs/>
          <w:lang/>
        </w:rPr>
        <w:tab/>
      </w:r>
      <w:r>
        <w:rPr>
          <w:bCs/>
          <w:lang/>
        </w:rPr>
        <w:fldChar w:fldCharType="begin"/>
      </w:r>
      <w:r>
        <w:rPr>
          <w:bCs/>
          <w:lang/>
        </w:rPr>
        <w:instrText xml:space="preserve"> PAGEREF _Toc12723 </w:instrText>
      </w:r>
      <w:r>
        <w:rPr>
          <w:bCs/>
          <w:lang/>
        </w:rPr>
        <w:fldChar w:fldCharType="separate"/>
      </w:r>
      <w:r>
        <w:rPr>
          <w:bCs/>
          <w:lang/>
        </w:rPr>
        <w:t>27</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_Toc23986 </w:instrText>
      </w:r>
      <w:r>
        <w:rPr>
          <w:rFonts w:ascii="宋体" w:hAnsi="宋体"/>
          <w:bCs/>
          <w:szCs w:val="28"/>
          <w:lang/>
        </w:rPr>
        <w:fldChar w:fldCharType="separate"/>
      </w:r>
      <w:r>
        <w:rPr>
          <w:rFonts w:hint="eastAsia" w:ascii="宋体" w:hAnsi="宋体"/>
          <w:bCs/>
          <w:lang/>
        </w:rPr>
        <w:t>附件六：投标设备材料详细清单</w:t>
      </w:r>
      <w:r>
        <w:rPr>
          <w:bCs/>
          <w:lang/>
        </w:rPr>
        <w:tab/>
      </w:r>
      <w:r>
        <w:rPr>
          <w:bCs/>
          <w:lang/>
        </w:rPr>
        <w:fldChar w:fldCharType="begin"/>
      </w:r>
      <w:r>
        <w:rPr>
          <w:bCs/>
          <w:lang/>
        </w:rPr>
        <w:instrText xml:space="preserve"> PAGEREF _Toc23986 </w:instrText>
      </w:r>
      <w:r>
        <w:rPr>
          <w:bCs/>
          <w:lang/>
        </w:rPr>
        <w:fldChar w:fldCharType="separate"/>
      </w:r>
      <w:r>
        <w:rPr>
          <w:bCs/>
          <w:lang/>
        </w:rPr>
        <w:t>28</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_Toc8463 </w:instrText>
      </w:r>
      <w:r>
        <w:rPr>
          <w:rFonts w:ascii="宋体" w:hAnsi="宋体"/>
          <w:bCs/>
          <w:szCs w:val="28"/>
          <w:lang/>
        </w:rPr>
        <w:fldChar w:fldCharType="separate"/>
      </w:r>
      <w:r>
        <w:rPr>
          <w:rFonts w:hint="eastAsia" w:ascii="宋体" w:hAnsi="宋体"/>
          <w:bCs/>
          <w:lang/>
        </w:rPr>
        <w:t>附件七：投标设备主要技术参数说明</w:t>
      </w:r>
      <w:r>
        <w:rPr>
          <w:bCs/>
          <w:lang/>
        </w:rPr>
        <w:tab/>
      </w:r>
      <w:r>
        <w:rPr>
          <w:bCs/>
          <w:lang/>
        </w:rPr>
        <w:fldChar w:fldCharType="begin"/>
      </w:r>
      <w:r>
        <w:rPr>
          <w:bCs/>
          <w:lang/>
        </w:rPr>
        <w:instrText xml:space="preserve"> PAGEREF _Toc8463 </w:instrText>
      </w:r>
      <w:r>
        <w:rPr>
          <w:bCs/>
          <w:lang/>
        </w:rPr>
        <w:fldChar w:fldCharType="separate"/>
      </w:r>
      <w:r>
        <w:rPr>
          <w:bCs/>
          <w:lang/>
        </w:rPr>
        <w:t>29</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_Toc7451 </w:instrText>
      </w:r>
      <w:r>
        <w:rPr>
          <w:rFonts w:ascii="宋体" w:hAnsi="宋体"/>
          <w:bCs/>
          <w:szCs w:val="28"/>
          <w:lang/>
        </w:rPr>
        <w:fldChar w:fldCharType="separate"/>
      </w:r>
      <w:r>
        <w:rPr>
          <w:rFonts w:hint="eastAsia" w:ascii="宋体" w:hAnsi="宋体"/>
          <w:bCs/>
          <w:lang/>
        </w:rPr>
        <w:t>附件八：技术偏离表</w:t>
      </w:r>
      <w:r>
        <w:rPr>
          <w:bCs/>
          <w:lang/>
        </w:rPr>
        <w:tab/>
      </w:r>
      <w:r>
        <w:rPr>
          <w:bCs/>
          <w:lang/>
        </w:rPr>
        <w:fldChar w:fldCharType="begin"/>
      </w:r>
      <w:r>
        <w:rPr>
          <w:bCs/>
          <w:lang/>
        </w:rPr>
        <w:instrText xml:space="preserve"> PAGEREF _Toc7451 </w:instrText>
      </w:r>
      <w:r>
        <w:rPr>
          <w:bCs/>
          <w:lang/>
        </w:rPr>
        <w:fldChar w:fldCharType="separate"/>
      </w:r>
      <w:r>
        <w:rPr>
          <w:bCs/>
          <w:lang/>
        </w:rPr>
        <w:t>30</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_Toc16893 </w:instrText>
      </w:r>
      <w:r>
        <w:rPr>
          <w:rFonts w:ascii="宋体" w:hAnsi="宋体"/>
          <w:bCs/>
          <w:szCs w:val="28"/>
          <w:lang/>
        </w:rPr>
        <w:fldChar w:fldCharType="separate"/>
      </w:r>
      <w:r>
        <w:rPr>
          <w:rFonts w:hint="eastAsia" w:ascii="宋体" w:hAnsi="宋体"/>
          <w:bCs/>
          <w:lang/>
        </w:rPr>
        <w:t>附件九：投标承诺书</w:t>
      </w:r>
      <w:r>
        <w:rPr>
          <w:bCs/>
          <w:lang/>
        </w:rPr>
        <w:tab/>
      </w:r>
      <w:r>
        <w:rPr>
          <w:bCs/>
          <w:lang/>
        </w:rPr>
        <w:fldChar w:fldCharType="begin"/>
      </w:r>
      <w:r>
        <w:rPr>
          <w:bCs/>
          <w:lang/>
        </w:rPr>
        <w:instrText xml:space="preserve"> PAGEREF _Toc16893 </w:instrText>
      </w:r>
      <w:r>
        <w:rPr>
          <w:bCs/>
          <w:lang/>
        </w:rPr>
        <w:fldChar w:fldCharType="separate"/>
      </w:r>
      <w:r>
        <w:rPr>
          <w:bCs/>
          <w:lang/>
        </w:rPr>
        <w:t>31</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_Toc1532 </w:instrText>
      </w:r>
      <w:r>
        <w:rPr>
          <w:rFonts w:ascii="宋体" w:hAnsi="宋体"/>
          <w:bCs/>
          <w:szCs w:val="28"/>
          <w:lang/>
        </w:rPr>
        <w:fldChar w:fldCharType="separate"/>
      </w:r>
      <w:r>
        <w:rPr>
          <w:rFonts w:hint="eastAsia" w:ascii="宋体" w:hAnsi="宋体"/>
          <w:bCs/>
          <w:lang/>
        </w:rPr>
        <w:t>附件十：投标提问书</w:t>
      </w:r>
      <w:r>
        <w:rPr>
          <w:bCs/>
          <w:lang/>
        </w:rPr>
        <w:tab/>
      </w:r>
      <w:r>
        <w:rPr>
          <w:bCs/>
          <w:lang/>
        </w:rPr>
        <w:fldChar w:fldCharType="begin"/>
      </w:r>
      <w:r>
        <w:rPr>
          <w:bCs/>
          <w:lang/>
        </w:rPr>
        <w:instrText xml:space="preserve"> PAGEREF _Toc1532 </w:instrText>
      </w:r>
      <w:r>
        <w:rPr>
          <w:bCs/>
          <w:lang/>
        </w:rPr>
        <w:fldChar w:fldCharType="separate"/>
      </w:r>
      <w:r>
        <w:rPr>
          <w:bCs/>
          <w:lang/>
        </w:rPr>
        <w:t>32</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_Toc26880 </w:instrText>
      </w:r>
      <w:r>
        <w:rPr>
          <w:rFonts w:ascii="宋体" w:hAnsi="宋体"/>
          <w:bCs/>
          <w:szCs w:val="28"/>
          <w:lang/>
        </w:rPr>
        <w:fldChar w:fldCharType="separate"/>
      </w:r>
      <w:r>
        <w:rPr>
          <w:rFonts w:hint="eastAsia" w:ascii="宋体" w:hAnsi="宋体"/>
          <w:bCs/>
          <w:lang/>
        </w:rPr>
        <w:t>附件十一：答疑纪要</w:t>
      </w:r>
      <w:r>
        <w:rPr>
          <w:bCs/>
          <w:lang/>
        </w:rPr>
        <w:tab/>
      </w:r>
      <w:r>
        <w:rPr>
          <w:bCs/>
          <w:lang/>
        </w:rPr>
        <w:fldChar w:fldCharType="begin"/>
      </w:r>
      <w:r>
        <w:rPr>
          <w:bCs/>
          <w:lang/>
        </w:rPr>
        <w:instrText xml:space="preserve"> PAGEREF _Toc26880 </w:instrText>
      </w:r>
      <w:r>
        <w:rPr>
          <w:bCs/>
          <w:lang/>
        </w:rPr>
        <w:fldChar w:fldCharType="separate"/>
      </w:r>
      <w:r>
        <w:rPr>
          <w:bCs/>
          <w:lang/>
        </w:rPr>
        <w:t>33</w:t>
      </w:r>
      <w:r>
        <w:rPr>
          <w:bCs/>
          <w:lang/>
        </w:rPr>
        <w:fldChar w:fldCharType="end"/>
      </w:r>
      <w:r>
        <w:rPr>
          <w:rFonts w:ascii="宋体" w:hAnsi="宋体"/>
          <w:bCs/>
          <w:szCs w:val="28"/>
          <w:lang/>
        </w:rPr>
        <w:fldChar w:fldCharType="end"/>
      </w:r>
    </w:p>
    <w:p>
      <w:pPr>
        <w:pStyle w:val="31"/>
        <w:tabs>
          <w:tab w:val="right" w:leader="dot" w:pos="9027"/>
          <w:tab w:val="clear" w:pos="8280"/>
        </w:tabs>
        <w:rPr>
          <w:bCs/>
          <w:lang/>
        </w:rPr>
      </w:pPr>
      <w:r>
        <w:rPr>
          <w:rFonts w:ascii="宋体" w:hAnsi="宋体"/>
          <w:bCs/>
          <w:szCs w:val="28"/>
          <w:lang/>
        </w:rPr>
        <w:fldChar w:fldCharType="begin"/>
      </w:r>
      <w:r>
        <w:rPr>
          <w:rFonts w:ascii="宋体" w:hAnsi="宋体"/>
          <w:bCs/>
          <w:szCs w:val="28"/>
          <w:lang/>
        </w:rPr>
        <w:instrText xml:space="preserve"> HYPERLINK \l _Toc7711 </w:instrText>
      </w:r>
      <w:r>
        <w:rPr>
          <w:rFonts w:ascii="宋体" w:hAnsi="宋体"/>
          <w:bCs/>
          <w:szCs w:val="28"/>
          <w:lang/>
        </w:rPr>
        <w:fldChar w:fldCharType="separate"/>
      </w:r>
      <w:r>
        <w:rPr>
          <w:rFonts w:hint="eastAsia" w:ascii="宋体" w:hAnsi="宋体"/>
          <w:bCs/>
          <w:lang/>
        </w:rPr>
        <w:t>附件十二：采购范围和技术要求</w:t>
      </w:r>
      <w:r>
        <w:rPr>
          <w:bCs/>
          <w:lang/>
        </w:rPr>
        <w:tab/>
      </w:r>
      <w:r>
        <w:rPr>
          <w:bCs/>
          <w:lang/>
        </w:rPr>
        <w:fldChar w:fldCharType="begin"/>
      </w:r>
      <w:r>
        <w:rPr>
          <w:bCs/>
          <w:lang/>
        </w:rPr>
        <w:instrText xml:space="preserve"> PAGEREF _Toc7711 </w:instrText>
      </w:r>
      <w:r>
        <w:rPr>
          <w:bCs/>
          <w:lang/>
        </w:rPr>
        <w:fldChar w:fldCharType="separate"/>
      </w:r>
      <w:r>
        <w:rPr>
          <w:bCs/>
          <w:lang/>
        </w:rPr>
        <w:t>34</w:t>
      </w:r>
      <w:r>
        <w:rPr>
          <w:bCs/>
          <w:lang/>
        </w:rPr>
        <w:fldChar w:fldCharType="end"/>
      </w:r>
      <w:r>
        <w:rPr>
          <w:rFonts w:ascii="宋体" w:hAnsi="宋体"/>
          <w:bCs/>
          <w:szCs w:val="28"/>
          <w:lang/>
        </w:rPr>
        <w:fldChar w:fldCharType="end"/>
      </w:r>
    </w:p>
    <w:p>
      <w:pPr>
        <w:pStyle w:val="31"/>
        <w:tabs>
          <w:tab w:val="right" w:leader="dot" w:pos="9027"/>
          <w:tab w:val="clear" w:pos="8280"/>
        </w:tabs>
        <w:rPr>
          <w:lang/>
        </w:rPr>
      </w:pPr>
      <w:r>
        <w:rPr>
          <w:rFonts w:ascii="宋体" w:hAnsi="宋体"/>
          <w:bCs/>
          <w:szCs w:val="28"/>
          <w:lang/>
        </w:rPr>
        <w:fldChar w:fldCharType="begin"/>
      </w:r>
      <w:r>
        <w:rPr>
          <w:rFonts w:ascii="宋体" w:hAnsi="宋体"/>
          <w:bCs/>
          <w:szCs w:val="28"/>
          <w:lang/>
        </w:rPr>
        <w:instrText xml:space="preserve"> HYPERLINK \l _Toc25259 </w:instrText>
      </w:r>
      <w:r>
        <w:rPr>
          <w:rFonts w:ascii="宋体" w:hAnsi="宋体"/>
          <w:bCs/>
          <w:szCs w:val="28"/>
          <w:lang/>
        </w:rPr>
        <w:fldChar w:fldCharType="separate"/>
      </w:r>
      <w:r>
        <w:rPr>
          <w:rFonts w:hint="eastAsia" w:ascii="宋体" w:hAnsi="宋体"/>
          <w:bCs/>
          <w:lang/>
        </w:rPr>
        <w:t>附件十三：评标办法</w:t>
      </w:r>
      <w:r>
        <w:rPr>
          <w:bCs/>
          <w:lang/>
        </w:rPr>
        <w:tab/>
      </w:r>
      <w:r>
        <w:rPr>
          <w:rFonts w:hint="eastAsia"/>
          <w:bCs/>
          <w:lang/>
        </w:rPr>
        <w:t>63</w:t>
      </w:r>
      <w:r>
        <w:rPr>
          <w:rFonts w:ascii="宋体" w:hAnsi="宋体"/>
          <w:bCs/>
          <w:szCs w:val="28"/>
          <w:lang/>
        </w:rPr>
        <w:fldChar w:fldCharType="end"/>
      </w:r>
    </w:p>
    <w:p>
      <w:pPr>
        <w:pStyle w:val="31"/>
        <w:rPr>
          <w:rFonts w:hint="eastAsia" w:ascii="宋体" w:hAnsi="宋体"/>
          <w:sz w:val="28"/>
          <w:szCs w:val="28"/>
        </w:rPr>
      </w:pPr>
      <w:r>
        <w:rPr>
          <w:rFonts w:ascii="宋体" w:hAnsi="宋体"/>
          <w:szCs w:val="28"/>
        </w:rPr>
        <w:fldChar w:fldCharType="end"/>
      </w:r>
      <w:bookmarkStart w:id="0" w:name="_Toc266096607"/>
      <w:bookmarkStart w:id="1" w:name="_Toc213038818"/>
      <w:bookmarkStart w:id="2" w:name="_Toc156723281"/>
      <w:bookmarkStart w:id="3" w:name="_Toc24796691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spacing w:before="0" w:after="0" w:line="500" w:lineRule="exact"/>
        <w:ind w:left="657" w:leftChars="1" w:hanging="655" w:hangingChars="241"/>
        <w:jc w:val="center"/>
        <w:rPr>
          <w:rFonts w:hint="eastAsia" w:ascii="黑体" w:hAnsi="宋体" w:eastAsia="黑体" w:cs="宋体"/>
          <w:b w:val="0"/>
          <w:bCs w:val="0"/>
          <w:spacing w:val="-4"/>
          <w:kern w:val="0"/>
          <w:sz w:val="28"/>
          <w:szCs w:val="32"/>
        </w:rPr>
      </w:pPr>
      <w:bookmarkStart w:id="4" w:name="_Toc26665"/>
      <w:bookmarkStart w:id="5" w:name="_Toc355703290"/>
      <w:r>
        <w:rPr>
          <w:rFonts w:hint="eastAsia" w:ascii="黑体" w:hAnsi="宋体" w:eastAsia="黑体" w:cs="宋体"/>
          <w:b w:val="0"/>
          <w:bCs w:val="0"/>
          <w:spacing w:val="-4"/>
          <w:kern w:val="0"/>
          <w:sz w:val="28"/>
          <w:szCs w:val="32"/>
          <w:u w:val="single"/>
        </w:rPr>
        <w:t>关于2018年柯桥区钱清镇智能交通（设备、线路）建设项目的</w:t>
      </w:r>
      <w:r>
        <w:rPr>
          <w:rFonts w:hint="eastAsia" w:ascii="黑体" w:hAnsi="宋体" w:eastAsia="黑体" w:cs="宋体"/>
          <w:b w:val="0"/>
          <w:bCs w:val="0"/>
          <w:spacing w:val="-4"/>
          <w:kern w:val="0"/>
          <w:sz w:val="28"/>
          <w:szCs w:val="32"/>
        </w:rPr>
        <w:t>采购公告</w:t>
      </w:r>
      <w:bookmarkEnd w:id="4"/>
    </w:p>
    <w:bookmarkEnd w:id="5"/>
    <w:p>
      <w:pPr>
        <w:widowControl/>
        <w:spacing w:line="500" w:lineRule="exact"/>
        <w:jc w:val="center"/>
        <w:rPr>
          <w:rFonts w:hint="eastAsia" w:ascii="宋体" w:hAnsi="宋体" w:cs="宋体"/>
          <w:kern w:val="0"/>
          <w:szCs w:val="21"/>
        </w:rPr>
      </w:pPr>
      <w:r>
        <w:rPr>
          <w:rFonts w:hint="eastAsia" w:ascii="宋体" w:hAnsi="宋体" w:cs="宋体"/>
          <w:kern w:val="0"/>
          <w:szCs w:val="21"/>
        </w:rPr>
        <w:t>公告时间：</w:t>
      </w:r>
      <w:r>
        <w:rPr>
          <w:rFonts w:hint="eastAsia" w:ascii="宋体" w:hAnsi="宋体"/>
          <w:szCs w:val="21"/>
          <w:u w:val="single"/>
        </w:rPr>
        <w:t xml:space="preserve">2018 </w:t>
      </w:r>
      <w:r>
        <w:rPr>
          <w:rFonts w:hint="eastAsia" w:ascii="宋体" w:hAnsi="宋体"/>
          <w:szCs w:val="21"/>
        </w:rPr>
        <w:t>年</w:t>
      </w:r>
      <w:r>
        <w:rPr>
          <w:rFonts w:ascii="宋体" w:hAnsi="宋体"/>
          <w:szCs w:val="21"/>
          <w:u w:val="single"/>
        </w:rPr>
        <w:t>10</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25</w:t>
      </w:r>
      <w:r>
        <w:rPr>
          <w:rFonts w:hint="eastAsia" w:ascii="宋体" w:hAnsi="宋体"/>
          <w:szCs w:val="21"/>
          <w:u w:val="single"/>
        </w:rPr>
        <w:t xml:space="preserve"> </w:t>
      </w:r>
      <w:r>
        <w:rPr>
          <w:rFonts w:hint="eastAsia" w:ascii="宋体" w:hAnsi="宋体"/>
          <w:szCs w:val="21"/>
        </w:rPr>
        <w:t>日</w:t>
      </w:r>
    </w:p>
    <w:p>
      <w:pPr>
        <w:spacing w:line="500" w:lineRule="exact"/>
        <w:ind w:firstLine="411" w:firstLineChars="196"/>
        <w:rPr>
          <w:rFonts w:hint="eastAsia" w:ascii="宋体" w:hAnsi="宋体"/>
          <w:szCs w:val="21"/>
        </w:rPr>
      </w:pPr>
      <w:r>
        <w:rPr>
          <w:rFonts w:hint="eastAsia" w:ascii="宋体" w:hAnsi="宋体"/>
          <w:szCs w:val="21"/>
        </w:rPr>
        <w:t>根据《中华人民共和国政府采购法》等有关规定，</w:t>
      </w:r>
      <w:r>
        <w:rPr>
          <w:rFonts w:hint="eastAsia" w:ascii="宋体" w:hAnsi="宋体"/>
          <w:szCs w:val="21"/>
          <w:u w:val="single"/>
        </w:rPr>
        <w:t>绍兴市柯桥区钱清镇人民政府</w:t>
      </w:r>
      <w:r>
        <w:rPr>
          <w:rFonts w:hint="eastAsia" w:ascii="宋体" w:hAnsi="宋体"/>
          <w:szCs w:val="21"/>
        </w:rPr>
        <w:t>委托</w:t>
      </w:r>
      <w:r>
        <w:rPr>
          <w:rFonts w:hint="eastAsia" w:ascii="宋体" w:hAnsi="宋体"/>
          <w:szCs w:val="21"/>
          <w:u w:val="single"/>
        </w:rPr>
        <w:t>绍兴市鼎正建设工程咨询有限公司</w:t>
      </w:r>
      <w:r>
        <w:rPr>
          <w:rFonts w:hint="eastAsia" w:ascii="宋体" w:hAnsi="宋体"/>
          <w:szCs w:val="21"/>
        </w:rPr>
        <w:t>，就</w:t>
      </w:r>
      <w:r>
        <w:rPr>
          <w:rFonts w:hint="eastAsia" w:ascii="宋体" w:hAnsi="宋体"/>
          <w:szCs w:val="21"/>
          <w:u w:val="single"/>
        </w:rPr>
        <w:t>2018年柯桥区钱清镇智能交通（设备、线路）建设项目</w:t>
      </w:r>
      <w:r>
        <w:rPr>
          <w:rFonts w:hint="eastAsia" w:ascii="宋体" w:hAnsi="宋体"/>
          <w:szCs w:val="21"/>
        </w:rPr>
        <w:t>采购项目进行公开招标，欢迎国内合格的供应商前来投标。</w:t>
      </w:r>
      <w:bookmarkStart w:id="6" w:name="_Toc300844416"/>
    </w:p>
    <w:p>
      <w:pPr>
        <w:spacing w:line="500" w:lineRule="exact"/>
        <w:ind w:firstLine="413" w:firstLineChars="196"/>
        <w:rPr>
          <w:rFonts w:hint="eastAsia" w:ascii="宋体" w:hAnsi="宋体"/>
          <w:szCs w:val="21"/>
        </w:rPr>
      </w:pPr>
      <w:r>
        <w:rPr>
          <w:rFonts w:hint="eastAsia" w:ascii="宋体" w:hAnsi="宋体"/>
          <w:b/>
        </w:rPr>
        <w:t>一、采购项目编号</w:t>
      </w:r>
      <w:r>
        <w:rPr>
          <w:rFonts w:hint="eastAsia" w:ascii="宋体" w:hAnsi="宋体"/>
        </w:rPr>
        <w:t xml:space="preserve">: </w:t>
      </w:r>
      <w:bookmarkEnd w:id="6"/>
      <w:r>
        <w:rPr>
          <w:rFonts w:hint="eastAsia" w:ascii="宋体" w:hAnsi="宋体"/>
          <w:szCs w:val="21"/>
          <w:u w:val="single"/>
        </w:rPr>
        <w:t>Z绍柯采[2018]1829号</w:t>
      </w:r>
    </w:p>
    <w:p>
      <w:pPr>
        <w:spacing w:line="500" w:lineRule="exact"/>
        <w:ind w:firstLine="413" w:firstLineChars="196"/>
        <w:rPr>
          <w:rFonts w:hint="eastAsia" w:ascii="宋体" w:hAnsi="宋体"/>
          <w:b/>
          <w:szCs w:val="21"/>
        </w:rPr>
      </w:pPr>
      <w:r>
        <w:rPr>
          <w:rFonts w:hint="eastAsia" w:ascii="宋体" w:hAnsi="宋体"/>
          <w:b/>
          <w:szCs w:val="21"/>
        </w:rPr>
        <w:t>二、采购项目名称：</w:t>
      </w:r>
      <w:r>
        <w:rPr>
          <w:rFonts w:hint="eastAsia" w:ascii="宋体" w:hAnsi="宋体"/>
          <w:b/>
          <w:szCs w:val="21"/>
          <w:u w:val="single"/>
        </w:rPr>
        <w:t>2018年柯桥区钱清镇智能交通（设备、线路）建设项目</w:t>
      </w:r>
    </w:p>
    <w:p>
      <w:pPr>
        <w:spacing w:line="500" w:lineRule="exact"/>
        <w:ind w:firstLine="413" w:firstLineChars="196"/>
        <w:rPr>
          <w:rFonts w:hint="eastAsia" w:ascii="宋体" w:hAnsi="宋体"/>
          <w:b/>
          <w:szCs w:val="21"/>
        </w:rPr>
      </w:pPr>
      <w:r>
        <w:rPr>
          <w:rFonts w:hint="eastAsia" w:ascii="宋体" w:hAnsi="宋体"/>
          <w:b/>
          <w:szCs w:val="21"/>
        </w:rPr>
        <w:t>三、采购项目组织类型：</w:t>
      </w:r>
      <w:r>
        <w:rPr>
          <w:rFonts w:hint="eastAsia" w:ascii="宋体" w:hAnsi="宋体"/>
          <w:szCs w:val="21"/>
          <w:u w:val="single"/>
        </w:rPr>
        <w:t>分散采购委托代理</w:t>
      </w:r>
    </w:p>
    <w:p>
      <w:pPr>
        <w:spacing w:line="500" w:lineRule="exact"/>
        <w:ind w:firstLine="422" w:firstLineChars="200"/>
        <w:rPr>
          <w:rFonts w:hint="eastAsia" w:ascii="宋体" w:hAnsi="宋体"/>
          <w:szCs w:val="21"/>
        </w:rPr>
      </w:pPr>
      <w:r>
        <w:rPr>
          <w:rFonts w:hint="eastAsia" w:ascii="宋体" w:hAnsi="宋体"/>
          <w:b/>
          <w:szCs w:val="21"/>
        </w:rPr>
        <w:t>四、采购项目概况</w:t>
      </w:r>
      <w:r>
        <w:rPr>
          <w:rFonts w:hint="eastAsia" w:ascii="宋体" w:hAnsi="宋体"/>
          <w:szCs w:val="21"/>
        </w:rPr>
        <w:t>（包括内容、用途、数量、简要技术要求等）：</w:t>
      </w:r>
    </w:p>
    <w:p>
      <w:pPr>
        <w:spacing w:line="500" w:lineRule="exact"/>
        <w:ind w:firstLine="420" w:firstLineChars="200"/>
        <w:rPr>
          <w:rFonts w:hint="eastAsia" w:ascii="宋体" w:hAnsi="宋体"/>
          <w:szCs w:val="21"/>
        </w:rPr>
      </w:pPr>
      <w:r>
        <w:rPr>
          <w:rFonts w:hint="eastAsia" w:ascii="宋体" w:hAnsi="宋体"/>
          <w:szCs w:val="21"/>
        </w:rPr>
        <w:t>本次采购内容为</w:t>
      </w:r>
      <w:r>
        <w:rPr>
          <w:rFonts w:hint="eastAsia" w:ascii="宋体" w:hAnsi="宋体"/>
          <w:szCs w:val="21"/>
          <w:u w:val="single"/>
        </w:rPr>
        <w:t>2018年柯桥区钱清镇智能交通（设备、线路）建设项目，包括交通信号控制系统、电子警察系统（含交通信息采集系统）、高位监控系统、违停抓拍系统、中队分指挥中心、视频会议系统及配套网络通信系统，以及相关的设备材料供应、安装、调试、第三方100%检测、试运行、验收、培训及服务等</w:t>
      </w:r>
      <w:r>
        <w:rPr>
          <w:rFonts w:hint="eastAsia" w:ascii="宋体" w:hAnsi="宋体"/>
          <w:szCs w:val="21"/>
        </w:rPr>
        <w:t>，采购预算价约</w:t>
      </w:r>
      <w:r>
        <w:rPr>
          <w:rFonts w:hint="eastAsia" w:ascii="宋体" w:hAnsi="宋体"/>
          <w:szCs w:val="21"/>
          <w:u w:val="single"/>
        </w:rPr>
        <w:t xml:space="preserve"> 661</w:t>
      </w:r>
      <w:r>
        <w:rPr>
          <w:rFonts w:hint="eastAsia" w:ascii="宋体" w:hAnsi="宋体"/>
          <w:szCs w:val="21"/>
        </w:rPr>
        <w:t>万元，上限价为</w:t>
      </w:r>
      <w:r>
        <w:rPr>
          <w:rFonts w:hint="eastAsia" w:ascii="宋体" w:hAnsi="宋体"/>
          <w:szCs w:val="21"/>
          <w:u w:val="single"/>
        </w:rPr>
        <w:t>661</w:t>
      </w:r>
      <w:r>
        <w:rPr>
          <w:rFonts w:hint="eastAsia" w:ascii="宋体" w:hAnsi="宋体"/>
          <w:szCs w:val="21"/>
        </w:rPr>
        <w:t>万元。</w:t>
      </w:r>
    </w:p>
    <w:p>
      <w:pPr>
        <w:spacing w:line="500" w:lineRule="exact"/>
        <w:ind w:firstLine="422" w:firstLineChars="200"/>
        <w:rPr>
          <w:rFonts w:hint="eastAsia" w:ascii="宋体" w:hAnsi="宋体" w:cs="宋体"/>
          <w:b/>
          <w:kern w:val="0"/>
          <w:szCs w:val="21"/>
        </w:rPr>
      </w:pPr>
      <w:r>
        <w:rPr>
          <w:rFonts w:hint="eastAsia" w:ascii="宋体" w:hAnsi="宋体"/>
          <w:b/>
          <w:szCs w:val="21"/>
        </w:rPr>
        <w:t>五、投标供应商资格要求：</w:t>
      </w:r>
    </w:p>
    <w:p>
      <w:pPr>
        <w:widowControl/>
        <w:spacing w:line="500" w:lineRule="exact"/>
        <w:ind w:firstLine="472" w:firstLineChars="225"/>
        <w:jc w:val="left"/>
        <w:rPr>
          <w:rFonts w:hint="eastAsia" w:ascii="宋体" w:hAnsi="宋体"/>
          <w:szCs w:val="21"/>
        </w:rPr>
      </w:pPr>
      <w:r>
        <w:rPr>
          <w:rFonts w:hint="eastAsia" w:ascii="宋体" w:hAnsi="宋体"/>
          <w:szCs w:val="21"/>
        </w:rPr>
        <w:t>①符合政府采购法第二十二条之规定；</w:t>
      </w:r>
    </w:p>
    <w:p>
      <w:pPr>
        <w:widowControl/>
        <w:spacing w:line="500" w:lineRule="exact"/>
        <w:ind w:firstLine="472" w:firstLineChars="225"/>
        <w:jc w:val="left"/>
        <w:rPr>
          <w:rFonts w:hint="eastAsia" w:ascii="宋体" w:hAnsi="宋体"/>
          <w:szCs w:val="21"/>
        </w:rPr>
      </w:pPr>
      <w:r>
        <w:rPr>
          <w:rFonts w:hint="eastAsia" w:ascii="宋体" w:hAnsi="宋体"/>
          <w:szCs w:val="21"/>
        </w:rPr>
        <w:t>②具有履行合同所需的技术和服务能力；</w:t>
      </w:r>
    </w:p>
    <w:p>
      <w:pPr>
        <w:widowControl/>
        <w:spacing w:line="500" w:lineRule="exact"/>
        <w:ind w:firstLine="472" w:firstLineChars="225"/>
        <w:jc w:val="left"/>
        <w:rPr>
          <w:rFonts w:hint="eastAsia" w:ascii="宋体" w:hAnsi="宋体"/>
          <w:szCs w:val="21"/>
        </w:rPr>
      </w:pPr>
      <w:r>
        <w:rPr>
          <w:rFonts w:hint="eastAsia" w:ascii="宋体" w:hAnsi="宋体"/>
          <w:szCs w:val="21"/>
        </w:rPr>
        <w:t>③未被列入失信被执行人、重大税收违法案件当事人名单和政府采购严重违法失信行为记录名单的供应商；</w:t>
      </w:r>
      <w:bookmarkStart w:id="7" w:name="_Toc337556637"/>
      <w:bookmarkStart w:id="8" w:name="_Toc352578621"/>
      <w:bookmarkStart w:id="9" w:name="_Toc352578501"/>
      <w:bookmarkStart w:id="10" w:name="_Toc382310768"/>
      <w:bookmarkStart w:id="11" w:name="_Toc354920914"/>
      <w:bookmarkStart w:id="12" w:name="_Toc381102689"/>
      <w:bookmarkStart w:id="13" w:name="_Toc353105909"/>
      <w:bookmarkStart w:id="14" w:name="_Toc355247798"/>
    </w:p>
    <w:p>
      <w:pPr>
        <w:widowControl/>
        <w:spacing w:line="500" w:lineRule="exact"/>
        <w:ind w:firstLine="472" w:firstLineChars="225"/>
        <w:jc w:val="left"/>
        <w:rPr>
          <w:rFonts w:hint="eastAsia"/>
          <w:szCs w:val="21"/>
        </w:rPr>
      </w:pPr>
      <w:r>
        <w:rPr>
          <w:rFonts w:hint="eastAsia" w:ascii="宋体" w:hAnsi="宋体"/>
          <w:szCs w:val="21"/>
        </w:rPr>
        <w:t>④</w:t>
      </w:r>
      <w:r>
        <w:rPr>
          <w:rFonts w:hint="eastAsia"/>
          <w:szCs w:val="21"/>
        </w:rPr>
        <w:t>本次招标不接受联合体投标。</w:t>
      </w:r>
    </w:p>
    <w:p>
      <w:pPr>
        <w:widowControl/>
        <w:spacing w:line="500" w:lineRule="exact"/>
        <w:ind w:firstLine="474" w:firstLineChars="225"/>
        <w:jc w:val="left"/>
        <w:rPr>
          <w:rFonts w:hint="eastAsia" w:ascii="宋体" w:hAnsi="宋体"/>
          <w:szCs w:val="21"/>
        </w:rPr>
      </w:pPr>
      <w:r>
        <w:rPr>
          <w:rFonts w:hint="eastAsia" w:ascii="宋体" w:hAnsi="宋体"/>
          <w:b/>
          <w:szCs w:val="21"/>
        </w:rPr>
        <w:t>六、</w:t>
      </w:r>
      <w:bookmarkEnd w:id="7"/>
      <w:r>
        <w:rPr>
          <w:rFonts w:hint="eastAsia" w:ascii="宋体" w:hAnsi="宋体"/>
          <w:b/>
          <w:szCs w:val="21"/>
        </w:rPr>
        <w:t>采购文件的获取的时间和方式：</w:t>
      </w:r>
      <w:bookmarkEnd w:id="8"/>
      <w:bookmarkEnd w:id="9"/>
      <w:bookmarkEnd w:id="10"/>
      <w:bookmarkEnd w:id="11"/>
      <w:bookmarkEnd w:id="12"/>
      <w:bookmarkEnd w:id="13"/>
      <w:bookmarkEnd w:id="14"/>
    </w:p>
    <w:p>
      <w:pPr>
        <w:spacing w:line="400" w:lineRule="exact"/>
        <w:ind w:firstLine="420" w:firstLineChars="200"/>
        <w:rPr>
          <w:rFonts w:hint="eastAsia"/>
          <w:szCs w:val="21"/>
        </w:rPr>
      </w:pPr>
      <w:r>
        <w:rPr>
          <w:rFonts w:hint="eastAsia"/>
          <w:szCs w:val="21"/>
        </w:rPr>
        <w:t>自公告之日起至</w:t>
      </w:r>
      <w:r>
        <w:rPr>
          <w:rFonts w:hint="eastAsia"/>
          <w:szCs w:val="21"/>
          <w:u w:val="single"/>
        </w:rPr>
        <w:t>2018</w:t>
      </w:r>
      <w:r>
        <w:rPr>
          <w:rFonts w:hint="eastAsia"/>
          <w:szCs w:val="21"/>
        </w:rPr>
        <w:t>年</w:t>
      </w:r>
      <w:r>
        <w:rPr>
          <w:rFonts w:hint="eastAsia"/>
          <w:szCs w:val="21"/>
          <w:u w:val="single"/>
        </w:rPr>
        <w:t xml:space="preserve"> </w:t>
      </w:r>
      <w:r>
        <w:rPr>
          <w:szCs w:val="21"/>
          <w:u w:val="single"/>
        </w:rPr>
        <w:t>11</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日16：00时截止，由供应商自行在网上下载。</w:t>
      </w:r>
    </w:p>
    <w:p>
      <w:pPr>
        <w:spacing w:line="400" w:lineRule="exact"/>
        <w:ind w:firstLine="420" w:firstLineChars="200"/>
        <w:rPr>
          <w:rFonts w:hint="eastAsia" w:ascii="宋体" w:hAnsi="宋体"/>
          <w:szCs w:val="21"/>
        </w:rPr>
      </w:pPr>
      <w:r>
        <w:rPr>
          <w:rFonts w:hint="eastAsia" w:ascii="宋体" w:hAnsi="宋体"/>
          <w:szCs w:val="21"/>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pPr>
        <w:spacing w:line="440" w:lineRule="exact"/>
        <w:ind w:firstLine="420"/>
        <w:rPr>
          <w:rFonts w:hint="eastAsia" w:ascii="宋体" w:hAnsi="宋体"/>
          <w:szCs w:val="21"/>
        </w:rPr>
      </w:pPr>
      <w:r>
        <w:rPr>
          <w:rFonts w:hint="eastAsia" w:ascii="宋体" w:hAnsi="宋体"/>
          <w:b/>
          <w:szCs w:val="21"/>
        </w:rPr>
        <w:t>七、报名的时间和方式：</w:t>
      </w:r>
    </w:p>
    <w:p>
      <w:pPr>
        <w:spacing w:line="440" w:lineRule="exact"/>
        <w:ind w:firstLine="420"/>
        <w:rPr>
          <w:rFonts w:hint="eastAsia" w:ascii="宋体" w:hAnsi="宋体"/>
          <w:szCs w:val="21"/>
        </w:rPr>
      </w:pPr>
      <w:r>
        <w:rPr>
          <w:rFonts w:hint="eastAsia" w:ascii="宋体" w:hAnsi="宋体"/>
          <w:szCs w:val="21"/>
        </w:rPr>
        <w:t>参加本项目投标的供应商应在投标截至时间之前完成网上在线报名 ，网上报名网站为浙江政府采购云平台，网址http://www.zcy.gov.cn/。未报名投标人的投标文件（如以联合体形式参加政府采购活动的，需联合体牵头人报名）将被拒绝。</w:t>
      </w:r>
    </w:p>
    <w:p>
      <w:pPr>
        <w:widowControl/>
        <w:spacing w:line="500" w:lineRule="exact"/>
        <w:ind w:firstLine="474" w:firstLineChars="225"/>
        <w:jc w:val="left"/>
        <w:rPr>
          <w:rFonts w:hint="eastAsia" w:ascii="宋体" w:hAnsi="宋体"/>
          <w:szCs w:val="21"/>
        </w:rPr>
      </w:pPr>
      <w:r>
        <w:rPr>
          <w:rFonts w:hint="eastAsia" w:ascii="宋体" w:hAnsi="宋体"/>
          <w:b/>
          <w:szCs w:val="21"/>
        </w:rPr>
        <w:t>八、投标截止时间：</w:t>
      </w:r>
      <w:r>
        <w:rPr>
          <w:rFonts w:hint="eastAsia" w:ascii="宋体" w:hAnsi="宋体"/>
          <w:u w:val="single"/>
        </w:rPr>
        <w:t>2018</w:t>
      </w:r>
      <w:r>
        <w:rPr>
          <w:rFonts w:hint="eastAsia" w:ascii="宋体" w:hAnsi="宋体"/>
        </w:rPr>
        <w:t>年</w:t>
      </w:r>
      <w:r>
        <w:rPr>
          <w:rFonts w:ascii="宋体" w:hAnsi="宋体"/>
          <w:u w:val="single"/>
        </w:rPr>
        <w:t>11</w:t>
      </w:r>
      <w:r>
        <w:rPr>
          <w:rFonts w:hint="eastAsia" w:ascii="宋体" w:hAnsi="宋体"/>
        </w:rPr>
        <w:t>月</w:t>
      </w:r>
      <w:r>
        <w:rPr>
          <w:rFonts w:hint="eastAsia" w:ascii="宋体" w:hAnsi="宋体"/>
          <w:u w:val="single"/>
        </w:rPr>
        <w:t xml:space="preserve"> </w:t>
      </w:r>
      <w:r>
        <w:rPr>
          <w:rFonts w:ascii="宋体" w:hAnsi="宋体"/>
          <w:u w:val="single"/>
        </w:rPr>
        <w:t>14</w:t>
      </w:r>
      <w:r>
        <w:rPr>
          <w:rFonts w:hint="eastAsia" w:ascii="宋体" w:hAnsi="宋体"/>
          <w:u w:val="single"/>
        </w:rPr>
        <w:t xml:space="preserve"> </w:t>
      </w:r>
      <w:r>
        <w:rPr>
          <w:rFonts w:hint="eastAsia" w:ascii="宋体" w:hAnsi="宋体"/>
        </w:rPr>
        <w:t>日</w:t>
      </w:r>
      <w:r>
        <w:rPr>
          <w:rFonts w:hint="eastAsia" w:ascii="宋体" w:hAnsi="宋体"/>
          <w:u w:val="single"/>
        </w:rPr>
        <w:t xml:space="preserve"> 上 </w:t>
      </w:r>
      <w:r>
        <w:rPr>
          <w:rFonts w:hint="eastAsia" w:ascii="宋体" w:hAnsi="宋体"/>
        </w:rPr>
        <w:t>午</w:t>
      </w:r>
      <w:r>
        <w:rPr>
          <w:rFonts w:hint="eastAsia" w:ascii="宋体" w:hAnsi="宋体"/>
          <w:u w:val="single"/>
        </w:rPr>
        <w:t xml:space="preserve"> </w:t>
      </w:r>
      <w:r>
        <w:rPr>
          <w:rFonts w:ascii="宋体" w:hAnsi="宋体"/>
          <w:u w:val="single"/>
        </w:rPr>
        <w:t>10</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ascii="宋体" w:hAnsi="宋体"/>
          <w:u w:val="single"/>
        </w:rPr>
        <w:t>00</w:t>
      </w:r>
      <w:r>
        <w:rPr>
          <w:rFonts w:hint="eastAsia" w:ascii="宋体" w:hAnsi="宋体"/>
        </w:rPr>
        <w:t>分。</w:t>
      </w:r>
    </w:p>
    <w:p>
      <w:pPr>
        <w:widowControl/>
        <w:spacing w:line="500" w:lineRule="exact"/>
        <w:ind w:firstLine="474" w:firstLineChars="225"/>
        <w:jc w:val="left"/>
        <w:rPr>
          <w:rFonts w:hint="eastAsia" w:ascii="宋体" w:hAnsi="宋体"/>
          <w:szCs w:val="21"/>
        </w:rPr>
      </w:pPr>
      <w:r>
        <w:rPr>
          <w:rFonts w:hint="eastAsia" w:ascii="宋体" w:hAnsi="宋体"/>
          <w:b/>
          <w:szCs w:val="21"/>
        </w:rPr>
        <w:t>九、投标地点：</w:t>
      </w:r>
      <w:r>
        <w:rPr>
          <w:rFonts w:hint="eastAsia" w:ascii="宋体" w:hAnsi="宋体"/>
          <w:szCs w:val="21"/>
        </w:rPr>
        <w:t>绍兴市柯桥区华齐路1066号绍兴市柯桥区公共资源交易中心三楼</w:t>
      </w:r>
      <w:r>
        <w:rPr>
          <w:rFonts w:ascii="宋体" w:hAnsi="宋体"/>
          <w:szCs w:val="21"/>
          <w:u w:val="single"/>
        </w:rPr>
        <w:t>2</w:t>
      </w:r>
      <w:r>
        <w:rPr>
          <w:rFonts w:hint="eastAsia" w:ascii="宋体" w:hAnsi="宋体"/>
          <w:szCs w:val="21"/>
          <w:u w:val="single"/>
        </w:rPr>
        <w:t xml:space="preserve"> </w:t>
      </w:r>
      <w:r>
        <w:rPr>
          <w:rFonts w:hint="eastAsia" w:ascii="宋体" w:hAnsi="宋体"/>
          <w:szCs w:val="21"/>
        </w:rPr>
        <w:t>号交易室。</w:t>
      </w:r>
    </w:p>
    <w:p>
      <w:pPr>
        <w:widowControl/>
        <w:spacing w:line="500" w:lineRule="exact"/>
        <w:ind w:firstLine="474" w:firstLineChars="225"/>
        <w:jc w:val="left"/>
        <w:rPr>
          <w:rFonts w:hint="eastAsia" w:ascii="宋体" w:hAnsi="宋体"/>
          <w:szCs w:val="21"/>
        </w:rPr>
      </w:pPr>
      <w:r>
        <w:rPr>
          <w:rFonts w:hint="eastAsia" w:ascii="宋体" w:hAnsi="宋体"/>
          <w:b/>
          <w:szCs w:val="21"/>
        </w:rPr>
        <w:t>十、开标时间：</w:t>
      </w:r>
      <w:r>
        <w:rPr>
          <w:rFonts w:hint="eastAsia" w:ascii="宋体" w:hAnsi="宋体"/>
          <w:u w:val="single"/>
        </w:rPr>
        <w:t>2018</w:t>
      </w:r>
      <w:r>
        <w:rPr>
          <w:rFonts w:hint="eastAsia" w:ascii="宋体" w:hAnsi="宋体"/>
        </w:rPr>
        <w:t>年</w:t>
      </w:r>
      <w:r>
        <w:rPr>
          <w:rFonts w:ascii="宋体" w:hAnsi="宋体"/>
          <w:u w:val="single"/>
        </w:rPr>
        <w:t>11</w:t>
      </w:r>
      <w:r>
        <w:rPr>
          <w:rFonts w:hint="eastAsia" w:ascii="宋体" w:hAnsi="宋体"/>
        </w:rPr>
        <w:t>月</w:t>
      </w:r>
      <w:r>
        <w:rPr>
          <w:rFonts w:ascii="宋体" w:hAnsi="宋体"/>
          <w:u w:val="single"/>
        </w:rPr>
        <w:t>14</w:t>
      </w:r>
      <w:r>
        <w:rPr>
          <w:rFonts w:hint="eastAsia" w:ascii="宋体" w:hAnsi="宋体"/>
        </w:rPr>
        <w:t>日上午</w:t>
      </w:r>
      <w:r>
        <w:rPr>
          <w:rFonts w:ascii="宋体" w:hAnsi="宋体"/>
          <w:u w:val="single"/>
        </w:rPr>
        <w:t>10</w:t>
      </w:r>
      <w:r>
        <w:rPr>
          <w:rFonts w:hint="eastAsia" w:ascii="宋体" w:hAnsi="宋体"/>
        </w:rPr>
        <w:t>时</w:t>
      </w:r>
      <w:r>
        <w:rPr>
          <w:rFonts w:ascii="宋体" w:hAnsi="宋体"/>
          <w:u w:val="single"/>
        </w:rPr>
        <w:t>00</w:t>
      </w:r>
      <w:r>
        <w:rPr>
          <w:rFonts w:hint="eastAsia" w:ascii="宋体" w:hAnsi="宋体"/>
        </w:rPr>
        <w:t>分。</w:t>
      </w:r>
    </w:p>
    <w:p>
      <w:pPr>
        <w:widowControl/>
        <w:spacing w:line="500" w:lineRule="exact"/>
        <w:ind w:firstLine="474" w:firstLineChars="225"/>
        <w:jc w:val="left"/>
        <w:rPr>
          <w:rFonts w:hint="eastAsia" w:ascii="宋体" w:hAnsi="宋体"/>
          <w:szCs w:val="21"/>
        </w:rPr>
      </w:pPr>
      <w:r>
        <w:rPr>
          <w:rFonts w:hint="eastAsia" w:ascii="宋体" w:hAnsi="宋体"/>
          <w:b/>
          <w:szCs w:val="21"/>
        </w:rPr>
        <w:t>十一、开标地点：</w:t>
      </w:r>
      <w:bookmarkStart w:id="15" w:name="B30_开标地点"/>
      <w:r>
        <w:rPr>
          <w:rFonts w:hint="eastAsia" w:ascii="宋体" w:hAnsi="宋体"/>
          <w:szCs w:val="21"/>
        </w:rPr>
        <w:t>绍兴市柯桥区华齐路1066号绍兴市柯桥区公共资源交易中心三楼</w:t>
      </w:r>
      <w:r>
        <w:rPr>
          <w:rFonts w:hint="eastAsia" w:ascii="宋体" w:hAnsi="宋体"/>
          <w:szCs w:val="21"/>
          <w:u w:val="single"/>
        </w:rPr>
        <w:t>2号</w:t>
      </w:r>
      <w:r>
        <w:rPr>
          <w:rFonts w:hint="eastAsia" w:ascii="宋体" w:hAnsi="宋体"/>
          <w:szCs w:val="21"/>
        </w:rPr>
        <w:t>交易室。</w:t>
      </w:r>
      <w:bookmarkEnd w:id="15"/>
    </w:p>
    <w:p>
      <w:pPr>
        <w:widowControl/>
        <w:spacing w:line="500" w:lineRule="exact"/>
        <w:ind w:firstLine="474" w:firstLineChars="225"/>
        <w:jc w:val="left"/>
        <w:rPr>
          <w:rFonts w:hint="eastAsia" w:ascii="宋体" w:hAnsi="宋体"/>
          <w:b/>
          <w:szCs w:val="21"/>
        </w:rPr>
      </w:pPr>
      <w:r>
        <w:rPr>
          <w:rFonts w:hint="eastAsia" w:ascii="宋体" w:hAnsi="宋体"/>
          <w:b/>
          <w:szCs w:val="21"/>
        </w:rPr>
        <w:t>十二、投标保证金：无</w:t>
      </w:r>
    </w:p>
    <w:p>
      <w:pPr>
        <w:widowControl/>
        <w:spacing w:line="500" w:lineRule="exact"/>
        <w:ind w:firstLine="474" w:firstLineChars="225"/>
        <w:jc w:val="left"/>
        <w:rPr>
          <w:rFonts w:hint="eastAsia" w:ascii="宋体" w:hAnsi="宋体"/>
          <w:b/>
          <w:szCs w:val="21"/>
        </w:rPr>
      </w:pPr>
      <w:r>
        <w:rPr>
          <w:rFonts w:hint="eastAsia" w:ascii="宋体" w:hAnsi="宋体"/>
          <w:b/>
          <w:szCs w:val="21"/>
        </w:rPr>
        <w:t>十三、招标公告发布：</w:t>
      </w:r>
      <w:r>
        <w:rPr>
          <w:rFonts w:hint="eastAsia"/>
        </w:rPr>
        <w:fldChar w:fldCharType="begin"/>
      </w:r>
      <w:r>
        <w:rPr>
          <w:rFonts w:hint="eastAsia"/>
        </w:rPr>
        <w:instrText xml:space="preserve"> HYPERLINK "http://www.zjzfcg.gov.cn" </w:instrText>
      </w:r>
      <w:r>
        <w:rPr>
          <w:rFonts w:hint="eastAsia"/>
        </w:rPr>
        <w:fldChar w:fldCharType="separate"/>
      </w:r>
      <w:r>
        <w:rPr>
          <w:rFonts w:hint="eastAsia"/>
        </w:rPr>
        <w:t>http://www.zjzfcg.gov.cn</w:t>
      </w:r>
      <w:r>
        <w:rPr>
          <w:rFonts w:hint="eastAsia"/>
        </w:rPr>
        <w:fldChar w:fldCharType="end"/>
      </w:r>
      <w:r>
        <w:rPr>
          <w:rFonts w:hint="eastAsia"/>
        </w:rPr>
        <w:t>。</w:t>
      </w:r>
    </w:p>
    <w:p>
      <w:pPr>
        <w:widowControl/>
        <w:spacing w:line="500" w:lineRule="exact"/>
        <w:ind w:firstLine="474" w:firstLineChars="225"/>
        <w:jc w:val="left"/>
        <w:rPr>
          <w:rFonts w:hint="eastAsia"/>
        </w:rPr>
      </w:pPr>
      <w:r>
        <w:rPr>
          <w:rFonts w:hint="eastAsia" w:ascii="宋体" w:hAnsi="宋体"/>
          <w:b/>
          <w:szCs w:val="21"/>
        </w:rPr>
        <w:t>十四、本项目公告期限：</w:t>
      </w:r>
      <w:r>
        <w:rPr>
          <w:rFonts w:hint="eastAsia"/>
        </w:rPr>
        <w:t>本公告发布之日起五个工作日。</w:t>
      </w:r>
    </w:p>
    <w:p>
      <w:pPr>
        <w:widowControl/>
        <w:spacing w:line="500" w:lineRule="exact"/>
        <w:ind w:firstLine="474" w:firstLineChars="225"/>
        <w:jc w:val="left"/>
        <w:rPr>
          <w:rFonts w:hint="eastAsia" w:ascii="宋体" w:hAnsi="宋体"/>
          <w:b/>
          <w:szCs w:val="21"/>
        </w:rPr>
      </w:pPr>
      <w:r>
        <w:rPr>
          <w:rFonts w:hint="eastAsia" w:ascii="宋体" w:hAnsi="宋体"/>
          <w:b/>
          <w:szCs w:val="21"/>
        </w:rPr>
        <w:t>十五、质疑和投诉：</w:t>
      </w:r>
      <w:r>
        <w:rPr>
          <w:rFonts w:hint="eastAsia" w:ascii="宋体" w:hAnsi="宋体"/>
          <w:szCs w:val="21"/>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pPr>
        <w:widowControl/>
        <w:spacing w:line="500" w:lineRule="exact"/>
        <w:ind w:firstLine="474" w:firstLineChars="225"/>
        <w:jc w:val="left"/>
        <w:rPr>
          <w:rFonts w:hint="eastAsia" w:ascii="宋体" w:hAnsi="宋体"/>
          <w:b/>
          <w:szCs w:val="21"/>
        </w:rPr>
      </w:pPr>
      <w:r>
        <w:rPr>
          <w:rFonts w:hint="eastAsia" w:ascii="宋体" w:hAnsi="宋体"/>
          <w:b/>
          <w:szCs w:val="21"/>
        </w:rPr>
        <w:t>十六、其他事项：</w:t>
      </w:r>
    </w:p>
    <w:p>
      <w:pPr>
        <w:widowControl/>
        <w:spacing w:line="500" w:lineRule="exact"/>
        <w:ind w:firstLine="472" w:firstLineChars="225"/>
        <w:jc w:val="left"/>
        <w:rPr>
          <w:rFonts w:hint="eastAsia"/>
        </w:rPr>
      </w:pPr>
      <w:r>
        <w:rPr>
          <w:rFonts w:hint="eastAsia" w:ascii="宋体" w:hAnsi="宋体"/>
          <w:szCs w:val="21"/>
        </w:rPr>
        <w:t>1、供应商注册：</w:t>
      </w:r>
      <w:r>
        <w:rPr>
          <w:rFonts w:hint="eastAsia"/>
        </w:rPr>
        <w:t>参与绍兴市柯桥区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spacing w:line="500" w:lineRule="exact"/>
        <w:ind w:firstLine="474" w:firstLineChars="225"/>
        <w:rPr>
          <w:rFonts w:hint="eastAsia" w:ascii="宋体" w:hAnsi="宋体"/>
          <w:b/>
          <w:szCs w:val="21"/>
          <w:u w:val="single"/>
        </w:rPr>
      </w:pPr>
    </w:p>
    <w:p>
      <w:pPr>
        <w:spacing w:line="500" w:lineRule="exact"/>
        <w:ind w:firstLine="472" w:firstLineChars="225"/>
        <w:rPr>
          <w:rFonts w:hint="eastAsia" w:ascii="宋体" w:hAnsi="宋体"/>
          <w:szCs w:val="21"/>
        </w:rPr>
      </w:pPr>
      <w:r>
        <w:rPr>
          <w:rFonts w:hint="eastAsia" w:ascii="宋体" w:hAnsi="宋体"/>
          <w:szCs w:val="21"/>
        </w:rPr>
        <w:t>联系方式</w:t>
      </w:r>
    </w:p>
    <w:p>
      <w:pPr>
        <w:spacing w:line="500" w:lineRule="exact"/>
        <w:ind w:firstLine="445" w:firstLineChars="225"/>
        <w:rPr>
          <w:rFonts w:hint="eastAsia" w:ascii="宋体" w:hAnsi="宋体"/>
          <w:szCs w:val="21"/>
        </w:rPr>
      </w:pPr>
      <w:r>
        <w:rPr>
          <w:rFonts w:hint="eastAsia" w:ascii="宋体" w:hAnsi="宋体"/>
          <w:spacing w:val="-6"/>
          <w:szCs w:val="21"/>
        </w:rPr>
        <w:t>采购人名称：</w:t>
      </w:r>
      <w:r>
        <w:rPr>
          <w:rFonts w:hint="eastAsia" w:ascii="宋体" w:hAnsi="宋体"/>
          <w:szCs w:val="21"/>
          <w:u w:val="single"/>
        </w:rPr>
        <w:t>绍兴市柯桥区钱清镇人民政府</w:t>
      </w:r>
    </w:p>
    <w:p>
      <w:pPr>
        <w:spacing w:line="500" w:lineRule="exact"/>
        <w:ind w:firstLine="472" w:firstLineChars="225"/>
        <w:rPr>
          <w:rFonts w:hint="eastAsia" w:ascii="宋体" w:hAnsi="宋体"/>
          <w:szCs w:val="21"/>
        </w:rPr>
      </w:pPr>
      <w:r>
        <w:rPr>
          <w:rFonts w:hint="eastAsia" w:ascii="宋体" w:hAnsi="宋体"/>
          <w:szCs w:val="21"/>
        </w:rPr>
        <w:t>详细地点：</w:t>
      </w:r>
      <w:r>
        <w:rPr>
          <w:rFonts w:hint="eastAsia" w:ascii="宋体" w:hAnsi="宋体"/>
          <w:szCs w:val="21"/>
          <w:u w:val="single"/>
        </w:rPr>
        <w:t xml:space="preserve">      柯桥区钱清镇        </w:t>
      </w:r>
    </w:p>
    <w:p>
      <w:pPr>
        <w:spacing w:line="500" w:lineRule="exact"/>
        <w:ind w:firstLine="472" w:firstLineChars="225"/>
        <w:rPr>
          <w:rFonts w:hint="eastAsia" w:ascii="宋体" w:hAnsi="宋体"/>
          <w:szCs w:val="21"/>
        </w:rPr>
      </w:pPr>
      <w:r>
        <w:rPr>
          <w:rFonts w:hint="eastAsia" w:ascii="宋体" w:hAnsi="宋体"/>
          <w:szCs w:val="21"/>
        </w:rPr>
        <w:t>联 系 人：</w:t>
      </w:r>
      <w:r>
        <w:rPr>
          <w:rFonts w:hint="eastAsia" w:ascii="宋体" w:hAnsi="宋体"/>
          <w:szCs w:val="21"/>
          <w:u w:val="single"/>
        </w:rPr>
        <w:t xml:space="preserve">        陈建康             </w:t>
      </w:r>
    </w:p>
    <w:p>
      <w:pPr>
        <w:widowControl/>
        <w:spacing w:line="500" w:lineRule="exact"/>
        <w:ind w:firstLine="472" w:firstLineChars="225"/>
        <w:jc w:val="left"/>
        <w:rPr>
          <w:rFonts w:hint="eastAsia" w:ascii="宋体" w:hAnsi="宋体"/>
          <w:szCs w:val="21"/>
        </w:rPr>
      </w:pPr>
      <w:r>
        <w:rPr>
          <w:rFonts w:hint="eastAsia" w:ascii="宋体" w:hAnsi="宋体"/>
          <w:szCs w:val="21"/>
        </w:rPr>
        <w:t>联系电话：</w:t>
      </w:r>
      <w:r>
        <w:rPr>
          <w:rFonts w:hint="eastAsia" w:ascii="宋体" w:hAnsi="宋体"/>
          <w:szCs w:val="21"/>
          <w:u w:val="single"/>
        </w:rPr>
        <w:t xml:space="preserve">     0575-84512084        </w:t>
      </w:r>
    </w:p>
    <w:p>
      <w:pPr>
        <w:spacing w:line="500" w:lineRule="exact"/>
        <w:ind w:firstLine="472" w:firstLineChars="225"/>
        <w:rPr>
          <w:rFonts w:hint="eastAsia" w:ascii="宋体" w:hAnsi="宋体"/>
          <w:szCs w:val="21"/>
        </w:rPr>
      </w:pPr>
      <w:r>
        <w:rPr>
          <w:rFonts w:hint="eastAsia" w:ascii="宋体" w:hAnsi="宋体"/>
          <w:szCs w:val="21"/>
        </w:rPr>
        <w:t>传    真：</w:t>
      </w:r>
      <w:r>
        <w:rPr>
          <w:rFonts w:hint="eastAsia" w:ascii="宋体" w:hAnsi="宋体"/>
          <w:szCs w:val="21"/>
          <w:u w:val="single"/>
        </w:rPr>
        <w:t xml:space="preserve">     /          </w:t>
      </w:r>
    </w:p>
    <w:p>
      <w:pPr>
        <w:spacing w:line="500" w:lineRule="exact"/>
        <w:ind w:firstLine="445" w:firstLineChars="225"/>
        <w:rPr>
          <w:rFonts w:hint="eastAsia" w:ascii="宋体" w:hAnsi="宋体"/>
          <w:spacing w:val="-6"/>
          <w:szCs w:val="21"/>
        </w:rPr>
      </w:pPr>
    </w:p>
    <w:p>
      <w:pPr>
        <w:spacing w:line="500" w:lineRule="exact"/>
        <w:ind w:firstLine="445" w:firstLineChars="225"/>
        <w:rPr>
          <w:rFonts w:hint="eastAsia" w:ascii="宋体" w:hAnsi="宋体"/>
          <w:szCs w:val="21"/>
        </w:rPr>
      </w:pPr>
      <w:r>
        <w:rPr>
          <w:rFonts w:hint="eastAsia" w:ascii="宋体" w:hAnsi="宋体"/>
          <w:spacing w:val="-6"/>
          <w:szCs w:val="21"/>
        </w:rPr>
        <w:t>采购代理机构名称：</w:t>
      </w:r>
      <w:r>
        <w:rPr>
          <w:rFonts w:hint="eastAsia" w:ascii="宋体" w:hAnsi="宋体"/>
          <w:spacing w:val="-6"/>
          <w:szCs w:val="21"/>
          <w:u w:val="single"/>
        </w:rPr>
        <w:t xml:space="preserve">  </w:t>
      </w:r>
      <w:r>
        <w:rPr>
          <w:rFonts w:hint="eastAsia" w:ascii="宋体" w:hAnsi="宋体"/>
          <w:szCs w:val="21"/>
          <w:u w:val="single"/>
        </w:rPr>
        <w:t>绍兴市鼎正建设工程咨询有限公司</w:t>
      </w:r>
      <w:r>
        <w:rPr>
          <w:rFonts w:hint="eastAsia" w:ascii="宋体" w:hAnsi="宋体"/>
          <w:spacing w:val="-6"/>
          <w:szCs w:val="21"/>
          <w:u w:val="single"/>
        </w:rPr>
        <w:t xml:space="preserve">  </w:t>
      </w:r>
    </w:p>
    <w:p>
      <w:pPr>
        <w:spacing w:line="500" w:lineRule="exact"/>
        <w:ind w:firstLine="472" w:firstLineChars="225"/>
        <w:rPr>
          <w:rFonts w:hint="eastAsia" w:ascii="宋体" w:hAnsi="宋体"/>
          <w:szCs w:val="21"/>
          <w:u w:val="single"/>
        </w:rPr>
      </w:pPr>
      <w:r>
        <w:rPr>
          <w:rFonts w:hint="eastAsia" w:ascii="宋体" w:hAnsi="宋体"/>
          <w:szCs w:val="21"/>
        </w:rPr>
        <w:t xml:space="preserve">详细地点： </w:t>
      </w:r>
      <w:r>
        <w:rPr>
          <w:rFonts w:hint="eastAsia" w:ascii="宋体" w:hAnsi="宋体"/>
          <w:szCs w:val="21"/>
          <w:u w:val="single"/>
        </w:rPr>
        <w:t xml:space="preserve"> 绍兴市二环北路135号金德隆北区B座四楼  </w:t>
      </w:r>
    </w:p>
    <w:p>
      <w:pPr>
        <w:spacing w:line="500" w:lineRule="exact"/>
        <w:ind w:firstLine="472" w:firstLineChars="225"/>
        <w:rPr>
          <w:rFonts w:hint="eastAsia" w:ascii="宋体" w:hAnsi="宋体"/>
          <w:szCs w:val="21"/>
        </w:rPr>
      </w:pPr>
      <w:r>
        <w:rPr>
          <w:rFonts w:hint="eastAsia" w:ascii="宋体" w:hAnsi="宋体"/>
          <w:szCs w:val="21"/>
        </w:rPr>
        <w:t>联 系 人：</w:t>
      </w:r>
      <w:r>
        <w:rPr>
          <w:rFonts w:hint="eastAsia" w:ascii="宋体" w:hAnsi="宋体"/>
          <w:szCs w:val="21"/>
          <w:u w:val="single"/>
        </w:rPr>
        <w:t xml:space="preserve">      张  峰       </w:t>
      </w:r>
    </w:p>
    <w:p>
      <w:pPr>
        <w:widowControl/>
        <w:spacing w:line="500" w:lineRule="exact"/>
        <w:ind w:firstLine="472" w:firstLineChars="225"/>
        <w:jc w:val="left"/>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0575-85176866    </w:t>
      </w:r>
    </w:p>
    <w:p>
      <w:pPr>
        <w:spacing w:line="500" w:lineRule="exact"/>
        <w:ind w:firstLine="472" w:firstLineChars="225"/>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0575-85155500     </w:t>
      </w:r>
    </w:p>
    <w:p>
      <w:pPr>
        <w:spacing w:line="280" w:lineRule="exact"/>
        <w:rPr>
          <w:rFonts w:hint="eastAsia" w:ascii="宋体" w:hAnsi="宋体"/>
          <w:szCs w:val="21"/>
        </w:rPr>
      </w:pPr>
    </w:p>
    <w:p>
      <w:pPr>
        <w:pStyle w:val="2"/>
        <w:numPr>
          <w:ilvl w:val="0"/>
          <w:numId w:val="0"/>
        </w:numPr>
        <w:spacing w:line="240" w:lineRule="auto"/>
        <w:ind w:firstLine="3514" w:firstLineChars="1250"/>
        <w:rPr>
          <w:rFonts w:hint="eastAsia" w:ascii="宋体" w:hAnsi="宋体"/>
          <w:sz w:val="28"/>
          <w:szCs w:val="28"/>
        </w:rPr>
      </w:pPr>
      <w:bookmarkStart w:id="16" w:name="_Toc27740"/>
      <w:r>
        <w:rPr>
          <w:rFonts w:hint="eastAsia" w:ascii="宋体" w:hAnsi="宋体"/>
          <w:sz w:val="28"/>
          <w:szCs w:val="28"/>
        </w:rPr>
        <w:t>一、前附表</w:t>
      </w:r>
      <w:bookmarkEnd w:id="0"/>
      <w:bookmarkEnd w:id="1"/>
      <w:bookmarkEnd w:id="1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序号</w:t>
            </w:r>
          </w:p>
        </w:tc>
        <w:tc>
          <w:tcPr>
            <w:tcW w:w="8382" w:type="dxa"/>
            <w:gridSpan w:val="2"/>
            <w:noWrap w:val="0"/>
            <w:vAlign w:val="center"/>
          </w:tcPr>
          <w:p>
            <w:pPr>
              <w:pStyle w:val="124"/>
              <w:spacing w:line="280" w:lineRule="exact"/>
              <w:rPr>
                <w:rFonts w:hint="eastAsia" w:hAnsi="宋体"/>
                <w:b w:val="0"/>
                <w:sz w:val="21"/>
                <w:szCs w:val="21"/>
              </w:rPr>
            </w:pPr>
            <w:r>
              <w:rPr>
                <w:rFonts w:hint="eastAsia" w:hAnsi="宋体"/>
                <w:b w:val="0"/>
                <w:sz w:val="21"/>
                <w:szCs w:val="21"/>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w:t>
            </w:r>
          </w:p>
        </w:tc>
        <w:tc>
          <w:tcPr>
            <w:tcW w:w="1100" w:type="dxa"/>
            <w:noWrap w:val="0"/>
            <w:vAlign w:val="center"/>
          </w:tcPr>
          <w:p>
            <w:pPr>
              <w:pStyle w:val="124"/>
              <w:spacing w:line="280" w:lineRule="exact"/>
              <w:jc w:val="both"/>
              <w:rPr>
                <w:rFonts w:hint="eastAsia" w:hAnsi="宋体"/>
                <w:b w:val="0"/>
                <w:sz w:val="21"/>
                <w:szCs w:val="21"/>
              </w:rPr>
            </w:pPr>
            <w:r>
              <w:rPr>
                <w:rFonts w:hint="eastAsia" w:hAnsi="宋体"/>
                <w:b w:val="0"/>
                <w:sz w:val="21"/>
                <w:szCs w:val="21"/>
              </w:rPr>
              <w:t>综合说明</w:t>
            </w:r>
          </w:p>
        </w:tc>
        <w:tc>
          <w:tcPr>
            <w:tcW w:w="7282" w:type="dxa"/>
            <w:noWrap w:val="0"/>
            <w:vAlign w:val="center"/>
          </w:tcPr>
          <w:p>
            <w:pPr>
              <w:pStyle w:val="124"/>
              <w:spacing w:line="280" w:lineRule="exact"/>
              <w:jc w:val="both"/>
              <w:rPr>
                <w:rFonts w:hint="eastAsia" w:hAnsi="宋体"/>
                <w:b w:val="0"/>
                <w:sz w:val="21"/>
                <w:szCs w:val="21"/>
                <w:u w:val="single"/>
              </w:rPr>
            </w:pPr>
            <w:r>
              <w:rPr>
                <w:rFonts w:hint="eastAsia" w:hAnsi="宋体"/>
                <w:b w:val="0"/>
                <w:sz w:val="21"/>
                <w:szCs w:val="21"/>
              </w:rPr>
              <w:t>1.采购项目名称：</w:t>
            </w:r>
            <w:r>
              <w:rPr>
                <w:rFonts w:hint="eastAsia" w:hAnsi="宋体"/>
                <w:b w:val="0"/>
                <w:sz w:val="21"/>
                <w:szCs w:val="21"/>
                <w:u w:val="single"/>
              </w:rPr>
              <w:t xml:space="preserve">2018年柯桥区钱清镇智能交通（设备、线路）建设项目  </w:t>
            </w:r>
          </w:p>
          <w:p>
            <w:pPr>
              <w:pStyle w:val="124"/>
              <w:spacing w:line="280" w:lineRule="exact"/>
              <w:jc w:val="both"/>
              <w:rPr>
                <w:rFonts w:hint="eastAsia" w:hAnsi="宋体"/>
                <w:b w:val="0"/>
                <w:sz w:val="21"/>
                <w:szCs w:val="21"/>
              </w:rPr>
            </w:pPr>
            <w:r>
              <w:rPr>
                <w:rFonts w:hint="eastAsia" w:hAnsi="宋体"/>
                <w:b w:val="0"/>
                <w:sz w:val="21"/>
                <w:szCs w:val="21"/>
              </w:rPr>
              <w:t>2.采购项目内容：</w:t>
            </w:r>
            <w:r>
              <w:rPr>
                <w:rFonts w:hint="eastAsia" w:hAnsi="宋体"/>
                <w:b w:val="0"/>
                <w:sz w:val="21"/>
                <w:szCs w:val="21"/>
                <w:u w:val="single"/>
              </w:rPr>
              <w:t>2018年柯桥区钱清镇智能交通（设备、线路）建设项目的交通信号控制系统、电子警察系统（含交通信息采集系统）、高位监控系统、违停抓拍系统、中队分指挥中心、视频会议系统及配套网络通信系统，以及相关的设备材料供应、安装、调试、第三方100%检测、试运行、验收、培训及服务等。</w:t>
            </w:r>
          </w:p>
          <w:p>
            <w:pPr>
              <w:pStyle w:val="124"/>
              <w:spacing w:line="280" w:lineRule="exact"/>
              <w:jc w:val="both"/>
              <w:rPr>
                <w:rFonts w:hint="eastAsia" w:hAnsi="宋体"/>
                <w:b w:val="0"/>
                <w:sz w:val="21"/>
                <w:szCs w:val="21"/>
                <w:u w:val="single"/>
              </w:rPr>
            </w:pPr>
            <w:r>
              <w:rPr>
                <w:rFonts w:hint="eastAsia" w:hAnsi="宋体"/>
                <w:b w:val="0"/>
                <w:sz w:val="21"/>
                <w:szCs w:val="21"/>
              </w:rPr>
              <w:t>3.采购预算价：</w:t>
            </w:r>
            <w:r>
              <w:rPr>
                <w:rFonts w:hint="eastAsia" w:hAnsi="宋体"/>
                <w:b w:val="0"/>
                <w:sz w:val="21"/>
                <w:szCs w:val="21"/>
                <w:u w:val="single"/>
              </w:rPr>
              <w:t>约661万</w:t>
            </w:r>
          </w:p>
          <w:p>
            <w:pPr>
              <w:pStyle w:val="124"/>
              <w:spacing w:line="280" w:lineRule="exact"/>
              <w:jc w:val="both"/>
              <w:rPr>
                <w:rFonts w:hint="eastAsia" w:hAnsi="宋体"/>
                <w:b w:val="0"/>
                <w:sz w:val="21"/>
                <w:szCs w:val="21"/>
              </w:rPr>
            </w:pPr>
            <w:r>
              <w:rPr>
                <w:rFonts w:hint="eastAsia" w:hAnsi="宋体"/>
                <w:b w:val="0"/>
                <w:sz w:val="21"/>
                <w:szCs w:val="21"/>
              </w:rPr>
              <w:t>4.采购项目交货地点：</w:t>
            </w:r>
            <w:r>
              <w:rPr>
                <w:rFonts w:hint="eastAsia" w:hAnsi="宋体"/>
                <w:b w:val="0"/>
                <w:sz w:val="21"/>
                <w:szCs w:val="21"/>
                <w:u w:val="single"/>
              </w:rPr>
              <w:t xml:space="preserve">柯桥区钱清镇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2</w:t>
            </w:r>
          </w:p>
        </w:tc>
        <w:tc>
          <w:tcPr>
            <w:tcW w:w="8382" w:type="dxa"/>
            <w:gridSpan w:val="2"/>
            <w:noWrap w:val="0"/>
            <w:vAlign w:val="center"/>
          </w:tcPr>
          <w:p>
            <w:pPr>
              <w:pStyle w:val="124"/>
              <w:spacing w:line="280" w:lineRule="exact"/>
              <w:jc w:val="both"/>
              <w:rPr>
                <w:rFonts w:hint="eastAsia" w:hAnsi="宋体"/>
                <w:b w:val="0"/>
                <w:sz w:val="21"/>
                <w:szCs w:val="21"/>
              </w:rPr>
            </w:pPr>
            <w:r>
              <w:rPr>
                <w:rFonts w:hint="eastAsia" w:hAnsi="宋体"/>
                <w:b w:val="0"/>
                <w:sz w:val="21"/>
                <w:szCs w:val="21"/>
              </w:rPr>
              <w:t>资金来源：</w:t>
            </w:r>
            <w:r>
              <w:rPr>
                <w:rFonts w:hint="eastAsia" w:hAnsi="宋体"/>
                <w:b w:val="0"/>
                <w:sz w:val="21"/>
                <w:szCs w:val="21"/>
                <w:u w:val="single"/>
              </w:rPr>
              <w:t xml:space="preserve">  财 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3</w:t>
            </w:r>
          </w:p>
        </w:tc>
        <w:tc>
          <w:tcPr>
            <w:tcW w:w="8382" w:type="dxa"/>
            <w:gridSpan w:val="2"/>
            <w:noWrap w:val="0"/>
            <w:vAlign w:val="center"/>
          </w:tcPr>
          <w:p>
            <w:pPr>
              <w:widowControl/>
              <w:spacing w:line="500" w:lineRule="exact"/>
              <w:jc w:val="left"/>
              <w:rPr>
                <w:rFonts w:hint="eastAsia" w:ascii="宋体" w:hAnsi="宋体"/>
                <w:szCs w:val="21"/>
              </w:rPr>
            </w:pPr>
            <w:r>
              <w:rPr>
                <w:rFonts w:hint="eastAsia"/>
              </w:rPr>
              <w:t>投标资格：</w:t>
            </w:r>
            <w:r>
              <w:rPr>
                <w:rFonts w:hint="eastAsia" w:ascii="宋体" w:hAnsi="宋体" w:cs="宋体"/>
                <w:kern w:val="0"/>
                <w:szCs w:val="21"/>
              </w:rPr>
              <w:t>①符合政府采购法第二十二条之规定；</w:t>
            </w:r>
            <w:r>
              <w:rPr>
                <w:rFonts w:hint="eastAsia" w:ascii="宋体" w:hAnsi="宋体"/>
                <w:szCs w:val="21"/>
              </w:rPr>
              <w:t>②具有履行合同所需的技术和服务能力；</w:t>
            </w:r>
          </w:p>
          <w:p>
            <w:pPr>
              <w:widowControl/>
              <w:spacing w:line="500" w:lineRule="exact"/>
              <w:jc w:val="left"/>
              <w:rPr>
                <w:rFonts w:hint="eastAsia" w:ascii="宋体" w:hAnsi="宋体" w:cs="宋体"/>
                <w:kern w:val="0"/>
                <w:szCs w:val="21"/>
              </w:rPr>
            </w:pPr>
            <w:r>
              <w:rPr>
                <w:rFonts w:hint="eastAsia" w:ascii="宋体" w:hAnsi="宋体"/>
                <w:szCs w:val="21"/>
              </w:rPr>
              <w:t>③未被列入失信被执行人、重大税收违法案件当事人名单和政府采购严重违法失信行为记录名单的供应商；④</w:t>
            </w:r>
            <w:r>
              <w:rPr>
                <w:rFonts w:hint="eastAsia"/>
                <w:szCs w:val="21"/>
              </w:rPr>
              <w:t>本次采购不接受联合体投标。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4</w:t>
            </w:r>
          </w:p>
        </w:tc>
        <w:tc>
          <w:tcPr>
            <w:tcW w:w="8382" w:type="dxa"/>
            <w:gridSpan w:val="2"/>
            <w:noWrap w:val="0"/>
            <w:vAlign w:val="center"/>
          </w:tcPr>
          <w:p>
            <w:pPr>
              <w:pStyle w:val="118"/>
              <w:spacing w:line="280" w:lineRule="exact"/>
              <w:jc w:val="both"/>
              <w:rPr>
                <w:rFonts w:hint="eastAsia" w:hAnsi="宋体"/>
                <w:sz w:val="21"/>
                <w:szCs w:val="21"/>
              </w:rPr>
            </w:pPr>
            <w:r>
              <w:rPr>
                <w:rFonts w:hint="eastAsia" w:hAnsi="宋体"/>
                <w:sz w:val="21"/>
                <w:szCs w:val="21"/>
              </w:rPr>
              <w:t>投标有效期：90天（日历天数）（从投标截止之日算起）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5</w:t>
            </w:r>
          </w:p>
        </w:tc>
        <w:tc>
          <w:tcPr>
            <w:tcW w:w="8382" w:type="dxa"/>
            <w:gridSpan w:val="2"/>
            <w:noWrap w:val="0"/>
            <w:vAlign w:val="center"/>
          </w:tcPr>
          <w:p>
            <w:pPr>
              <w:widowControl/>
              <w:spacing w:line="280" w:lineRule="exact"/>
              <w:jc w:val="left"/>
              <w:rPr>
                <w:rFonts w:hint="eastAsia" w:ascii="宋体" w:hAnsi="宋体"/>
                <w:b/>
                <w:szCs w:val="21"/>
              </w:rPr>
            </w:pPr>
            <w:r>
              <w:rPr>
                <w:rFonts w:hint="eastAsia" w:ascii="宋体" w:hAnsi="宋体" w:cs="宋体"/>
                <w:kern w:val="0"/>
                <w:szCs w:val="21"/>
              </w:rPr>
              <w:t>投标保证金：无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6</w:t>
            </w:r>
          </w:p>
        </w:tc>
        <w:tc>
          <w:tcPr>
            <w:tcW w:w="8382" w:type="dxa"/>
            <w:gridSpan w:val="2"/>
            <w:noWrap w:val="0"/>
            <w:vAlign w:val="center"/>
          </w:tcPr>
          <w:p>
            <w:pPr>
              <w:pStyle w:val="118"/>
              <w:spacing w:line="280" w:lineRule="exact"/>
              <w:jc w:val="both"/>
              <w:rPr>
                <w:rFonts w:hint="eastAsia" w:hAnsi="宋体"/>
                <w:sz w:val="21"/>
                <w:szCs w:val="21"/>
              </w:rPr>
            </w:pPr>
            <w:r>
              <w:rPr>
                <w:rFonts w:hint="eastAsia" w:hAnsi="宋体"/>
                <w:sz w:val="21"/>
                <w:szCs w:val="21"/>
              </w:rPr>
              <w:t>合同履约保证金金额为：</w:t>
            </w:r>
            <w:r>
              <w:rPr>
                <w:rFonts w:hint="eastAsia" w:hAnsi="宋体"/>
                <w:sz w:val="21"/>
                <w:szCs w:val="21"/>
                <w:u w:val="single"/>
              </w:rPr>
              <w:t xml:space="preserve">合同价的5%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7</w:t>
            </w:r>
          </w:p>
        </w:tc>
        <w:tc>
          <w:tcPr>
            <w:tcW w:w="8382" w:type="dxa"/>
            <w:gridSpan w:val="2"/>
            <w:noWrap w:val="0"/>
            <w:vAlign w:val="center"/>
          </w:tcPr>
          <w:p>
            <w:pPr>
              <w:pStyle w:val="124"/>
              <w:spacing w:line="280" w:lineRule="exact"/>
              <w:jc w:val="both"/>
              <w:rPr>
                <w:rFonts w:hAnsi="宋体"/>
                <w:b w:val="0"/>
                <w:sz w:val="21"/>
                <w:szCs w:val="21"/>
              </w:rPr>
            </w:pPr>
            <w:r>
              <w:rPr>
                <w:rFonts w:hint="eastAsia" w:hAnsi="宋体"/>
                <w:b w:val="0"/>
                <w:sz w:val="21"/>
                <w:szCs w:val="21"/>
              </w:rPr>
              <w:t>质量要求：</w:t>
            </w:r>
            <w:r>
              <w:rPr>
                <w:rFonts w:hint="eastAsia" w:hAnsi="宋体"/>
                <w:b w:val="0"/>
                <w:sz w:val="21"/>
                <w:szCs w:val="21"/>
                <w:u w:val="single"/>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8</w:t>
            </w:r>
          </w:p>
        </w:tc>
        <w:tc>
          <w:tcPr>
            <w:tcW w:w="8382" w:type="dxa"/>
            <w:gridSpan w:val="2"/>
            <w:noWrap w:val="0"/>
            <w:vAlign w:val="center"/>
          </w:tcPr>
          <w:p>
            <w:pPr>
              <w:pStyle w:val="124"/>
              <w:spacing w:line="280" w:lineRule="exact"/>
              <w:jc w:val="both"/>
              <w:rPr>
                <w:rFonts w:hAnsi="宋体"/>
                <w:b w:val="0"/>
                <w:sz w:val="21"/>
                <w:szCs w:val="21"/>
              </w:rPr>
            </w:pPr>
            <w:r>
              <w:rPr>
                <w:rFonts w:hint="eastAsia" w:hAnsi="宋体"/>
                <w:b w:val="0"/>
                <w:sz w:val="21"/>
                <w:szCs w:val="21"/>
              </w:rPr>
              <w:t>现场勘察：</w:t>
            </w:r>
            <w:r>
              <w:rPr>
                <w:rFonts w:hint="eastAsia" w:hAnsi="宋体"/>
                <w:b w:val="0"/>
                <w:sz w:val="21"/>
                <w:szCs w:val="21"/>
                <w:u w:val="single"/>
              </w:rPr>
              <w:t xml:space="preserve">  </w:t>
            </w:r>
            <w:r>
              <w:rPr>
                <w:rFonts w:hint="eastAsia" w:hAnsi="宋体"/>
                <w:sz w:val="21"/>
                <w:szCs w:val="21"/>
                <w:u w:val="single"/>
              </w:rPr>
              <w:t>自行踏勘</w:t>
            </w:r>
            <w:r>
              <w:rPr>
                <w:rFonts w:hint="eastAsia" w:hAnsi="宋体"/>
                <w:b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9</w:t>
            </w:r>
          </w:p>
        </w:tc>
        <w:tc>
          <w:tcPr>
            <w:tcW w:w="8382" w:type="dxa"/>
            <w:gridSpan w:val="2"/>
            <w:noWrap w:val="0"/>
            <w:vAlign w:val="center"/>
          </w:tcPr>
          <w:p>
            <w:pPr>
              <w:pStyle w:val="118"/>
              <w:spacing w:line="280" w:lineRule="exact"/>
              <w:rPr>
                <w:rFonts w:hAnsi="宋体"/>
                <w:sz w:val="21"/>
                <w:szCs w:val="21"/>
              </w:rPr>
            </w:pPr>
            <w:r>
              <w:rPr>
                <w:rFonts w:hint="eastAsia" w:hAnsi="宋体"/>
                <w:sz w:val="21"/>
                <w:szCs w:val="21"/>
              </w:rPr>
              <w:t>供货安装时间：</w:t>
            </w:r>
            <w:r>
              <w:rPr>
                <w:rFonts w:hint="eastAsia" w:hAnsi="宋体"/>
                <w:b/>
                <w:sz w:val="21"/>
                <w:szCs w:val="21"/>
                <w:u w:val="single"/>
              </w:rPr>
              <w:t>合同签订后90天内完成所有项目</w:t>
            </w:r>
            <w:r>
              <w:rPr>
                <w:rFonts w:hint="eastAsia" w:hAnsi="宋体"/>
                <w:b/>
                <w:bCs/>
                <w:sz w:val="21"/>
                <w:szCs w:val="21"/>
                <w:u w:val="single"/>
              </w:rPr>
              <w:t>供货、安装、调试、验收</w:t>
            </w:r>
            <w:r>
              <w:rPr>
                <w:rFonts w:hint="eastAsia" w:hAnsi="宋体"/>
                <w:b/>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6"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10</w:t>
            </w:r>
          </w:p>
        </w:tc>
        <w:tc>
          <w:tcPr>
            <w:tcW w:w="8382" w:type="dxa"/>
            <w:gridSpan w:val="2"/>
            <w:noWrap w:val="0"/>
            <w:vAlign w:val="center"/>
          </w:tcPr>
          <w:p>
            <w:pPr>
              <w:pStyle w:val="118"/>
              <w:spacing w:line="280" w:lineRule="exact"/>
              <w:rPr>
                <w:rFonts w:hint="eastAsia" w:hAnsi="宋体"/>
                <w:sz w:val="21"/>
                <w:szCs w:val="21"/>
              </w:rPr>
            </w:pPr>
            <w:r>
              <w:rPr>
                <w:rFonts w:hint="eastAsia" w:hAnsi="宋体"/>
                <w:sz w:val="21"/>
                <w:szCs w:val="21"/>
              </w:rPr>
              <w:t>采购文件的获取：自公告之日起至</w:t>
            </w:r>
            <w:r>
              <w:rPr>
                <w:rFonts w:hint="eastAsia" w:hAnsi="宋体"/>
                <w:sz w:val="21"/>
                <w:szCs w:val="21"/>
                <w:u w:val="single"/>
              </w:rPr>
              <w:t>2018</w:t>
            </w:r>
            <w:r>
              <w:rPr>
                <w:rFonts w:hint="eastAsia" w:hAnsi="宋体"/>
                <w:sz w:val="21"/>
                <w:szCs w:val="21"/>
              </w:rPr>
              <w:t>年</w:t>
            </w:r>
            <w:r>
              <w:rPr>
                <w:rFonts w:hint="eastAsia" w:hAnsi="宋体"/>
                <w:sz w:val="21"/>
                <w:szCs w:val="21"/>
                <w:u w:val="single"/>
              </w:rPr>
              <w:t xml:space="preserve"> </w:t>
            </w:r>
            <w:r>
              <w:rPr>
                <w:rFonts w:hAnsi="宋体"/>
                <w:sz w:val="21"/>
                <w:szCs w:val="21"/>
                <w:u w:val="single"/>
              </w:rPr>
              <w:t>11</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Ansi="宋体"/>
                <w:sz w:val="21"/>
                <w:szCs w:val="21"/>
                <w:u w:val="single"/>
              </w:rPr>
              <w:t>2</w:t>
            </w:r>
            <w:r>
              <w:rPr>
                <w:rFonts w:hint="eastAsia" w:hAnsi="宋体"/>
                <w:sz w:val="21"/>
                <w:szCs w:val="21"/>
                <w:u w:val="single"/>
              </w:rPr>
              <w:t xml:space="preserve"> </w:t>
            </w:r>
            <w:r>
              <w:rPr>
                <w:rFonts w:hint="eastAsia" w:hAnsi="宋体"/>
                <w:sz w:val="21"/>
                <w:szCs w:val="21"/>
              </w:rPr>
              <w:t>日16：00时截止，由供应商自行在网上下载。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11</w:t>
            </w:r>
          </w:p>
        </w:tc>
        <w:tc>
          <w:tcPr>
            <w:tcW w:w="8382" w:type="dxa"/>
            <w:gridSpan w:val="2"/>
            <w:noWrap w:val="0"/>
            <w:vAlign w:val="center"/>
          </w:tcPr>
          <w:p>
            <w:pPr>
              <w:pStyle w:val="118"/>
              <w:spacing w:line="280" w:lineRule="exact"/>
              <w:jc w:val="both"/>
              <w:rPr>
                <w:rFonts w:hint="eastAsia" w:hAnsi="宋体"/>
                <w:sz w:val="21"/>
                <w:szCs w:val="21"/>
              </w:rPr>
            </w:pPr>
            <w:r>
              <w:rPr>
                <w:rFonts w:hint="eastAsia" w:hAnsi="宋体"/>
                <w:sz w:val="21"/>
                <w:szCs w:val="21"/>
              </w:rPr>
              <w:t>投标供应商提出问题的截止时间：</w:t>
            </w:r>
            <w:r>
              <w:rPr>
                <w:rFonts w:hint="eastAsia" w:hAnsi="宋体"/>
                <w:sz w:val="21"/>
                <w:szCs w:val="21"/>
                <w:u w:val="single"/>
              </w:rPr>
              <w:t>2018年</w:t>
            </w:r>
            <w:r>
              <w:rPr>
                <w:rFonts w:hAnsi="宋体"/>
                <w:sz w:val="21"/>
                <w:szCs w:val="21"/>
                <w:u w:val="single"/>
              </w:rPr>
              <w:t>11</w:t>
            </w:r>
            <w:r>
              <w:rPr>
                <w:rFonts w:hint="eastAsia" w:hAnsi="宋体"/>
                <w:sz w:val="21"/>
                <w:szCs w:val="21"/>
                <w:u w:val="single"/>
              </w:rPr>
              <w:t>月</w:t>
            </w:r>
            <w:r>
              <w:rPr>
                <w:rFonts w:hAnsi="宋体"/>
                <w:sz w:val="21"/>
                <w:szCs w:val="21"/>
                <w:u w:val="single"/>
              </w:rPr>
              <w:t>5</w:t>
            </w:r>
            <w:r>
              <w:rPr>
                <w:rFonts w:hint="eastAsia" w:hAnsi="宋体"/>
                <w:sz w:val="21"/>
                <w:szCs w:val="21"/>
                <w:u w:val="single"/>
              </w:rPr>
              <w:t>日16时</w:t>
            </w:r>
            <w:r>
              <w:rPr>
                <w:rFonts w:hint="eastAsia" w:hAnsi="宋体"/>
                <w:sz w:val="21"/>
                <w:szCs w:val="21"/>
              </w:rPr>
              <w:t>前按《采购公告》中的地址以书面形式通知采购代理机构。注明：投标提问书中需写明投标供应商名称（盖公章）、联系人、联系电话。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0"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12</w:t>
            </w:r>
          </w:p>
        </w:tc>
        <w:tc>
          <w:tcPr>
            <w:tcW w:w="8382" w:type="dxa"/>
            <w:gridSpan w:val="2"/>
            <w:noWrap w:val="0"/>
            <w:vAlign w:val="center"/>
          </w:tcPr>
          <w:p>
            <w:pPr>
              <w:pStyle w:val="118"/>
              <w:spacing w:line="280" w:lineRule="exact"/>
              <w:jc w:val="both"/>
              <w:rPr>
                <w:rFonts w:hint="eastAsia" w:hAnsi="宋体"/>
                <w:sz w:val="21"/>
                <w:szCs w:val="21"/>
              </w:rPr>
            </w:pPr>
            <w:r>
              <w:rPr>
                <w:rFonts w:hint="eastAsia" w:hAnsi="宋体"/>
                <w:sz w:val="21"/>
                <w:szCs w:val="21"/>
              </w:rPr>
              <w:t>采购人澄清（答疑）和修改的时间：</w:t>
            </w:r>
            <w:r>
              <w:rPr>
                <w:rFonts w:hint="eastAsia" w:hAnsi="宋体"/>
                <w:sz w:val="21"/>
                <w:szCs w:val="21"/>
                <w:u w:val="single"/>
              </w:rPr>
              <w:t>2018年</w:t>
            </w:r>
            <w:r>
              <w:rPr>
                <w:rFonts w:hAnsi="宋体"/>
                <w:sz w:val="21"/>
                <w:szCs w:val="21"/>
                <w:u w:val="single"/>
              </w:rPr>
              <w:t>11</w:t>
            </w:r>
            <w:r>
              <w:rPr>
                <w:rFonts w:hint="eastAsia" w:hAnsi="宋体"/>
                <w:sz w:val="21"/>
                <w:szCs w:val="21"/>
                <w:u w:val="single"/>
              </w:rPr>
              <w:t>月</w:t>
            </w:r>
            <w:r>
              <w:rPr>
                <w:rFonts w:hAnsi="宋体"/>
                <w:sz w:val="21"/>
                <w:szCs w:val="21"/>
                <w:u w:val="single"/>
              </w:rPr>
              <w:t>7</w:t>
            </w:r>
            <w:r>
              <w:rPr>
                <w:rFonts w:hint="eastAsia" w:hAnsi="宋体"/>
                <w:sz w:val="21"/>
                <w:szCs w:val="21"/>
                <w:u w:val="single"/>
              </w:rPr>
              <w:t>日16时</w:t>
            </w:r>
            <w:r>
              <w:rPr>
                <w:rFonts w:hint="eastAsia" w:hAnsi="宋体"/>
                <w:sz w:val="21"/>
                <w:szCs w:val="21"/>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1"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13</w:t>
            </w:r>
          </w:p>
        </w:tc>
        <w:tc>
          <w:tcPr>
            <w:tcW w:w="8382" w:type="dxa"/>
            <w:gridSpan w:val="2"/>
            <w:noWrap w:val="0"/>
            <w:vAlign w:val="center"/>
          </w:tcPr>
          <w:p>
            <w:pPr>
              <w:pStyle w:val="23"/>
              <w:spacing w:line="280" w:lineRule="exact"/>
              <w:rPr>
                <w:rFonts w:hint="eastAsia" w:hAnsi="宋体"/>
                <w:kern w:val="2"/>
              </w:rPr>
            </w:pPr>
            <w:r>
              <w:rPr>
                <w:rFonts w:hint="eastAsia" w:hAnsi="宋体"/>
                <w:kern w:val="2"/>
              </w:rPr>
              <w:t>投标文件份数：</w:t>
            </w:r>
          </w:p>
          <w:p>
            <w:pPr>
              <w:pStyle w:val="23"/>
              <w:spacing w:line="280" w:lineRule="exact"/>
              <w:rPr>
                <w:rFonts w:hint="eastAsia" w:hAnsi="宋体"/>
                <w:bCs/>
                <w:kern w:val="2"/>
                <w:u w:val="single"/>
              </w:rPr>
            </w:pPr>
            <w:r>
              <w:rPr>
                <w:rFonts w:hint="eastAsia" w:hAnsi="宋体"/>
                <w:bCs/>
                <w:kern w:val="2"/>
                <w:u w:val="single"/>
              </w:rPr>
              <w:t>商务标一式5份，其中正本1份，副本4份；技术标一式5份，其中正本1份，副本4份；</w:t>
            </w:r>
          </w:p>
          <w:p>
            <w:pPr>
              <w:pStyle w:val="23"/>
              <w:spacing w:line="280" w:lineRule="exact"/>
              <w:rPr>
                <w:rFonts w:hint="eastAsia" w:hAnsi="宋体"/>
                <w:bCs/>
                <w:kern w:val="2"/>
              </w:rPr>
            </w:pPr>
            <w:r>
              <w:rPr>
                <w:rFonts w:hint="eastAsia" w:hAnsi="宋体"/>
                <w:bCs/>
                <w:kern w:val="2"/>
                <w:u w:val="single"/>
              </w:rPr>
              <w:t>价格标一式5份，其中正本1份，副本4份；</w:t>
            </w:r>
            <w:r>
              <w:rPr>
                <w:rFonts w:hint="eastAsia" w:hAnsi="宋体"/>
                <w:bCs/>
                <w:kern w:val="2"/>
              </w:rPr>
              <w:t>资格、资信证明文件正本1份。正本、副本文件须加盖供应商公章。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14</w:t>
            </w:r>
          </w:p>
        </w:tc>
        <w:tc>
          <w:tcPr>
            <w:tcW w:w="8382" w:type="dxa"/>
            <w:gridSpan w:val="2"/>
            <w:noWrap w:val="0"/>
            <w:vAlign w:val="center"/>
          </w:tcPr>
          <w:p>
            <w:pPr>
              <w:pStyle w:val="118"/>
              <w:spacing w:line="280" w:lineRule="exact"/>
              <w:jc w:val="both"/>
              <w:rPr>
                <w:rFonts w:hint="eastAsia" w:hAnsi="宋体"/>
                <w:sz w:val="21"/>
                <w:szCs w:val="21"/>
              </w:rPr>
            </w:pPr>
            <w:r>
              <w:rPr>
                <w:rFonts w:hint="eastAsia" w:hAnsi="宋体"/>
                <w:sz w:val="21"/>
                <w:szCs w:val="21"/>
              </w:rPr>
              <w:t>投标文件递交的截止时间、地点：</w:t>
            </w:r>
          </w:p>
          <w:p>
            <w:pPr>
              <w:pStyle w:val="118"/>
              <w:spacing w:line="280" w:lineRule="exact"/>
              <w:jc w:val="both"/>
              <w:rPr>
                <w:rFonts w:hint="eastAsia" w:hAnsi="宋体"/>
                <w:sz w:val="21"/>
                <w:szCs w:val="21"/>
              </w:rPr>
            </w:pPr>
            <w:r>
              <w:rPr>
                <w:rFonts w:hAnsi="宋体"/>
                <w:sz w:val="21"/>
                <w:szCs w:val="21"/>
              </w:rPr>
              <w:t>投标截止时间：</w:t>
            </w:r>
            <w:r>
              <w:rPr>
                <w:rFonts w:hint="eastAsia" w:hAnsi="宋体"/>
                <w:sz w:val="21"/>
                <w:szCs w:val="21"/>
                <w:u w:val="single"/>
              </w:rPr>
              <w:t>2018</w:t>
            </w:r>
            <w:r>
              <w:rPr>
                <w:rFonts w:hint="eastAsia" w:hAnsi="宋体"/>
                <w:sz w:val="21"/>
                <w:szCs w:val="21"/>
              </w:rPr>
              <w:t>年</w:t>
            </w:r>
            <w:r>
              <w:rPr>
                <w:rFonts w:hAnsi="宋体"/>
                <w:sz w:val="21"/>
                <w:szCs w:val="21"/>
                <w:u w:val="single"/>
              </w:rPr>
              <w:t>11</w:t>
            </w:r>
            <w:r>
              <w:rPr>
                <w:rFonts w:hint="eastAsia" w:hAnsi="宋体"/>
                <w:sz w:val="21"/>
                <w:szCs w:val="21"/>
              </w:rPr>
              <w:t>月</w:t>
            </w:r>
            <w:r>
              <w:rPr>
                <w:rFonts w:hAnsi="宋体"/>
                <w:sz w:val="21"/>
                <w:szCs w:val="21"/>
                <w:u w:val="single"/>
              </w:rPr>
              <w:t>14</w:t>
            </w:r>
            <w:r>
              <w:rPr>
                <w:rFonts w:hint="eastAsia" w:hAnsi="宋体"/>
                <w:sz w:val="21"/>
                <w:szCs w:val="21"/>
              </w:rPr>
              <w:t>日上午</w:t>
            </w:r>
            <w:r>
              <w:rPr>
                <w:rFonts w:hAnsi="宋体"/>
                <w:sz w:val="21"/>
                <w:szCs w:val="21"/>
                <w:u w:val="single"/>
              </w:rPr>
              <w:t>10</w:t>
            </w:r>
            <w:r>
              <w:rPr>
                <w:rFonts w:hint="eastAsia" w:hAnsi="宋体"/>
                <w:sz w:val="21"/>
                <w:szCs w:val="21"/>
              </w:rPr>
              <w:t>时</w:t>
            </w:r>
            <w:r>
              <w:rPr>
                <w:rFonts w:hAnsi="宋体"/>
                <w:sz w:val="21"/>
                <w:szCs w:val="21"/>
                <w:u w:val="single"/>
              </w:rPr>
              <w:t>00</w:t>
            </w:r>
            <w:r>
              <w:rPr>
                <w:rFonts w:hint="eastAsia" w:hAnsi="宋体"/>
                <w:sz w:val="21"/>
                <w:szCs w:val="21"/>
              </w:rPr>
              <w:t>分，投标文件送达地址：</w:t>
            </w:r>
            <w:r>
              <w:rPr>
                <w:rFonts w:hint="eastAsia" w:hAnsi="宋体"/>
                <w:bCs/>
                <w:spacing w:val="-10"/>
                <w:sz w:val="21"/>
                <w:szCs w:val="21"/>
              </w:rPr>
              <w:t>绍兴市柯桥区华齐路1066号绍兴市柯桥区公共资源交易中心三楼</w:t>
            </w:r>
            <w:r>
              <w:rPr>
                <w:rFonts w:hint="eastAsia" w:hAnsi="宋体"/>
                <w:bCs/>
                <w:spacing w:val="-10"/>
                <w:sz w:val="21"/>
                <w:szCs w:val="21"/>
                <w:u w:val="single"/>
              </w:rPr>
              <w:t xml:space="preserve"> </w:t>
            </w:r>
            <w:r>
              <w:rPr>
                <w:rFonts w:hAnsi="宋体"/>
                <w:bCs/>
                <w:spacing w:val="-10"/>
                <w:sz w:val="21"/>
                <w:szCs w:val="21"/>
                <w:u w:val="single"/>
              </w:rPr>
              <w:t>2</w:t>
            </w:r>
            <w:r>
              <w:rPr>
                <w:rFonts w:hint="eastAsia" w:hAnsi="宋体"/>
                <w:spacing w:val="-10"/>
                <w:sz w:val="21"/>
                <w:szCs w:val="21"/>
              </w:rPr>
              <w:t>号交易室</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15</w:t>
            </w:r>
          </w:p>
        </w:tc>
        <w:tc>
          <w:tcPr>
            <w:tcW w:w="8382" w:type="dxa"/>
            <w:gridSpan w:val="2"/>
            <w:noWrap w:val="0"/>
            <w:vAlign w:val="center"/>
          </w:tcPr>
          <w:p>
            <w:pPr>
              <w:pStyle w:val="118"/>
              <w:spacing w:line="280" w:lineRule="exact"/>
              <w:jc w:val="both"/>
              <w:rPr>
                <w:rFonts w:hAnsi="宋体"/>
                <w:sz w:val="21"/>
                <w:szCs w:val="21"/>
              </w:rPr>
            </w:pPr>
            <w:r>
              <w:rPr>
                <w:rFonts w:hAnsi="宋体"/>
                <w:sz w:val="21"/>
                <w:szCs w:val="21"/>
              </w:rPr>
              <w:t>开标时间：</w:t>
            </w:r>
            <w:r>
              <w:rPr>
                <w:rFonts w:hint="eastAsia" w:hAnsi="宋体"/>
                <w:sz w:val="21"/>
                <w:szCs w:val="21"/>
                <w:u w:val="single"/>
              </w:rPr>
              <w:t>2018</w:t>
            </w:r>
            <w:r>
              <w:rPr>
                <w:rFonts w:hint="eastAsia" w:hAnsi="宋体"/>
                <w:sz w:val="21"/>
                <w:szCs w:val="21"/>
              </w:rPr>
              <w:t>年</w:t>
            </w:r>
            <w:r>
              <w:rPr>
                <w:rFonts w:hAnsi="宋体"/>
                <w:sz w:val="21"/>
                <w:szCs w:val="21"/>
                <w:u w:val="single"/>
              </w:rPr>
              <w:t>11</w:t>
            </w:r>
            <w:r>
              <w:rPr>
                <w:rFonts w:hint="eastAsia" w:hAnsi="宋体"/>
                <w:sz w:val="21"/>
                <w:szCs w:val="21"/>
              </w:rPr>
              <w:t>月</w:t>
            </w:r>
            <w:r>
              <w:rPr>
                <w:rFonts w:hAnsi="宋体"/>
                <w:sz w:val="21"/>
                <w:szCs w:val="21"/>
                <w:u w:val="single"/>
              </w:rPr>
              <w:t>14</w:t>
            </w:r>
            <w:r>
              <w:rPr>
                <w:rFonts w:hint="eastAsia" w:hAnsi="宋体"/>
                <w:sz w:val="21"/>
                <w:szCs w:val="21"/>
              </w:rPr>
              <w:t>日</w:t>
            </w:r>
            <w:r>
              <w:rPr>
                <w:rFonts w:hint="eastAsia" w:hAnsi="宋体"/>
                <w:sz w:val="21"/>
                <w:szCs w:val="21"/>
                <w:u w:val="single"/>
              </w:rPr>
              <w:t>上</w:t>
            </w:r>
            <w:r>
              <w:rPr>
                <w:rFonts w:hint="eastAsia" w:hAnsi="宋体"/>
                <w:sz w:val="21"/>
                <w:szCs w:val="21"/>
              </w:rPr>
              <w:t>午</w:t>
            </w:r>
            <w:r>
              <w:rPr>
                <w:rFonts w:hAnsi="宋体"/>
                <w:sz w:val="21"/>
                <w:szCs w:val="21"/>
                <w:u w:val="single"/>
              </w:rPr>
              <w:t>10</w:t>
            </w:r>
            <w:r>
              <w:rPr>
                <w:rFonts w:hint="eastAsia" w:hAnsi="宋体"/>
                <w:sz w:val="21"/>
                <w:szCs w:val="21"/>
              </w:rPr>
              <w:t>时</w:t>
            </w:r>
            <w:r>
              <w:rPr>
                <w:rFonts w:hAnsi="宋体"/>
                <w:sz w:val="21"/>
                <w:szCs w:val="21"/>
                <w:u w:val="single"/>
              </w:rPr>
              <w:t>00</w:t>
            </w:r>
            <w:r>
              <w:rPr>
                <w:rFonts w:hint="eastAsia" w:hAnsi="宋体"/>
                <w:sz w:val="21"/>
                <w:szCs w:val="21"/>
              </w:rPr>
              <w:t>分</w:t>
            </w:r>
          </w:p>
          <w:p>
            <w:pPr>
              <w:pStyle w:val="118"/>
              <w:spacing w:line="280" w:lineRule="exact"/>
              <w:jc w:val="both"/>
              <w:rPr>
                <w:rFonts w:hAnsi="宋体"/>
                <w:sz w:val="21"/>
                <w:szCs w:val="21"/>
              </w:rPr>
            </w:pPr>
            <w:r>
              <w:rPr>
                <w:rFonts w:hAnsi="宋体"/>
                <w:sz w:val="21"/>
                <w:szCs w:val="21"/>
              </w:rPr>
              <w:t>开标地点：绍兴市柯桥区华齐路1066号绍兴市柯桥区公共资源交易中心三楼</w:t>
            </w:r>
            <w:r>
              <w:rPr>
                <w:rFonts w:hAnsi="宋体"/>
                <w:bCs/>
                <w:spacing w:val="-10"/>
                <w:sz w:val="21"/>
                <w:szCs w:val="21"/>
                <w:u w:val="single"/>
              </w:rPr>
              <w:t>2</w:t>
            </w:r>
            <w:r>
              <w:rPr>
                <w:rFonts w:hint="eastAsia" w:hAnsi="宋体"/>
                <w:spacing w:val="-10"/>
                <w:sz w:val="21"/>
                <w:szCs w:val="21"/>
              </w:rPr>
              <w:t>号交易室</w:t>
            </w:r>
            <w:r>
              <w:rPr>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16</w:t>
            </w:r>
          </w:p>
        </w:tc>
        <w:tc>
          <w:tcPr>
            <w:tcW w:w="8382" w:type="dxa"/>
            <w:gridSpan w:val="2"/>
            <w:noWrap w:val="0"/>
            <w:vAlign w:val="center"/>
          </w:tcPr>
          <w:p>
            <w:pPr>
              <w:pStyle w:val="118"/>
              <w:spacing w:line="280" w:lineRule="exact"/>
              <w:jc w:val="both"/>
              <w:rPr>
                <w:rFonts w:hint="eastAsia" w:hAnsi="宋体"/>
                <w:sz w:val="21"/>
                <w:szCs w:val="21"/>
              </w:rPr>
            </w:pPr>
            <w:r>
              <w:rPr>
                <w:rFonts w:hAnsi="宋体"/>
                <w:sz w:val="21"/>
                <w:szCs w:val="21"/>
              </w:rPr>
              <w:t>其他需说明的内容：</w:t>
            </w:r>
          </w:p>
          <w:p>
            <w:pPr>
              <w:pStyle w:val="118"/>
              <w:spacing w:line="280" w:lineRule="exact"/>
              <w:jc w:val="both"/>
              <w:rPr>
                <w:rFonts w:hAnsi="宋体"/>
                <w:bCs/>
                <w:sz w:val="21"/>
                <w:szCs w:val="21"/>
              </w:rPr>
            </w:pPr>
            <w:r>
              <w:rPr>
                <w:rFonts w:hint="eastAsia" w:hAnsi="宋体"/>
                <w:sz w:val="21"/>
                <w:szCs w:val="21"/>
              </w:rPr>
              <w:t>1.</w:t>
            </w:r>
            <w:r>
              <w:rPr>
                <w:rFonts w:hAnsi="宋体"/>
                <w:bCs/>
                <w:sz w:val="21"/>
                <w:szCs w:val="21"/>
              </w:rPr>
              <w:t>请各投标供应商务必在投标截止时间前及时将投标文件递交到绍兴市柯桥区公共资源交易中心三楼</w:t>
            </w:r>
            <w:r>
              <w:rPr>
                <w:rFonts w:hAnsi="宋体"/>
                <w:bCs/>
                <w:spacing w:val="-10"/>
                <w:sz w:val="21"/>
                <w:szCs w:val="21"/>
                <w:u w:val="single"/>
              </w:rPr>
              <w:t>2</w:t>
            </w:r>
            <w:r>
              <w:rPr>
                <w:rFonts w:hint="eastAsia" w:hAnsi="宋体"/>
                <w:spacing w:val="-10"/>
                <w:sz w:val="21"/>
                <w:szCs w:val="21"/>
              </w:rPr>
              <w:t>号交易室</w:t>
            </w:r>
            <w:r>
              <w:rPr>
                <w:rFonts w:hAnsi="宋体"/>
                <w:bCs/>
                <w:sz w:val="21"/>
                <w:szCs w:val="21"/>
              </w:rPr>
              <w:t>，并办理</w:t>
            </w:r>
            <w:r>
              <w:rPr>
                <w:rFonts w:hint="eastAsia" w:hAnsi="宋体"/>
                <w:bCs/>
                <w:sz w:val="21"/>
                <w:szCs w:val="21"/>
              </w:rPr>
              <w:t>签到</w:t>
            </w:r>
            <w:r>
              <w:rPr>
                <w:rFonts w:hAnsi="宋体"/>
                <w:bCs/>
                <w:sz w:val="21"/>
                <w:szCs w:val="21"/>
              </w:rPr>
              <w:t>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17</w:t>
            </w:r>
          </w:p>
        </w:tc>
        <w:tc>
          <w:tcPr>
            <w:tcW w:w="8382" w:type="dxa"/>
            <w:gridSpan w:val="2"/>
            <w:noWrap w:val="0"/>
            <w:vAlign w:val="center"/>
          </w:tcPr>
          <w:p>
            <w:pPr>
              <w:pStyle w:val="118"/>
              <w:spacing w:line="280" w:lineRule="exact"/>
              <w:rPr>
                <w:rFonts w:hAnsi="宋体"/>
                <w:sz w:val="21"/>
                <w:szCs w:val="21"/>
              </w:rPr>
            </w:pPr>
            <w:r>
              <w:rPr>
                <w:rFonts w:hint="eastAsia" w:hAnsi="宋体"/>
                <w:sz w:val="21"/>
                <w:szCs w:val="21"/>
              </w:rPr>
              <w:t>样品要求（包括样品内容、数量，样品提供时间、地址等要求）：</w:t>
            </w:r>
            <w:r>
              <w:rPr>
                <w:rFonts w:hint="eastAsia" w:hAnsi="宋体"/>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18</w:t>
            </w:r>
          </w:p>
        </w:tc>
        <w:tc>
          <w:tcPr>
            <w:tcW w:w="8382" w:type="dxa"/>
            <w:gridSpan w:val="2"/>
            <w:noWrap w:val="0"/>
            <w:vAlign w:val="center"/>
          </w:tcPr>
          <w:p>
            <w:pPr>
              <w:pStyle w:val="118"/>
              <w:spacing w:line="280" w:lineRule="exact"/>
              <w:jc w:val="both"/>
              <w:rPr>
                <w:rFonts w:hAnsi="宋体"/>
                <w:sz w:val="21"/>
                <w:szCs w:val="21"/>
              </w:rPr>
            </w:pPr>
            <w:r>
              <w:rPr>
                <w:rFonts w:hAnsi="宋体"/>
                <w:sz w:val="21"/>
                <w:szCs w:val="21"/>
              </w:rPr>
              <w:t>解释：凡涉及本次采购文件的解释权属于</w:t>
            </w:r>
            <w:r>
              <w:rPr>
                <w:rFonts w:hint="eastAsia" w:hAnsi="宋体"/>
                <w:sz w:val="21"/>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19</w:t>
            </w:r>
          </w:p>
        </w:tc>
        <w:tc>
          <w:tcPr>
            <w:tcW w:w="8382" w:type="dxa"/>
            <w:gridSpan w:val="2"/>
            <w:noWrap w:val="0"/>
            <w:vAlign w:val="center"/>
          </w:tcPr>
          <w:p>
            <w:pPr>
              <w:pStyle w:val="118"/>
              <w:spacing w:line="280" w:lineRule="exact"/>
              <w:jc w:val="both"/>
              <w:rPr>
                <w:rFonts w:hAnsi="宋体"/>
                <w:bCs/>
                <w:sz w:val="21"/>
                <w:szCs w:val="21"/>
              </w:rPr>
            </w:pPr>
            <w:r>
              <w:rPr>
                <w:sz w:val="21"/>
                <w:szCs w:val="21"/>
              </w:rPr>
              <w:t>监管机构：</w:t>
            </w:r>
            <w:r>
              <w:rPr>
                <w:rFonts w:hAnsi="宋体"/>
                <w:bCs/>
                <w:sz w:val="21"/>
                <w:szCs w:val="21"/>
              </w:rPr>
              <w:t>绍兴市柯桥区公共资源交易管理委员会办公室，联系电话：0575-84130780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jc w:val="center"/>
        </w:trPr>
        <w:tc>
          <w:tcPr>
            <w:tcW w:w="670" w:type="dxa"/>
            <w:noWrap w:val="0"/>
            <w:vAlign w:val="center"/>
          </w:tcPr>
          <w:p>
            <w:pPr>
              <w:pStyle w:val="118"/>
              <w:spacing w:line="280" w:lineRule="exact"/>
              <w:jc w:val="center"/>
              <w:rPr>
                <w:rFonts w:hint="eastAsia" w:hAnsi="宋体"/>
                <w:sz w:val="21"/>
                <w:szCs w:val="21"/>
              </w:rPr>
            </w:pPr>
            <w:r>
              <w:rPr>
                <w:rFonts w:hint="eastAsia" w:hAnsi="宋体"/>
                <w:sz w:val="21"/>
                <w:szCs w:val="21"/>
              </w:rPr>
              <w:t>20</w:t>
            </w:r>
          </w:p>
        </w:tc>
        <w:tc>
          <w:tcPr>
            <w:tcW w:w="8382" w:type="dxa"/>
            <w:gridSpan w:val="2"/>
            <w:noWrap w:val="0"/>
            <w:vAlign w:val="center"/>
          </w:tcPr>
          <w:p>
            <w:pPr>
              <w:pStyle w:val="118"/>
              <w:spacing w:line="280" w:lineRule="exact"/>
              <w:jc w:val="both"/>
              <w:rPr>
                <w:sz w:val="21"/>
                <w:szCs w:val="21"/>
              </w:rPr>
            </w:pPr>
            <w:r>
              <w:rPr>
                <w:rFonts w:hint="eastAsia"/>
                <w:b/>
                <w:sz w:val="21"/>
                <w:szCs w:val="21"/>
              </w:rPr>
              <w:t>本项目设上限价，本次采购的上限价为</w:t>
            </w:r>
            <w:r>
              <w:rPr>
                <w:rFonts w:hint="eastAsia"/>
                <w:b/>
                <w:sz w:val="21"/>
                <w:szCs w:val="21"/>
                <w:u w:val="single"/>
              </w:rPr>
              <w:t>6610000</w:t>
            </w:r>
            <w:r>
              <w:rPr>
                <w:b/>
                <w:sz w:val="21"/>
                <w:szCs w:val="21"/>
              </w:rPr>
              <w:t xml:space="preserve"> </w:t>
            </w:r>
            <w:r>
              <w:rPr>
                <w:rFonts w:hint="eastAsia"/>
                <w:b/>
                <w:sz w:val="21"/>
                <w:szCs w:val="21"/>
              </w:rPr>
              <w:t>元。超过上限价的，作无效标处理。</w:t>
            </w:r>
          </w:p>
        </w:tc>
      </w:tr>
      <w:bookmarkEnd w:id="2"/>
      <w:bookmarkEnd w:id="3"/>
    </w:tbl>
    <w:p>
      <w:pPr>
        <w:rPr>
          <w:rFonts w:hint="eastAsia"/>
        </w:rPr>
      </w:pPr>
      <w:bookmarkStart w:id="17" w:name="_Toc156723282"/>
      <w:bookmarkStart w:id="18" w:name="_Toc247966915"/>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tabs>
          <w:tab w:val="left" w:pos="0"/>
        </w:tabs>
        <w:spacing w:before="0" w:after="0" w:line="440" w:lineRule="exact"/>
        <w:jc w:val="center"/>
        <w:rPr>
          <w:rFonts w:hint="eastAsia" w:ascii="宋体" w:hAnsi="宋体"/>
          <w:sz w:val="28"/>
          <w:szCs w:val="28"/>
        </w:rPr>
      </w:pPr>
      <w:bookmarkStart w:id="19" w:name="_Toc13854"/>
      <w:r>
        <w:rPr>
          <w:rFonts w:hint="eastAsia" w:ascii="宋体" w:hAnsi="宋体"/>
          <w:sz w:val="28"/>
          <w:szCs w:val="28"/>
        </w:rPr>
        <w:t>二、供应商须知</w:t>
      </w:r>
      <w:bookmarkEnd w:id="17"/>
      <w:bookmarkEnd w:id="18"/>
      <w:bookmarkEnd w:id="19"/>
    </w:p>
    <w:p>
      <w:pPr>
        <w:spacing w:line="440" w:lineRule="exact"/>
        <w:ind w:firstLine="480" w:firstLineChars="200"/>
        <w:rPr>
          <w:rFonts w:hint="eastAsia" w:ascii="宋体" w:hAnsi="宋体"/>
          <w:sz w:val="24"/>
        </w:rPr>
      </w:pPr>
    </w:p>
    <w:p>
      <w:pPr>
        <w:spacing w:line="440" w:lineRule="exact"/>
        <w:ind w:firstLine="482" w:firstLineChars="200"/>
        <w:rPr>
          <w:rFonts w:hint="eastAsia" w:ascii="宋体" w:hAnsi="宋体"/>
          <w:b/>
          <w:sz w:val="24"/>
        </w:rPr>
      </w:pPr>
      <w:r>
        <w:rPr>
          <w:rFonts w:hint="eastAsia" w:ascii="宋体" w:hAnsi="宋体"/>
          <w:b/>
          <w:sz w:val="24"/>
        </w:rPr>
        <w:t>2.1采购方式：公开招标。</w:t>
      </w:r>
    </w:p>
    <w:p>
      <w:pPr>
        <w:spacing w:line="440" w:lineRule="exact"/>
        <w:ind w:firstLine="482" w:firstLineChars="200"/>
        <w:rPr>
          <w:rFonts w:hint="eastAsia" w:ascii="宋体" w:hAnsi="宋体"/>
          <w:b/>
          <w:sz w:val="24"/>
        </w:rPr>
      </w:pPr>
      <w:r>
        <w:rPr>
          <w:rFonts w:hint="eastAsia" w:ascii="宋体" w:hAnsi="宋体"/>
          <w:b/>
          <w:sz w:val="24"/>
        </w:rPr>
        <w:t>2.2合格的供应商</w:t>
      </w:r>
    </w:p>
    <w:p>
      <w:pPr>
        <w:spacing w:line="440" w:lineRule="exact"/>
        <w:rPr>
          <w:rFonts w:hint="eastAsia" w:ascii="宋体" w:hAnsi="宋体"/>
          <w:sz w:val="24"/>
        </w:rPr>
      </w:pPr>
      <w:r>
        <w:rPr>
          <w:rFonts w:hint="eastAsia" w:ascii="宋体" w:hAnsi="宋体"/>
          <w:sz w:val="24"/>
        </w:rPr>
        <w:t>　　凡符合前附表第3项要求，有生产（或供应）、服务能力的国内企业，在国内注册的外国独资或中外合资、合作企业，符合并承认和履行采购文件中的各项规定者，均可参加投标。</w:t>
      </w:r>
    </w:p>
    <w:p>
      <w:pPr>
        <w:spacing w:line="440" w:lineRule="exact"/>
        <w:ind w:firstLine="480"/>
        <w:rPr>
          <w:rFonts w:hint="eastAsia" w:ascii="宋体" w:hAnsi="宋体"/>
          <w:b/>
          <w:sz w:val="24"/>
        </w:rPr>
      </w:pPr>
      <w:r>
        <w:rPr>
          <w:rFonts w:hint="eastAsia" w:ascii="宋体" w:hAnsi="宋体"/>
          <w:b/>
          <w:sz w:val="24"/>
        </w:rPr>
        <w:t>2.3联合投标</w:t>
      </w:r>
    </w:p>
    <w:p>
      <w:pPr>
        <w:pStyle w:val="19"/>
        <w:spacing w:after="0" w:line="440" w:lineRule="exact"/>
        <w:rPr>
          <w:rFonts w:hint="eastAsia" w:ascii="宋体" w:hAnsi="宋体"/>
          <w:sz w:val="24"/>
        </w:rPr>
      </w:pPr>
      <w:r>
        <w:rPr>
          <w:rFonts w:hint="eastAsia" w:ascii="宋体" w:hAnsi="宋体"/>
          <w:sz w:val="24"/>
        </w:rPr>
        <w:t>2.3.1不接受联合体投标。</w:t>
      </w:r>
    </w:p>
    <w:p>
      <w:pPr>
        <w:pStyle w:val="19"/>
        <w:spacing w:after="0" w:line="440" w:lineRule="exact"/>
        <w:rPr>
          <w:rFonts w:hint="eastAsia" w:ascii="宋体" w:hAnsi="宋体"/>
          <w:sz w:val="24"/>
        </w:rPr>
      </w:pPr>
      <w:r>
        <w:rPr>
          <w:rFonts w:hint="eastAsia" w:ascii="宋体" w:hAnsi="宋体"/>
          <w:sz w:val="24"/>
        </w:rPr>
        <w:t>/</w:t>
      </w:r>
    </w:p>
    <w:p>
      <w:pPr>
        <w:spacing w:line="440" w:lineRule="exact"/>
        <w:ind w:firstLine="482" w:firstLineChars="200"/>
        <w:rPr>
          <w:rFonts w:hint="eastAsia" w:ascii="宋体" w:hAnsi="宋体"/>
          <w:b/>
          <w:sz w:val="24"/>
        </w:rPr>
      </w:pPr>
      <w:r>
        <w:rPr>
          <w:rFonts w:hint="eastAsia" w:ascii="宋体" w:hAnsi="宋体"/>
          <w:b/>
          <w:sz w:val="24"/>
        </w:rPr>
        <w:t>2.4采购文件的澄清（答疑）和修改</w:t>
      </w:r>
    </w:p>
    <w:p>
      <w:pPr>
        <w:spacing w:line="440" w:lineRule="exact"/>
        <w:ind w:firstLine="480" w:firstLineChars="200"/>
        <w:rPr>
          <w:rFonts w:hint="eastAsia" w:ascii="宋体" w:hAnsi="宋体"/>
          <w:sz w:val="24"/>
        </w:rPr>
      </w:pPr>
      <w:r>
        <w:rPr>
          <w:rFonts w:hint="eastAsia" w:ascii="宋体" w:hAnsi="宋体"/>
          <w:sz w:val="24"/>
        </w:rPr>
        <w:t>2.4.1供应商在获得采购文件后，如有疑问，须按前附表的时间要求，以书面形式通知采购人，除非采购人认为确有必要澄清、答复，否则，采购人有权拒绝回复投标人在规定的时间后的任何澄清要求。</w:t>
      </w:r>
    </w:p>
    <w:p>
      <w:pPr>
        <w:spacing w:line="440" w:lineRule="exact"/>
        <w:ind w:firstLine="480" w:firstLineChars="200"/>
        <w:rPr>
          <w:rFonts w:hint="eastAsia" w:ascii="仿宋_GB2312" w:hAnsi="宋体" w:eastAsia="仿宋_GB2312"/>
        </w:rPr>
      </w:pPr>
      <w:r>
        <w:rPr>
          <w:rFonts w:hint="eastAsia" w:ascii="宋体" w:hAnsi="宋体"/>
          <w:sz w:val="24"/>
        </w:rPr>
        <w:t>2.4.2对在前附表规定时间前收到的疑问，采购人应在答疑回复截止时间之前，对供应商提出的问题予以澄清、答复；或者在投标截止前的任何时候，采购人需要对采购文件进行补充或修改的，招标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440" w:lineRule="exact"/>
        <w:ind w:firstLine="480" w:firstLineChars="200"/>
        <w:rPr>
          <w:rFonts w:hint="eastAsia" w:ascii="仿宋_GB2312" w:hAnsi="宋体" w:eastAsia="仿宋_GB2312"/>
        </w:rPr>
      </w:pPr>
      <w:r>
        <w:rPr>
          <w:rFonts w:hint="eastAsia" w:ascii="宋体" w:hAnsi="宋体"/>
          <w:sz w:val="24"/>
        </w:rPr>
        <w:t>2.4.3澄清或修改公告的内容为采购文件的组成部分。当招标文件与澄清或修改公告就同一内容的表述不一致时，以最后发出的文件内容为准。</w:t>
      </w:r>
    </w:p>
    <w:p>
      <w:pPr>
        <w:pStyle w:val="23"/>
        <w:spacing w:line="440" w:lineRule="exact"/>
        <w:ind w:firstLine="480"/>
        <w:rPr>
          <w:rFonts w:hint="eastAsia" w:hAnsi="宋体"/>
          <w:b/>
          <w:sz w:val="24"/>
        </w:rPr>
      </w:pPr>
      <w:r>
        <w:rPr>
          <w:rFonts w:hint="eastAsia" w:hAnsi="宋体"/>
          <w:b/>
          <w:sz w:val="24"/>
        </w:rPr>
        <w:t>2.5现场勘察</w:t>
      </w:r>
    </w:p>
    <w:p>
      <w:pPr>
        <w:spacing w:line="440" w:lineRule="exact"/>
        <w:ind w:firstLine="470" w:firstLineChars="196"/>
        <w:rPr>
          <w:rFonts w:hint="eastAsia" w:ascii="宋体" w:hAnsi="宋体"/>
          <w:sz w:val="24"/>
        </w:rPr>
      </w:pPr>
      <w:r>
        <w:rPr>
          <w:rFonts w:hint="eastAsia" w:ascii="宋体" w:hAnsi="宋体"/>
          <w:sz w:val="24"/>
        </w:rPr>
        <w:t>2.5.1</w:t>
      </w:r>
      <w:r>
        <w:rPr>
          <w:rFonts w:hint="eastAsia" w:hAnsi="宋体"/>
          <w:sz w:val="24"/>
        </w:rPr>
        <w:t>为使投标供应商对</w:t>
      </w:r>
      <w:r>
        <w:rPr>
          <w:rFonts w:hint="eastAsia" w:hAnsi="宋体"/>
          <w:bCs/>
          <w:sz w:val="24"/>
        </w:rPr>
        <w:t>本采购项目</w:t>
      </w:r>
      <w:r>
        <w:rPr>
          <w:rFonts w:hint="eastAsia" w:hAnsi="宋体"/>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23"/>
        <w:spacing w:line="440" w:lineRule="exact"/>
        <w:ind w:firstLine="480"/>
        <w:rPr>
          <w:rFonts w:hint="eastAsia" w:hAnsi="宋体"/>
          <w:sz w:val="24"/>
        </w:rPr>
      </w:pPr>
      <w:r>
        <w:rPr>
          <w:rFonts w:hint="eastAsia" w:hAnsi="宋体"/>
          <w:sz w:val="24"/>
        </w:rPr>
        <w:t>2.5.2现场勘察完毕，将认为供应商已了解现场情况，并充分理解了为之所承担的风险、义务和责任。</w:t>
      </w:r>
    </w:p>
    <w:p>
      <w:pPr>
        <w:pStyle w:val="23"/>
        <w:spacing w:line="440" w:lineRule="exact"/>
        <w:ind w:firstLine="480"/>
        <w:rPr>
          <w:rFonts w:hint="eastAsia" w:hAnsi="宋体"/>
          <w:sz w:val="24"/>
        </w:rPr>
      </w:pPr>
      <w:r>
        <w:rPr>
          <w:rFonts w:hint="eastAsia" w:hAnsi="宋体"/>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440" w:lineRule="exact"/>
        <w:ind w:firstLine="470" w:firstLineChars="196"/>
        <w:rPr>
          <w:rFonts w:hint="eastAsia" w:ascii="宋体" w:hAnsi="宋体"/>
          <w:sz w:val="24"/>
        </w:rPr>
      </w:pPr>
      <w:r>
        <w:rPr>
          <w:rFonts w:hint="eastAsia" w:ascii="宋体" w:hAnsi="宋体"/>
          <w:sz w:val="24"/>
        </w:rPr>
        <w:t>2.6采购文件作为报价、评标、定标、签订供货（含安装调试）合同的依据。如有异议，应在招标答疑时提出。否则，将视作认同。</w:t>
      </w:r>
    </w:p>
    <w:p>
      <w:pPr>
        <w:spacing w:line="440" w:lineRule="exact"/>
        <w:ind w:firstLine="480" w:firstLineChars="200"/>
        <w:rPr>
          <w:rFonts w:hint="eastAsia" w:ascii="宋体" w:hAnsi="宋体"/>
          <w:sz w:val="24"/>
        </w:rPr>
      </w:pPr>
      <w:r>
        <w:rPr>
          <w:rFonts w:hint="eastAsia" w:ascii="宋体" w:hAnsi="宋体"/>
          <w:sz w:val="24"/>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440" w:lineRule="exact"/>
        <w:ind w:firstLine="472" w:firstLineChars="196"/>
        <w:rPr>
          <w:rFonts w:hint="eastAsia" w:ascii="宋体" w:hAnsi="宋体"/>
          <w:b/>
          <w:sz w:val="24"/>
        </w:rPr>
      </w:pPr>
      <w:r>
        <w:rPr>
          <w:rFonts w:hint="eastAsia" w:ascii="宋体" w:hAnsi="宋体"/>
          <w:b/>
          <w:sz w:val="24"/>
        </w:rPr>
        <w:t>2.8投标文件的组成与编制</w:t>
      </w:r>
    </w:p>
    <w:p>
      <w:pPr>
        <w:autoSpaceDE w:val="0"/>
        <w:autoSpaceDN w:val="0"/>
        <w:adjustRightInd w:val="0"/>
        <w:spacing w:line="440" w:lineRule="exact"/>
        <w:ind w:firstLine="470" w:firstLineChars="196"/>
        <w:rPr>
          <w:rFonts w:hint="eastAsia" w:ascii="宋体" w:hAnsi="宋体"/>
          <w:b/>
          <w:sz w:val="24"/>
        </w:rPr>
      </w:pPr>
      <w:r>
        <w:rPr>
          <w:rFonts w:hint="eastAsia" w:ascii="宋体" w:hAnsi="宋体"/>
          <w:sz w:val="24"/>
        </w:rPr>
        <w:t>供应商应将投标文件装订成册，</w:t>
      </w:r>
      <w:r>
        <w:rPr>
          <w:rFonts w:hint="eastAsia" w:ascii="宋体" w:hAnsi="宋体"/>
          <w:sz w:val="24"/>
          <w:u w:val="single"/>
        </w:rPr>
        <w:t>投标文件由资格（资信）证明文件、商务标、技术标、价格标共四部分组成</w:t>
      </w:r>
      <w:r>
        <w:rPr>
          <w:rFonts w:hint="eastAsia" w:ascii="宋体" w:hAnsi="宋体"/>
          <w:sz w:val="24"/>
        </w:rPr>
        <w:t>。上述投标文件的各部分应装订成册分别单独封装，资格（资信）证明文件按第三章节顺序编制，其他应包括下列内容并按以下顺序编制：</w:t>
      </w:r>
    </w:p>
    <w:p>
      <w:pPr>
        <w:spacing w:line="440" w:lineRule="exact"/>
        <w:ind w:firstLine="480"/>
        <w:rPr>
          <w:rFonts w:hint="eastAsia" w:ascii="宋体" w:hAnsi="宋体"/>
          <w:sz w:val="24"/>
        </w:rPr>
      </w:pPr>
      <w:r>
        <w:rPr>
          <w:rFonts w:hint="eastAsia" w:ascii="宋体" w:hAnsi="宋体"/>
          <w:sz w:val="24"/>
        </w:rPr>
        <w:t>2.8.1商务标：</w:t>
      </w:r>
    </w:p>
    <w:p>
      <w:pPr>
        <w:autoSpaceDE w:val="0"/>
        <w:autoSpaceDN w:val="0"/>
        <w:spacing w:line="440" w:lineRule="exact"/>
        <w:ind w:firstLine="480" w:firstLineChars="200"/>
        <w:textAlignment w:val="bottom"/>
        <w:rPr>
          <w:rFonts w:hint="eastAsia" w:ascii="宋体" w:hAnsi="宋体"/>
          <w:sz w:val="24"/>
        </w:rPr>
      </w:pPr>
      <w:r>
        <w:rPr>
          <w:rFonts w:hint="eastAsia" w:ascii="宋体" w:hAnsi="宋体"/>
          <w:sz w:val="24"/>
        </w:rPr>
        <w:t>2.8.1.1投标函（附件一）；</w:t>
      </w:r>
    </w:p>
    <w:p>
      <w:pPr>
        <w:spacing w:line="440" w:lineRule="exact"/>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2</w:t>
      </w:r>
      <w:r>
        <w:rPr>
          <w:rFonts w:hint="eastAsia" w:ascii="宋体" w:hAnsi="宋体"/>
          <w:bCs/>
          <w:sz w:val="24"/>
        </w:rPr>
        <w:t>投标承诺书（附件九）：</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3</w:t>
      </w:r>
      <w:r>
        <w:rPr>
          <w:rFonts w:ascii="宋体" w:hAnsi="宋体"/>
          <w:sz w:val="24"/>
        </w:rPr>
        <w:t>优惠条件（如有）；</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供应商</w:t>
      </w:r>
      <w:r>
        <w:rPr>
          <w:rFonts w:ascii="宋体" w:hAnsi="宋体"/>
          <w:sz w:val="24"/>
        </w:rPr>
        <w:t>承诺给予采购人的各种优惠条件，包括</w:t>
      </w:r>
      <w:r>
        <w:rPr>
          <w:rFonts w:hint="eastAsia" w:ascii="宋体" w:hAnsi="宋体" w:cs="宋体"/>
          <w:kern w:val="0"/>
          <w:sz w:val="24"/>
        </w:rPr>
        <w:t>价格、运输、保险、</w:t>
      </w:r>
      <w:r>
        <w:rPr>
          <w:rFonts w:ascii="宋体" w:hAnsi="宋体"/>
          <w:sz w:val="24"/>
        </w:rPr>
        <w:t>付款条件、售后服务</w:t>
      </w:r>
      <w:r>
        <w:rPr>
          <w:rFonts w:hint="eastAsia" w:ascii="宋体" w:hAnsi="宋体"/>
          <w:sz w:val="24"/>
        </w:rPr>
        <w:t>、技术服务</w:t>
      </w:r>
      <w:r>
        <w:rPr>
          <w:rFonts w:ascii="宋体" w:hAnsi="宋体"/>
          <w:sz w:val="24"/>
        </w:rPr>
        <w:t>等方面的优惠。</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3</w:t>
      </w:r>
      <w:r>
        <w:rPr>
          <w:rFonts w:ascii="宋体" w:hAnsi="宋体"/>
          <w:sz w:val="24"/>
        </w:rPr>
        <w:t>.2当优惠条件涉及“开标一览表（报价表）”中的各项费用时，必须与投标价格相统一。</w:t>
      </w:r>
      <w:r>
        <w:rPr>
          <w:rFonts w:hint="eastAsia" w:ascii="宋体" w:hAnsi="宋体"/>
          <w:sz w:val="24"/>
        </w:rPr>
        <w:t>商务标中不得出现投标报价。</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4供应商</w:t>
      </w:r>
      <w:r>
        <w:rPr>
          <w:rFonts w:ascii="宋体" w:hAnsi="宋体"/>
          <w:sz w:val="24"/>
        </w:rPr>
        <w:t>认为需要提供的</w:t>
      </w:r>
      <w:r>
        <w:rPr>
          <w:rFonts w:hint="eastAsia" w:ascii="宋体" w:hAnsi="宋体"/>
          <w:sz w:val="24"/>
        </w:rPr>
        <w:t>其他</w:t>
      </w:r>
      <w:r>
        <w:rPr>
          <w:rFonts w:ascii="宋体" w:hAnsi="宋体"/>
          <w:sz w:val="24"/>
        </w:rPr>
        <w:t>文件。</w:t>
      </w:r>
    </w:p>
    <w:p>
      <w:pPr>
        <w:spacing w:line="440" w:lineRule="exact"/>
        <w:ind w:firstLine="470" w:firstLineChars="196"/>
        <w:rPr>
          <w:rFonts w:hint="eastAsia" w:ascii="宋体" w:hAnsi="宋体"/>
          <w:sz w:val="24"/>
        </w:rPr>
      </w:pPr>
      <w:r>
        <w:rPr>
          <w:rFonts w:hint="eastAsia" w:ascii="宋体" w:hAnsi="宋体"/>
          <w:sz w:val="24"/>
        </w:rPr>
        <w:t>2.8.2技术标：</w:t>
      </w:r>
    </w:p>
    <w:p>
      <w:pPr>
        <w:spacing w:line="440" w:lineRule="exact"/>
        <w:ind w:firstLine="480"/>
        <w:rPr>
          <w:rFonts w:hint="eastAsia" w:ascii="宋体" w:hAnsi="宋体"/>
          <w:sz w:val="24"/>
        </w:rPr>
      </w:pPr>
      <w:r>
        <w:rPr>
          <w:rFonts w:hint="eastAsia" w:ascii="宋体" w:hAnsi="宋体"/>
          <w:sz w:val="24"/>
        </w:rPr>
        <w:t>2.8.2</w:t>
      </w:r>
      <w:r>
        <w:rPr>
          <w:rFonts w:ascii="宋体" w:hAnsi="宋体" w:cs="宋体"/>
          <w:sz w:val="24"/>
        </w:rPr>
        <w:t>.1</w:t>
      </w:r>
      <w:r>
        <w:rPr>
          <w:rFonts w:hint="eastAsia" w:ascii="宋体" w:hAnsi="宋体" w:cs="宋体"/>
          <w:sz w:val="24"/>
        </w:rPr>
        <w:t>投标技术方案和人力资源安排（附件五）；</w:t>
      </w:r>
    </w:p>
    <w:p>
      <w:pPr>
        <w:spacing w:line="440" w:lineRule="exact"/>
        <w:ind w:firstLine="480"/>
        <w:rPr>
          <w:rFonts w:hint="eastAsia" w:ascii="宋体" w:hAnsi="宋体"/>
          <w:sz w:val="24"/>
        </w:rPr>
      </w:pPr>
      <w:r>
        <w:rPr>
          <w:rFonts w:hint="eastAsia" w:ascii="宋体" w:hAnsi="宋体"/>
          <w:sz w:val="24"/>
        </w:rPr>
        <w:t>2.8.2</w:t>
      </w:r>
      <w:r>
        <w:rPr>
          <w:rFonts w:ascii="宋体" w:hAnsi="宋体" w:cs="宋体"/>
          <w:sz w:val="24"/>
        </w:rPr>
        <w:t>.2</w:t>
      </w:r>
      <w:r>
        <w:rPr>
          <w:rFonts w:hint="eastAsia" w:ascii="宋体" w:hAnsi="宋体" w:cs="宋体"/>
          <w:sz w:val="24"/>
        </w:rPr>
        <w:t>投标设备主要技术参数说明（附件七）；</w:t>
      </w:r>
    </w:p>
    <w:p>
      <w:pPr>
        <w:spacing w:line="440" w:lineRule="exact"/>
        <w:ind w:firstLine="480"/>
        <w:rPr>
          <w:rFonts w:hint="eastAsia" w:ascii="宋体" w:hAnsi="宋体"/>
          <w:sz w:val="24"/>
        </w:rPr>
      </w:pPr>
      <w:r>
        <w:rPr>
          <w:rFonts w:hint="eastAsia" w:ascii="宋体" w:hAnsi="宋体"/>
          <w:sz w:val="24"/>
        </w:rPr>
        <w:t>2.8.2</w:t>
      </w:r>
      <w:r>
        <w:rPr>
          <w:rFonts w:ascii="宋体" w:hAnsi="宋体" w:cs="宋体"/>
          <w:sz w:val="24"/>
        </w:rPr>
        <w:t>.3</w:t>
      </w:r>
      <w:r>
        <w:rPr>
          <w:rFonts w:hint="eastAsia" w:ascii="宋体" w:hAnsi="宋体" w:cs="宋体"/>
          <w:sz w:val="24"/>
        </w:rPr>
        <w:t>投标设备材料详细清单（附件六）；</w:t>
      </w:r>
    </w:p>
    <w:p>
      <w:pPr>
        <w:spacing w:line="440" w:lineRule="exact"/>
        <w:ind w:firstLine="480"/>
        <w:rPr>
          <w:rFonts w:hint="eastAsia" w:ascii="宋体" w:hAnsi="宋体" w:cs="宋体"/>
          <w:sz w:val="24"/>
        </w:rPr>
      </w:pPr>
      <w:r>
        <w:rPr>
          <w:rFonts w:hint="eastAsia" w:ascii="宋体" w:hAnsi="宋体"/>
          <w:sz w:val="24"/>
        </w:rPr>
        <w:t>2.8.2</w:t>
      </w:r>
      <w:r>
        <w:rPr>
          <w:rFonts w:ascii="宋体" w:hAnsi="宋体" w:cs="宋体"/>
          <w:sz w:val="24"/>
        </w:rPr>
        <w:t>.4</w:t>
      </w:r>
      <w:r>
        <w:rPr>
          <w:rFonts w:hint="eastAsia" w:ascii="宋体" w:hAnsi="宋体" w:cs="宋体"/>
          <w:sz w:val="24"/>
        </w:rPr>
        <w:t>技术偏离表（附件八）；</w:t>
      </w:r>
    </w:p>
    <w:p>
      <w:pPr>
        <w:spacing w:line="440" w:lineRule="exact"/>
        <w:ind w:firstLine="480"/>
        <w:rPr>
          <w:rFonts w:hint="eastAsia" w:ascii="宋体" w:hAnsi="宋体"/>
          <w:sz w:val="24"/>
        </w:rPr>
      </w:pPr>
      <w:r>
        <w:rPr>
          <w:rFonts w:hint="eastAsia" w:ascii="宋体" w:hAnsi="宋体"/>
          <w:sz w:val="24"/>
        </w:rPr>
        <w:t>2.8.2.5产品的技术服务和售后服务的内容和措施及距采购人最近的服务网点的详细介绍；</w:t>
      </w:r>
    </w:p>
    <w:p>
      <w:pPr>
        <w:spacing w:line="440" w:lineRule="exact"/>
        <w:ind w:firstLine="480"/>
        <w:rPr>
          <w:rFonts w:ascii="宋体" w:hAnsi="宋体"/>
          <w:b/>
          <w:sz w:val="24"/>
        </w:rPr>
      </w:pPr>
      <w:r>
        <w:rPr>
          <w:rFonts w:hint="eastAsia" w:ascii="宋体" w:hAnsi="宋体"/>
          <w:b/>
          <w:sz w:val="24"/>
        </w:rPr>
        <w:t>2.8.2.6上述五项中未提到，但技术标评审中所涉及的其他内容（如有），以及根据采购文件要求，供应商认为需要提供的其他文件；</w:t>
      </w:r>
    </w:p>
    <w:p>
      <w:pPr>
        <w:spacing w:line="440" w:lineRule="exact"/>
        <w:ind w:firstLine="480"/>
        <w:rPr>
          <w:rFonts w:hint="eastAsia" w:ascii="宋体" w:hAnsi="宋体"/>
          <w:sz w:val="24"/>
        </w:rPr>
      </w:pPr>
      <w:r>
        <w:rPr>
          <w:rFonts w:hint="eastAsia" w:ascii="宋体" w:hAnsi="宋体"/>
          <w:sz w:val="24"/>
        </w:rPr>
        <w:t>2.8.2.7技术标中不得出现投标报价。</w:t>
      </w:r>
    </w:p>
    <w:p>
      <w:pPr>
        <w:spacing w:line="440" w:lineRule="exact"/>
        <w:ind w:firstLine="480"/>
        <w:rPr>
          <w:rFonts w:hint="eastAsia" w:ascii="宋体" w:hAnsi="宋体"/>
          <w:sz w:val="24"/>
        </w:rPr>
      </w:pPr>
      <w:r>
        <w:rPr>
          <w:rFonts w:hint="eastAsia" w:ascii="宋体" w:hAnsi="宋体"/>
          <w:sz w:val="24"/>
        </w:rPr>
        <w:t>2.8.3价格标</w:t>
      </w:r>
    </w:p>
    <w:p>
      <w:pPr>
        <w:spacing w:line="440" w:lineRule="exact"/>
        <w:ind w:firstLine="480"/>
        <w:rPr>
          <w:rFonts w:hint="eastAsia" w:ascii="宋体" w:hAnsi="宋体"/>
          <w:sz w:val="24"/>
        </w:rPr>
      </w:pPr>
      <w:r>
        <w:rPr>
          <w:rFonts w:hint="eastAsia" w:ascii="宋体" w:hAnsi="宋体"/>
          <w:sz w:val="24"/>
        </w:rPr>
        <w:t>2.8.3.1开标一览表（报价表）（附件三）；</w:t>
      </w:r>
    </w:p>
    <w:p>
      <w:pPr>
        <w:spacing w:line="440" w:lineRule="exact"/>
        <w:ind w:firstLine="480"/>
        <w:rPr>
          <w:rFonts w:hint="eastAsia" w:ascii="宋体" w:hAnsi="宋体"/>
          <w:sz w:val="24"/>
        </w:rPr>
      </w:pPr>
      <w:r>
        <w:rPr>
          <w:rFonts w:hint="eastAsia" w:ascii="宋体" w:hAnsi="宋体"/>
          <w:sz w:val="24"/>
        </w:rPr>
        <w:t>2.8.3.2投标报价明细表（附件四）；</w:t>
      </w:r>
    </w:p>
    <w:p>
      <w:pPr>
        <w:spacing w:line="440" w:lineRule="exact"/>
        <w:ind w:firstLine="470" w:firstLineChars="196"/>
        <w:rPr>
          <w:rFonts w:hint="eastAsia" w:hAnsi="宋体"/>
          <w:sz w:val="24"/>
        </w:rPr>
      </w:pPr>
      <w:r>
        <w:rPr>
          <w:rFonts w:hint="eastAsia" w:ascii="宋体" w:hAnsi="宋体"/>
          <w:sz w:val="24"/>
        </w:rPr>
        <w:t>2.9供应商必须使用采购文件提供的表格格式，但表格可以按同样格式扩展（见附件及附表）。采购文件中未提供的表格格式，供应商可以自拟。</w:t>
      </w:r>
    </w:p>
    <w:p>
      <w:pPr>
        <w:spacing w:line="440" w:lineRule="exact"/>
        <w:ind w:firstLine="472" w:firstLineChars="196"/>
        <w:rPr>
          <w:rFonts w:hint="eastAsia" w:ascii="宋体" w:hAnsi="宋体"/>
          <w:b/>
          <w:sz w:val="24"/>
        </w:rPr>
      </w:pPr>
      <w:r>
        <w:rPr>
          <w:rFonts w:hint="eastAsia" w:ascii="宋体" w:hAnsi="宋体"/>
          <w:b/>
          <w:sz w:val="24"/>
        </w:rPr>
        <w:t>2.10投标文件的份数与正副本</w:t>
      </w:r>
    </w:p>
    <w:p>
      <w:pPr>
        <w:spacing w:line="440" w:lineRule="exact"/>
        <w:ind w:firstLine="470" w:firstLineChars="196"/>
        <w:rPr>
          <w:rFonts w:hint="eastAsia" w:ascii="宋体" w:hAnsi="宋体"/>
          <w:sz w:val="24"/>
        </w:rPr>
      </w:pPr>
      <w:r>
        <w:rPr>
          <w:rFonts w:hint="eastAsia" w:ascii="宋体" w:hAnsi="宋体"/>
          <w:sz w:val="24"/>
        </w:rPr>
        <w:t>2.10.1投标文件的份数要求详见前附表第13项。正本、副本文件须加盖供应商公章。</w:t>
      </w:r>
    </w:p>
    <w:p>
      <w:pPr>
        <w:spacing w:line="440" w:lineRule="exact"/>
        <w:ind w:firstLine="470" w:firstLineChars="196"/>
        <w:rPr>
          <w:rFonts w:hint="eastAsia" w:ascii="宋体" w:hAnsi="宋体"/>
          <w:b/>
          <w:sz w:val="24"/>
        </w:rPr>
      </w:pPr>
      <w:r>
        <w:rPr>
          <w:rFonts w:hint="eastAsia" w:ascii="宋体" w:hAnsi="宋体"/>
          <w:sz w:val="24"/>
        </w:rPr>
        <w:t>2.10.2正本、副本如有不一致之处，以正本为准。投标文件的修改部分须加盖供应商公章。</w:t>
      </w:r>
    </w:p>
    <w:p>
      <w:pPr>
        <w:pStyle w:val="23"/>
        <w:spacing w:line="440" w:lineRule="exact"/>
        <w:ind w:firstLine="480"/>
        <w:rPr>
          <w:rFonts w:hint="eastAsia" w:hAnsi="宋体"/>
          <w:b/>
          <w:sz w:val="24"/>
        </w:rPr>
      </w:pPr>
      <w:r>
        <w:rPr>
          <w:rFonts w:hint="eastAsia" w:hAnsi="宋体"/>
          <w:b/>
          <w:sz w:val="24"/>
        </w:rPr>
        <w:t>2.11投标文件的密封</w:t>
      </w:r>
    </w:p>
    <w:p>
      <w:pPr>
        <w:pStyle w:val="23"/>
        <w:spacing w:line="440" w:lineRule="exact"/>
        <w:ind w:firstLine="480"/>
        <w:rPr>
          <w:rFonts w:hint="eastAsia" w:hAnsi="宋体"/>
          <w:sz w:val="24"/>
        </w:rPr>
      </w:pPr>
      <w:r>
        <w:rPr>
          <w:rFonts w:hint="eastAsia" w:hAnsi="宋体"/>
          <w:sz w:val="24"/>
        </w:rPr>
        <w:t>2.11.1</w:t>
      </w:r>
      <w:r>
        <w:t xml:space="preserve"> </w:t>
      </w:r>
      <w:r>
        <w:rPr>
          <w:rFonts w:hint="eastAsia" w:hAnsi="宋体"/>
          <w:sz w:val="24"/>
        </w:rPr>
        <w:t>供应商应将投标文件的</w:t>
      </w:r>
      <w:r>
        <w:rPr>
          <w:rFonts w:hint="eastAsia" w:hAnsi="宋体"/>
          <w:sz w:val="24"/>
          <w:u w:val="single"/>
        </w:rPr>
        <w:t>商务标、技术标、价格标、资格（资信）证明文件分别用独立的信封密封，且在信封上标明 “商务标”、“技术标”、“价格标”、“资格（资信）证明文件”的字样。</w:t>
      </w:r>
      <w:r>
        <w:rPr>
          <w:rFonts w:hint="eastAsia" w:hAnsi="宋体"/>
          <w:sz w:val="24"/>
        </w:rPr>
        <w:t>密封口应加盖供应商公章。</w:t>
      </w:r>
    </w:p>
    <w:p>
      <w:pPr>
        <w:pStyle w:val="23"/>
        <w:spacing w:line="440" w:lineRule="exact"/>
        <w:ind w:firstLine="480"/>
        <w:rPr>
          <w:rFonts w:hint="eastAsia" w:hAnsi="宋体"/>
          <w:sz w:val="24"/>
        </w:rPr>
      </w:pPr>
      <w:r>
        <w:rPr>
          <w:rFonts w:hint="eastAsia" w:hAnsi="宋体"/>
          <w:sz w:val="24"/>
        </w:rPr>
        <w:t>2.11.2未按本须知密封、标记和投递的投标文件，采购人不对其后果负责。</w:t>
      </w:r>
    </w:p>
    <w:p>
      <w:pPr>
        <w:autoSpaceDE w:val="0"/>
        <w:autoSpaceDN w:val="0"/>
        <w:adjustRightInd w:val="0"/>
        <w:spacing w:line="440" w:lineRule="exact"/>
        <w:ind w:firstLine="470" w:firstLineChars="196"/>
        <w:rPr>
          <w:rFonts w:hint="eastAsia" w:ascii="宋体" w:hAnsi="宋体"/>
          <w:sz w:val="24"/>
        </w:rPr>
      </w:pPr>
      <w:r>
        <w:rPr>
          <w:rFonts w:hint="eastAsia" w:ascii="宋体" w:hAnsi="宋体"/>
          <w:sz w:val="24"/>
        </w:rPr>
        <w:t>2.12 密封投标文件是供应商向采购人提供的最终文件，投标截止后不再接收补充文件。评标委员会认为必要的询标不包括对供应商遗漏文件的索要。</w:t>
      </w:r>
    </w:p>
    <w:p>
      <w:pPr>
        <w:spacing w:line="440" w:lineRule="exact"/>
        <w:ind w:firstLine="480" w:firstLineChars="200"/>
        <w:rPr>
          <w:rFonts w:hint="eastAsia" w:ascii="宋体" w:hAnsi="宋体"/>
          <w:sz w:val="24"/>
        </w:rPr>
      </w:pPr>
      <w:r>
        <w:rPr>
          <w:rFonts w:hint="eastAsia" w:ascii="宋体" w:hAnsi="宋体"/>
          <w:sz w:val="24"/>
        </w:rPr>
        <w:t>2.13采购人在投标截止时间以后收到的任何投标文件，将予以拒绝，并原封退回供应商。</w:t>
      </w:r>
    </w:p>
    <w:p>
      <w:pPr>
        <w:pStyle w:val="23"/>
        <w:spacing w:line="440" w:lineRule="exact"/>
        <w:ind w:firstLine="480"/>
        <w:rPr>
          <w:rFonts w:hint="eastAsia" w:hAnsi="宋体"/>
          <w:b/>
          <w:sz w:val="24"/>
        </w:rPr>
      </w:pPr>
      <w:r>
        <w:rPr>
          <w:rFonts w:hint="eastAsia" w:hAnsi="宋体"/>
          <w:b/>
          <w:sz w:val="24"/>
        </w:rPr>
        <w:t>2.14 投标有效期</w:t>
      </w:r>
    </w:p>
    <w:p>
      <w:pPr>
        <w:pStyle w:val="23"/>
        <w:spacing w:line="440" w:lineRule="exact"/>
        <w:ind w:firstLine="480"/>
        <w:rPr>
          <w:rFonts w:hint="eastAsia" w:hAnsi="宋体"/>
          <w:sz w:val="24"/>
        </w:rPr>
      </w:pPr>
      <w:r>
        <w:rPr>
          <w:rFonts w:hint="eastAsia" w:hAnsi="宋体"/>
          <w:sz w:val="24"/>
        </w:rPr>
        <w:t>2.14.1投标有效期详见前附表第4项。</w:t>
      </w:r>
    </w:p>
    <w:p>
      <w:pPr>
        <w:spacing w:line="440" w:lineRule="exact"/>
        <w:rPr>
          <w:rFonts w:hint="eastAsia" w:ascii="宋体" w:hAnsi="宋体"/>
          <w:sz w:val="24"/>
        </w:rPr>
      </w:pPr>
      <w:r>
        <w:rPr>
          <w:rFonts w:hint="eastAsia" w:ascii="宋体" w:hAnsi="宋体"/>
          <w:sz w:val="24"/>
        </w:rPr>
        <w:t xml:space="preserve">    2.14.2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pPr>
        <w:pStyle w:val="23"/>
        <w:spacing w:line="440" w:lineRule="exact"/>
        <w:ind w:firstLine="480"/>
        <w:rPr>
          <w:rFonts w:hint="eastAsia" w:hAnsi="宋体"/>
          <w:b/>
          <w:sz w:val="24"/>
        </w:rPr>
      </w:pPr>
      <w:r>
        <w:rPr>
          <w:rFonts w:hint="eastAsia" w:hAnsi="宋体"/>
          <w:b/>
          <w:sz w:val="24"/>
        </w:rPr>
        <w:t>2.15投标文件的修改与撤回</w:t>
      </w:r>
    </w:p>
    <w:p>
      <w:pPr>
        <w:pStyle w:val="23"/>
        <w:spacing w:line="440" w:lineRule="exact"/>
        <w:rPr>
          <w:rFonts w:hint="eastAsia" w:hAnsi="宋体"/>
          <w:sz w:val="24"/>
        </w:rPr>
      </w:pPr>
      <w:r>
        <w:rPr>
          <w:rFonts w:hint="eastAsia" w:hAnsi="宋体"/>
          <w:sz w:val="24"/>
        </w:rPr>
        <w:t xml:space="preserve">    2.15.1供应商递交投标文件以后，可以在投标文件递交截止时间前，修改或撤回其投标文件。但这种修改与撤回，须以书面形式在规定的投标文件递交截止时间前将通知送达采购人。</w:t>
      </w:r>
    </w:p>
    <w:p>
      <w:pPr>
        <w:pStyle w:val="23"/>
        <w:spacing w:line="440" w:lineRule="exact"/>
        <w:ind w:firstLine="465"/>
        <w:rPr>
          <w:rFonts w:hint="eastAsia" w:hAnsi="宋体"/>
          <w:sz w:val="24"/>
        </w:rPr>
      </w:pPr>
      <w:r>
        <w:rPr>
          <w:rFonts w:hint="eastAsia" w:hAnsi="宋体"/>
          <w:sz w:val="24"/>
        </w:rPr>
        <w:t>2.15.2在投标文件递交截止时间后，不能更改投标文件。</w:t>
      </w:r>
    </w:p>
    <w:p>
      <w:pPr>
        <w:pStyle w:val="23"/>
        <w:spacing w:line="440" w:lineRule="exact"/>
        <w:ind w:firstLine="465"/>
        <w:rPr>
          <w:rFonts w:hint="eastAsia" w:hAnsi="宋体"/>
          <w:sz w:val="24"/>
        </w:rPr>
      </w:pPr>
      <w:r>
        <w:rPr>
          <w:rFonts w:hint="eastAsia" w:hAnsi="宋体"/>
          <w:sz w:val="24"/>
        </w:rPr>
        <w:t>2.15.3在投标文件递交截止时间起至标书中规定的投标有效日期终止日之间的这段时间内，供应商不能撤回投标文件，否则其投标保证金将不予以退还。</w:t>
      </w:r>
    </w:p>
    <w:p>
      <w:pPr>
        <w:pStyle w:val="23"/>
        <w:spacing w:line="440" w:lineRule="exact"/>
        <w:ind w:firstLine="480"/>
        <w:rPr>
          <w:rFonts w:hint="eastAsia" w:hAnsi="宋体"/>
          <w:sz w:val="24"/>
        </w:rPr>
      </w:pPr>
      <w:r>
        <w:rPr>
          <w:rFonts w:hint="eastAsia" w:hAnsi="宋体"/>
          <w:sz w:val="24"/>
        </w:rPr>
        <w:t>2.16投标文件的澄清</w:t>
      </w:r>
    </w:p>
    <w:p>
      <w:pPr>
        <w:pStyle w:val="23"/>
        <w:spacing w:line="440" w:lineRule="exact"/>
        <w:rPr>
          <w:rFonts w:hint="eastAsia" w:hAnsi="宋体"/>
          <w:sz w:val="24"/>
        </w:rPr>
      </w:pPr>
      <w:r>
        <w:rPr>
          <w:rFonts w:hint="eastAsia" w:hAnsi="宋体"/>
          <w:sz w:val="24"/>
        </w:rPr>
        <w:t xml:space="preserve">    2.16.1为了有助于投标文件的审查、评价和比较，评标委员会可以个别地要求供应商澄清其投标文件，包括单价分析表，但不接受供应商任何主动的澄清、说明或辩解。有关澄清的答复，应以书面形式进行并应有法定代表人或其委托代理人的签署，但不允许更改投标文件中的价格或实质性内容。</w:t>
      </w:r>
    </w:p>
    <w:p>
      <w:pPr>
        <w:pStyle w:val="23"/>
        <w:spacing w:line="440" w:lineRule="exact"/>
        <w:ind w:firstLine="480"/>
        <w:rPr>
          <w:rFonts w:hint="eastAsia" w:hAnsi="宋体"/>
          <w:sz w:val="24"/>
        </w:rPr>
      </w:pPr>
      <w:r>
        <w:rPr>
          <w:rFonts w:hint="eastAsia" w:hAnsi="宋体"/>
          <w:sz w:val="24"/>
        </w:rPr>
        <w:t>2.16.2供应商的澄清文件是投标文件的组成部分，并替代投标文件中被澄清的部分。</w:t>
      </w:r>
    </w:p>
    <w:p>
      <w:pPr>
        <w:pStyle w:val="23"/>
        <w:spacing w:line="440" w:lineRule="exact"/>
        <w:ind w:firstLine="480"/>
        <w:rPr>
          <w:rFonts w:hint="eastAsia" w:hAnsi="宋体"/>
          <w:sz w:val="24"/>
        </w:rPr>
      </w:pPr>
      <w:r>
        <w:rPr>
          <w:rFonts w:hint="eastAsia" w:hAnsi="宋体"/>
          <w:sz w:val="24"/>
        </w:rPr>
        <w:t>2.17 投标文件符合性的确定</w:t>
      </w:r>
    </w:p>
    <w:p>
      <w:pPr>
        <w:pStyle w:val="23"/>
        <w:spacing w:line="440" w:lineRule="exact"/>
        <w:rPr>
          <w:rFonts w:hint="eastAsia" w:hAnsi="宋体"/>
          <w:sz w:val="24"/>
        </w:rPr>
      </w:pPr>
      <w:r>
        <w:rPr>
          <w:rFonts w:hint="eastAsia" w:hAnsi="宋体"/>
          <w:sz w:val="24"/>
        </w:rPr>
        <w:t xml:space="preserve">    2.17.1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23"/>
        <w:spacing w:line="440" w:lineRule="exact"/>
        <w:ind w:firstLine="480"/>
        <w:rPr>
          <w:rFonts w:hint="eastAsia" w:hAnsi="宋体"/>
          <w:sz w:val="24"/>
        </w:rPr>
      </w:pPr>
      <w:r>
        <w:rPr>
          <w:rFonts w:hint="eastAsia" w:hAnsi="宋体"/>
          <w:sz w:val="24"/>
        </w:rPr>
        <w:t>2.17.2如果投标文件实质上不符合采购文件的要求，其投标文件将被予以拒绝，并且不允许供应商通过修正或撤消其重大差异或保留使之符合要求。</w:t>
      </w:r>
    </w:p>
    <w:p>
      <w:pPr>
        <w:pStyle w:val="23"/>
        <w:spacing w:line="440" w:lineRule="exact"/>
        <w:ind w:firstLine="480" w:firstLineChars="200"/>
        <w:rPr>
          <w:rFonts w:hint="eastAsia" w:hAnsi="宋体"/>
          <w:sz w:val="24"/>
        </w:rPr>
      </w:pPr>
      <w:r>
        <w:rPr>
          <w:rFonts w:hint="eastAsia" w:hAnsi="宋体"/>
          <w:sz w:val="24"/>
        </w:rPr>
        <w:t>2.18错误的修正</w:t>
      </w:r>
    </w:p>
    <w:p>
      <w:pPr>
        <w:pStyle w:val="23"/>
        <w:spacing w:line="440" w:lineRule="exact"/>
        <w:ind w:firstLine="480" w:firstLineChars="200"/>
        <w:rPr>
          <w:rFonts w:hint="eastAsia" w:hAnsi="宋体"/>
          <w:sz w:val="24"/>
        </w:rPr>
      </w:pPr>
      <w:r>
        <w:rPr>
          <w:rFonts w:hint="eastAsia" w:hAnsi="宋体"/>
          <w:sz w:val="24"/>
        </w:rPr>
        <w:t>2.18.1确定中标候选人前（评标过程中）的修正方法：</w:t>
      </w:r>
    </w:p>
    <w:p>
      <w:pPr>
        <w:pStyle w:val="23"/>
        <w:spacing w:line="440" w:lineRule="exact"/>
        <w:ind w:firstLine="480" w:firstLineChars="200"/>
        <w:rPr>
          <w:rFonts w:hint="eastAsia" w:hAnsi="宋体"/>
          <w:sz w:val="24"/>
        </w:rPr>
      </w:pPr>
      <w:r>
        <w:rPr>
          <w:rFonts w:hint="eastAsia" w:hAnsi="宋体"/>
          <w:sz w:val="24"/>
        </w:rPr>
        <w:t>评标委员会应对确定为实质上符合要求的投标文件进行校核，看其是否有计算上或累计上的算术错误，修正此类错误的原则如下：</w:t>
      </w:r>
    </w:p>
    <w:p>
      <w:pPr>
        <w:pStyle w:val="23"/>
        <w:spacing w:line="440" w:lineRule="exact"/>
        <w:ind w:firstLine="480" w:firstLineChars="200"/>
        <w:rPr>
          <w:rFonts w:hint="eastAsia" w:hAnsi="宋体"/>
          <w:sz w:val="24"/>
        </w:rPr>
      </w:pPr>
      <w:r>
        <w:rPr>
          <w:rFonts w:hint="eastAsia" w:hAnsi="宋体"/>
          <w:sz w:val="24"/>
        </w:rPr>
        <w:t>2.18.1.1同一产品出现两种以上不同价格时，取其低的报价核算；</w:t>
      </w:r>
    </w:p>
    <w:p>
      <w:pPr>
        <w:pStyle w:val="23"/>
        <w:spacing w:line="440" w:lineRule="exact"/>
        <w:ind w:firstLine="480" w:firstLineChars="200"/>
        <w:rPr>
          <w:rFonts w:hint="eastAsia" w:hAnsi="宋体"/>
          <w:sz w:val="24"/>
        </w:rPr>
      </w:pPr>
      <w:r>
        <w:rPr>
          <w:rFonts w:hint="eastAsia" w:hAnsi="宋体"/>
          <w:sz w:val="24"/>
        </w:rPr>
        <w:t>2.18.1.2如果用数字表示的数额与用文字表示的数额不一致时，以文字数额为准。</w:t>
      </w:r>
    </w:p>
    <w:p>
      <w:pPr>
        <w:pStyle w:val="23"/>
        <w:spacing w:line="440" w:lineRule="exact"/>
        <w:ind w:firstLine="480" w:firstLineChars="200"/>
        <w:rPr>
          <w:rFonts w:hint="eastAsia" w:hAnsi="宋体"/>
          <w:sz w:val="24"/>
        </w:rPr>
      </w:pPr>
      <w:r>
        <w:rPr>
          <w:rFonts w:hint="eastAsia" w:hAnsi="宋体"/>
          <w:sz w:val="24"/>
        </w:rPr>
        <w:t>2.18.1.3当单价与数量的乘积之总和同总额之间不一致时，应以标出的单价为准，除非评标委员会认为单价有明显的小数点错误，此时应以标出的总额为准，并修改单价。</w:t>
      </w:r>
    </w:p>
    <w:p>
      <w:pPr>
        <w:pStyle w:val="23"/>
        <w:spacing w:line="440" w:lineRule="exact"/>
        <w:ind w:firstLine="480" w:firstLineChars="200"/>
        <w:rPr>
          <w:rFonts w:hint="eastAsia" w:hAnsi="宋体"/>
          <w:sz w:val="24"/>
        </w:rPr>
      </w:pPr>
      <w:r>
        <w:rPr>
          <w:rFonts w:hint="eastAsia" w:hAnsi="宋体"/>
          <w:sz w:val="24"/>
        </w:rPr>
        <w:t>2.18.2确定中标候选人后的修正方法：</w:t>
      </w:r>
    </w:p>
    <w:p>
      <w:pPr>
        <w:pStyle w:val="23"/>
        <w:spacing w:line="440" w:lineRule="exact"/>
        <w:ind w:firstLine="480" w:firstLineChars="200"/>
        <w:rPr>
          <w:rFonts w:hint="eastAsia" w:hAnsi="宋体"/>
          <w:sz w:val="24"/>
        </w:rPr>
      </w:pPr>
      <w:r>
        <w:rPr>
          <w:rFonts w:hint="eastAsia" w:hAnsi="宋体"/>
          <w:sz w:val="24"/>
        </w:rPr>
        <w:t>2.18.2.1同一产品出现两种以上不同价格时，取其低的报价核算；</w:t>
      </w:r>
    </w:p>
    <w:p>
      <w:pPr>
        <w:pStyle w:val="23"/>
        <w:spacing w:line="440" w:lineRule="exact"/>
        <w:ind w:firstLine="480" w:firstLineChars="200"/>
        <w:rPr>
          <w:rFonts w:hint="eastAsia" w:hAnsi="宋体"/>
          <w:sz w:val="24"/>
        </w:rPr>
      </w:pPr>
      <w:r>
        <w:rPr>
          <w:rFonts w:hint="eastAsia" w:hAnsi="宋体"/>
          <w:sz w:val="24"/>
        </w:rPr>
        <w:t>2.18.2.2如果用数字表示的数额与用文字表示的数额不一致时，以文字数额为准。</w:t>
      </w:r>
    </w:p>
    <w:p>
      <w:pPr>
        <w:pStyle w:val="23"/>
        <w:spacing w:line="440" w:lineRule="exact"/>
        <w:ind w:firstLine="480" w:firstLineChars="200"/>
        <w:rPr>
          <w:rFonts w:hint="eastAsia" w:hAnsi="宋体"/>
          <w:sz w:val="24"/>
        </w:rPr>
      </w:pPr>
      <w:r>
        <w:rPr>
          <w:rFonts w:hint="eastAsia" w:hAnsi="宋体"/>
          <w:sz w:val="24"/>
        </w:rPr>
        <w:t>2.18.2.3合价之和与总报价不一致时，以总报价为准，按总报价占调整前的合价之和的比例调整合价，并修改单价；</w:t>
      </w:r>
    </w:p>
    <w:p>
      <w:pPr>
        <w:pStyle w:val="23"/>
        <w:spacing w:line="440" w:lineRule="exact"/>
        <w:ind w:firstLine="480" w:firstLineChars="200"/>
        <w:rPr>
          <w:rFonts w:hint="eastAsia" w:hAnsi="宋体"/>
          <w:sz w:val="24"/>
        </w:rPr>
      </w:pPr>
      <w:r>
        <w:rPr>
          <w:rFonts w:hint="eastAsia" w:hAnsi="宋体"/>
          <w:sz w:val="24"/>
        </w:rPr>
        <w:t>2.18.2.4当单价与数量的乘积与合价不一致时，以合价为准，并修改单价。</w:t>
      </w:r>
    </w:p>
    <w:p>
      <w:pPr>
        <w:pStyle w:val="23"/>
        <w:spacing w:line="440" w:lineRule="exact"/>
        <w:ind w:firstLine="480" w:firstLineChars="200"/>
        <w:rPr>
          <w:rFonts w:hint="eastAsia" w:hAnsi="宋体"/>
          <w:sz w:val="24"/>
        </w:rPr>
      </w:pPr>
      <w:r>
        <w:rPr>
          <w:rFonts w:hint="eastAsia" w:hAnsi="宋体"/>
          <w:sz w:val="24"/>
        </w:rPr>
        <w:t>2.18.3评标期间，评标委员会不接受任何投标供应商主动提出的对投标报价及单价、合价的调整。</w:t>
      </w:r>
    </w:p>
    <w:p>
      <w:pPr>
        <w:pStyle w:val="23"/>
        <w:spacing w:line="440" w:lineRule="exact"/>
        <w:ind w:firstLine="480" w:firstLineChars="200"/>
        <w:rPr>
          <w:rFonts w:hint="eastAsia" w:hAnsi="宋体"/>
          <w:sz w:val="24"/>
        </w:rPr>
      </w:pPr>
      <w:r>
        <w:rPr>
          <w:rFonts w:hint="eastAsia" w:hAnsi="宋体"/>
          <w:sz w:val="24"/>
        </w:rPr>
        <w:t>2.18.4投标文件报价，正本与副本不符不一致的以正本为准；开标时，开标一览表（报价表）的总价与投标报价明细表的总价不一致时，以开标一览表（报价表）的总价为准；大写与小写不一致的以大写为准。</w:t>
      </w:r>
    </w:p>
    <w:p>
      <w:pPr>
        <w:pStyle w:val="23"/>
        <w:spacing w:line="440" w:lineRule="exact"/>
        <w:ind w:firstLine="480" w:firstLineChars="200"/>
        <w:rPr>
          <w:rFonts w:hint="eastAsia" w:hAnsi="宋体"/>
          <w:sz w:val="24"/>
          <w:szCs w:val="24"/>
        </w:rPr>
      </w:pPr>
      <w:r>
        <w:rPr>
          <w:rFonts w:hint="eastAsia" w:hAnsi="宋体"/>
          <w:sz w:val="24"/>
        </w:rPr>
        <w:t>2.18.5按以上原则进行错误修正，调整投标文件的投标报价，经供应商确认后，调整后的投标报价对供应商起约束作用。若投标供应商不接受修正后的投标报价则其投标将被拒绝且其投标保证金不予以退还。</w:t>
      </w:r>
    </w:p>
    <w:p>
      <w:pPr>
        <w:spacing w:line="440" w:lineRule="exact"/>
        <w:ind w:firstLine="480" w:firstLineChars="200"/>
        <w:rPr>
          <w:rFonts w:hint="eastAsia" w:ascii="宋体" w:hAnsi="宋体"/>
          <w:sz w:val="24"/>
        </w:rPr>
      </w:pPr>
      <w:r>
        <w:rPr>
          <w:rFonts w:hint="eastAsia" w:ascii="宋体" w:hAnsi="宋体"/>
          <w:sz w:val="24"/>
        </w:rPr>
        <w:t>2.19 投标费用</w:t>
      </w:r>
    </w:p>
    <w:p>
      <w:pPr>
        <w:spacing w:line="440" w:lineRule="exact"/>
        <w:ind w:firstLine="480"/>
        <w:rPr>
          <w:rFonts w:hint="eastAsia" w:ascii="宋体" w:hAnsi="宋体"/>
          <w:sz w:val="24"/>
        </w:rPr>
      </w:pPr>
      <w:r>
        <w:rPr>
          <w:rFonts w:hint="eastAsia" w:ascii="宋体" w:hAnsi="宋体"/>
          <w:sz w:val="24"/>
        </w:rPr>
        <w:t>供应商应自行承担所有与编写和提交投标文件有关的费用，不论投标的结果如何，采购人在任何情况下均无义务和责任承担这些费用。</w:t>
      </w:r>
    </w:p>
    <w:p>
      <w:pPr>
        <w:spacing w:line="440" w:lineRule="exact"/>
        <w:ind w:firstLine="480"/>
        <w:rPr>
          <w:rFonts w:hint="eastAsia" w:ascii="宋体" w:hAnsi="宋体"/>
          <w:sz w:val="24"/>
        </w:rPr>
      </w:pPr>
    </w:p>
    <w:p>
      <w:pPr>
        <w:pStyle w:val="2"/>
        <w:numPr>
          <w:ilvl w:val="0"/>
          <w:numId w:val="0"/>
        </w:numPr>
        <w:spacing w:before="0" w:after="0" w:line="440" w:lineRule="exact"/>
        <w:jc w:val="center"/>
        <w:rPr>
          <w:rFonts w:hint="eastAsia" w:ascii="宋体" w:hAnsi="宋体"/>
          <w:sz w:val="28"/>
          <w:szCs w:val="28"/>
        </w:rPr>
      </w:pPr>
      <w:bookmarkStart w:id="20" w:name="_Toc21819"/>
      <w:bookmarkStart w:id="21" w:name="_Toc264116913"/>
      <w:r>
        <w:rPr>
          <w:rFonts w:hint="eastAsia" w:ascii="宋体" w:hAnsi="宋体"/>
          <w:sz w:val="28"/>
          <w:szCs w:val="28"/>
        </w:rPr>
        <w:t>三、供应商应当提交的资格（资信）证明文件</w:t>
      </w:r>
      <w:bookmarkEnd w:id="20"/>
      <w:bookmarkEnd w:id="21"/>
    </w:p>
    <w:p>
      <w:pPr>
        <w:spacing w:line="440" w:lineRule="exact"/>
        <w:jc w:val="center"/>
        <w:rPr>
          <w:rFonts w:hint="eastAsia" w:ascii="宋体" w:hAnsi="宋体"/>
          <w:sz w:val="24"/>
        </w:rPr>
      </w:pPr>
    </w:p>
    <w:p>
      <w:pPr>
        <w:spacing w:line="440" w:lineRule="exact"/>
        <w:ind w:firstLine="480"/>
        <w:rPr>
          <w:rFonts w:hint="eastAsia" w:ascii="宋体" w:hAnsi="宋体"/>
          <w:sz w:val="24"/>
        </w:rPr>
      </w:pPr>
      <w:r>
        <w:rPr>
          <w:rFonts w:hint="eastAsia" w:ascii="宋体" w:hAnsi="宋体"/>
          <w:sz w:val="24"/>
        </w:rPr>
        <w:t>开标时，由采购人或采购代理机构依法对投标人的资格进行审查。</w:t>
      </w:r>
    </w:p>
    <w:p>
      <w:pPr>
        <w:spacing w:line="440" w:lineRule="exact"/>
        <w:ind w:firstLine="480"/>
        <w:rPr>
          <w:rFonts w:hint="eastAsia" w:ascii="宋体" w:hAnsi="宋体"/>
          <w:sz w:val="24"/>
        </w:rPr>
      </w:pPr>
      <w:r>
        <w:rPr>
          <w:rFonts w:hint="eastAsia" w:ascii="宋体" w:hAnsi="宋体"/>
          <w:b/>
          <w:sz w:val="24"/>
        </w:rPr>
        <w:t>3.1资格、资信证明文件单独封装，仅需提供正本一份</w:t>
      </w:r>
      <w:r>
        <w:rPr>
          <w:rFonts w:hint="eastAsia" w:ascii="宋体" w:hAnsi="宋体"/>
          <w:sz w:val="24"/>
        </w:rPr>
        <w:t>。包括下列内容：</w:t>
      </w:r>
    </w:p>
    <w:p>
      <w:pPr>
        <w:autoSpaceDE w:val="0"/>
        <w:autoSpaceDN w:val="0"/>
        <w:spacing w:line="440" w:lineRule="exact"/>
        <w:ind w:firstLine="480" w:firstLineChars="200"/>
        <w:textAlignment w:val="bottom"/>
        <w:rPr>
          <w:rFonts w:hint="eastAsia" w:ascii="宋体" w:hAnsi="宋体"/>
          <w:sz w:val="24"/>
        </w:rPr>
      </w:pPr>
      <w:r>
        <w:rPr>
          <w:rFonts w:hint="eastAsia" w:ascii="宋体" w:hAnsi="宋体"/>
          <w:sz w:val="24"/>
        </w:rPr>
        <w:t>3.1.1营业执照副本(开标时随身携带原件，文件中装订复印件，需盖投标供应商公章)；</w:t>
      </w:r>
    </w:p>
    <w:p>
      <w:pPr>
        <w:spacing w:line="440" w:lineRule="exact"/>
        <w:ind w:firstLine="480" w:firstLineChars="200"/>
        <w:rPr>
          <w:rFonts w:hint="eastAsia" w:ascii="宋体" w:hAnsi="宋体"/>
          <w:sz w:val="24"/>
        </w:rPr>
      </w:pPr>
      <w:r>
        <w:rPr>
          <w:rFonts w:hint="eastAsia" w:ascii="宋体" w:hAnsi="宋体"/>
          <w:sz w:val="24"/>
        </w:rPr>
        <w:t xml:space="preserve">3.1.2法定代表人的身份证(文件中装订复印件，需盖投标供应商公章)； </w:t>
      </w:r>
    </w:p>
    <w:p>
      <w:pPr>
        <w:tabs>
          <w:tab w:val="left" w:pos="540"/>
          <w:tab w:val="left" w:pos="900"/>
        </w:tabs>
        <w:autoSpaceDE w:val="0"/>
        <w:autoSpaceDN w:val="0"/>
        <w:spacing w:line="440" w:lineRule="exact"/>
        <w:ind w:firstLine="480" w:firstLineChars="200"/>
        <w:textAlignment w:val="bottom"/>
        <w:rPr>
          <w:rFonts w:hint="eastAsia" w:ascii="宋体" w:hAnsi="宋体"/>
          <w:sz w:val="24"/>
        </w:rPr>
      </w:pPr>
      <w:r>
        <w:rPr>
          <w:rFonts w:hint="eastAsia" w:ascii="宋体" w:hAnsi="宋体"/>
          <w:sz w:val="24"/>
        </w:rPr>
        <w:t>3.1.3法定代表人授权书（附件二）；</w:t>
      </w:r>
    </w:p>
    <w:p>
      <w:pPr>
        <w:tabs>
          <w:tab w:val="left" w:pos="1470"/>
        </w:tabs>
        <w:autoSpaceDE w:val="0"/>
        <w:autoSpaceDN w:val="0"/>
        <w:spacing w:line="440" w:lineRule="exact"/>
        <w:ind w:firstLine="480" w:firstLineChars="200"/>
        <w:textAlignment w:val="bottom"/>
        <w:rPr>
          <w:rFonts w:hint="eastAsia" w:ascii="宋体" w:hAnsi="宋体"/>
          <w:sz w:val="24"/>
        </w:rPr>
      </w:pPr>
      <w:r>
        <w:rPr>
          <w:rFonts w:hint="eastAsia" w:ascii="宋体" w:hAnsi="宋体"/>
          <w:sz w:val="24"/>
        </w:rPr>
        <w:t>3.1.4全权代表身份证(开标时随身携带原件，文件中装订复印件，需盖投标供应商公章)；</w:t>
      </w:r>
    </w:p>
    <w:p>
      <w:pPr>
        <w:tabs>
          <w:tab w:val="left" w:pos="1470"/>
        </w:tabs>
        <w:autoSpaceDE w:val="0"/>
        <w:autoSpaceDN w:val="0"/>
        <w:spacing w:line="440" w:lineRule="exact"/>
        <w:ind w:firstLine="480" w:firstLineChars="200"/>
        <w:textAlignment w:val="bottom"/>
        <w:rPr>
          <w:rFonts w:hint="eastAsia" w:ascii="宋体" w:hAnsi="宋体"/>
          <w:sz w:val="24"/>
        </w:rPr>
      </w:pPr>
    </w:p>
    <w:p>
      <w:pPr>
        <w:pStyle w:val="2"/>
        <w:numPr>
          <w:ilvl w:val="0"/>
          <w:numId w:val="0"/>
        </w:numPr>
        <w:spacing w:before="0" w:after="0" w:line="440" w:lineRule="exact"/>
        <w:jc w:val="center"/>
        <w:rPr>
          <w:rFonts w:hint="eastAsia" w:ascii="宋体" w:hAnsi="宋体"/>
          <w:sz w:val="28"/>
          <w:szCs w:val="28"/>
        </w:rPr>
      </w:pPr>
      <w:bookmarkStart w:id="22" w:name="_Toc264116914"/>
      <w:bookmarkStart w:id="23" w:name="_Toc17510"/>
      <w:r>
        <w:rPr>
          <w:rFonts w:hint="eastAsia" w:ascii="宋体" w:hAnsi="宋体"/>
          <w:sz w:val="28"/>
          <w:szCs w:val="28"/>
        </w:rPr>
        <w:t>四、投标报价要求、投标文件编制要求</w:t>
      </w:r>
      <w:bookmarkEnd w:id="22"/>
      <w:r>
        <w:rPr>
          <w:rFonts w:hint="eastAsia" w:ascii="宋体" w:hAnsi="宋体"/>
          <w:sz w:val="28"/>
          <w:szCs w:val="28"/>
        </w:rPr>
        <w:t>和投标保证金交纳方式</w:t>
      </w:r>
      <w:bookmarkEnd w:id="23"/>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4.1投标报价及相关要求：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4.1.1本次采购以人民币报价，</w:t>
      </w:r>
      <w:r>
        <w:rPr>
          <w:rFonts w:hint="eastAsia" w:ascii="宋体" w:hAnsi="宋体"/>
          <w:b/>
          <w:sz w:val="24"/>
          <w:u w:val="single"/>
        </w:rPr>
        <w:t>供应商的报价（合价）应包括因承包本次采购项目所需的货物价款、劳务、质检（自检）、运输、装卸、安装（含水电安装）调试、缺陷修复、验收、管理、风险、保险、税费、质保、培训及不可预见费用等一切费用</w:t>
      </w:r>
      <w:r>
        <w:rPr>
          <w:rFonts w:hint="eastAsia" w:ascii="宋体" w:hAnsi="宋体"/>
          <w:b/>
          <w:bCs/>
          <w:sz w:val="24"/>
          <w:u w:val="single"/>
        </w:rPr>
        <w:t>。</w:t>
      </w:r>
    </w:p>
    <w:p>
      <w:pPr>
        <w:autoSpaceDE w:val="0"/>
        <w:autoSpaceDN w:val="0"/>
        <w:adjustRightInd w:val="0"/>
        <w:spacing w:line="440" w:lineRule="exact"/>
        <w:ind w:firstLine="480" w:firstLineChars="200"/>
        <w:rPr>
          <w:rFonts w:hint="eastAsia" w:ascii="宋体" w:hAnsi="宋体"/>
          <w:sz w:val="24"/>
          <w:highlight w:val="yellow"/>
        </w:rPr>
      </w:pPr>
      <w:r>
        <w:rPr>
          <w:rFonts w:hint="eastAsia" w:ascii="宋体" w:hAnsi="宋体"/>
          <w:sz w:val="24"/>
        </w:rPr>
        <w:t>4.1.2供应商的报价必须是本标书所要求的全部项目投标价的总和，并以供应商在投标报价清单中提供的单价及总额价为依据。</w:t>
      </w:r>
    </w:p>
    <w:p>
      <w:pPr>
        <w:autoSpaceDE w:val="0"/>
        <w:autoSpaceDN w:val="0"/>
        <w:adjustRightInd w:val="0"/>
        <w:spacing w:line="440" w:lineRule="exact"/>
        <w:ind w:firstLine="480" w:firstLineChars="200"/>
        <w:rPr>
          <w:rFonts w:hint="eastAsia" w:ascii="宋体" w:hAnsi="宋体"/>
          <w:sz w:val="24"/>
          <w:highlight w:val="yellow"/>
        </w:rPr>
      </w:pPr>
      <w:r>
        <w:rPr>
          <w:rFonts w:hint="eastAsia" w:ascii="宋体" w:hAnsi="宋体"/>
          <w:sz w:val="24"/>
        </w:rPr>
        <w:t>4.1.3各细目单价应报综合单价，包括一切与供货、安装相关的费用。</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4.1.4供应商必须填报各项目单项的价款，今后采购量如有增减，其总价款则按实以单项价款调整。</w:t>
      </w:r>
    </w:p>
    <w:p>
      <w:pPr>
        <w:autoSpaceDE w:val="0"/>
        <w:autoSpaceDN w:val="0"/>
        <w:adjustRightInd w:val="0"/>
        <w:spacing w:line="440" w:lineRule="exact"/>
        <w:ind w:firstLine="480" w:firstLineChars="200"/>
        <w:rPr>
          <w:rFonts w:hint="eastAsia" w:ascii="宋体" w:hAnsi="宋体"/>
          <w:sz w:val="24"/>
          <w:highlight w:val="yellow"/>
        </w:rPr>
      </w:pPr>
      <w:r>
        <w:rPr>
          <w:rFonts w:hint="eastAsia" w:ascii="宋体" w:hAnsi="宋体"/>
          <w:sz w:val="24"/>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440" w:lineRule="exact"/>
        <w:ind w:firstLine="480" w:firstLineChars="200"/>
        <w:rPr>
          <w:rFonts w:hint="eastAsia" w:ascii="宋体" w:hAnsi="宋体"/>
          <w:sz w:val="24"/>
          <w:highlight w:val="yellow"/>
        </w:rPr>
      </w:pPr>
      <w:r>
        <w:rPr>
          <w:rFonts w:hint="eastAsia" w:ascii="宋体" w:hAnsi="宋体"/>
          <w:sz w:val="24"/>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4.1.7 开标一览表（报价表）需加盖投标供应商公章并由法定代表人或其委托代理人签字或盖章。</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4.2开标一览表（报价表）按采购人提供的格式要求填写（格式附后，格式不得随意变动，变动者为无效）。</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4.3 投标文件的编写</w:t>
      </w:r>
    </w:p>
    <w:p>
      <w:pPr>
        <w:spacing w:line="440" w:lineRule="exact"/>
        <w:ind w:firstLine="480" w:firstLineChars="200"/>
        <w:rPr>
          <w:rFonts w:hint="eastAsia" w:ascii="宋体" w:hAnsi="宋体"/>
          <w:sz w:val="24"/>
        </w:rPr>
      </w:pPr>
      <w:r>
        <w:rPr>
          <w:rFonts w:hint="eastAsia" w:ascii="宋体" w:hAnsi="宋体"/>
          <w:sz w:val="24"/>
        </w:rPr>
        <w:t>供应商应仔细阅读采购文件，了解采购文件的要求。在完全了解采购货物的技术规范和要求以及商务条件后，编制投标文件。</w:t>
      </w:r>
    </w:p>
    <w:p>
      <w:pPr>
        <w:spacing w:line="440" w:lineRule="exact"/>
        <w:ind w:firstLine="480" w:firstLineChars="200"/>
        <w:rPr>
          <w:rFonts w:ascii="宋体"/>
          <w:sz w:val="24"/>
        </w:rPr>
      </w:pPr>
      <w:r>
        <w:rPr>
          <w:rFonts w:ascii="宋体" w:hAnsi="宋体" w:cs="宋体"/>
          <w:sz w:val="24"/>
        </w:rPr>
        <w:t>4.4</w:t>
      </w:r>
      <w:r>
        <w:rPr>
          <w:rFonts w:hint="eastAsia" w:ascii="宋体" w:hAnsi="宋体" w:cs="宋体"/>
          <w:sz w:val="24"/>
        </w:rPr>
        <w:t>投标保证金：</w:t>
      </w:r>
    </w:p>
    <w:p>
      <w:pPr>
        <w:spacing w:line="440" w:lineRule="exact"/>
        <w:ind w:firstLine="480" w:firstLineChars="200"/>
        <w:rPr>
          <w:rFonts w:ascii="宋体"/>
          <w:sz w:val="24"/>
        </w:rPr>
      </w:pPr>
      <w:r>
        <w:rPr>
          <w:rFonts w:ascii="宋体" w:hAnsi="宋体" w:cs="宋体"/>
          <w:sz w:val="24"/>
        </w:rPr>
        <w:t>4.4.1</w:t>
      </w:r>
      <w:r>
        <w:rPr>
          <w:rFonts w:hint="eastAsia" w:ascii="宋体" w:hAnsi="宋体" w:cs="宋体"/>
          <w:sz w:val="24"/>
        </w:rPr>
        <w:t>参加投标的供应商投标保证金</w:t>
      </w:r>
      <w:r>
        <w:rPr>
          <w:rFonts w:hint="eastAsia" w:ascii="宋体" w:hAnsi="宋体"/>
          <w:sz w:val="24"/>
        </w:rPr>
        <w:t>金额及交纳时间详见招标公告及前附表第5项</w:t>
      </w:r>
      <w:r>
        <w:rPr>
          <w:rFonts w:hint="eastAsia" w:ascii="宋体" w:hAnsi="宋体" w:cs="宋体"/>
          <w:sz w:val="24"/>
        </w:rPr>
        <w:t>。</w:t>
      </w:r>
    </w:p>
    <w:p>
      <w:pPr>
        <w:spacing w:line="440" w:lineRule="exact"/>
        <w:ind w:firstLine="480" w:firstLineChars="200"/>
        <w:rPr>
          <w:rFonts w:ascii="宋体"/>
          <w:sz w:val="24"/>
        </w:rPr>
      </w:pPr>
      <w:r>
        <w:rPr>
          <w:rFonts w:ascii="宋体" w:hAnsi="宋体" w:cs="宋体"/>
          <w:sz w:val="24"/>
        </w:rPr>
        <w:t>4.4.2</w:t>
      </w:r>
      <w:r>
        <w:rPr>
          <w:rFonts w:hint="eastAsia" w:ascii="宋体" w:hAnsi="宋体" w:cs="宋体"/>
          <w:sz w:val="24"/>
        </w:rPr>
        <w:t>对于未能按要求提交投标保证金的投标文件，采购人可以视为不响应采购文件要求而予以拒绝。</w:t>
      </w:r>
    </w:p>
    <w:p>
      <w:pPr>
        <w:spacing w:line="440" w:lineRule="exact"/>
        <w:ind w:firstLine="480" w:firstLineChars="200"/>
        <w:rPr>
          <w:rFonts w:ascii="宋体"/>
          <w:sz w:val="24"/>
        </w:rPr>
      </w:pPr>
      <w:r>
        <w:rPr>
          <w:rFonts w:ascii="宋体" w:hAnsi="宋体" w:cs="宋体"/>
          <w:sz w:val="24"/>
        </w:rPr>
        <w:t>4.4.3</w:t>
      </w:r>
      <w:r>
        <w:rPr>
          <w:rFonts w:hint="eastAsia" w:ascii="宋体" w:hAnsi="宋体" w:cs="宋体"/>
          <w:sz w:val="24"/>
        </w:rPr>
        <w:t>未中标供应商的投标保证金，自中标通知书发出之日起</w:t>
      </w:r>
      <w:r>
        <w:rPr>
          <w:rFonts w:ascii="宋体" w:hAnsi="宋体" w:cs="宋体"/>
          <w:sz w:val="24"/>
        </w:rPr>
        <w:t>5</w:t>
      </w:r>
      <w:r>
        <w:rPr>
          <w:rFonts w:hint="eastAsia" w:ascii="宋体" w:hAnsi="宋体" w:cs="宋体"/>
          <w:sz w:val="24"/>
        </w:rPr>
        <w:t>个工作日内予以退还（不计息）。</w:t>
      </w:r>
    </w:p>
    <w:p>
      <w:pPr>
        <w:spacing w:line="440" w:lineRule="exact"/>
        <w:ind w:firstLine="480" w:firstLineChars="200"/>
        <w:rPr>
          <w:rFonts w:ascii="宋体"/>
          <w:sz w:val="24"/>
        </w:rPr>
      </w:pPr>
      <w:r>
        <w:rPr>
          <w:rFonts w:ascii="宋体" w:hAnsi="宋体" w:cs="宋体"/>
          <w:sz w:val="24"/>
        </w:rPr>
        <w:t>4.4.4</w:t>
      </w:r>
      <w:r>
        <w:rPr>
          <w:rFonts w:hint="eastAsia" w:ascii="宋体" w:hAnsi="宋体"/>
          <w:sz w:val="24"/>
        </w:rPr>
        <w:t>中标供应商的投标保证金待交纳履约保证金并签订合同之日起5个工作日内退还，履约保证金金额详见前附表第6项</w:t>
      </w:r>
      <w:r>
        <w:rPr>
          <w:rFonts w:hint="eastAsia" w:ascii="宋体" w:hAnsi="宋体" w:cs="宋体"/>
          <w:sz w:val="24"/>
        </w:rPr>
        <w:t>。</w:t>
      </w:r>
    </w:p>
    <w:p>
      <w:pPr>
        <w:spacing w:line="440" w:lineRule="exact"/>
        <w:ind w:firstLine="480" w:firstLineChars="200"/>
        <w:rPr>
          <w:rFonts w:ascii="宋体"/>
          <w:b/>
          <w:bCs/>
          <w:sz w:val="24"/>
        </w:rPr>
      </w:pPr>
      <w:r>
        <w:rPr>
          <w:rFonts w:ascii="宋体" w:hAnsi="宋体" w:cs="宋体"/>
          <w:sz w:val="24"/>
        </w:rPr>
        <w:t>4.4.5</w:t>
      </w:r>
      <w:r>
        <w:rPr>
          <w:rFonts w:hint="eastAsia" w:ascii="宋体" w:hAnsi="宋体" w:cs="宋体"/>
          <w:b/>
          <w:bCs/>
          <w:sz w:val="24"/>
        </w:rPr>
        <w:t>中标供应商有下列情况之一的，招标采购单位不予退还其交纳的投标保证金。</w:t>
      </w:r>
    </w:p>
    <w:p>
      <w:pPr>
        <w:pStyle w:val="23"/>
        <w:spacing w:line="440" w:lineRule="exact"/>
        <w:ind w:firstLine="480"/>
        <w:rPr>
          <w:rFonts w:hint="eastAsia" w:hAnsi="宋体"/>
          <w:sz w:val="24"/>
        </w:rPr>
      </w:pPr>
      <w:r>
        <w:rPr>
          <w:rFonts w:hint="eastAsia" w:hAnsi="宋体"/>
          <w:sz w:val="24"/>
        </w:rPr>
        <w:t>4.4.5.1中标后无正当理由不与采购人签订合同的；</w:t>
      </w:r>
    </w:p>
    <w:p>
      <w:pPr>
        <w:pStyle w:val="23"/>
        <w:spacing w:line="440" w:lineRule="exact"/>
        <w:ind w:firstLine="480"/>
        <w:rPr>
          <w:rFonts w:hint="eastAsia" w:hAnsi="宋体"/>
          <w:sz w:val="24"/>
        </w:rPr>
      </w:pPr>
      <w:r>
        <w:rPr>
          <w:rFonts w:hint="eastAsia" w:hAnsi="宋体"/>
          <w:sz w:val="24"/>
        </w:rPr>
        <w:t>4.4.5.2在投标有效期内撤回其投标文件的；</w:t>
      </w:r>
    </w:p>
    <w:p>
      <w:pPr>
        <w:pStyle w:val="23"/>
        <w:spacing w:line="440" w:lineRule="exact"/>
        <w:ind w:firstLine="480"/>
        <w:rPr>
          <w:rFonts w:hint="eastAsia" w:hAnsi="宋体"/>
          <w:sz w:val="24"/>
        </w:rPr>
      </w:pPr>
      <w:r>
        <w:rPr>
          <w:rFonts w:hint="eastAsia" w:hAnsi="宋体"/>
          <w:sz w:val="24"/>
        </w:rPr>
        <w:t>4.4.5.3对评标定标施加影响，扰乱正常的开标秩序的；</w:t>
      </w:r>
    </w:p>
    <w:p>
      <w:pPr>
        <w:pStyle w:val="23"/>
        <w:spacing w:line="440" w:lineRule="exact"/>
        <w:ind w:firstLine="480"/>
        <w:rPr>
          <w:rFonts w:hint="eastAsia" w:hAnsi="宋体"/>
          <w:sz w:val="24"/>
        </w:rPr>
      </w:pPr>
      <w:r>
        <w:rPr>
          <w:rFonts w:hint="eastAsia" w:hAnsi="宋体"/>
          <w:sz w:val="24"/>
        </w:rPr>
        <w:t>4.4.5.4提供虚假材料或采取其他不正当手段谋取中标的；</w:t>
      </w:r>
    </w:p>
    <w:p>
      <w:pPr>
        <w:pStyle w:val="23"/>
        <w:spacing w:line="440" w:lineRule="exact"/>
        <w:ind w:firstLine="480" w:firstLineChars="200"/>
        <w:rPr>
          <w:rFonts w:hint="eastAsia" w:hAnsi="宋体"/>
          <w:sz w:val="24"/>
        </w:rPr>
      </w:pPr>
      <w:r>
        <w:rPr>
          <w:rFonts w:hint="eastAsia" w:hAnsi="宋体"/>
          <w:sz w:val="24"/>
        </w:rPr>
        <w:t>4.4.5.5与招标采购单位、其他供应商恶意串通的；</w:t>
      </w:r>
    </w:p>
    <w:p>
      <w:pPr>
        <w:pStyle w:val="23"/>
        <w:spacing w:line="440" w:lineRule="exact"/>
        <w:ind w:firstLine="480" w:firstLineChars="200"/>
        <w:rPr>
          <w:rFonts w:hint="eastAsia" w:hAnsi="宋体"/>
          <w:sz w:val="24"/>
        </w:rPr>
      </w:pPr>
      <w:r>
        <w:rPr>
          <w:rFonts w:hint="eastAsia" w:hAnsi="宋体"/>
          <w:sz w:val="24"/>
        </w:rPr>
        <w:t>4.4.5.6未按采购文件规定交纳履约保证金的；</w:t>
      </w:r>
    </w:p>
    <w:p>
      <w:pPr>
        <w:pStyle w:val="23"/>
        <w:spacing w:line="440" w:lineRule="exact"/>
        <w:ind w:firstLine="480" w:firstLineChars="200"/>
        <w:rPr>
          <w:rFonts w:hint="eastAsia" w:hAnsi="宋体"/>
          <w:sz w:val="24"/>
        </w:rPr>
      </w:pPr>
      <w:r>
        <w:rPr>
          <w:rFonts w:hint="eastAsia" w:hAnsi="宋体"/>
          <w:sz w:val="24"/>
        </w:rPr>
        <w:t>4.4.5.7拒绝接受招投标监管部门监督检查的；</w:t>
      </w:r>
    </w:p>
    <w:p>
      <w:pPr>
        <w:spacing w:line="440" w:lineRule="exact"/>
        <w:ind w:firstLine="480" w:firstLineChars="200"/>
        <w:rPr>
          <w:rFonts w:hint="eastAsia" w:ascii="宋体" w:hAnsi="宋体"/>
          <w:b/>
          <w:bCs/>
          <w:sz w:val="24"/>
        </w:rPr>
      </w:pPr>
      <w:r>
        <w:rPr>
          <w:rFonts w:hint="eastAsia" w:ascii="宋体" w:hAnsi="宋体"/>
          <w:sz w:val="24"/>
        </w:rPr>
        <w:t>4.4.5.8存在法律、法规规定的其他情形。</w:t>
      </w:r>
    </w:p>
    <w:p>
      <w:pPr>
        <w:spacing w:line="440" w:lineRule="exact"/>
        <w:ind w:firstLine="480" w:firstLineChars="200"/>
        <w:rPr>
          <w:rFonts w:hint="eastAsia" w:hAnsi="宋体"/>
          <w:sz w:val="24"/>
        </w:rPr>
      </w:pPr>
      <w:r>
        <w:rPr>
          <w:rFonts w:hint="eastAsia" w:ascii="宋体" w:hAnsi="宋体"/>
          <w:sz w:val="24"/>
        </w:rPr>
        <w:t>4.4.6履约保证金待履行合同完毕后7个工作日内予以退还（不计息）</w:t>
      </w:r>
      <w:r>
        <w:rPr>
          <w:rFonts w:hint="eastAsia" w:hAnsi="宋体"/>
          <w:sz w:val="24"/>
        </w:rPr>
        <w:t>。</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pStyle w:val="2"/>
        <w:numPr>
          <w:ilvl w:val="0"/>
          <w:numId w:val="0"/>
        </w:numPr>
        <w:spacing w:before="0" w:after="0" w:line="440" w:lineRule="exact"/>
        <w:jc w:val="center"/>
        <w:rPr>
          <w:rFonts w:hint="eastAsia" w:ascii="宋体" w:hAnsi="宋体"/>
          <w:sz w:val="28"/>
          <w:szCs w:val="28"/>
        </w:rPr>
      </w:pPr>
      <w:bookmarkStart w:id="24" w:name="_Toc3150"/>
      <w:bookmarkStart w:id="25" w:name="_Toc113758793"/>
      <w:bookmarkStart w:id="26" w:name="_Toc174164734"/>
      <w:bookmarkStart w:id="27" w:name="_Toc208732207"/>
      <w:r>
        <w:rPr>
          <w:rFonts w:hint="eastAsia" w:ascii="宋体" w:hAnsi="宋体"/>
          <w:sz w:val="28"/>
          <w:szCs w:val="28"/>
        </w:rPr>
        <w:t>五、采购项目的技术规格、要求和数量，包括附件、图纸等</w:t>
      </w:r>
      <w:bookmarkEnd w:id="24"/>
      <w:bookmarkEnd w:id="25"/>
    </w:p>
    <w:p>
      <w:pPr>
        <w:spacing w:line="440" w:lineRule="exact"/>
        <w:rPr>
          <w:rFonts w:hint="eastAsia" w:ascii="宋体" w:hAnsi="宋体"/>
          <w:bCs/>
          <w:sz w:val="24"/>
        </w:rPr>
      </w:pPr>
      <w:r>
        <w:rPr>
          <w:rFonts w:hint="eastAsia" w:ascii="宋体" w:hAnsi="宋体"/>
          <w:bCs/>
          <w:sz w:val="24"/>
        </w:rPr>
        <w:t xml:space="preserve">    5.1采购原则：</w:t>
      </w:r>
    </w:p>
    <w:p>
      <w:pPr>
        <w:spacing w:line="440" w:lineRule="exact"/>
        <w:ind w:firstLine="480" w:firstLineChars="200"/>
        <w:rPr>
          <w:rFonts w:hint="eastAsia" w:ascii="宋体" w:hAnsi="宋体"/>
          <w:sz w:val="24"/>
        </w:rPr>
      </w:pPr>
      <w:r>
        <w:rPr>
          <w:rFonts w:hint="eastAsia" w:ascii="宋体" w:hAnsi="宋体"/>
          <w:bCs/>
          <w:sz w:val="24"/>
        </w:rPr>
        <w:t xml:space="preserve">5.1.1 </w:t>
      </w:r>
      <w:r>
        <w:rPr>
          <w:rFonts w:hint="eastAsia" w:ascii="宋体" w:hAnsi="宋体"/>
          <w:sz w:val="24"/>
        </w:rPr>
        <w:t>本着“实用、可靠、先进、经济”的原则，充分利用现有资源，结合采购人的具体情况和实际工作需求进行配置。</w:t>
      </w:r>
    </w:p>
    <w:p>
      <w:pPr>
        <w:pStyle w:val="18"/>
        <w:snapToGrid w:val="0"/>
        <w:spacing w:line="440" w:lineRule="exact"/>
        <w:ind w:firstLine="480" w:firstLineChars="200"/>
        <w:jc w:val="left"/>
        <w:rPr>
          <w:rFonts w:hint="eastAsia" w:ascii="宋体" w:hAnsi="宋体"/>
          <w:b w:val="0"/>
          <w:bCs w:val="0"/>
          <w:sz w:val="24"/>
        </w:rPr>
      </w:pPr>
      <w:r>
        <w:rPr>
          <w:rFonts w:hint="eastAsia" w:ascii="宋体" w:hAnsi="宋体"/>
          <w:b w:val="0"/>
          <w:bCs w:val="0"/>
          <w:sz w:val="24"/>
        </w:rPr>
        <w:t>5.2采购物品名称、数量、技术要求：详见附件十二。</w:t>
      </w:r>
    </w:p>
    <w:p>
      <w:pPr>
        <w:spacing w:line="440" w:lineRule="exact"/>
        <w:ind w:firstLine="480" w:firstLineChars="200"/>
        <w:rPr>
          <w:rFonts w:hint="eastAsia" w:ascii="宋体" w:hAnsi="宋体"/>
          <w:bCs/>
          <w:sz w:val="24"/>
          <w:u w:val="single"/>
        </w:rPr>
      </w:pPr>
      <w:r>
        <w:rPr>
          <w:rFonts w:hint="eastAsia" w:ascii="宋体" w:hAnsi="宋体"/>
          <w:bCs/>
          <w:sz w:val="24"/>
        </w:rPr>
        <w:t>5.3工作任务：</w:t>
      </w:r>
      <w:r>
        <w:rPr>
          <w:rFonts w:hint="eastAsia" w:ascii="宋体" w:hAnsi="宋体"/>
          <w:bCs/>
          <w:sz w:val="24"/>
          <w:u w:val="single"/>
        </w:rPr>
        <w:t>供应商需按采购文件的技术规范要求完成设备材料的提供、运输、安装、验收及售后服务等工作。按工作顺序提交所需的无论其是否被明细列在合同文件中的所有资料，资料必须符合本技术规格书的要求。</w:t>
      </w:r>
    </w:p>
    <w:p>
      <w:pPr>
        <w:spacing w:line="440" w:lineRule="exact"/>
        <w:ind w:firstLine="480" w:firstLineChars="200"/>
        <w:rPr>
          <w:rFonts w:hint="eastAsia" w:ascii="宋体" w:hAnsi="宋体"/>
          <w:bCs/>
          <w:sz w:val="24"/>
        </w:rPr>
      </w:pPr>
      <w:r>
        <w:rPr>
          <w:rFonts w:hint="eastAsia" w:ascii="宋体" w:hAnsi="宋体"/>
          <w:bCs/>
          <w:sz w:val="24"/>
        </w:rPr>
        <w:t>5.4样品详细要求：</w:t>
      </w:r>
      <w:r>
        <w:rPr>
          <w:rFonts w:hint="eastAsia" w:ascii="宋体" w:hAnsi="宋体"/>
          <w:bCs/>
          <w:sz w:val="24"/>
          <w:u w:val="single"/>
        </w:rPr>
        <w:t xml:space="preserve">    /         </w:t>
      </w:r>
    </w:p>
    <w:p>
      <w:pPr>
        <w:spacing w:line="440" w:lineRule="exact"/>
        <w:ind w:firstLine="480" w:firstLineChars="200"/>
        <w:rPr>
          <w:rFonts w:hint="eastAsia" w:ascii="宋体" w:hAnsi="宋体"/>
          <w:bCs/>
          <w:sz w:val="24"/>
        </w:rPr>
      </w:pPr>
      <w:r>
        <w:rPr>
          <w:rFonts w:hint="eastAsia" w:ascii="宋体" w:hAnsi="宋体"/>
          <w:bCs/>
          <w:sz w:val="24"/>
        </w:rPr>
        <w:t>5.5其他要求：</w:t>
      </w:r>
      <w:r>
        <w:rPr>
          <w:rFonts w:hint="eastAsia" w:ascii="宋体" w:hAnsi="宋体"/>
          <w:bCs/>
          <w:sz w:val="24"/>
          <w:u w:val="single"/>
        </w:rPr>
        <w:t xml:space="preserve">投标文件中应明确阐述所要提供的设备材料符合各项要求，对不能满足要求的任何一项设备材料，应明确标注并说明理由。严重不满足要求的可能废标。 </w:t>
      </w:r>
    </w:p>
    <w:p>
      <w:pPr>
        <w:spacing w:line="440" w:lineRule="exact"/>
        <w:ind w:firstLine="480" w:firstLineChars="200"/>
        <w:rPr>
          <w:rFonts w:hint="eastAsia" w:ascii="宋体" w:hAnsi="宋体"/>
          <w:bCs/>
          <w:sz w:val="24"/>
          <w:u w:val="single"/>
        </w:rPr>
      </w:pPr>
      <w:r>
        <w:rPr>
          <w:rFonts w:hint="eastAsia" w:ascii="宋体" w:hAnsi="宋体"/>
          <w:bCs/>
          <w:sz w:val="24"/>
        </w:rPr>
        <w:t xml:space="preserve">5.6技术规格要求：详见附件十二 。               </w:t>
      </w:r>
    </w:p>
    <w:p>
      <w:pPr>
        <w:spacing w:line="440" w:lineRule="exact"/>
        <w:ind w:firstLine="480" w:firstLineChars="200"/>
        <w:rPr>
          <w:rFonts w:hint="eastAsia" w:ascii="宋体" w:hAnsi="宋体"/>
          <w:bCs/>
          <w:sz w:val="24"/>
          <w:u w:val="single"/>
        </w:rPr>
      </w:pPr>
    </w:p>
    <w:p>
      <w:pPr>
        <w:spacing w:line="440" w:lineRule="exact"/>
        <w:ind w:firstLine="480" w:firstLineChars="200"/>
        <w:rPr>
          <w:rFonts w:hint="eastAsia" w:ascii="宋体" w:hAnsi="宋体"/>
          <w:bCs/>
          <w:sz w:val="24"/>
        </w:rPr>
      </w:pPr>
    </w:p>
    <w:bookmarkEnd w:id="26"/>
    <w:bookmarkEnd w:id="27"/>
    <w:p>
      <w:pPr>
        <w:pStyle w:val="2"/>
        <w:numPr>
          <w:ilvl w:val="0"/>
          <w:numId w:val="0"/>
        </w:numPr>
        <w:spacing w:before="0" w:after="0" w:line="440" w:lineRule="exact"/>
        <w:jc w:val="center"/>
        <w:rPr>
          <w:rFonts w:hint="eastAsia" w:ascii="宋体" w:hAnsi="宋体"/>
          <w:sz w:val="28"/>
          <w:szCs w:val="28"/>
        </w:rPr>
      </w:pPr>
      <w:bookmarkStart w:id="28" w:name="_Toc113758794"/>
      <w:bookmarkStart w:id="29" w:name="_Toc17288"/>
      <w:r>
        <w:rPr>
          <w:rFonts w:hint="eastAsia" w:ascii="宋体" w:hAnsi="宋体"/>
          <w:sz w:val="28"/>
          <w:szCs w:val="28"/>
        </w:rPr>
        <w:t>六、合同主要条款及合同签订方式</w:t>
      </w:r>
      <w:bookmarkEnd w:id="28"/>
      <w:bookmarkEnd w:id="29"/>
    </w:p>
    <w:p>
      <w:pPr>
        <w:pStyle w:val="26"/>
        <w:spacing w:line="440" w:lineRule="exact"/>
        <w:ind w:left="5250"/>
        <w:rPr>
          <w:rFonts w:hint="eastAsia" w:ascii="宋体" w:hAnsi="宋体"/>
        </w:rPr>
      </w:pPr>
    </w:p>
    <w:p>
      <w:pPr>
        <w:spacing w:line="440" w:lineRule="exact"/>
        <w:ind w:firstLine="482" w:firstLineChars="200"/>
        <w:rPr>
          <w:rFonts w:hint="eastAsia" w:ascii="宋体" w:hAnsi="宋体"/>
          <w:b/>
          <w:bCs/>
          <w:sz w:val="24"/>
        </w:rPr>
      </w:pPr>
      <w:r>
        <w:rPr>
          <w:rFonts w:hint="eastAsia" w:ascii="宋体" w:hAnsi="宋体"/>
          <w:b/>
          <w:sz w:val="24"/>
        </w:rPr>
        <w:t>6.1签订合同：</w:t>
      </w:r>
    </w:p>
    <w:p>
      <w:pPr>
        <w:spacing w:line="440" w:lineRule="exact"/>
        <w:ind w:firstLine="480" w:firstLineChars="200"/>
        <w:rPr>
          <w:rFonts w:hint="eastAsia" w:ascii="宋体" w:hAnsi="宋体"/>
          <w:sz w:val="24"/>
        </w:rPr>
      </w:pPr>
      <w:r>
        <w:rPr>
          <w:rFonts w:hint="eastAsia" w:ascii="宋体" w:hAnsi="宋体"/>
          <w:sz w:val="24"/>
        </w:rPr>
        <w:t>中标供应商以浙江省政府采购网中标公示为依据，按《中标通知书》规定的时间、地点与采购人签订合同并交纳履约保证金(不计息)。</w:t>
      </w:r>
    </w:p>
    <w:p>
      <w:pPr>
        <w:spacing w:line="440" w:lineRule="exact"/>
        <w:ind w:firstLine="482" w:firstLineChars="200"/>
        <w:rPr>
          <w:rFonts w:hint="eastAsia" w:ascii="宋体" w:hAnsi="宋体"/>
          <w:b/>
          <w:sz w:val="24"/>
        </w:rPr>
      </w:pPr>
      <w:r>
        <w:rPr>
          <w:rFonts w:hint="eastAsia" w:ascii="宋体" w:hAnsi="宋体"/>
          <w:b/>
          <w:sz w:val="24"/>
        </w:rPr>
        <w:t>6.2合同组成：</w:t>
      </w:r>
    </w:p>
    <w:p>
      <w:pPr>
        <w:spacing w:line="440" w:lineRule="exact"/>
        <w:ind w:firstLine="480" w:firstLineChars="200"/>
        <w:rPr>
          <w:rFonts w:hint="eastAsia" w:ascii="宋体" w:hAnsi="宋体"/>
          <w:sz w:val="24"/>
        </w:rPr>
      </w:pPr>
      <w:r>
        <w:rPr>
          <w:rFonts w:hint="eastAsia" w:ascii="宋体" w:hAnsi="宋体"/>
          <w:sz w:val="24"/>
        </w:rPr>
        <w:t>6.2.1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hint="eastAsia" w:ascii="宋体" w:hAnsi="宋体"/>
          <w:b/>
          <w:sz w:val="24"/>
        </w:rPr>
      </w:pPr>
      <w:r>
        <w:rPr>
          <w:rFonts w:hint="eastAsia" w:ascii="宋体" w:hAnsi="宋体"/>
          <w:b/>
          <w:sz w:val="24"/>
        </w:rPr>
        <w:t>6.3 合同主要条款</w:t>
      </w:r>
    </w:p>
    <w:p>
      <w:pPr>
        <w:spacing w:line="440" w:lineRule="exact"/>
        <w:ind w:firstLine="482" w:firstLineChars="200"/>
        <w:rPr>
          <w:rFonts w:hint="eastAsia" w:ascii="宋体" w:hAnsi="宋体"/>
          <w:sz w:val="24"/>
        </w:rPr>
      </w:pPr>
      <w:r>
        <w:rPr>
          <w:rFonts w:hint="eastAsia" w:ascii="宋体" w:hAnsi="宋体"/>
          <w:b/>
          <w:bCs/>
          <w:sz w:val="24"/>
        </w:rPr>
        <w:t>6.3.1 承包范围：</w:t>
      </w:r>
      <w:r>
        <w:rPr>
          <w:rFonts w:hint="eastAsia" w:ascii="宋体" w:hAnsi="宋体"/>
          <w:bCs/>
          <w:sz w:val="24"/>
          <w:u w:val="single"/>
        </w:rPr>
        <w:t>按采购文件内容。</w:t>
      </w:r>
    </w:p>
    <w:p>
      <w:pPr>
        <w:spacing w:line="440" w:lineRule="exact"/>
        <w:ind w:firstLine="482" w:firstLineChars="200"/>
        <w:rPr>
          <w:rFonts w:hint="eastAsia" w:ascii="宋体" w:hAnsi="宋体"/>
          <w:b/>
          <w:sz w:val="24"/>
        </w:rPr>
      </w:pPr>
      <w:r>
        <w:rPr>
          <w:rFonts w:hint="eastAsia" w:ascii="宋体" w:hAnsi="宋体"/>
          <w:b/>
          <w:bCs/>
          <w:sz w:val="24"/>
        </w:rPr>
        <w:t>6.3.2 承包方式：</w:t>
      </w:r>
    </w:p>
    <w:p>
      <w:pPr>
        <w:spacing w:line="440" w:lineRule="exact"/>
        <w:ind w:firstLine="480" w:firstLineChars="200"/>
        <w:rPr>
          <w:rFonts w:hint="eastAsia" w:ascii="宋体" w:hAnsi="宋体"/>
          <w:sz w:val="24"/>
          <w:u w:val="single"/>
        </w:rPr>
      </w:pPr>
      <w:r>
        <w:rPr>
          <w:rFonts w:hint="eastAsia" w:ascii="宋体" w:hAnsi="宋体"/>
          <w:sz w:val="24"/>
          <w:u w:val="single"/>
        </w:rPr>
        <w:t>本项目承包方式在约定范围内实行包项目总造价、包货物量、包安装、包供货安装时间、包维修、包质量、包安全、包文明施工管理的承包方式。</w:t>
      </w:r>
    </w:p>
    <w:p>
      <w:pPr>
        <w:spacing w:line="440" w:lineRule="exact"/>
        <w:ind w:firstLine="482" w:firstLineChars="200"/>
        <w:rPr>
          <w:rFonts w:hint="eastAsia" w:ascii="宋体" w:hAnsi="宋体"/>
          <w:b/>
          <w:sz w:val="24"/>
        </w:rPr>
      </w:pPr>
      <w:r>
        <w:rPr>
          <w:rFonts w:hint="eastAsia" w:ascii="宋体" w:hAnsi="宋体"/>
          <w:b/>
          <w:sz w:val="24"/>
        </w:rPr>
        <w:t>6.3.3 工期要求</w:t>
      </w:r>
    </w:p>
    <w:p>
      <w:pPr>
        <w:spacing w:line="440" w:lineRule="exact"/>
        <w:ind w:firstLine="480" w:firstLineChars="200"/>
        <w:rPr>
          <w:rFonts w:hint="eastAsia" w:ascii="宋体" w:hAnsi="宋体"/>
          <w:sz w:val="24"/>
          <w:u w:val="single"/>
        </w:rPr>
      </w:pPr>
      <w:r>
        <w:rPr>
          <w:rFonts w:hint="eastAsia" w:ascii="宋体" w:hAnsi="宋体"/>
          <w:sz w:val="24"/>
          <w:u w:val="single"/>
        </w:rPr>
        <w:t>6.3.3.1货物供应及安装完成时间详见前附表第9项。</w:t>
      </w:r>
    </w:p>
    <w:p>
      <w:pPr>
        <w:autoSpaceDE w:val="0"/>
        <w:autoSpaceDN w:val="0"/>
        <w:adjustRightInd w:val="0"/>
        <w:spacing w:line="440" w:lineRule="exact"/>
        <w:ind w:firstLine="480" w:firstLineChars="200"/>
        <w:rPr>
          <w:rFonts w:hint="eastAsia" w:ascii="宋体" w:hAnsi="宋体"/>
          <w:bCs/>
          <w:sz w:val="24"/>
          <w:u w:val="single"/>
        </w:rPr>
      </w:pPr>
      <w:r>
        <w:rPr>
          <w:rFonts w:hint="eastAsia" w:ascii="宋体" w:hAnsi="宋体"/>
          <w:sz w:val="24"/>
          <w:u w:val="single"/>
        </w:rPr>
        <w:t>6.3.3.2 合同</w:t>
      </w:r>
      <w:r>
        <w:rPr>
          <w:rFonts w:hint="eastAsia" w:ascii="宋体" w:hAnsi="宋体"/>
          <w:bCs/>
          <w:sz w:val="24"/>
          <w:u w:val="single"/>
        </w:rPr>
        <w:t>供货安装时间</w:t>
      </w:r>
      <w:r>
        <w:rPr>
          <w:rFonts w:hint="eastAsia" w:ascii="宋体" w:hAnsi="宋体"/>
          <w:sz w:val="24"/>
          <w:u w:val="single"/>
        </w:rPr>
        <w:t>如遇下列情况，经甲方书面确认后，</w:t>
      </w:r>
      <w:r>
        <w:rPr>
          <w:rFonts w:hint="eastAsia" w:ascii="宋体" w:hAnsi="宋体"/>
          <w:bCs/>
          <w:sz w:val="24"/>
          <w:u w:val="single"/>
        </w:rPr>
        <w:t>供货安装时间</w:t>
      </w:r>
      <w:r>
        <w:rPr>
          <w:rFonts w:hint="eastAsia" w:ascii="宋体" w:hAnsi="宋体"/>
          <w:sz w:val="24"/>
          <w:u w:val="single"/>
        </w:rPr>
        <w:t>可相应顺延。</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6.3.3.2.1 合同履行中发生重大变更而确实影响到供货安装进度（属中标人组织生产、安装等失误引起的供货安装进度滞后由中标人负责）。</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6.3.3.2.2 不可抗力因素。</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6.3.3.2.3 非中标人原因而确实影响到供货安装进度的。</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除上述外，中标人不得以任何理由变更供货安装时间。</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6.3.4 技术要求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6.3.4.1 所有投标的货物、设施必须满足相应标准或使用要求。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6.3.4.2 本项目应遵照国家的有关技术（验收）规程、规范、标准。</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6.3.5 质量要求</w:t>
      </w:r>
    </w:p>
    <w:p>
      <w:pPr>
        <w:spacing w:line="440" w:lineRule="exact"/>
        <w:ind w:firstLine="480" w:firstLineChars="200"/>
        <w:rPr>
          <w:rFonts w:hint="eastAsia" w:ascii="宋体" w:hAnsi="宋体"/>
          <w:sz w:val="24"/>
          <w:u w:val="single"/>
        </w:rPr>
      </w:pPr>
      <w:r>
        <w:rPr>
          <w:rFonts w:hint="eastAsia" w:ascii="宋体" w:hAnsi="宋体"/>
          <w:sz w:val="24"/>
          <w:u w:val="single"/>
        </w:rPr>
        <w:t>6.3.5.1合格，且必须符合本标文第五部分所有条款要求。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6.3.6 中标供应商必须严格按照项目技术要求进行安装，并接受采购人的监督管理。</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6.3.7 所有的货物进场时须同时提供货物出厂合格证书、检测报告。国外生产的必须有合法的进货渠道证明，如海关报关单、原产地证明、商检证明等。</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6.3.8 所有货物必须在检验合格经采购人同意后，方可用于本项目。</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6.3.11 培训保修</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6.3.11.1 在项目组织验收之前，应完成对采购人不少于5名操作人员的培训（提供完整的技术培训，使采购人今后能自行操作、维护）。</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6.3.11.2 中标供应商应分别提供称职的指导人员，为采购人确定的培训人员在现场提供操作和维护培训。</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6.3.11.3 中标供应商应编写培训手册并取得采购人同意，本手册应是根据本项目的货物，在有关测试、操作及维护方面，对人员的培训和指导提供全面的培训手册，每种手册提供六套。如果需要，采购人有权对其进行复印。</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6.3.11.4 中标供应商应对采购人提供全面的技术和维护咨询。</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6.3.11.5 本项目的质保期为验收合格之日起两年，货物在两年内损坏的（非人为造成）由中标供应商全权负责，如造成采购人相应的经济损失由中标供应商承担。</w:t>
      </w:r>
    </w:p>
    <w:p>
      <w:pPr>
        <w:autoSpaceDE w:val="0"/>
        <w:autoSpaceDN w:val="0"/>
        <w:adjustRightInd w:val="0"/>
        <w:spacing w:line="440" w:lineRule="exact"/>
        <w:ind w:firstLine="482" w:firstLineChars="200"/>
        <w:rPr>
          <w:rFonts w:hint="eastAsia" w:ascii="宋体" w:hAnsi="宋体"/>
          <w:b/>
          <w:sz w:val="24"/>
        </w:rPr>
      </w:pPr>
      <w:r>
        <w:rPr>
          <w:rFonts w:hint="eastAsia" w:ascii="宋体" w:hAnsi="宋体"/>
          <w:b/>
          <w:sz w:val="24"/>
        </w:rPr>
        <w:t>6.3.12 货物的供应</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6.3.12.1 按采购文件内容和要求；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6.3.12.2 中标供应商必须经采购人确认后方可进行货物供应，擅自供应的货物采购人不予以认可</w:t>
      </w:r>
      <w:r>
        <w:rPr>
          <w:rFonts w:hint="eastAsia" w:ascii="宋体" w:hAnsi="宋体"/>
          <w:b/>
          <w:sz w:val="24"/>
          <w:u w:val="single"/>
        </w:rPr>
        <w:t>。</w:t>
      </w:r>
    </w:p>
    <w:p>
      <w:pPr>
        <w:autoSpaceDE w:val="0"/>
        <w:autoSpaceDN w:val="0"/>
        <w:adjustRightInd w:val="0"/>
        <w:spacing w:line="440" w:lineRule="exact"/>
        <w:ind w:firstLine="482" w:firstLineChars="200"/>
        <w:rPr>
          <w:rFonts w:hint="eastAsia" w:ascii="宋体" w:hAnsi="宋体"/>
          <w:b/>
          <w:sz w:val="24"/>
        </w:rPr>
      </w:pPr>
      <w:r>
        <w:rPr>
          <w:rFonts w:hint="eastAsia" w:ascii="宋体" w:hAnsi="宋体"/>
          <w:b/>
          <w:sz w:val="24"/>
        </w:rPr>
        <w:t>6.3.13 货物、安装款的支付</w:t>
      </w:r>
    </w:p>
    <w:p>
      <w:pPr>
        <w:autoSpaceDE w:val="0"/>
        <w:autoSpaceDN w:val="0"/>
        <w:adjustRightInd w:val="0"/>
        <w:spacing w:line="440" w:lineRule="exact"/>
        <w:ind w:firstLine="480"/>
        <w:rPr>
          <w:rFonts w:hint="eastAsia" w:ascii="宋体" w:hAnsi="宋体" w:cs="宋体"/>
          <w:sz w:val="24"/>
          <w:u w:val="single"/>
          <w:lang w:val="zh-CN"/>
        </w:rPr>
      </w:pPr>
      <w:r>
        <w:rPr>
          <w:rFonts w:hint="eastAsia" w:ascii="宋体" w:hAnsi="宋体"/>
          <w:sz w:val="24"/>
        </w:rPr>
        <w:t>6.3.13.1</w:t>
      </w:r>
      <w:r>
        <w:rPr>
          <w:rFonts w:hint="eastAsia" w:ascii="宋体" w:hAnsi="宋体" w:cs="宋体"/>
          <w:sz w:val="24"/>
          <w:u w:val="single"/>
          <w:lang w:val="zh-CN"/>
        </w:rPr>
        <w:t>施工完毕、验收（包括施工档案资料齐全）合格付至</w:t>
      </w:r>
      <w:r>
        <w:rPr>
          <w:rFonts w:hint="eastAsia" w:ascii="宋体" w:hAnsi="宋体" w:cs="宋体"/>
          <w:sz w:val="24"/>
          <w:u w:val="single"/>
        </w:rPr>
        <w:t>70</w:t>
      </w:r>
      <w:r>
        <w:rPr>
          <w:rFonts w:hint="eastAsia" w:ascii="宋体" w:hAnsi="宋体" w:cs="宋体"/>
          <w:sz w:val="24"/>
          <w:u w:val="single"/>
          <w:lang w:val="zh-CN"/>
        </w:rPr>
        <w:t>%，工程结算审计完成后28天内付至结算造价的9</w:t>
      </w:r>
      <w:r>
        <w:rPr>
          <w:rFonts w:hint="eastAsia" w:ascii="宋体" w:hAnsi="宋体" w:cs="宋体"/>
          <w:sz w:val="24"/>
          <w:u w:val="single"/>
        </w:rPr>
        <w:t>7.5</w:t>
      </w:r>
      <w:r>
        <w:rPr>
          <w:rFonts w:hint="eastAsia" w:ascii="宋体" w:hAnsi="宋体" w:cs="宋体"/>
          <w:sz w:val="24"/>
          <w:u w:val="single"/>
          <w:lang w:val="zh-CN"/>
        </w:rPr>
        <w:t>%；（同时退还履约保证金，不计息）；</w:t>
      </w:r>
    </w:p>
    <w:p>
      <w:pPr>
        <w:autoSpaceDE w:val="0"/>
        <w:autoSpaceDN w:val="0"/>
        <w:adjustRightInd w:val="0"/>
        <w:spacing w:line="440" w:lineRule="exact"/>
        <w:ind w:firstLine="480"/>
        <w:rPr>
          <w:rFonts w:hint="eastAsia" w:ascii="宋体" w:hAnsi="宋体" w:cs="宋体"/>
          <w:sz w:val="24"/>
          <w:u w:val="single"/>
          <w:lang w:val="zh-CN"/>
        </w:rPr>
      </w:pPr>
      <w:r>
        <w:rPr>
          <w:rFonts w:hint="eastAsia" w:ascii="宋体" w:hAnsi="宋体" w:cs="宋体"/>
          <w:sz w:val="24"/>
          <w:u w:val="single"/>
          <w:lang w:val="zh-CN"/>
        </w:rPr>
        <w:t>6.3.13.2</w:t>
      </w:r>
      <w:r>
        <w:rPr>
          <w:rFonts w:hint="eastAsia" w:ascii="宋体" w:hAnsi="宋体"/>
          <w:sz w:val="24"/>
          <w:u w:val="single"/>
        </w:rPr>
        <w:t>余款2.5％为二年保修押金，验收合格二年质保期满后28天内退还。（若供应商在技术标中承诺的质保期超于两年的，在结清余款的同时中标单位另需提供等额银行保函给采购人至质保期满为止）；</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 xml:space="preserve">6.3.13.3 </w:t>
      </w:r>
      <w:r>
        <w:rPr>
          <w:rFonts w:hint="eastAsia" w:ascii="宋体" w:hAnsi="宋体"/>
          <w:sz w:val="24"/>
          <w:u w:val="single"/>
        </w:rPr>
        <w:t>中标供应商未能在约定的供货安装时间内完成的，未达到合同规定的质量要求的，采购人有权暂缓支付货物、安装款；</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 xml:space="preserve">6.3.13.4 </w:t>
      </w:r>
      <w:r>
        <w:rPr>
          <w:rFonts w:hint="eastAsia" w:ascii="宋体" w:hAnsi="宋体"/>
          <w:sz w:val="24"/>
          <w:u w:val="single"/>
        </w:rPr>
        <w:t>发票应随付款进度同时提供（按照国家有关规定缴纳相应税费）。</w:t>
      </w:r>
    </w:p>
    <w:p>
      <w:pPr>
        <w:autoSpaceDE w:val="0"/>
        <w:autoSpaceDN w:val="0"/>
        <w:adjustRightInd w:val="0"/>
        <w:spacing w:line="440" w:lineRule="exact"/>
        <w:ind w:firstLine="482" w:firstLineChars="200"/>
        <w:rPr>
          <w:rFonts w:hint="eastAsia" w:ascii="宋体" w:hAnsi="宋体"/>
          <w:b/>
          <w:sz w:val="24"/>
        </w:rPr>
      </w:pPr>
      <w:r>
        <w:rPr>
          <w:rFonts w:hint="eastAsia" w:ascii="宋体" w:hAnsi="宋体"/>
          <w:b/>
          <w:sz w:val="24"/>
        </w:rPr>
        <w:t>6.3.14 采购人职责</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6.3.14.1 采购人负责对货物质量、货物安装质量进度和合同执行进行监督检查。</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6.3.14.2 组织验收和结算。</w:t>
      </w:r>
    </w:p>
    <w:p>
      <w:pPr>
        <w:autoSpaceDE w:val="0"/>
        <w:autoSpaceDN w:val="0"/>
        <w:adjustRightInd w:val="0"/>
        <w:spacing w:line="440" w:lineRule="exact"/>
        <w:ind w:firstLine="482" w:firstLineChars="200"/>
        <w:rPr>
          <w:rFonts w:hint="eastAsia" w:ascii="宋体" w:hAnsi="宋体"/>
          <w:b/>
          <w:sz w:val="24"/>
        </w:rPr>
      </w:pPr>
      <w:r>
        <w:rPr>
          <w:rFonts w:hint="eastAsia" w:ascii="宋体" w:hAnsi="宋体"/>
          <w:b/>
          <w:sz w:val="24"/>
        </w:rPr>
        <w:t>6.3.15 中标供应商职责</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6.3.15.1 供货前，中标供应商应熟悉安装现场环境及做好其他各项准备工作，费用由中标供应商自理。</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6.3.15.2 在合同实施中，中标供应商应兑现投标书中的所有承诺。</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6.3.15.3 中标供应商必须严格按照本项目技术要求进行精心安装、强化现场原始记录和检测，确保货物质量。</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6.3.15.4 中标人在货物供应、安装期间如发生安全事故，由中标供应商处理并承担全部责任。</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6.3.15.5 在货物安装过程中，中标供应商应接受采购人指令，并严格服从采购人监督。</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6.3.15.6 中标供应商必须在约定时间内组织供货、安装，确保如期完成。</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6.3.15.7 当具备验收条件时，中标供应商应提前十天将验收报告送至采购人，并由采购人组织验收。</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6.3.15.8 中标供应商的计划进度安排、质量监督、协调管理、安装配合、安全文明施工，应完全接受采购人对本项目的统一管理，完成后将归档技术资料交予采购人。</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6.3.16 验收</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6.3.16.1 验收以采购文件和技术文件、投标文件、合同及安装技术要求为依据。</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6.3.16.2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6.3.16.3 验收必须符合国家、地方有关规范、标准及设计要求。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6.3.16.4 符合验收条件的，由采购人组织有关部门按照国家、地方有关规范、标准及设计要求进行验收。验收后中标供应商应按照验收中提出的意见整改。</w:t>
      </w:r>
    </w:p>
    <w:p>
      <w:pPr>
        <w:spacing w:line="440" w:lineRule="exact"/>
        <w:ind w:firstLine="480" w:firstLineChars="200"/>
        <w:jc w:val="left"/>
        <w:rPr>
          <w:rFonts w:hint="eastAsia" w:ascii="宋体" w:hAnsi="宋体"/>
          <w:sz w:val="24"/>
          <w:highlight w:val="yellow"/>
          <w:u w:val="single"/>
        </w:rPr>
      </w:pPr>
      <w:r>
        <w:rPr>
          <w:rFonts w:hint="eastAsia" w:ascii="宋体" w:hAnsi="宋体"/>
          <w:sz w:val="24"/>
          <w:u w:val="single"/>
        </w:rPr>
        <w:t>6.3.16.5 整改完毕且复验合格后将本项目货物交给采购人使用，完成日期以通过复验日期为准。</w:t>
      </w:r>
    </w:p>
    <w:p>
      <w:pPr>
        <w:spacing w:line="440" w:lineRule="exact"/>
        <w:ind w:firstLine="480" w:firstLineChars="200"/>
        <w:jc w:val="left"/>
        <w:rPr>
          <w:rFonts w:hint="eastAsia" w:ascii="宋体" w:hAnsi="宋体"/>
          <w:sz w:val="24"/>
          <w:u w:val="single"/>
        </w:rPr>
      </w:pPr>
      <w:r>
        <w:rPr>
          <w:rFonts w:hint="eastAsia" w:ascii="宋体" w:hAnsi="宋体"/>
          <w:sz w:val="24"/>
          <w:u w:val="single"/>
        </w:rPr>
        <w:t>6.3.16.6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6.3.17 违约责任及奖罚</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6.3.17.1 安装完成经验收，不能达到采购文件规定的“质量要求”，无偿返工，并扣除全部履约保证金，同时作违约论处。</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6.3.17.2 不能在规定时间内完成货物供应及安装的，每逾期一天，按本采购文件</w:t>
      </w:r>
      <w:r>
        <w:rPr>
          <w:rFonts w:ascii="宋体" w:hAnsi="宋体"/>
          <w:sz w:val="24"/>
          <w:u w:val="single"/>
        </w:rPr>
        <w:t>7.1</w:t>
      </w:r>
      <w:r>
        <w:rPr>
          <w:rFonts w:hint="eastAsia" w:ascii="宋体" w:hAnsi="宋体"/>
          <w:sz w:val="24"/>
          <w:u w:val="single"/>
        </w:rPr>
        <w:t>处理（非中标供应商原因除外）。</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6.3.17.3 因中标供应商违约造成终止合同的，则扣除全部履约保证金，同时作违约论处。</w:t>
      </w:r>
      <w:r>
        <w:rPr>
          <w:rFonts w:hint="eastAsia" w:ascii="宋体" w:hAnsi="宋体"/>
          <w:sz w:val="24"/>
          <w:u w:val="single"/>
        </w:rPr>
        <w:cr/>
      </w:r>
      <w:r>
        <w:rPr>
          <w:rFonts w:hint="eastAsia" w:ascii="宋体" w:hAnsi="宋体"/>
          <w:sz w:val="24"/>
        </w:rPr>
        <w:t xml:space="preserve">    </w:t>
      </w:r>
      <w:r>
        <w:rPr>
          <w:rFonts w:hint="eastAsia" w:ascii="宋体" w:hAnsi="宋体"/>
          <w:sz w:val="24"/>
          <w:u w:val="single"/>
        </w:rPr>
        <w:t>6.3.17.4 因采购人违约造成终止合同，采购人应退还中标供应商缴纳的履约保证金，同时支付给中标供应商履约保证金同等金额的违约金，但属执行国家行政指令造成的合同终止，不支付违约金。</w:t>
      </w:r>
    </w:p>
    <w:p>
      <w:pPr>
        <w:autoSpaceDE w:val="0"/>
        <w:autoSpaceDN w:val="0"/>
        <w:adjustRightInd w:val="0"/>
        <w:spacing w:line="440" w:lineRule="exact"/>
        <w:ind w:firstLine="482"/>
        <w:rPr>
          <w:rFonts w:ascii="宋体" w:hAnsi="宋体" w:cs="宋体"/>
          <w:b/>
          <w:bCs/>
          <w:sz w:val="24"/>
          <w:lang w:val="zh-CN"/>
        </w:rPr>
      </w:pPr>
      <w:r>
        <w:rPr>
          <w:rFonts w:ascii="宋体" w:hAnsi="宋体" w:cs="宋体"/>
          <w:b/>
          <w:bCs/>
          <w:sz w:val="24"/>
          <w:lang w:val="zh-CN"/>
        </w:rPr>
        <w:t>6.3.</w:t>
      </w:r>
      <w:r>
        <w:rPr>
          <w:rFonts w:hint="eastAsia" w:ascii="宋体" w:hAnsi="宋体" w:cs="宋体"/>
          <w:b/>
          <w:bCs/>
          <w:sz w:val="24"/>
          <w:lang w:val="zh-CN"/>
        </w:rPr>
        <w:t>18争议解决</w:t>
      </w:r>
    </w:p>
    <w:p>
      <w:pPr>
        <w:autoSpaceDE w:val="0"/>
        <w:autoSpaceDN w:val="0"/>
        <w:adjustRightInd w:val="0"/>
        <w:spacing w:line="440" w:lineRule="exact"/>
        <w:ind w:firstLine="480"/>
        <w:rPr>
          <w:rFonts w:ascii="宋体" w:hAnsi="宋体" w:cs="宋体"/>
          <w:sz w:val="24"/>
          <w:lang w:val="zh-CN"/>
        </w:rPr>
      </w:pPr>
      <w:r>
        <w:rPr>
          <w:rFonts w:ascii="宋体" w:hAnsi="宋体" w:cs="宋体"/>
          <w:sz w:val="24"/>
          <w:lang w:val="zh-CN"/>
        </w:rPr>
        <w:t>6.3.</w:t>
      </w:r>
      <w:r>
        <w:rPr>
          <w:rFonts w:hint="eastAsia" w:ascii="宋体" w:hAnsi="宋体" w:cs="宋体"/>
          <w:sz w:val="24"/>
          <w:lang w:val="zh-CN"/>
        </w:rPr>
        <w:t>18</w:t>
      </w:r>
      <w:r>
        <w:rPr>
          <w:rFonts w:ascii="宋体" w:hAnsi="宋体" w:cs="宋体"/>
          <w:sz w:val="24"/>
          <w:lang w:val="zh-CN"/>
        </w:rPr>
        <w:t>.1</w:t>
      </w:r>
      <w:r>
        <w:rPr>
          <w:rFonts w:hint="eastAsia" w:ascii="宋体" w:hAnsi="宋体" w:cs="宋体"/>
          <w:sz w:val="24"/>
          <w:lang w:val="zh-CN"/>
        </w:rPr>
        <w:t>因执行本合同所发生的，或与本合同有关的一切争议，采购人与中标供应商双方应通过友好协商解决。</w:t>
      </w:r>
    </w:p>
    <w:p>
      <w:pPr>
        <w:autoSpaceDE w:val="0"/>
        <w:autoSpaceDN w:val="0"/>
        <w:adjustRightInd w:val="0"/>
        <w:spacing w:line="440" w:lineRule="exact"/>
        <w:ind w:firstLine="480"/>
        <w:rPr>
          <w:rFonts w:ascii="宋体" w:hAnsi="宋体" w:cs="宋体"/>
          <w:sz w:val="24"/>
          <w:lang w:val="zh-CN"/>
        </w:rPr>
      </w:pPr>
      <w:r>
        <w:rPr>
          <w:rFonts w:ascii="宋体" w:hAnsi="宋体" w:cs="宋体"/>
          <w:sz w:val="24"/>
          <w:lang w:val="zh-CN"/>
        </w:rPr>
        <w:t>6.3.</w:t>
      </w:r>
      <w:r>
        <w:rPr>
          <w:rFonts w:hint="eastAsia" w:ascii="宋体" w:hAnsi="宋体" w:cs="宋体"/>
          <w:sz w:val="24"/>
          <w:lang w:val="zh-CN"/>
        </w:rPr>
        <w:t>18</w:t>
      </w:r>
      <w:r>
        <w:rPr>
          <w:rFonts w:ascii="宋体" w:hAnsi="宋体" w:cs="宋体"/>
          <w:sz w:val="24"/>
          <w:lang w:val="zh-CN"/>
        </w:rPr>
        <w:t>.2</w:t>
      </w:r>
      <w:r>
        <w:rPr>
          <w:rFonts w:hint="eastAsia" w:ascii="宋体" w:hAnsi="宋体" w:cs="宋体"/>
          <w:sz w:val="24"/>
          <w:lang w:val="zh-CN"/>
        </w:rPr>
        <w:t>如经协商仍不能解决争议时，可要求有关主管部门调解。如其中一方不愿调解或调解不成，可按下一种方式解决争议。</w:t>
      </w:r>
    </w:p>
    <w:p>
      <w:pPr>
        <w:autoSpaceDE w:val="0"/>
        <w:autoSpaceDN w:val="0"/>
        <w:adjustRightInd w:val="0"/>
        <w:spacing w:line="440" w:lineRule="exact"/>
        <w:ind w:firstLine="480"/>
        <w:rPr>
          <w:rFonts w:ascii="宋体" w:hAnsi="宋体" w:cs="宋体"/>
          <w:sz w:val="24"/>
          <w:lang w:val="zh-CN"/>
        </w:rPr>
      </w:pPr>
      <w:r>
        <w:rPr>
          <w:rFonts w:ascii="宋体" w:hAnsi="宋体" w:cs="宋体"/>
          <w:sz w:val="24"/>
          <w:lang w:val="zh-CN"/>
        </w:rPr>
        <w:t>6.3.</w:t>
      </w:r>
      <w:r>
        <w:rPr>
          <w:rFonts w:hint="eastAsia" w:ascii="宋体" w:hAnsi="宋体" w:cs="宋体"/>
          <w:sz w:val="24"/>
          <w:lang w:val="zh-CN"/>
        </w:rPr>
        <w:t>18</w:t>
      </w:r>
      <w:r>
        <w:rPr>
          <w:rFonts w:ascii="宋体" w:hAnsi="宋体" w:cs="宋体"/>
          <w:sz w:val="24"/>
          <w:lang w:val="zh-CN"/>
        </w:rPr>
        <w:t>.2.1</w:t>
      </w:r>
      <w:r>
        <w:rPr>
          <w:rFonts w:hint="eastAsia" w:ascii="宋体" w:hAnsi="宋体" w:cs="宋体"/>
          <w:sz w:val="24"/>
          <w:lang w:val="zh-CN"/>
        </w:rPr>
        <w:t>双方达成仲裁协议，向采购人所在地的仲裁机构申请仲裁。</w:t>
      </w:r>
    </w:p>
    <w:p>
      <w:pPr>
        <w:autoSpaceDE w:val="0"/>
        <w:autoSpaceDN w:val="0"/>
        <w:adjustRightInd w:val="0"/>
        <w:spacing w:line="440" w:lineRule="exact"/>
        <w:ind w:firstLine="480"/>
        <w:rPr>
          <w:rFonts w:hint="eastAsia" w:ascii="宋体" w:hAnsi="宋体" w:cs="宋体"/>
          <w:sz w:val="24"/>
          <w:lang w:val="zh-CN"/>
        </w:rPr>
      </w:pPr>
      <w:r>
        <w:rPr>
          <w:rFonts w:ascii="宋体" w:hAnsi="宋体" w:cs="宋体"/>
          <w:sz w:val="24"/>
          <w:lang w:val="zh-CN"/>
        </w:rPr>
        <w:t>6.3.</w:t>
      </w:r>
      <w:r>
        <w:rPr>
          <w:rFonts w:hint="eastAsia" w:ascii="宋体" w:hAnsi="宋体" w:cs="宋体"/>
          <w:sz w:val="24"/>
          <w:lang w:val="zh-CN"/>
        </w:rPr>
        <w:t>18</w:t>
      </w:r>
      <w:r>
        <w:rPr>
          <w:rFonts w:ascii="宋体" w:hAnsi="宋体" w:cs="宋体"/>
          <w:sz w:val="24"/>
          <w:lang w:val="zh-CN"/>
        </w:rPr>
        <w:t>.2.2</w:t>
      </w:r>
      <w:r>
        <w:rPr>
          <w:rFonts w:hint="eastAsia" w:ascii="宋体" w:hAnsi="宋体" w:cs="宋体"/>
          <w:sz w:val="24"/>
          <w:lang w:val="zh-CN"/>
        </w:rPr>
        <w:t>向有管辖权的人民法院起诉。</w:t>
      </w:r>
    </w:p>
    <w:p>
      <w:pPr>
        <w:spacing w:line="440" w:lineRule="exact"/>
        <w:ind w:firstLine="482" w:firstLineChars="200"/>
        <w:rPr>
          <w:rFonts w:hint="eastAsia" w:ascii="宋体" w:hAnsi="宋体"/>
          <w:b/>
          <w:sz w:val="24"/>
        </w:rPr>
      </w:pPr>
      <w:r>
        <w:rPr>
          <w:rFonts w:hint="eastAsia" w:ascii="宋体" w:hAnsi="宋体"/>
          <w:b/>
          <w:sz w:val="24"/>
        </w:rPr>
        <w:t>6.4其他要求：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中标供应商必须按规定程序和有关要求进行实施，供货过程中的各种意外，其责任由中标供应商承担，采购人不承担任何责任。</w:t>
      </w:r>
    </w:p>
    <w:p>
      <w:pPr>
        <w:spacing w:line="440" w:lineRule="exact"/>
        <w:ind w:firstLine="482" w:firstLineChars="200"/>
        <w:rPr>
          <w:rFonts w:hint="eastAsia" w:ascii="宋体" w:hAnsi="宋体"/>
          <w:b/>
          <w:sz w:val="24"/>
        </w:rPr>
      </w:pPr>
      <w:r>
        <w:rPr>
          <w:rFonts w:hint="eastAsia" w:ascii="宋体" w:hAnsi="宋体"/>
          <w:b/>
          <w:sz w:val="24"/>
        </w:rPr>
        <w:t>6.5变更：</w:t>
      </w:r>
    </w:p>
    <w:p>
      <w:pPr>
        <w:spacing w:line="440" w:lineRule="exact"/>
        <w:ind w:firstLine="480" w:firstLineChars="200"/>
        <w:rPr>
          <w:rFonts w:hint="eastAsia" w:ascii="宋体" w:hAnsi="宋体"/>
          <w:sz w:val="24"/>
        </w:rPr>
      </w:pPr>
      <w:r>
        <w:rPr>
          <w:rFonts w:hint="eastAsia" w:ascii="宋体" w:hAnsi="宋体"/>
          <w:sz w:val="24"/>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80" w:firstLineChars="200"/>
        <w:rPr>
          <w:rFonts w:hint="eastAsia" w:ascii="宋体" w:hAnsi="宋体"/>
          <w:sz w:val="24"/>
        </w:rPr>
      </w:pPr>
      <w:r>
        <w:rPr>
          <w:rFonts w:hint="eastAsia" w:ascii="宋体" w:hAnsi="宋体"/>
          <w:sz w:val="24"/>
        </w:rPr>
        <w:t>6.5</w:t>
      </w:r>
      <w:r>
        <w:rPr>
          <w:rFonts w:ascii="宋体" w:hAnsi="宋体"/>
          <w:sz w:val="24"/>
        </w:rPr>
        <w:t xml:space="preserve">.2 </w:t>
      </w:r>
      <w:r>
        <w:rPr>
          <w:rFonts w:hint="eastAsia" w:ascii="宋体" w:hAnsi="宋体"/>
          <w:sz w:val="24"/>
        </w:rPr>
        <w:t>当变更只是采购量增减时，按投标所报的单价进行结算。</w:t>
      </w:r>
    </w:p>
    <w:p>
      <w:pPr>
        <w:spacing w:line="440" w:lineRule="exact"/>
        <w:ind w:firstLine="482" w:firstLineChars="200"/>
        <w:jc w:val="left"/>
        <w:rPr>
          <w:rFonts w:hint="eastAsia" w:ascii="宋体" w:hAnsi="宋体"/>
          <w:b/>
          <w:sz w:val="24"/>
          <w:u w:val="single"/>
        </w:rPr>
      </w:pPr>
      <w:r>
        <w:rPr>
          <w:rFonts w:hint="eastAsia" w:ascii="宋体" w:hAnsi="宋体"/>
          <w:b/>
          <w:sz w:val="24"/>
          <w:u w:val="single"/>
        </w:rPr>
        <w:t>6.6专利权</w:t>
      </w:r>
    </w:p>
    <w:p>
      <w:pPr>
        <w:spacing w:line="440" w:lineRule="exact"/>
        <w:ind w:firstLine="480" w:firstLineChars="200"/>
        <w:rPr>
          <w:rFonts w:hint="eastAsia" w:ascii="宋体" w:hAnsi="宋体"/>
          <w:sz w:val="24"/>
          <w:u w:val="single"/>
        </w:rPr>
      </w:pPr>
      <w:r>
        <w:rPr>
          <w:rFonts w:hint="eastAsia" w:ascii="宋体" w:hAnsi="宋体"/>
          <w:sz w:val="24"/>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440" w:lineRule="exact"/>
        <w:ind w:firstLine="482" w:firstLineChars="200"/>
        <w:jc w:val="left"/>
        <w:rPr>
          <w:rFonts w:hint="eastAsia" w:ascii="宋体" w:hAnsi="宋体"/>
          <w:b/>
          <w:sz w:val="24"/>
        </w:rPr>
      </w:pPr>
      <w:r>
        <w:rPr>
          <w:rFonts w:hint="eastAsia" w:ascii="宋体" w:hAnsi="宋体"/>
          <w:b/>
          <w:sz w:val="24"/>
        </w:rPr>
        <w:t>6.7结算原则</w:t>
      </w:r>
    </w:p>
    <w:p>
      <w:pPr>
        <w:spacing w:line="440" w:lineRule="exact"/>
        <w:ind w:firstLine="480" w:firstLineChars="200"/>
        <w:jc w:val="left"/>
        <w:rPr>
          <w:rFonts w:hint="eastAsia" w:ascii="宋体" w:hAnsi="宋体"/>
          <w:sz w:val="24"/>
        </w:rPr>
      </w:pPr>
      <w:r>
        <w:rPr>
          <w:rFonts w:hint="eastAsia" w:ascii="宋体" w:hAnsi="宋体"/>
          <w:sz w:val="24"/>
        </w:rPr>
        <w:t>6.7.1采购文件、招标答疑会纪要、中标供应商的中标报价等作为结算依据；</w:t>
      </w:r>
    </w:p>
    <w:p>
      <w:pPr>
        <w:spacing w:line="440" w:lineRule="exact"/>
        <w:ind w:firstLine="480" w:firstLineChars="200"/>
        <w:jc w:val="left"/>
        <w:rPr>
          <w:rFonts w:hint="eastAsia" w:ascii="宋体" w:hAnsi="宋体"/>
          <w:sz w:val="24"/>
          <w:u w:val="single"/>
        </w:rPr>
      </w:pPr>
      <w:r>
        <w:rPr>
          <w:rFonts w:hint="eastAsia" w:ascii="宋体" w:hAnsi="宋体"/>
          <w:sz w:val="24"/>
          <w:u w:val="single"/>
        </w:rPr>
        <w:t>6.7.2中标单价一次性包死，不再调整，经采购人分级审批认可的数量增减，在结算时按中标单价按实调整。</w:t>
      </w:r>
    </w:p>
    <w:p>
      <w:pPr>
        <w:spacing w:line="440" w:lineRule="exact"/>
        <w:ind w:firstLine="482" w:firstLineChars="200"/>
        <w:jc w:val="left"/>
        <w:rPr>
          <w:rFonts w:hint="eastAsia" w:ascii="宋体" w:hAnsi="宋体"/>
          <w:sz w:val="24"/>
          <w:u w:val="single"/>
        </w:rPr>
      </w:pPr>
      <w:r>
        <w:rPr>
          <w:rFonts w:hint="eastAsia" w:ascii="宋体" w:hAnsi="宋体"/>
          <w:b/>
          <w:sz w:val="24"/>
        </w:rPr>
        <w:t>6.8签订合同时间：</w:t>
      </w:r>
      <w:r>
        <w:rPr>
          <w:rFonts w:hint="eastAsia" w:ascii="宋体" w:hAnsi="宋体"/>
          <w:sz w:val="24"/>
          <w:u w:val="single"/>
        </w:rPr>
        <w:t xml:space="preserve">  中标通知书发出后30日历天内。 </w:t>
      </w:r>
    </w:p>
    <w:p>
      <w:pPr>
        <w:spacing w:line="440" w:lineRule="exact"/>
        <w:ind w:firstLine="482" w:firstLineChars="200"/>
        <w:jc w:val="left"/>
        <w:rPr>
          <w:rFonts w:hint="eastAsia" w:ascii="宋体" w:hAnsi="宋体"/>
          <w:b/>
          <w:sz w:val="24"/>
        </w:rPr>
      </w:pPr>
      <w:r>
        <w:rPr>
          <w:rFonts w:hint="eastAsia" w:ascii="宋体" w:hAnsi="宋体"/>
          <w:b/>
          <w:sz w:val="24"/>
        </w:rPr>
        <w:t>6.9</w:t>
      </w:r>
      <w:r>
        <w:rPr>
          <w:rFonts w:hint="eastAsia" w:ascii="宋体" w:hAnsi="宋体"/>
          <w:b/>
          <w:bCs/>
          <w:sz w:val="24"/>
        </w:rPr>
        <w:t>售后服务要求：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6.9.1中标供应商须提供从验收合格之日起，两年的免费质保期和两年的免费维修保养服务。供应商承诺超过本要求的，以优惠者为准。无论在质保期内还是质保期满后，中标供应商负责对其实施的项目提供现场服务。要求中标供应商在接到采购人的电话后   2小时内响应，4小时内到达现场，并最迟在第2个工作日内排除故障，48小时内无法修复的，必须采取临时调换等措施，以保证采购人的正常使用。临时调换的设备要求不低于原有的设备要求。</w:t>
      </w:r>
    </w:p>
    <w:p>
      <w:pPr>
        <w:spacing w:line="440" w:lineRule="exact"/>
        <w:ind w:firstLine="480" w:firstLineChars="200"/>
        <w:rPr>
          <w:rFonts w:hint="eastAsia" w:ascii="宋体" w:hAnsi="宋体"/>
          <w:sz w:val="24"/>
        </w:rPr>
      </w:pPr>
      <w:r>
        <w:rPr>
          <w:rFonts w:hint="eastAsia" w:ascii="宋体" w:hAnsi="宋体"/>
          <w:sz w:val="24"/>
        </w:rPr>
        <w:t>6.9.2供应商若有其他服务承诺，也将一并执行。</w:t>
      </w:r>
    </w:p>
    <w:p>
      <w:pPr>
        <w:spacing w:line="440" w:lineRule="exact"/>
        <w:ind w:firstLine="480" w:firstLineChars="200"/>
        <w:rPr>
          <w:rFonts w:hint="eastAsia" w:ascii="宋体" w:hAnsi="宋体"/>
          <w:sz w:val="24"/>
        </w:rPr>
      </w:pPr>
      <w:r>
        <w:rPr>
          <w:rFonts w:hint="eastAsia" w:ascii="宋体" w:hAnsi="宋体"/>
          <w:sz w:val="24"/>
        </w:rPr>
        <w:t>6.9.3中标供应商必须将公司的服务热线明确告知采购人。</w:t>
      </w:r>
    </w:p>
    <w:p>
      <w:pPr>
        <w:spacing w:line="440" w:lineRule="exact"/>
        <w:ind w:firstLine="480" w:firstLineChars="200"/>
        <w:rPr>
          <w:rFonts w:hint="eastAsia" w:ascii="宋体" w:hAnsi="宋体"/>
          <w:sz w:val="24"/>
        </w:rPr>
      </w:pPr>
      <w:r>
        <w:rPr>
          <w:rFonts w:hint="eastAsia" w:ascii="宋体" w:hAnsi="宋体"/>
          <w:sz w:val="24"/>
        </w:rPr>
        <w:t>6.10采购人应当自采购合同签订之日起七个工作日内，按照有关规定将采购合同副本报绍兴市柯桥区公共资源交易管理委员会办公室备案。</w:t>
      </w:r>
    </w:p>
    <w:p>
      <w:pPr>
        <w:spacing w:line="440" w:lineRule="exact"/>
        <w:ind w:firstLine="482" w:firstLineChars="200"/>
        <w:rPr>
          <w:rFonts w:hint="eastAsia" w:ascii="宋体" w:hAnsi="宋体"/>
          <w:b/>
          <w:sz w:val="24"/>
        </w:rPr>
      </w:pPr>
      <w:r>
        <w:rPr>
          <w:rFonts w:hint="eastAsia" w:ascii="宋体" w:hAnsi="宋体"/>
          <w:b/>
          <w:sz w:val="24"/>
        </w:rPr>
        <w:t>6.11 其他</w:t>
      </w:r>
    </w:p>
    <w:p>
      <w:pPr>
        <w:spacing w:line="440" w:lineRule="exact"/>
        <w:ind w:firstLine="480" w:firstLineChars="200"/>
        <w:rPr>
          <w:rFonts w:hint="eastAsia" w:ascii="宋体" w:hAnsi="宋体"/>
          <w:b/>
          <w:sz w:val="24"/>
        </w:rPr>
      </w:pPr>
      <w:r>
        <w:rPr>
          <w:rFonts w:hint="eastAsia" w:ascii="宋体" w:hAnsi="宋体"/>
          <w:sz w:val="24"/>
        </w:rPr>
        <w:t>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
        <w:numPr>
          <w:ilvl w:val="0"/>
          <w:numId w:val="0"/>
        </w:numPr>
        <w:spacing w:before="0" w:after="0" w:line="440" w:lineRule="exact"/>
        <w:jc w:val="center"/>
        <w:rPr>
          <w:rFonts w:hint="eastAsia" w:ascii="宋体" w:hAnsi="宋体"/>
          <w:sz w:val="28"/>
          <w:szCs w:val="28"/>
        </w:rPr>
      </w:pPr>
      <w:bookmarkStart w:id="30" w:name="_Toc264116917"/>
      <w:bookmarkStart w:id="31" w:name="_Toc17269"/>
    </w:p>
    <w:p>
      <w:pPr>
        <w:pStyle w:val="2"/>
        <w:numPr>
          <w:ilvl w:val="0"/>
          <w:numId w:val="0"/>
        </w:numPr>
        <w:spacing w:before="0" w:after="0" w:line="440" w:lineRule="exact"/>
        <w:jc w:val="center"/>
        <w:rPr>
          <w:rFonts w:hint="eastAsia" w:ascii="宋体" w:hAnsi="宋体"/>
          <w:sz w:val="28"/>
          <w:szCs w:val="28"/>
        </w:rPr>
      </w:pPr>
      <w:r>
        <w:rPr>
          <w:rFonts w:hint="eastAsia" w:ascii="宋体" w:hAnsi="宋体"/>
          <w:sz w:val="28"/>
          <w:szCs w:val="28"/>
        </w:rPr>
        <w:t>七、交货和提供服务的时间</w:t>
      </w:r>
      <w:bookmarkEnd w:id="30"/>
      <w:bookmarkEnd w:id="31"/>
    </w:p>
    <w:p>
      <w:pPr>
        <w:spacing w:line="440" w:lineRule="exact"/>
        <w:ind w:firstLine="480" w:firstLineChars="200"/>
        <w:jc w:val="left"/>
        <w:rPr>
          <w:rFonts w:hint="eastAsia" w:ascii="宋体" w:hAnsi="宋体"/>
          <w:sz w:val="24"/>
        </w:rPr>
      </w:pPr>
    </w:p>
    <w:p>
      <w:pPr>
        <w:spacing w:line="360" w:lineRule="auto"/>
        <w:ind w:firstLine="480" w:firstLineChars="200"/>
        <w:rPr>
          <w:rFonts w:hint="eastAsia" w:ascii="宋体" w:hAnsi="宋体" w:cs="宋体"/>
          <w:sz w:val="24"/>
          <w:u w:val="single"/>
        </w:rPr>
      </w:pPr>
      <w:r>
        <w:rPr>
          <w:rFonts w:hint="eastAsia" w:ascii="宋体" w:hAnsi="宋体"/>
          <w:sz w:val="24"/>
          <w:u w:val="single"/>
        </w:rPr>
        <w:t>7.1交货（含安装调试）和提供服务的时间：</w:t>
      </w:r>
      <w:r>
        <w:rPr>
          <w:rFonts w:hint="eastAsia" w:ascii="宋体" w:hAnsi="宋体"/>
          <w:b/>
          <w:sz w:val="24"/>
          <w:u w:val="single"/>
        </w:rPr>
        <w:t>本采购项目的交货（含安装调试）和提供服务的时间详见前附表第9项</w:t>
      </w:r>
      <w:r>
        <w:rPr>
          <w:rFonts w:hint="eastAsia" w:ascii="宋体" w:hAnsi="宋体" w:cs="宋体"/>
          <w:b/>
          <w:sz w:val="24"/>
          <w:u w:val="single"/>
        </w:rPr>
        <w:t>，</w:t>
      </w:r>
      <w:r>
        <w:rPr>
          <w:rFonts w:hint="eastAsia" w:ascii="宋体" w:hAnsi="宋体"/>
          <w:b/>
          <w:sz w:val="24"/>
          <w:u w:val="single"/>
        </w:rPr>
        <w:t>延期赔偿金按3000元/天计</w:t>
      </w:r>
      <w:r>
        <w:rPr>
          <w:rFonts w:hint="eastAsia" w:ascii="宋体" w:hAnsi="宋体" w:cs="宋体"/>
          <w:b/>
          <w:sz w:val="24"/>
          <w:u w:val="single"/>
        </w:rPr>
        <w:t>。</w:t>
      </w:r>
      <w:r>
        <w:rPr>
          <w:rFonts w:hint="eastAsia" w:ascii="宋体" w:hAnsi="宋体"/>
          <w:sz w:val="24"/>
          <w:u w:val="single"/>
        </w:rPr>
        <w:t>并要求在投标书中予以承诺，否则可作为无效标论处。采购人由于某种原因需延长工期时，</w:t>
      </w:r>
      <w:r>
        <w:rPr>
          <w:rFonts w:hint="eastAsia" w:ascii="宋体" w:hAnsi="宋体" w:cs="宋体"/>
          <w:sz w:val="24"/>
          <w:u w:val="single"/>
        </w:rPr>
        <w:t>违约金</w:t>
      </w:r>
      <w:r>
        <w:rPr>
          <w:rFonts w:hint="eastAsia" w:ascii="宋体" w:hAnsi="宋体"/>
          <w:sz w:val="24"/>
          <w:u w:val="single"/>
        </w:rPr>
        <w:t>可不计，中标供应商也不作任何赔偿。</w:t>
      </w:r>
    </w:p>
    <w:p>
      <w:pPr>
        <w:spacing w:line="360" w:lineRule="auto"/>
        <w:ind w:firstLine="480" w:firstLineChars="200"/>
        <w:rPr>
          <w:rFonts w:hint="eastAsia" w:ascii="宋体" w:hAnsi="宋体"/>
          <w:sz w:val="24"/>
          <w:u w:val="single"/>
        </w:rPr>
      </w:pPr>
      <w:r>
        <w:rPr>
          <w:rFonts w:hint="eastAsia" w:ascii="宋体" w:hAnsi="宋体"/>
          <w:sz w:val="24"/>
          <w:u w:val="single"/>
        </w:rPr>
        <w:t>7.2 供应商应明确说明具体的交货和提供服务的时间。供应商所提供的必须是合法生产的货物和服务，并能确保在中标合同有效期内按照合同中规定的要求及时交付。</w:t>
      </w:r>
    </w:p>
    <w:p>
      <w:pPr>
        <w:spacing w:line="440" w:lineRule="exact"/>
        <w:rPr>
          <w:rFonts w:hint="eastAsia" w:ascii="宋体" w:hAnsi="宋体"/>
          <w:sz w:val="28"/>
          <w:szCs w:val="28"/>
        </w:rPr>
      </w:pPr>
    </w:p>
    <w:p>
      <w:pPr>
        <w:pStyle w:val="2"/>
        <w:numPr>
          <w:ilvl w:val="0"/>
          <w:numId w:val="0"/>
        </w:numPr>
        <w:spacing w:before="0" w:after="0" w:line="440" w:lineRule="exact"/>
        <w:jc w:val="center"/>
        <w:rPr>
          <w:rFonts w:hint="eastAsia" w:ascii="宋体" w:hAnsi="宋体"/>
          <w:sz w:val="28"/>
          <w:szCs w:val="28"/>
        </w:rPr>
      </w:pPr>
      <w:bookmarkStart w:id="32" w:name="_Toc7056"/>
      <w:bookmarkStart w:id="33" w:name="_Toc264116918"/>
      <w:r>
        <w:rPr>
          <w:rFonts w:hint="eastAsia" w:ascii="宋体" w:hAnsi="宋体"/>
          <w:sz w:val="28"/>
          <w:szCs w:val="28"/>
        </w:rPr>
        <w:t>八、评标方法、评标标准和废标条款</w:t>
      </w:r>
      <w:bookmarkEnd w:id="32"/>
      <w:bookmarkEnd w:id="33"/>
    </w:p>
    <w:p>
      <w:pPr>
        <w:autoSpaceDE w:val="0"/>
        <w:autoSpaceDN w:val="0"/>
        <w:adjustRightInd w:val="0"/>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8.1开标：</w:t>
      </w:r>
    </w:p>
    <w:p>
      <w:pPr>
        <w:spacing w:line="440" w:lineRule="exact"/>
        <w:ind w:firstLine="480" w:firstLineChars="200"/>
        <w:rPr>
          <w:rFonts w:hint="eastAsia" w:ascii="宋体" w:hAnsi="宋体"/>
          <w:sz w:val="24"/>
        </w:rPr>
      </w:pPr>
      <w:r>
        <w:rPr>
          <w:rFonts w:hint="eastAsia" w:ascii="宋体" w:hAnsi="宋体"/>
          <w:sz w:val="24"/>
        </w:rPr>
        <w:t>8.1.1</w:t>
      </w:r>
      <w:r>
        <w:rPr>
          <w:rFonts w:hint="eastAsia" w:ascii="宋体" w:hAnsi="宋体"/>
          <w:b/>
          <w:sz w:val="24"/>
        </w:rPr>
        <w:t>在投标截止时间前按规定提交投标文件的供应商在</w:t>
      </w:r>
      <w:r>
        <w:rPr>
          <w:rFonts w:hint="eastAsia" w:ascii="宋体" w:hAnsi="宋体"/>
          <w:b/>
          <w:sz w:val="24"/>
          <w:u w:val="single"/>
        </w:rPr>
        <w:t>三</w:t>
      </w:r>
      <w:r>
        <w:rPr>
          <w:rFonts w:hint="eastAsia" w:ascii="宋体" w:hAnsi="宋体"/>
          <w:b/>
          <w:sz w:val="24"/>
        </w:rPr>
        <w:t>家及以上的</w:t>
      </w:r>
      <w:r>
        <w:rPr>
          <w:rFonts w:hint="eastAsia" w:ascii="宋体" w:hAnsi="宋体"/>
          <w:sz w:val="24"/>
        </w:rPr>
        <w:t>，由采购人组织进行开标。</w:t>
      </w:r>
    </w:p>
    <w:p>
      <w:pPr>
        <w:spacing w:line="440" w:lineRule="exact"/>
        <w:ind w:firstLine="472" w:firstLineChars="197"/>
        <w:rPr>
          <w:rFonts w:hint="eastAsia" w:ascii="宋体" w:hAnsi="宋体"/>
          <w:sz w:val="24"/>
        </w:rPr>
      </w:pPr>
      <w:r>
        <w:rPr>
          <w:rFonts w:hint="eastAsia" w:ascii="宋体" w:hAnsi="宋体"/>
          <w:sz w:val="24"/>
        </w:rPr>
        <w:t>8.1.2 采购人按采购文件规定的时间和地点公开开标。开标会由采购人主持，采购人代表、评委、委托方代表及有关工作人员参加。</w:t>
      </w:r>
    </w:p>
    <w:p>
      <w:pPr>
        <w:spacing w:line="440" w:lineRule="exact"/>
        <w:ind w:firstLine="472" w:firstLineChars="197"/>
        <w:rPr>
          <w:rFonts w:hint="eastAsia" w:ascii="宋体" w:hAnsi="宋体"/>
          <w:sz w:val="24"/>
        </w:rPr>
      </w:pPr>
      <w:r>
        <w:rPr>
          <w:rFonts w:hint="eastAsia" w:ascii="宋体" w:hAnsi="宋体"/>
          <w:sz w:val="24"/>
        </w:rPr>
        <w:t>8.1.3 供应商须有法定代表人或其授权的代理人参加开标会。法人代表参加的，应带本人身份证原件，非法人代表参加的，应带法定代表人委托书及本人身份证原件。</w:t>
      </w:r>
    </w:p>
    <w:p>
      <w:pPr>
        <w:spacing w:line="440" w:lineRule="exact"/>
        <w:ind w:firstLine="472" w:firstLineChars="197"/>
        <w:rPr>
          <w:rFonts w:hint="eastAsia" w:ascii="宋体" w:hAnsi="宋体"/>
          <w:sz w:val="24"/>
        </w:rPr>
      </w:pPr>
      <w:r>
        <w:rPr>
          <w:rFonts w:hint="eastAsia" w:ascii="宋体" w:hAnsi="宋体"/>
          <w:sz w:val="24"/>
        </w:rPr>
        <w:t>8.1.4 开标时，由采购人或者采购代理机构检查投标文件的密封情况及对供应商资格进行审查，并通过“信用中国”网站(www.creditchina.gov.cn)、中国政府采购网(www.ccgp.gov.cn)查询相关投标人信用记录，对供应商信用记录进行甄别。</w:t>
      </w:r>
    </w:p>
    <w:p>
      <w:pPr>
        <w:spacing w:line="440" w:lineRule="exact"/>
        <w:ind w:firstLine="475" w:firstLineChars="197"/>
        <w:rPr>
          <w:rFonts w:hint="eastAsia" w:ascii="宋体" w:hAnsi="宋体"/>
          <w:b/>
          <w:sz w:val="24"/>
          <w:u w:val="single"/>
        </w:rPr>
      </w:pPr>
      <w:r>
        <w:rPr>
          <w:rFonts w:hint="eastAsia" w:ascii="宋体" w:hAnsi="宋体"/>
          <w:b/>
          <w:sz w:val="24"/>
          <w:u w:val="single"/>
        </w:rPr>
        <w:t>8.1.5 开标顺序为：先查验</w:t>
      </w:r>
      <w:r>
        <w:rPr>
          <w:rFonts w:hint="eastAsia" w:hAnsi="宋体"/>
          <w:b/>
          <w:sz w:val="24"/>
          <w:u w:val="single"/>
        </w:rPr>
        <w:t>资信</w:t>
      </w:r>
      <w:r>
        <w:rPr>
          <w:rFonts w:hint="eastAsia" w:ascii="宋体" w:hAnsi="宋体"/>
          <w:b/>
          <w:sz w:val="24"/>
          <w:u w:val="single"/>
        </w:rPr>
        <w:t>证明文件、其次开商务标、技术标、最后开价格标。资格（</w:t>
      </w:r>
      <w:r>
        <w:rPr>
          <w:rFonts w:hint="eastAsia" w:hAnsi="宋体"/>
          <w:b/>
          <w:sz w:val="24"/>
          <w:u w:val="single"/>
        </w:rPr>
        <w:t>资信）</w:t>
      </w:r>
      <w:r>
        <w:rPr>
          <w:rFonts w:hint="eastAsia" w:ascii="宋体" w:hAnsi="宋体"/>
          <w:b/>
          <w:sz w:val="24"/>
          <w:u w:val="single"/>
        </w:rPr>
        <w:t>证明文件或商务标、技术标经过评标委员会评审未获通过的，将不再开启价格标。</w:t>
      </w:r>
    </w:p>
    <w:p>
      <w:pPr>
        <w:spacing w:line="440" w:lineRule="exact"/>
        <w:ind w:firstLine="472" w:firstLineChars="197"/>
        <w:rPr>
          <w:rFonts w:hint="eastAsia" w:ascii="宋体" w:hAnsi="宋体"/>
          <w:sz w:val="24"/>
        </w:rPr>
      </w:pPr>
      <w:r>
        <w:rPr>
          <w:rFonts w:hint="eastAsia" w:ascii="宋体" w:hAnsi="宋体"/>
          <w:sz w:val="24"/>
        </w:rPr>
        <w:t>8.2 评标：</w:t>
      </w:r>
    </w:p>
    <w:p>
      <w:pPr>
        <w:pStyle w:val="23"/>
        <w:spacing w:line="440" w:lineRule="exact"/>
        <w:ind w:firstLine="480" w:firstLineChars="200"/>
        <w:rPr>
          <w:rFonts w:hAnsi="宋体" w:eastAsia="Times New Roman"/>
        </w:rPr>
      </w:pPr>
      <w:r>
        <w:rPr>
          <w:rFonts w:hAnsi="宋体"/>
          <w:sz w:val="24"/>
        </w:rPr>
        <w:t>8.2.1采购人将组织</w:t>
      </w:r>
      <w:r>
        <w:rPr>
          <w:rFonts w:hint="eastAsia" w:hAnsi="宋体"/>
          <w:sz w:val="24"/>
          <w:szCs w:val="24"/>
        </w:rPr>
        <w:t>评标委员会进</w:t>
      </w:r>
      <w:r>
        <w:rPr>
          <w:rFonts w:hAnsi="宋体"/>
          <w:sz w:val="24"/>
        </w:rPr>
        <w:t>行评标，依照本采购文件规定进行审查、评议；</w:t>
      </w:r>
    </w:p>
    <w:p>
      <w:pPr>
        <w:autoSpaceDE w:val="0"/>
        <w:autoSpaceDN w:val="0"/>
        <w:spacing w:line="440" w:lineRule="exact"/>
        <w:ind w:left="480"/>
        <w:rPr>
          <w:rFonts w:hint="eastAsia"/>
          <w:sz w:val="24"/>
        </w:rPr>
      </w:pPr>
      <w:r>
        <w:rPr>
          <w:rFonts w:hint="eastAsia" w:ascii="宋体" w:hAnsi="宋体"/>
          <w:sz w:val="24"/>
        </w:rPr>
        <w:t>8.2.2 将从以下几方面对有效的投标文件进行综合评判：</w:t>
      </w:r>
    </w:p>
    <w:p>
      <w:pPr>
        <w:autoSpaceDE w:val="0"/>
        <w:autoSpaceDN w:val="0"/>
        <w:spacing w:line="440" w:lineRule="exact"/>
        <w:ind w:firstLine="480" w:firstLineChars="200"/>
        <w:rPr>
          <w:rFonts w:hint="eastAsia"/>
          <w:sz w:val="24"/>
        </w:rPr>
      </w:pPr>
      <w:r>
        <w:rPr>
          <w:rFonts w:hint="eastAsia" w:ascii="宋体" w:hAnsi="宋体"/>
          <w:sz w:val="24"/>
        </w:rPr>
        <w:t>8.2.2.1 供应商详细的安装实施方案和实施计划；</w:t>
      </w:r>
    </w:p>
    <w:p>
      <w:pPr>
        <w:autoSpaceDE w:val="0"/>
        <w:autoSpaceDN w:val="0"/>
        <w:spacing w:line="440" w:lineRule="exact"/>
        <w:ind w:firstLine="470" w:firstLineChars="196"/>
        <w:rPr>
          <w:rFonts w:hint="eastAsia"/>
          <w:sz w:val="24"/>
        </w:rPr>
      </w:pPr>
      <w:r>
        <w:rPr>
          <w:rFonts w:hint="eastAsia" w:ascii="宋体" w:hAnsi="宋体"/>
          <w:sz w:val="24"/>
        </w:rPr>
        <w:t>8.2.2.2 投标价格是否具有优势；</w:t>
      </w:r>
    </w:p>
    <w:p>
      <w:pPr>
        <w:autoSpaceDE w:val="0"/>
        <w:autoSpaceDN w:val="0"/>
        <w:spacing w:line="440" w:lineRule="exact"/>
        <w:ind w:firstLine="470" w:firstLineChars="196"/>
        <w:rPr>
          <w:rFonts w:hint="eastAsia"/>
          <w:sz w:val="24"/>
        </w:rPr>
      </w:pPr>
      <w:r>
        <w:rPr>
          <w:rFonts w:hint="eastAsia" w:ascii="宋体" w:hAnsi="宋体"/>
          <w:sz w:val="24"/>
        </w:rPr>
        <w:t>8.2.2.3 对采购文件中的付款方式是否响应，如不响应将被拒绝；</w:t>
      </w:r>
    </w:p>
    <w:p>
      <w:pPr>
        <w:autoSpaceDE w:val="0"/>
        <w:autoSpaceDN w:val="0"/>
        <w:spacing w:line="440" w:lineRule="exact"/>
        <w:ind w:firstLine="470" w:firstLineChars="196"/>
        <w:rPr>
          <w:rFonts w:hint="eastAsia"/>
          <w:sz w:val="24"/>
        </w:rPr>
      </w:pPr>
      <w:r>
        <w:rPr>
          <w:rFonts w:hint="eastAsia" w:ascii="宋体" w:hAnsi="宋体"/>
          <w:sz w:val="24"/>
        </w:rPr>
        <w:t>8.2.2.4 供应商的综合实力、业绩及信誉等；</w:t>
      </w:r>
    </w:p>
    <w:p>
      <w:pPr>
        <w:autoSpaceDE w:val="0"/>
        <w:autoSpaceDN w:val="0"/>
        <w:spacing w:line="440" w:lineRule="exact"/>
        <w:ind w:firstLine="470" w:firstLineChars="196"/>
        <w:rPr>
          <w:rFonts w:hint="eastAsia"/>
          <w:sz w:val="24"/>
        </w:rPr>
      </w:pPr>
      <w:r>
        <w:rPr>
          <w:rFonts w:hint="eastAsia" w:ascii="宋体" w:hAnsi="宋体"/>
          <w:sz w:val="24"/>
        </w:rPr>
        <w:t>8.2.2.5 售后服务承诺是否完整、真实、可行；</w:t>
      </w:r>
    </w:p>
    <w:p>
      <w:pPr>
        <w:autoSpaceDE w:val="0"/>
        <w:autoSpaceDN w:val="0"/>
        <w:spacing w:line="440" w:lineRule="exact"/>
        <w:ind w:firstLine="470" w:firstLineChars="196"/>
        <w:rPr>
          <w:rFonts w:hint="eastAsia" w:ascii="宋体" w:hAnsi="宋体"/>
          <w:sz w:val="24"/>
        </w:rPr>
      </w:pPr>
      <w:r>
        <w:rPr>
          <w:rFonts w:hint="eastAsia" w:ascii="宋体" w:hAnsi="宋体"/>
          <w:sz w:val="24"/>
        </w:rPr>
        <w:t>8.2.2.6 投标文件是否完整、真实、整洁。</w:t>
      </w:r>
    </w:p>
    <w:p>
      <w:pPr>
        <w:autoSpaceDE w:val="0"/>
        <w:autoSpaceDN w:val="0"/>
        <w:spacing w:line="440" w:lineRule="exact"/>
        <w:ind w:firstLine="470" w:firstLineChars="196"/>
        <w:rPr>
          <w:rFonts w:hint="eastAsia"/>
          <w:sz w:val="24"/>
        </w:rPr>
      </w:pPr>
      <w:r>
        <w:rPr>
          <w:rFonts w:hint="eastAsia" w:ascii="宋体" w:hAnsi="宋体"/>
          <w:sz w:val="24"/>
        </w:rPr>
        <w:t>8.2.2.7 投标货物的性能优劣。</w:t>
      </w:r>
    </w:p>
    <w:p>
      <w:pPr>
        <w:spacing w:line="440" w:lineRule="exact"/>
        <w:ind w:firstLine="472" w:firstLineChars="197"/>
        <w:rPr>
          <w:rFonts w:hint="eastAsia" w:ascii="宋体" w:hAnsi="宋体"/>
          <w:sz w:val="24"/>
        </w:rPr>
      </w:pPr>
      <w:r>
        <w:rPr>
          <w:rFonts w:hint="eastAsia" w:ascii="宋体" w:hAnsi="宋体"/>
          <w:sz w:val="24"/>
        </w:rPr>
        <w:t>8.2.3 与采购文件有重大偏离的投标文件将被拒绝。</w:t>
      </w:r>
    </w:p>
    <w:p>
      <w:pPr>
        <w:tabs>
          <w:tab w:val="left" w:pos="3720"/>
        </w:tabs>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8.3 定标方式：</w:t>
      </w:r>
      <w:r>
        <w:rPr>
          <w:rFonts w:hint="eastAsia" w:ascii="宋体" w:hAnsi="宋体"/>
          <w:sz w:val="24"/>
          <w:u w:val="single"/>
        </w:rPr>
        <w:t>采用综合评分法</w:t>
      </w:r>
    </w:p>
    <w:p>
      <w:pPr>
        <w:autoSpaceDE w:val="0"/>
        <w:autoSpaceDN w:val="0"/>
        <w:spacing w:line="440" w:lineRule="exact"/>
        <w:ind w:firstLine="480" w:firstLineChars="200"/>
        <w:rPr>
          <w:rFonts w:hint="eastAsia" w:ascii="宋体" w:hAnsi="宋体"/>
          <w:sz w:val="24"/>
          <w:u w:val="single"/>
        </w:rPr>
      </w:pPr>
      <w:r>
        <w:rPr>
          <w:rFonts w:hint="eastAsia" w:ascii="宋体" w:hAnsi="宋体"/>
          <w:sz w:val="24"/>
          <w:u w:val="single"/>
        </w:rPr>
        <w:t>8.3.1 投标人根据采购人所需的2018年柯桥区钱清镇智能交通（设备、线路）建设项目的主要性能、技术指标等要求进行标书制作和报价。</w:t>
      </w:r>
    </w:p>
    <w:p>
      <w:pPr>
        <w:autoSpaceDE w:val="0"/>
        <w:autoSpaceDN w:val="0"/>
        <w:spacing w:line="440" w:lineRule="exact"/>
        <w:ind w:firstLine="480" w:firstLineChars="200"/>
        <w:rPr>
          <w:rFonts w:hint="eastAsia"/>
          <w:sz w:val="24"/>
          <w:u w:val="single"/>
        </w:rPr>
      </w:pPr>
      <w:r>
        <w:rPr>
          <w:rFonts w:hint="eastAsia" w:ascii="宋体" w:hAnsi="宋体"/>
          <w:sz w:val="24"/>
          <w:u w:val="single"/>
        </w:rPr>
        <w:t>8.3.2 经评标委员会综合评定后，以总得分最高者为第一中标候选人，若最高总得分出现并列时，以报价低者为第一中标候选人；若最高总得分与报价均相同时，由采购人当场随机抽签选定第一中标候选人。</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8.3.3具体评分方式详见“评标办法”。（附件十三）</w:t>
      </w:r>
    </w:p>
    <w:p>
      <w:pPr>
        <w:spacing w:line="440" w:lineRule="exact"/>
        <w:ind w:firstLine="472" w:firstLineChars="197"/>
        <w:rPr>
          <w:rFonts w:hint="eastAsia" w:ascii="宋体" w:hAnsi="宋体"/>
        </w:rPr>
      </w:pPr>
      <w:r>
        <w:rPr>
          <w:rFonts w:hint="eastAsia" w:ascii="宋体" w:hAnsi="宋体"/>
          <w:sz w:val="24"/>
        </w:rPr>
        <w:t>8.4 定标：按本采购文件“8.3定标方式”规定确定中标者。</w:t>
      </w:r>
    </w:p>
    <w:p>
      <w:pPr>
        <w:spacing w:line="440" w:lineRule="exact"/>
        <w:ind w:firstLine="480" w:firstLineChars="200"/>
        <w:rPr>
          <w:rFonts w:hint="eastAsia" w:ascii="宋体" w:hAnsi="宋体"/>
          <w:sz w:val="24"/>
        </w:rPr>
      </w:pPr>
      <w:r>
        <w:rPr>
          <w:rFonts w:hint="eastAsia" w:ascii="宋体" w:hAnsi="宋体"/>
          <w:sz w:val="24"/>
        </w:rPr>
        <w:t>8.5 出现下列情形之一的，采购人将予以废标。</w:t>
      </w:r>
    </w:p>
    <w:p>
      <w:pPr>
        <w:spacing w:line="440" w:lineRule="exact"/>
        <w:ind w:firstLine="480" w:firstLineChars="200"/>
        <w:rPr>
          <w:rFonts w:hint="eastAsia" w:ascii="宋体" w:hAnsi="宋体"/>
          <w:sz w:val="24"/>
          <w:u w:val="single"/>
        </w:rPr>
      </w:pPr>
      <w:r>
        <w:rPr>
          <w:rFonts w:hint="eastAsia" w:ascii="宋体" w:hAnsi="宋体"/>
          <w:sz w:val="24"/>
          <w:u w:val="single"/>
        </w:rPr>
        <w:t>8.5.1在投标截止时间前，按规定提交投标文件的供应商不足三家的；</w:t>
      </w:r>
    </w:p>
    <w:p>
      <w:pPr>
        <w:spacing w:line="440" w:lineRule="exact"/>
        <w:ind w:firstLine="480" w:firstLineChars="200"/>
        <w:rPr>
          <w:rFonts w:hint="eastAsia" w:ascii="宋体" w:hAnsi="宋体"/>
          <w:sz w:val="24"/>
        </w:rPr>
      </w:pPr>
      <w:r>
        <w:rPr>
          <w:rFonts w:hint="eastAsia" w:ascii="宋体" w:hAnsi="宋体"/>
          <w:sz w:val="24"/>
        </w:rPr>
        <w:t>8.5.2供应商的报价均超过了采购人上限价或采购预算，采购人不能支付的；</w:t>
      </w:r>
    </w:p>
    <w:p>
      <w:pPr>
        <w:spacing w:line="440" w:lineRule="exact"/>
        <w:ind w:firstLine="480" w:firstLineChars="200"/>
        <w:rPr>
          <w:rFonts w:hint="eastAsia" w:ascii="宋体" w:hAnsi="宋体"/>
          <w:sz w:val="24"/>
        </w:rPr>
      </w:pPr>
      <w:r>
        <w:rPr>
          <w:rFonts w:hint="eastAsia" w:ascii="宋体" w:hAnsi="宋体"/>
          <w:sz w:val="24"/>
        </w:rPr>
        <w:t>8.5.3出现影响采购公正的违法、违规行为的。</w:t>
      </w:r>
    </w:p>
    <w:p>
      <w:pPr>
        <w:spacing w:line="440" w:lineRule="exact"/>
        <w:ind w:firstLine="480" w:firstLineChars="200"/>
        <w:rPr>
          <w:rFonts w:hint="eastAsia" w:ascii="宋体" w:hAnsi="宋体"/>
          <w:sz w:val="24"/>
        </w:rPr>
      </w:pPr>
      <w:r>
        <w:rPr>
          <w:rFonts w:hint="eastAsia" w:ascii="宋体" w:hAnsi="宋体"/>
          <w:sz w:val="24"/>
        </w:rPr>
        <w:t>8.6 采购人不向供应商解释未中标的原因，不退还投标文件。</w:t>
      </w:r>
    </w:p>
    <w:p>
      <w:pPr>
        <w:spacing w:line="440" w:lineRule="exact"/>
        <w:ind w:firstLine="472" w:firstLineChars="197"/>
        <w:rPr>
          <w:rFonts w:hint="eastAsia" w:ascii="宋体" w:hAnsi="宋体"/>
          <w:sz w:val="24"/>
        </w:rPr>
      </w:pPr>
      <w:r>
        <w:rPr>
          <w:rFonts w:hint="eastAsia" w:ascii="宋体" w:hAnsi="宋体"/>
          <w:sz w:val="24"/>
        </w:rPr>
        <w:t>8.7投标文件有下列情况之一，经认定属未实质性响应采购文件的，将视为无效：</w:t>
      </w:r>
    </w:p>
    <w:p>
      <w:pPr>
        <w:spacing w:line="440" w:lineRule="exact"/>
        <w:ind w:firstLine="480" w:firstLineChars="200"/>
        <w:rPr>
          <w:rFonts w:hint="eastAsia" w:ascii="宋体" w:hAnsi="宋体"/>
          <w:sz w:val="24"/>
        </w:rPr>
      </w:pPr>
      <w:r>
        <w:rPr>
          <w:rFonts w:hint="eastAsia" w:ascii="宋体" w:hAnsi="宋体"/>
          <w:sz w:val="24"/>
        </w:rPr>
        <w:t>8.7.1投标文件正本或正本的开标一览表（报价表）未加盖供应商公章的；</w:t>
      </w:r>
    </w:p>
    <w:p>
      <w:pPr>
        <w:spacing w:line="440" w:lineRule="exact"/>
        <w:ind w:firstLine="480" w:firstLineChars="200"/>
        <w:rPr>
          <w:rFonts w:hint="eastAsia" w:ascii="宋体" w:hAnsi="宋体"/>
          <w:sz w:val="24"/>
        </w:rPr>
      </w:pPr>
      <w:r>
        <w:rPr>
          <w:rFonts w:hint="eastAsia" w:ascii="宋体" w:hAnsi="宋体"/>
          <w:sz w:val="24"/>
        </w:rPr>
        <w:t>8.7.2 未按采购文件规定填写，内容不全或关键字迹模糊、无法辨认的；</w:t>
      </w:r>
    </w:p>
    <w:p>
      <w:pPr>
        <w:spacing w:line="440" w:lineRule="exact"/>
        <w:ind w:firstLine="480" w:firstLineChars="200"/>
        <w:rPr>
          <w:rFonts w:hint="eastAsia" w:ascii="宋体" w:hAnsi="宋体"/>
          <w:sz w:val="24"/>
        </w:rPr>
      </w:pPr>
      <w:r>
        <w:rPr>
          <w:rFonts w:hint="eastAsia" w:ascii="宋体" w:hAnsi="宋体"/>
          <w:sz w:val="24"/>
        </w:rPr>
        <w:t>8.7.3 供应商递交两份或多份内容不同的投标文件，或在一份投标文件中对同一采购项目报有两个或多个报价，且未声明哪一个有效；</w:t>
      </w:r>
    </w:p>
    <w:p>
      <w:pPr>
        <w:spacing w:line="440" w:lineRule="exact"/>
        <w:ind w:firstLine="480" w:firstLineChars="200"/>
        <w:rPr>
          <w:rFonts w:hint="eastAsia" w:ascii="宋体" w:hAnsi="宋体"/>
          <w:sz w:val="24"/>
        </w:rPr>
      </w:pPr>
      <w:r>
        <w:rPr>
          <w:rFonts w:hint="eastAsia" w:ascii="宋体" w:hAnsi="宋体"/>
          <w:sz w:val="24"/>
        </w:rPr>
        <w:t>8.7.4 供应商名称或组织机构与资格预审时不一致的；</w:t>
      </w:r>
    </w:p>
    <w:p>
      <w:pPr>
        <w:spacing w:line="440" w:lineRule="exact"/>
        <w:ind w:firstLine="480" w:firstLineChars="200"/>
        <w:rPr>
          <w:rFonts w:hint="eastAsia" w:ascii="宋体" w:hAnsi="宋体"/>
          <w:sz w:val="24"/>
        </w:rPr>
      </w:pPr>
      <w:r>
        <w:rPr>
          <w:rFonts w:hint="eastAsia" w:ascii="宋体" w:hAnsi="宋体"/>
          <w:sz w:val="24"/>
        </w:rPr>
        <w:t>8.7.5 未按采购文件要求提交投标保证金的；</w:t>
      </w:r>
    </w:p>
    <w:p>
      <w:pPr>
        <w:spacing w:line="440" w:lineRule="exact"/>
        <w:ind w:firstLine="480" w:firstLineChars="200"/>
        <w:rPr>
          <w:rFonts w:hint="eastAsia" w:ascii="宋体" w:hAnsi="宋体"/>
          <w:sz w:val="24"/>
        </w:rPr>
      </w:pPr>
      <w:r>
        <w:rPr>
          <w:rFonts w:hint="eastAsia" w:ascii="宋体" w:hAnsi="宋体"/>
          <w:sz w:val="24"/>
        </w:rPr>
        <w:t>8.7.6 投标文件未按采购文件要求封装、提交的。</w:t>
      </w:r>
    </w:p>
    <w:p>
      <w:pPr>
        <w:spacing w:line="440" w:lineRule="exact"/>
        <w:ind w:firstLine="480" w:firstLineChars="200"/>
        <w:rPr>
          <w:rFonts w:hint="eastAsia" w:ascii="宋体" w:hAnsi="宋体"/>
          <w:sz w:val="24"/>
        </w:rPr>
      </w:pPr>
      <w:r>
        <w:rPr>
          <w:rFonts w:hint="eastAsia" w:ascii="宋体" w:hAnsi="宋体"/>
          <w:sz w:val="24"/>
        </w:rPr>
        <w:t>8.7.7 不具备采购文件中规定资格要求或未按采购文件要求提供资格、资信证明文件的。</w:t>
      </w:r>
    </w:p>
    <w:p>
      <w:pPr>
        <w:spacing w:line="440" w:lineRule="exact"/>
        <w:ind w:firstLine="480" w:firstLineChars="200"/>
        <w:rPr>
          <w:rFonts w:hint="eastAsia" w:ascii="宋体" w:hAnsi="宋体"/>
          <w:sz w:val="24"/>
        </w:rPr>
      </w:pPr>
      <w:r>
        <w:rPr>
          <w:rFonts w:hint="eastAsia" w:ascii="宋体" w:hAnsi="宋体"/>
          <w:sz w:val="24"/>
        </w:rPr>
        <w:t>8.7.8 不符合法律、法规和采购文件中规定的其他实质性要求的。</w:t>
      </w:r>
    </w:p>
    <w:p>
      <w:pPr>
        <w:spacing w:line="440" w:lineRule="exact"/>
        <w:ind w:firstLine="480" w:firstLineChars="200"/>
        <w:rPr>
          <w:rFonts w:hint="eastAsia" w:ascii="宋体" w:hAnsi="宋体"/>
          <w:sz w:val="24"/>
        </w:rPr>
      </w:pPr>
      <w:r>
        <w:rPr>
          <w:rFonts w:hint="eastAsia" w:ascii="宋体" w:hAnsi="宋体"/>
          <w:sz w:val="24"/>
        </w:rPr>
        <w:t>8.8 采购代理机构应当在评标结束后两个工作日内将评标报告送采购人。</w:t>
      </w:r>
    </w:p>
    <w:p>
      <w:pPr>
        <w:spacing w:line="440" w:lineRule="exact"/>
        <w:ind w:firstLine="480" w:firstLineChars="200"/>
        <w:rPr>
          <w:rFonts w:hint="eastAsia" w:ascii="宋体" w:hAnsi="宋体"/>
          <w:sz w:val="24"/>
        </w:rPr>
      </w:pPr>
      <w:r>
        <w:rPr>
          <w:rFonts w:hint="eastAsia" w:ascii="宋体" w:hAnsi="宋体"/>
          <w:sz w:val="24"/>
        </w:rPr>
        <w:t>8.9 采购人应当在收到评标报告后五个工作日内，在评标报告推荐的中标候选人中确定中标供应商。</w:t>
      </w:r>
    </w:p>
    <w:p>
      <w:pPr>
        <w:spacing w:line="440" w:lineRule="exact"/>
        <w:ind w:firstLine="480" w:firstLineChars="200"/>
        <w:rPr>
          <w:rFonts w:hint="eastAsia" w:ascii="宋体" w:hAnsi="宋体"/>
          <w:sz w:val="24"/>
        </w:rPr>
      </w:pPr>
    </w:p>
    <w:p>
      <w:pPr>
        <w:pStyle w:val="2"/>
        <w:numPr>
          <w:ilvl w:val="0"/>
          <w:numId w:val="0"/>
        </w:numPr>
        <w:spacing w:before="0" w:after="0" w:line="440" w:lineRule="exact"/>
        <w:jc w:val="center"/>
        <w:rPr>
          <w:rFonts w:hint="eastAsia" w:ascii="宋体" w:hAnsi="宋体"/>
          <w:sz w:val="28"/>
          <w:szCs w:val="28"/>
        </w:rPr>
      </w:pPr>
      <w:bookmarkStart w:id="34" w:name="_Toc264116919"/>
      <w:bookmarkStart w:id="35" w:name="_Toc29069"/>
      <w:r>
        <w:rPr>
          <w:rFonts w:hint="eastAsia" w:ascii="宋体" w:hAnsi="宋体"/>
          <w:sz w:val="28"/>
          <w:szCs w:val="28"/>
        </w:rPr>
        <w:t>九、投标截止时间、开标时间及地点</w:t>
      </w:r>
      <w:bookmarkEnd w:id="34"/>
      <w:bookmarkEnd w:id="35"/>
    </w:p>
    <w:p>
      <w:pPr>
        <w:pStyle w:val="23"/>
        <w:spacing w:line="440" w:lineRule="exact"/>
        <w:rPr>
          <w:rFonts w:hint="eastAsia" w:hAnsi="宋体"/>
          <w:sz w:val="24"/>
        </w:rPr>
      </w:pPr>
    </w:p>
    <w:p>
      <w:pPr>
        <w:pStyle w:val="23"/>
        <w:tabs>
          <w:tab w:val="left" w:pos="7020"/>
        </w:tabs>
        <w:spacing w:line="440" w:lineRule="exact"/>
        <w:ind w:firstLine="480" w:firstLineChars="200"/>
        <w:rPr>
          <w:rFonts w:hint="eastAsia" w:hAnsi="宋体"/>
          <w:sz w:val="24"/>
        </w:rPr>
      </w:pPr>
      <w:r>
        <w:rPr>
          <w:rFonts w:hint="eastAsia" w:hAnsi="宋体"/>
          <w:sz w:val="24"/>
        </w:rPr>
        <w:t>9.1投标文件递交截止时间：详见前附表第</w:t>
      </w:r>
      <w:r>
        <w:rPr>
          <w:rFonts w:hint="eastAsia" w:hAnsi="宋体"/>
          <w:sz w:val="24"/>
          <w:u w:val="single"/>
        </w:rPr>
        <w:t>14</w:t>
      </w:r>
      <w:r>
        <w:rPr>
          <w:rFonts w:hint="eastAsia" w:hAnsi="宋体"/>
          <w:sz w:val="24"/>
        </w:rPr>
        <w:t>项。</w:t>
      </w:r>
    </w:p>
    <w:p>
      <w:pPr>
        <w:pStyle w:val="23"/>
        <w:tabs>
          <w:tab w:val="left" w:pos="7020"/>
        </w:tabs>
        <w:spacing w:line="440" w:lineRule="exact"/>
        <w:ind w:firstLine="480" w:firstLineChars="200"/>
        <w:rPr>
          <w:rFonts w:hint="eastAsia" w:hAnsi="宋体"/>
          <w:sz w:val="24"/>
        </w:rPr>
      </w:pPr>
      <w:r>
        <w:rPr>
          <w:rFonts w:hint="eastAsia" w:hAnsi="宋体"/>
          <w:sz w:val="24"/>
        </w:rPr>
        <w:t>9.2开标时间：详见前附表第</w:t>
      </w:r>
      <w:r>
        <w:rPr>
          <w:rFonts w:hint="eastAsia" w:hAnsi="宋体"/>
          <w:sz w:val="24"/>
          <w:u w:val="single"/>
        </w:rPr>
        <w:t>15</w:t>
      </w:r>
      <w:r>
        <w:rPr>
          <w:rFonts w:hint="eastAsia" w:hAnsi="宋体"/>
          <w:sz w:val="24"/>
        </w:rPr>
        <w:t>项。</w:t>
      </w:r>
    </w:p>
    <w:p>
      <w:pPr>
        <w:pStyle w:val="23"/>
        <w:spacing w:line="440" w:lineRule="exact"/>
        <w:ind w:firstLine="480" w:firstLineChars="200"/>
        <w:rPr>
          <w:rFonts w:hint="eastAsia" w:hAnsi="宋体"/>
          <w:sz w:val="24"/>
        </w:rPr>
      </w:pPr>
      <w:r>
        <w:rPr>
          <w:rFonts w:hint="eastAsia" w:hAnsi="宋体"/>
          <w:sz w:val="24"/>
        </w:rPr>
        <w:t>9.3开标地点：详见前附表第</w:t>
      </w:r>
      <w:r>
        <w:rPr>
          <w:rFonts w:hint="eastAsia" w:hAnsi="宋体"/>
          <w:sz w:val="24"/>
          <w:u w:val="single"/>
        </w:rPr>
        <w:t>15</w:t>
      </w:r>
      <w:r>
        <w:rPr>
          <w:rFonts w:hint="eastAsia" w:hAnsi="宋体"/>
          <w:sz w:val="24"/>
        </w:rPr>
        <w:t>项。</w:t>
      </w:r>
    </w:p>
    <w:p>
      <w:pPr>
        <w:pStyle w:val="23"/>
        <w:spacing w:line="440" w:lineRule="exact"/>
        <w:ind w:firstLine="480" w:firstLineChars="200"/>
        <w:rPr>
          <w:rFonts w:hint="eastAsia" w:hAnsi="宋体"/>
          <w:sz w:val="24"/>
        </w:rPr>
      </w:pPr>
      <w:r>
        <w:rPr>
          <w:rFonts w:hint="eastAsia" w:hAnsi="宋体"/>
          <w:sz w:val="24"/>
        </w:rPr>
        <w:t>9.4采购人在投标截止时间以后收到的任何投标文件，将予以拒绝，并原封退回供应商。</w:t>
      </w:r>
    </w:p>
    <w:p>
      <w:pPr>
        <w:pStyle w:val="23"/>
        <w:spacing w:line="440" w:lineRule="exact"/>
        <w:ind w:firstLine="480" w:firstLineChars="200"/>
        <w:rPr>
          <w:rFonts w:hint="eastAsia" w:hAnsi="宋体"/>
          <w:sz w:val="24"/>
        </w:rPr>
      </w:pPr>
    </w:p>
    <w:p>
      <w:pPr>
        <w:pStyle w:val="2"/>
        <w:numPr>
          <w:ilvl w:val="0"/>
          <w:numId w:val="0"/>
        </w:numPr>
        <w:spacing w:before="0" w:after="0" w:line="440" w:lineRule="exact"/>
        <w:jc w:val="center"/>
        <w:rPr>
          <w:rFonts w:hint="eastAsia" w:ascii="宋体" w:hAnsi="宋体"/>
          <w:sz w:val="28"/>
          <w:szCs w:val="28"/>
        </w:rPr>
      </w:pPr>
      <w:bookmarkStart w:id="36" w:name="_Toc264116920"/>
      <w:bookmarkStart w:id="37" w:name="_Toc25307"/>
      <w:r>
        <w:rPr>
          <w:rFonts w:hint="eastAsia" w:ascii="宋体" w:hAnsi="宋体"/>
          <w:sz w:val="28"/>
          <w:szCs w:val="28"/>
        </w:rPr>
        <w:t>十、其他事项</w:t>
      </w:r>
      <w:bookmarkEnd w:id="36"/>
      <w:bookmarkEnd w:id="37"/>
    </w:p>
    <w:p>
      <w:pPr>
        <w:spacing w:line="440" w:lineRule="exact"/>
        <w:ind w:firstLine="472" w:firstLineChars="197"/>
        <w:rPr>
          <w:rFonts w:hint="eastAsia" w:ascii="宋体" w:hAnsi="宋体"/>
          <w:sz w:val="24"/>
        </w:rPr>
      </w:pPr>
    </w:p>
    <w:p>
      <w:pPr>
        <w:spacing w:line="440" w:lineRule="exact"/>
        <w:ind w:firstLine="472" w:firstLineChars="197"/>
        <w:rPr>
          <w:rFonts w:hint="eastAsia" w:ascii="宋体" w:hAnsi="宋体"/>
          <w:sz w:val="24"/>
        </w:rPr>
      </w:pPr>
      <w:r>
        <w:rPr>
          <w:rFonts w:hint="eastAsia" w:ascii="宋体" w:hAnsi="宋体"/>
          <w:sz w:val="24"/>
        </w:rPr>
        <w:t>10.1采购活动全过程由柯桥区公证处实施公证。</w:t>
      </w:r>
    </w:p>
    <w:p>
      <w:pPr>
        <w:spacing w:line="440" w:lineRule="exact"/>
        <w:ind w:firstLine="472" w:firstLineChars="197"/>
        <w:rPr>
          <w:rFonts w:hint="eastAsia" w:ascii="宋体" w:hAnsi="宋体"/>
          <w:sz w:val="24"/>
        </w:rPr>
      </w:pPr>
      <w:r>
        <w:rPr>
          <w:rFonts w:hint="eastAsia" w:ascii="宋体" w:hAnsi="宋体"/>
          <w:sz w:val="24"/>
        </w:rPr>
        <w:t>10.2本标文未尽事宜，另行以在浙江省政府采购网上发布形式补充说明，并按照《中华人民共和国政府采购法》、《中华人民共和国政府采购法实施条例》的基本原则和精神执行。</w:t>
      </w:r>
    </w:p>
    <w:p>
      <w:pPr>
        <w:spacing w:line="440" w:lineRule="exact"/>
        <w:rPr>
          <w:rFonts w:hint="eastAsia" w:ascii="宋体" w:hAnsi="宋体"/>
          <w:sz w:val="24"/>
        </w:rPr>
      </w:pPr>
      <w:r>
        <w:rPr>
          <w:rFonts w:hint="eastAsia" w:ascii="宋体" w:hAnsi="宋体"/>
          <w:sz w:val="24"/>
        </w:rPr>
        <w:t xml:space="preserve">    10.3本次招标采购监督管理部门：绍兴市柯桥区公共资源交易管理委员会办公室，监督电话：0575-84130780</w:t>
      </w:r>
    </w:p>
    <w:p>
      <w:pPr>
        <w:spacing w:line="440" w:lineRule="exact"/>
        <w:ind w:firstLine="472" w:firstLineChars="197"/>
        <w:jc w:val="left"/>
        <w:rPr>
          <w:rFonts w:hint="eastAsia" w:ascii="宋体" w:hAnsi="宋体"/>
          <w:sz w:val="24"/>
        </w:rPr>
      </w:pPr>
      <w:r>
        <w:rPr>
          <w:rFonts w:hint="eastAsia" w:ascii="宋体" w:hAnsi="宋体"/>
          <w:sz w:val="24"/>
        </w:rPr>
        <w:t>10.4凡参加开标会的供应商，均视同对本标文及评标办法的认可，无异议。</w:t>
      </w:r>
    </w:p>
    <w:p>
      <w:pPr>
        <w:spacing w:line="440" w:lineRule="exact"/>
        <w:ind w:firstLine="472" w:firstLineChars="197"/>
        <w:jc w:val="left"/>
        <w:rPr>
          <w:rFonts w:hint="eastAsia" w:ascii="宋体" w:hAnsi="宋体"/>
          <w:sz w:val="24"/>
        </w:rPr>
      </w:pPr>
    </w:p>
    <w:p>
      <w:pPr>
        <w:spacing w:line="440" w:lineRule="exact"/>
        <w:ind w:firstLine="472" w:firstLineChars="197"/>
        <w:jc w:val="left"/>
        <w:rPr>
          <w:rFonts w:hint="eastAsia" w:ascii="宋体" w:hAnsi="宋体"/>
          <w:sz w:val="24"/>
        </w:rPr>
      </w:pPr>
    </w:p>
    <w:p>
      <w:pPr>
        <w:spacing w:line="440" w:lineRule="exact"/>
        <w:ind w:firstLine="472" w:firstLineChars="197"/>
        <w:jc w:val="left"/>
        <w:rPr>
          <w:rFonts w:hint="eastAsia" w:ascii="宋体" w:hAnsi="宋体"/>
          <w:sz w:val="24"/>
        </w:rPr>
      </w:pPr>
      <w:r>
        <w:rPr>
          <w:rFonts w:hint="eastAsia" w:ascii="宋体" w:hAnsi="宋体"/>
          <w:sz w:val="24"/>
        </w:rPr>
        <w:t xml:space="preserve">                                       采购人：</w:t>
      </w:r>
      <w:r>
        <w:rPr>
          <w:rFonts w:hint="eastAsia" w:ascii="宋体" w:hAnsi="宋体"/>
          <w:sz w:val="24"/>
          <w:u w:val="single"/>
        </w:rPr>
        <w:t>绍兴市柯桥区钱清镇人民政府</w:t>
      </w:r>
    </w:p>
    <w:p>
      <w:pPr>
        <w:spacing w:line="440" w:lineRule="exact"/>
        <w:jc w:val="right"/>
        <w:rPr>
          <w:rFonts w:hint="eastAsia" w:ascii="宋体" w:hAnsi="宋体"/>
          <w:sz w:val="24"/>
        </w:rPr>
      </w:pPr>
      <w:r>
        <w:rPr>
          <w:rFonts w:hint="eastAsia" w:ascii="宋体" w:hAnsi="宋体"/>
          <w:sz w:val="24"/>
        </w:rPr>
        <w:t>采购代理机构：</w:t>
      </w:r>
      <w:r>
        <w:rPr>
          <w:rFonts w:hint="eastAsia" w:ascii="宋体" w:hAnsi="宋体"/>
          <w:sz w:val="24"/>
          <w:u w:val="single"/>
        </w:rPr>
        <w:t>绍兴市鼎正建设工程咨询有限公司</w:t>
      </w:r>
    </w:p>
    <w:p>
      <w:pPr>
        <w:pStyle w:val="26"/>
        <w:spacing w:line="440" w:lineRule="exact"/>
        <w:ind w:left="99" w:leftChars="47" w:firstLine="6720" w:firstLineChars="2800"/>
        <w:jc w:val="left"/>
        <w:rPr>
          <w:rFonts w:hint="eastAsia" w:ascii="宋体" w:hAnsi="宋体"/>
          <w:sz w:val="24"/>
          <w:u w:val="single"/>
        </w:rPr>
      </w:pPr>
      <w:r>
        <w:rPr>
          <w:rFonts w:hint="eastAsia" w:ascii="宋体" w:hAnsi="宋体"/>
          <w:sz w:val="24"/>
          <w:u w:val="single"/>
        </w:rPr>
        <w:t>2018年</w:t>
      </w:r>
      <w:r>
        <w:rPr>
          <w:rFonts w:ascii="宋体" w:hAnsi="宋体"/>
          <w:sz w:val="24"/>
          <w:u w:val="single"/>
        </w:rPr>
        <w:t>10</w:t>
      </w:r>
      <w:r>
        <w:rPr>
          <w:rFonts w:hint="eastAsia" w:ascii="宋体" w:hAnsi="宋体"/>
          <w:sz w:val="24"/>
          <w:u w:val="single"/>
        </w:rPr>
        <w:t>月</w:t>
      </w:r>
      <w:r>
        <w:rPr>
          <w:rFonts w:ascii="宋体" w:hAnsi="宋体"/>
          <w:sz w:val="24"/>
          <w:u w:val="single"/>
        </w:rPr>
        <w:t>25</w:t>
      </w:r>
      <w:r>
        <w:rPr>
          <w:rFonts w:hint="eastAsia" w:ascii="宋体" w:hAnsi="宋体"/>
          <w:sz w:val="24"/>
          <w:u w:val="single"/>
        </w:rPr>
        <w:t>日</w:t>
      </w:r>
    </w:p>
    <w:p>
      <w:pPr>
        <w:rPr>
          <w:rFonts w:hint="eastAsia"/>
        </w:rPr>
      </w:pPr>
    </w:p>
    <w:p>
      <w:pPr>
        <w:pStyle w:val="2"/>
        <w:numPr>
          <w:ilvl w:val="0"/>
          <w:numId w:val="0"/>
        </w:numPr>
        <w:spacing w:after="0" w:line="240" w:lineRule="auto"/>
        <w:jc w:val="center"/>
        <w:rPr>
          <w:rFonts w:hint="eastAsia" w:ascii="宋体" w:hAnsi="宋体"/>
          <w:b w:val="0"/>
        </w:rPr>
      </w:pPr>
      <w:r>
        <w:rPr>
          <w:rFonts w:hint="eastAsia" w:ascii="宋体" w:hAnsi="宋体"/>
        </w:rPr>
        <w:t xml:space="preserve"> </w:t>
      </w:r>
      <w:bookmarkStart w:id="38" w:name="_Toc264116921"/>
      <w:bookmarkStart w:id="39" w:name="_Toc19085"/>
      <w:r>
        <w:rPr>
          <w:rFonts w:hint="eastAsia" w:ascii="宋体" w:hAnsi="宋体"/>
          <w:b w:val="0"/>
        </w:rPr>
        <w:t>附件一：投标函</w:t>
      </w:r>
      <w:bookmarkEnd w:id="38"/>
      <w:bookmarkEnd w:id="39"/>
    </w:p>
    <w:p>
      <w:pPr>
        <w:spacing w:line="500" w:lineRule="exact"/>
        <w:rPr>
          <w:rFonts w:hint="eastAsia" w:ascii="宋体" w:hAnsi="宋体"/>
        </w:rPr>
      </w:pPr>
      <w:r>
        <w:rPr>
          <w:rFonts w:hint="eastAsia" w:ascii="宋体" w:hAnsi="宋体"/>
          <w:sz w:val="24"/>
          <w:u w:val="single"/>
        </w:rPr>
        <w:t xml:space="preserve">                  （采购人）</w:t>
      </w:r>
      <w:r>
        <w:rPr>
          <w:rFonts w:hint="eastAsia" w:ascii="宋体" w:hAnsi="宋体"/>
          <w:sz w:val="24"/>
        </w:rPr>
        <w:t>：</w:t>
      </w:r>
      <w:r>
        <w:rPr>
          <w:rFonts w:ascii="宋体" w:hAnsi="宋体"/>
        </w:rPr>
        <w:tab/>
      </w:r>
    </w:p>
    <w:p>
      <w:pPr>
        <w:spacing w:line="500" w:lineRule="exact"/>
        <w:ind w:firstLine="480" w:firstLineChars="200"/>
        <w:jc w:val="left"/>
        <w:rPr>
          <w:rFonts w:hint="eastAsia" w:ascii="宋体" w:hAnsi="宋体"/>
          <w:sz w:val="24"/>
        </w:rPr>
      </w:pPr>
      <w:r>
        <w:rPr>
          <w:rFonts w:hint="eastAsia" w:ascii="宋体" w:hAnsi="宋体"/>
          <w:sz w:val="24"/>
        </w:rPr>
        <w:t>我单位认真研究了编号为</w:t>
      </w:r>
      <w:r>
        <w:rPr>
          <w:rFonts w:hint="eastAsia"/>
          <w:szCs w:val="21"/>
          <w:u w:val="single"/>
        </w:rPr>
        <w:t xml:space="preserve">            </w:t>
      </w:r>
      <w:r>
        <w:rPr>
          <w:rFonts w:hint="eastAsia" w:ascii="宋体" w:hAnsi="宋体"/>
          <w:sz w:val="24"/>
        </w:rPr>
        <w:t>的关于</w:t>
      </w:r>
      <w:r>
        <w:rPr>
          <w:rFonts w:hint="eastAsia" w:ascii="宋体" w:hAnsi="宋体"/>
          <w:sz w:val="24"/>
          <w:u w:val="single"/>
        </w:rPr>
        <w:t xml:space="preserve">                       </w:t>
      </w:r>
      <w:r>
        <w:rPr>
          <w:rFonts w:hint="eastAsia" w:ascii="宋体" w:hAnsi="宋体"/>
          <w:sz w:val="24"/>
        </w:rPr>
        <w:t>的采购文件，愿意遵守采购文件的所有要求，承担采购文件规定的中标供应商的全部责任和义务。我单位承诺：</w:t>
      </w:r>
    </w:p>
    <w:p>
      <w:pPr>
        <w:spacing w:line="500" w:lineRule="exact"/>
        <w:ind w:firstLine="480" w:firstLineChars="200"/>
        <w:jc w:val="left"/>
        <w:rPr>
          <w:rFonts w:hint="eastAsia" w:ascii="宋体" w:hAnsi="宋体"/>
          <w:sz w:val="24"/>
        </w:rPr>
      </w:pPr>
      <w:r>
        <w:rPr>
          <w:rFonts w:hint="eastAsia" w:ascii="宋体" w:hAnsi="宋体"/>
          <w:sz w:val="24"/>
        </w:rPr>
        <w:t>1、我单位愿意以开标一览表（报价表）所填报的报价承接本采购项目的</w:t>
      </w:r>
      <w:r>
        <w:rPr>
          <w:rFonts w:hint="eastAsia" w:ascii="宋体" w:hAnsi="宋体"/>
          <w:sz w:val="24"/>
          <w:u w:val="single"/>
        </w:rPr>
        <w:t>供应、安装就位、调试、检测、验收及技术服务等</w:t>
      </w:r>
      <w:r>
        <w:rPr>
          <w:rFonts w:hint="eastAsia" w:ascii="宋体" w:hAnsi="宋体"/>
          <w:sz w:val="24"/>
        </w:rPr>
        <w:t>的任务。</w:t>
      </w:r>
    </w:p>
    <w:p>
      <w:pPr>
        <w:spacing w:line="500" w:lineRule="exact"/>
        <w:rPr>
          <w:rFonts w:hint="eastAsia" w:ascii="宋体" w:hAnsi="宋体"/>
          <w:sz w:val="24"/>
        </w:rPr>
      </w:pPr>
      <w:r>
        <w:rPr>
          <w:rFonts w:hint="eastAsia" w:ascii="宋体" w:hAnsi="宋体"/>
          <w:sz w:val="24"/>
        </w:rPr>
        <w:t xml:space="preserve">    2、一旦我单位中标，我们保证按照采购文件的要求，按采购人要求完成设备材料供应安装、调试、第三方100%检测、试运行、售后服务、验收并交付使用。</w:t>
      </w:r>
    </w:p>
    <w:p>
      <w:pPr>
        <w:spacing w:line="500" w:lineRule="exact"/>
        <w:ind w:firstLine="480" w:firstLineChars="200"/>
        <w:rPr>
          <w:rFonts w:hint="eastAsia" w:ascii="宋体" w:hAnsi="宋体"/>
          <w:sz w:val="24"/>
        </w:rPr>
      </w:pPr>
      <w:r>
        <w:rPr>
          <w:rFonts w:hint="eastAsia" w:ascii="宋体" w:hAnsi="宋体"/>
          <w:sz w:val="24"/>
        </w:rPr>
        <w:t>3、我单位同意提供按照采购人可能要求的与其投标有关的一切数据或资料，完全理解和接受不一定按最低价中标。</w:t>
      </w:r>
    </w:p>
    <w:p>
      <w:pPr>
        <w:spacing w:line="500" w:lineRule="exact"/>
        <w:ind w:firstLine="480" w:firstLineChars="200"/>
        <w:rPr>
          <w:rFonts w:hint="eastAsia" w:ascii="宋体" w:hAnsi="宋体"/>
          <w:sz w:val="24"/>
        </w:rPr>
      </w:pPr>
      <w:r>
        <w:rPr>
          <w:rFonts w:hint="eastAsia" w:ascii="宋体" w:hAnsi="宋体"/>
          <w:sz w:val="24"/>
        </w:rPr>
        <w:t>4、如果我单位中标，我方将按照要求提交履约保证金，并严格履行合同义务。</w:t>
      </w:r>
    </w:p>
    <w:p>
      <w:pPr>
        <w:spacing w:line="500" w:lineRule="exact"/>
        <w:ind w:firstLine="455"/>
        <w:rPr>
          <w:rFonts w:hint="eastAsia" w:ascii="宋体" w:hAnsi="宋体"/>
          <w:sz w:val="24"/>
        </w:rPr>
      </w:pPr>
      <w:r>
        <w:rPr>
          <w:rFonts w:hint="eastAsia" w:ascii="宋体" w:hAnsi="宋体"/>
          <w:sz w:val="24"/>
        </w:rPr>
        <w:t>5、除非另行达成协议并生效，你方的中标通知书和本投标函将构成约束你我双方的合同。</w:t>
      </w:r>
    </w:p>
    <w:p>
      <w:pPr>
        <w:spacing w:line="500" w:lineRule="exact"/>
        <w:ind w:firstLine="455"/>
        <w:rPr>
          <w:rFonts w:hint="eastAsia" w:ascii="宋体" w:hAnsi="宋体"/>
          <w:sz w:val="24"/>
        </w:rPr>
      </w:pPr>
      <w:r>
        <w:rPr>
          <w:rFonts w:hint="eastAsia" w:ascii="宋体" w:hAnsi="宋体"/>
          <w:sz w:val="24"/>
        </w:rPr>
        <w:t>6、本供货质量承诺为</w:t>
      </w:r>
      <w:r>
        <w:rPr>
          <w:rFonts w:hint="eastAsia" w:ascii="宋体" w:hAnsi="宋体"/>
          <w:sz w:val="24"/>
          <w:u w:val="single"/>
        </w:rPr>
        <w:t xml:space="preserve">       </w:t>
      </w:r>
      <w:r>
        <w:rPr>
          <w:rFonts w:hint="eastAsia" w:ascii="宋体" w:hAnsi="宋体"/>
          <w:sz w:val="24"/>
        </w:rPr>
        <w:t>。</w:t>
      </w:r>
    </w:p>
    <w:p>
      <w:pPr>
        <w:spacing w:line="500" w:lineRule="exact"/>
        <w:ind w:firstLine="455"/>
        <w:rPr>
          <w:rFonts w:hint="eastAsia" w:ascii="宋体" w:hAnsi="宋体"/>
          <w:sz w:val="24"/>
        </w:rPr>
      </w:pPr>
      <w:r>
        <w:rPr>
          <w:rFonts w:hint="eastAsia" w:ascii="宋体" w:hAnsi="宋体"/>
          <w:sz w:val="24"/>
        </w:rPr>
        <w:t>7、我单位一旦发生下述行为，我单位（或公司）同意采购人取消我单位投（中）标资格。</w:t>
      </w:r>
    </w:p>
    <w:p>
      <w:pPr>
        <w:spacing w:line="500" w:lineRule="exact"/>
        <w:ind w:firstLine="476"/>
        <w:rPr>
          <w:rFonts w:hint="eastAsia" w:ascii="宋体" w:hAnsi="宋体"/>
          <w:sz w:val="24"/>
        </w:rPr>
      </w:pPr>
      <w:r>
        <w:rPr>
          <w:rFonts w:hint="eastAsia" w:ascii="宋体" w:hAnsi="宋体"/>
          <w:sz w:val="24"/>
        </w:rPr>
        <w:t>（一）从开标日起到投标有效期满撤回投标；</w:t>
      </w:r>
    </w:p>
    <w:p>
      <w:pPr>
        <w:spacing w:line="500" w:lineRule="exact"/>
        <w:ind w:firstLine="476"/>
        <w:rPr>
          <w:rFonts w:hint="eastAsia" w:ascii="宋体" w:hAnsi="宋体"/>
          <w:sz w:val="24"/>
        </w:rPr>
      </w:pPr>
      <w:r>
        <w:rPr>
          <w:rFonts w:hint="eastAsia" w:ascii="宋体" w:hAnsi="宋体"/>
          <w:sz w:val="24"/>
        </w:rPr>
        <w:t>（二）开标、评标到定标期间发生违反采购文件规定的行为；</w:t>
      </w:r>
    </w:p>
    <w:p>
      <w:pPr>
        <w:spacing w:line="500" w:lineRule="exact"/>
        <w:ind w:firstLine="476"/>
        <w:rPr>
          <w:rFonts w:hint="eastAsia" w:ascii="宋体" w:hAnsi="宋体"/>
          <w:sz w:val="24"/>
        </w:rPr>
      </w:pPr>
      <w:r>
        <w:rPr>
          <w:rFonts w:hint="eastAsia" w:ascii="宋体" w:hAnsi="宋体"/>
          <w:sz w:val="24"/>
        </w:rPr>
        <w:t>（三）在收到中标通知书后未按规定与采购人签订合同。</w:t>
      </w:r>
    </w:p>
    <w:p>
      <w:pPr>
        <w:spacing w:line="500" w:lineRule="exact"/>
        <w:ind w:firstLine="476"/>
        <w:rPr>
          <w:rFonts w:hint="eastAsia" w:ascii="宋体" w:hAnsi="宋体"/>
          <w:sz w:val="24"/>
        </w:rPr>
      </w:pPr>
      <w:r>
        <w:rPr>
          <w:rFonts w:hint="eastAsia" w:ascii="宋体" w:hAnsi="宋体"/>
          <w:sz w:val="24"/>
        </w:rPr>
        <w:t>8、我单位声明：参加政府采购活动前3年内在经营活动中没有重大违法记录。</w:t>
      </w:r>
    </w:p>
    <w:p>
      <w:pPr>
        <w:spacing w:line="500" w:lineRule="exact"/>
        <w:ind w:firstLine="476"/>
        <w:rPr>
          <w:rFonts w:hint="eastAsia" w:ascii="宋体" w:hAnsi="宋体"/>
          <w:sz w:val="24"/>
        </w:rPr>
      </w:pPr>
      <w:r>
        <w:rPr>
          <w:rFonts w:hint="eastAsia" w:ascii="宋体" w:hAnsi="宋体"/>
          <w:sz w:val="24"/>
        </w:rPr>
        <w:t>9、我方在此声明，我单位未被列入失信被执行人、重大税收违法案件当事人名单和政府采购严重违法失信行为记录名单。</w:t>
      </w:r>
    </w:p>
    <w:p>
      <w:pPr>
        <w:spacing w:line="500" w:lineRule="exact"/>
        <w:ind w:firstLine="3201"/>
        <w:rPr>
          <w:rFonts w:ascii="宋体" w:hAnsi="宋体"/>
          <w:sz w:val="24"/>
          <w:u w:val="single"/>
        </w:rPr>
      </w:pPr>
      <w:r>
        <w:rPr>
          <w:rFonts w:hint="eastAsia" w:ascii="宋体" w:hAnsi="宋体"/>
          <w:sz w:val="24"/>
        </w:rPr>
        <w:t>供应商：</w:t>
      </w:r>
      <w:r>
        <w:rPr>
          <w:rFonts w:hint="eastAsia" w:ascii="宋体" w:hAnsi="宋体"/>
          <w:sz w:val="24"/>
          <w:u w:val="single"/>
        </w:rPr>
        <w:t xml:space="preserve">（盖章）       </w:t>
      </w:r>
      <w:r>
        <w:rPr>
          <w:rFonts w:ascii="宋体" w:hAnsi="宋体"/>
          <w:sz w:val="24"/>
          <w:u w:val="single"/>
        </w:rPr>
        <w:t xml:space="preserve">     </w:t>
      </w:r>
    </w:p>
    <w:p>
      <w:pPr>
        <w:spacing w:line="500" w:lineRule="exact"/>
        <w:ind w:firstLine="3201"/>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（签字或盖章） </w:t>
      </w:r>
      <w:r>
        <w:rPr>
          <w:rFonts w:ascii="宋体" w:hAnsi="宋体"/>
          <w:sz w:val="24"/>
          <w:u w:val="single"/>
        </w:rPr>
        <w:t xml:space="preserve">     </w:t>
      </w:r>
    </w:p>
    <w:p>
      <w:pPr>
        <w:spacing w:line="500" w:lineRule="exact"/>
        <w:ind w:firstLine="3201"/>
        <w:rPr>
          <w:rFonts w:ascii="宋体" w:hAnsi="宋体"/>
          <w:sz w:val="24"/>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line="500" w:lineRule="exact"/>
        <w:ind w:firstLine="3201"/>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Start w:id="40" w:name="_Toc264116923"/>
    </w:p>
    <w:p>
      <w:pPr>
        <w:pStyle w:val="2"/>
        <w:numPr>
          <w:ilvl w:val="0"/>
          <w:numId w:val="0"/>
        </w:numPr>
        <w:spacing w:after="0" w:line="240" w:lineRule="auto"/>
        <w:jc w:val="center"/>
        <w:rPr>
          <w:rFonts w:hint="eastAsia" w:ascii="宋体" w:hAnsi="宋体"/>
          <w:b w:val="0"/>
        </w:rPr>
      </w:pPr>
      <w:bookmarkStart w:id="41" w:name="_Toc24658"/>
      <w:r>
        <w:rPr>
          <w:rFonts w:hint="eastAsia" w:ascii="宋体" w:hAnsi="宋体"/>
          <w:b w:val="0"/>
        </w:rPr>
        <w:t>附件二：法定代表人授权书</w:t>
      </w:r>
      <w:bookmarkEnd w:id="41"/>
    </w:p>
    <w:p>
      <w:pPr>
        <w:rPr>
          <w:rFonts w:hint="eastAsia" w:ascii="宋体"/>
          <w:sz w:val="28"/>
        </w:rPr>
      </w:pPr>
    </w:p>
    <w:p>
      <w:pPr>
        <w:spacing w:line="800" w:lineRule="exact"/>
        <w:jc w:val="left"/>
        <w:rPr>
          <w:rFonts w:hint="eastAsia" w:ascii="宋体"/>
          <w:sz w:val="28"/>
          <w:u w:val="single"/>
        </w:rPr>
      </w:pPr>
      <w:r>
        <w:rPr>
          <w:rFonts w:hint="eastAsia" w:ascii="宋体"/>
          <w:sz w:val="28"/>
          <w:u w:val="single"/>
        </w:rPr>
        <w:t xml:space="preserve">                      （采购人）</w:t>
      </w:r>
    </w:p>
    <w:p>
      <w:pPr>
        <w:spacing w:line="800" w:lineRule="exact"/>
        <w:ind w:firstLine="555"/>
        <w:rPr>
          <w:rFonts w:hint="eastAsia" w:ascii="宋体"/>
          <w:sz w:val="28"/>
        </w:rPr>
      </w:pPr>
      <w:r>
        <w:rPr>
          <w:rFonts w:hint="eastAsia" w:ascii="宋体"/>
          <w:sz w:val="28"/>
        </w:rPr>
        <w:t>本授权委托书声明：我</w:t>
      </w:r>
      <w:r>
        <w:rPr>
          <w:rFonts w:hint="eastAsia" w:ascii="宋体"/>
          <w:sz w:val="28"/>
          <w:u w:val="single"/>
        </w:rPr>
        <w:t xml:space="preserve">          </w:t>
      </w:r>
      <w:r>
        <w:rPr>
          <w:rFonts w:hint="eastAsia" w:ascii="宋体"/>
          <w:sz w:val="28"/>
        </w:rPr>
        <w:t>（姓名）系</w:t>
      </w:r>
      <w:r>
        <w:rPr>
          <w:rFonts w:hint="eastAsia" w:ascii="宋体"/>
          <w:sz w:val="28"/>
          <w:u w:val="single"/>
        </w:rPr>
        <w:t xml:space="preserve">          </w:t>
      </w:r>
      <w:r>
        <w:rPr>
          <w:rFonts w:hint="eastAsia" w:ascii="宋体"/>
          <w:sz w:val="28"/>
        </w:rPr>
        <w:t>（供应商名称）的法定代表人，现授权委托</w:t>
      </w:r>
      <w:r>
        <w:rPr>
          <w:rFonts w:hint="eastAsia" w:ascii="宋体"/>
          <w:sz w:val="28"/>
          <w:u w:val="single"/>
        </w:rPr>
        <w:t xml:space="preserve">         </w:t>
      </w:r>
      <w:r>
        <w:rPr>
          <w:rFonts w:hint="eastAsia" w:ascii="宋体"/>
          <w:sz w:val="28"/>
        </w:rPr>
        <w:t>（姓名）为我公司唯一代理人，</w:t>
      </w:r>
      <w:r>
        <w:rPr>
          <w:rFonts w:hint="eastAsia" w:ascii="宋体"/>
          <w:sz w:val="28"/>
          <w:szCs w:val="28"/>
        </w:rPr>
        <w:t>以本公司的名义参加贵中心组织的</w:t>
      </w:r>
      <w:r>
        <w:rPr>
          <w:rFonts w:hint="eastAsia" w:ascii="宋体"/>
          <w:sz w:val="28"/>
          <w:szCs w:val="28"/>
          <w:u w:val="single"/>
        </w:rPr>
        <w:t xml:space="preserve">                    </w:t>
      </w:r>
      <w:r>
        <w:rPr>
          <w:rFonts w:hint="eastAsia" w:ascii="宋体"/>
          <w:sz w:val="28"/>
          <w:szCs w:val="28"/>
        </w:rPr>
        <w:t>采购的招标活动。代理人在投标、开标、评标</w:t>
      </w:r>
      <w:r>
        <w:rPr>
          <w:rFonts w:hint="eastAsia" w:ascii="宋体"/>
          <w:sz w:val="28"/>
        </w:rPr>
        <w:t>、合同谈判过程中所签署的一切文件和处理与之有关的一切事务，我均予以承认。</w:t>
      </w:r>
    </w:p>
    <w:p>
      <w:pPr>
        <w:spacing w:line="800" w:lineRule="exact"/>
        <w:ind w:firstLine="555"/>
        <w:rPr>
          <w:rFonts w:hint="eastAsia" w:ascii="宋体"/>
          <w:sz w:val="28"/>
        </w:rPr>
      </w:pPr>
    </w:p>
    <w:p>
      <w:pPr>
        <w:spacing w:line="800" w:lineRule="exact"/>
        <w:ind w:firstLine="555"/>
        <w:rPr>
          <w:rFonts w:hint="eastAsia" w:ascii="宋体"/>
          <w:sz w:val="28"/>
        </w:rPr>
      </w:pPr>
      <w:r>
        <w:rPr>
          <w:rFonts w:hint="eastAsia" w:ascii="宋体"/>
          <w:sz w:val="28"/>
        </w:rPr>
        <w:t>代理人无转委权。特此委托。</w:t>
      </w:r>
    </w:p>
    <w:p>
      <w:pPr>
        <w:spacing w:line="800" w:lineRule="exact"/>
        <w:ind w:firstLine="555"/>
        <w:rPr>
          <w:rFonts w:hint="eastAsia" w:ascii="宋体"/>
          <w:sz w:val="28"/>
          <w:u w:val="single"/>
        </w:rPr>
      </w:pPr>
    </w:p>
    <w:p>
      <w:pPr>
        <w:spacing w:line="800" w:lineRule="exact"/>
        <w:ind w:firstLine="3402"/>
        <w:rPr>
          <w:rFonts w:hint="eastAsia"/>
          <w:sz w:val="28"/>
          <w:u w:val="single"/>
        </w:rPr>
      </w:pPr>
      <w:r>
        <w:rPr>
          <w:rFonts w:hint="eastAsia"/>
          <w:sz w:val="28"/>
        </w:rPr>
        <w:t>供应商：</w:t>
      </w:r>
      <w:r>
        <w:rPr>
          <w:rFonts w:hint="eastAsia"/>
          <w:sz w:val="28"/>
          <w:u w:val="single"/>
        </w:rPr>
        <w:t xml:space="preserve">（盖章）                   </w:t>
      </w:r>
    </w:p>
    <w:p>
      <w:pPr>
        <w:spacing w:line="800" w:lineRule="exact"/>
        <w:ind w:firstLine="3402"/>
        <w:rPr>
          <w:rFonts w:hint="eastAsia"/>
          <w:sz w:val="28"/>
        </w:rPr>
      </w:pPr>
      <w:r>
        <w:rPr>
          <w:rFonts w:hint="eastAsia"/>
          <w:sz w:val="28"/>
        </w:rPr>
        <w:t>授权人：</w:t>
      </w:r>
      <w:r>
        <w:rPr>
          <w:rFonts w:hint="eastAsia"/>
          <w:sz w:val="28"/>
          <w:u w:val="single"/>
        </w:rPr>
        <w:t xml:space="preserve">（签字或盖章）             </w:t>
      </w:r>
    </w:p>
    <w:p>
      <w:pPr>
        <w:spacing w:line="800" w:lineRule="exact"/>
        <w:ind w:firstLine="3402"/>
        <w:rPr>
          <w:rFonts w:hint="eastAsia"/>
          <w:sz w:val="28"/>
          <w:u w:val="single"/>
        </w:rPr>
      </w:pPr>
      <w:r>
        <w:rPr>
          <w:rFonts w:hint="eastAsia"/>
          <w:sz w:val="28"/>
        </w:rPr>
        <w:t>被授权的代理人：</w:t>
      </w:r>
      <w:r>
        <w:rPr>
          <w:rFonts w:hint="eastAsia"/>
          <w:sz w:val="28"/>
          <w:u w:val="single"/>
        </w:rPr>
        <w:t xml:space="preserve">（签字或盖章）           </w:t>
      </w:r>
    </w:p>
    <w:p>
      <w:pPr>
        <w:spacing w:line="600" w:lineRule="exact"/>
        <w:ind w:firstLine="3360" w:firstLineChars="1200"/>
        <w:rPr>
          <w:rFonts w:hint="eastAsia"/>
          <w:sz w:val="28"/>
        </w:rPr>
      </w:pPr>
      <w:r>
        <w:rPr>
          <w:rFonts w:hint="eastAsia"/>
          <w:sz w:val="28"/>
        </w:rPr>
        <w:t>日期：     年     月    日</w:t>
      </w:r>
    </w:p>
    <w:p>
      <w:pPr>
        <w:spacing w:line="600" w:lineRule="exact"/>
        <w:ind w:firstLine="3360" w:firstLineChars="1200"/>
        <w:rPr>
          <w:rFonts w:hint="eastAsia"/>
          <w:sz w:val="28"/>
        </w:rPr>
      </w:pPr>
    </w:p>
    <w:p>
      <w:pPr>
        <w:spacing w:line="600" w:lineRule="exact"/>
        <w:rPr>
          <w:rFonts w:hint="eastAsia" w:ascii="宋体" w:hAnsi="宋体"/>
          <w:b/>
          <w:sz w:val="44"/>
          <w:szCs w:val="44"/>
        </w:rPr>
      </w:pPr>
    </w:p>
    <w:p>
      <w:pPr>
        <w:spacing w:line="600" w:lineRule="exact"/>
        <w:rPr>
          <w:rFonts w:hint="eastAsia" w:ascii="宋体" w:hAnsi="宋体"/>
          <w:b/>
          <w:sz w:val="44"/>
          <w:szCs w:val="44"/>
        </w:rPr>
      </w:pPr>
    </w:p>
    <w:p>
      <w:pPr>
        <w:pStyle w:val="2"/>
        <w:numPr>
          <w:ilvl w:val="0"/>
          <w:numId w:val="0"/>
        </w:numPr>
        <w:spacing w:after="0" w:line="240" w:lineRule="auto"/>
        <w:jc w:val="center"/>
        <w:rPr>
          <w:rFonts w:hint="eastAsia" w:ascii="宋体" w:hAnsi="宋体"/>
          <w:b w:val="0"/>
        </w:rPr>
      </w:pPr>
      <w:bookmarkStart w:id="42" w:name="_Toc31073"/>
      <w:r>
        <w:rPr>
          <w:rFonts w:hint="eastAsia" w:ascii="宋体" w:hAnsi="宋体"/>
          <w:b w:val="0"/>
        </w:rPr>
        <w:t>附件三：开标一览表（报价表）</w:t>
      </w:r>
      <w:bookmarkEnd w:id="42"/>
    </w:p>
    <w:p>
      <w:pPr>
        <w:rPr>
          <w:rFonts w:hint="eastAsia"/>
        </w:rPr>
      </w:pPr>
    </w:p>
    <w:p>
      <w:pPr>
        <w:spacing w:line="44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20" w:afterLines="50" w:line="440" w:lineRule="exact"/>
        <w:rPr>
          <w:rFonts w:hint="eastAsia"/>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w:t>
      </w:r>
      <w:r>
        <w:rPr>
          <w:rFonts w:hint="eastAsia"/>
          <w:sz w:val="24"/>
        </w:rPr>
        <w:t xml:space="preserve"> </w:t>
      </w:r>
    </w:p>
    <w:tbl>
      <w:tblPr>
        <w:tblStyle w:val="42"/>
        <w:tblW w:w="0" w:type="auto"/>
        <w:tblInd w:w="-72" w:type="dxa"/>
        <w:tblLayout w:type="fixed"/>
        <w:tblCellMar>
          <w:top w:w="0" w:type="dxa"/>
          <w:left w:w="108" w:type="dxa"/>
          <w:bottom w:w="0" w:type="dxa"/>
          <w:right w:w="108" w:type="dxa"/>
        </w:tblCellMar>
      </w:tblPr>
      <w:tblGrid>
        <w:gridCol w:w="900"/>
        <w:gridCol w:w="1176"/>
        <w:gridCol w:w="2424"/>
        <w:gridCol w:w="2160"/>
        <w:gridCol w:w="1980"/>
      </w:tblGrid>
      <w:tr>
        <w:tblPrEx>
          <w:tblCellMar>
            <w:top w:w="0" w:type="dxa"/>
            <w:left w:w="108" w:type="dxa"/>
            <w:bottom w:w="0" w:type="dxa"/>
            <w:right w:w="108" w:type="dxa"/>
          </w:tblCellMar>
        </w:tblPrEx>
        <w:trPr>
          <w:wBefore w:w="0" w:type="dxa"/>
          <w:wAfter w:w="0" w:type="dxa"/>
          <w:trHeight w:val="873"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b/>
                <w:bCs/>
                <w:sz w:val="24"/>
              </w:rPr>
            </w:pPr>
            <w:r>
              <w:rPr>
                <w:rFonts w:hint="eastAsia" w:ascii="宋体" w:cs="宋体"/>
                <w:b/>
                <w:bCs/>
                <w:sz w:val="24"/>
                <w:lang w:val="zh-CN"/>
              </w:rPr>
              <w:t>序号</w:t>
            </w:r>
          </w:p>
        </w:tc>
        <w:tc>
          <w:tcPr>
            <w:tcW w:w="360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b/>
                <w:bCs/>
                <w:sz w:val="24"/>
              </w:rPr>
            </w:pPr>
            <w:r>
              <w:rPr>
                <w:rFonts w:hint="eastAsia" w:ascii="宋体" w:cs="宋体"/>
                <w:b/>
                <w:bCs/>
                <w:sz w:val="24"/>
                <w:lang w:val="zh-CN"/>
              </w:rPr>
              <w:t>项目内容</w:t>
            </w: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b/>
                <w:bCs/>
                <w:sz w:val="24"/>
              </w:rPr>
            </w:pPr>
            <w:r>
              <w:rPr>
                <w:rFonts w:hint="eastAsia" w:ascii="宋体" w:cs="宋体"/>
                <w:b/>
                <w:bCs/>
                <w:sz w:val="24"/>
                <w:lang w:val="zh-CN"/>
              </w:rPr>
              <w:t>合价（分项报价）</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b/>
                <w:bCs/>
                <w:sz w:val="24"/>
              </w:rPr>
            </w:pPr>
            <w:r>
              <w:rPr>
                <w:rFonts w:hint="eastAsia" w:ascii="宋体" w:cs="宋体"/>
                <w:b/>
                <w:bCs/>
                <w:sz w:val="24"/>
                <w:lang w:val="zh-CN"/>
              </w:rPr>
              <w:t>备注</w:t>
            </w:r>
          </w:p>
        </w:tc>
      </w:tr>
      <w:tr>
        <w:tblPrEx>
          <w:tblCellMar>
            <w:top w:w="0" w:type="dxa"/>
            <w:left w:w="108" w:type="dxa"/>
            <w:bottom w:w="0" w:type="dxa"/>
            <w:right w:w="108" w:type="dxa"/>
          </w:tblCellMar>
        </w:tblPrEx>
        <w:trPr>
          <w:wBefore w:w="0" w:type="dxa"/>
          <w:wAfter w:w="0" w:type="dxa"/>
          <w:trHeight w:val="1014"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360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ascii="宋体" w:hAnsi="宋体" w:cs="Arial Unicode MS"/>
                <w:sz w:val="24"/>
              </w:rPr>
            </w:pPr>
            <w:r>
              <w:rPr>
                <w:rFonts w:hint="eastAsia" w:ascii="宋体" w:hAnsi="宋体" w:cs="Arial Unicode MS"/>
                <w:sz w:val="24"/>
              </w:rPr>
              <w:t>须附投标报价明细表</w:t>
            </w:r>
          </w:p>
        </w:tc>
      </w:tr>
      <w:tr>
        <w:tblPrEx>
          <w:tblCellMar>
            <w:top w:w="0" w:type="dxa"/>
            <w:left w:w="108" w:type="dxa"/>
            <w:bottom w:w="0" w:type="dxa"/>
            <w:right w:w="108" w:type="dxa"/>
          </w:tblCellMar>
        </w:tblPrEx>
        <w:trPr>
          <w:wBefore w:w="0" w:type="dxa"/>
          <w:wAfter w:w="0" w:type="dxa"/>
          <w:trHeight w:val="1014"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360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Arial Unicode MS"/>
                <w:sz w:val="24"/>
              </w:rPr>
            </w:pPr>
            <w:r>
              <w:rPr>
                <w:rFonts w:hint="eastAsia" w:ascii="宋体" w:hAnsi="宋体" w:cs="Arial Unicode MS"/>
                <w:sz w:val="24"/>
              </w:rPr>
              <w:t>须附投标报价明细表</w:t>
            </w:r>
          </w:p>
        </w:tc>
      </w:tr>
      <w:tr>
        <w:tblPrEx>
          <w:tblCellMar>
            <w:top w:w="0" w:type="dxa"/>
            <w:left w:w="108" w:type="dxa"/>
            <w:bottom w:w="0" w:type="dxa"/>
            <w:right w:w="108" w:type="dxa"/>
          </w:tblCellMar>
        </w:tblPrEx>
        <w:trPr>
          <w:wBefore w:w="0" w:type="dxa"/>
          <w:wAfter w:w="0" w:type="dxa"/>
          <w:trHeight w:val="1014"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360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Arial Unicode MS"/>
                <w:sz w:val="24"/>
              </w:rPr>
            </w:pPr>
            <w:r>
              <w:rPr>
                <w:rFonts w:hint="eastAsia" w:ascii="宋体" w:hAnsi="宋体" w:cs="Arial Unicode MS"/>
                <w:sz w:val="24"/>
              </w:rPr>
              <w:t>须附投标报价明细表</w:t>
            </w:r>
          </w:p>
        </w:tc>
      </w:tr>
      <w:tr>
        <w:tblPrEx>
          <w:tblCellMar>
            <w:top w:w="0" w:type="dxa"/>
            <w:left w:w="108" w:type="dxa"/>
            <w:bottom w:w="0" w:type="dxa"/>
            <w:right w:w="108" w:type="dxa"/>
          </w:tblCellMar>
        </w:tblPrEx>
        <w:trPr>
          <w:wBefore w:w="0" w:type="dxa"/>
          <w:wAfter w:w="0" w:type="dxa"/>
          <w:trHeight w:val="765" w:hRule="atLeast"/>
        </w:trPr>
        <w:tc>
          <w:tcPr>
            <w:tcW w:w="207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cs="宋体"/>
                <w:sz w:val="24"/>
                <w:lang w:val="zh-CN"/>
              </w:rPr>
            </w:pPr>
            <w:r>
              <w:rPr>
                <w:rFonts w:hint="eastAsia" w:ascii="宋体" w:hAnsi="宋体" w:cs="Arial Unicode MS"/>
                <w:sz w:val="24"/>
              </w:rPr>
              <w:t>总报价（小写）</w:t>
            </w:r>
          </w:p>
        </w:tc>
        <w:tc>
          <w:tcPr>
            <w:tcW w:w="656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cs="宋体"/>
                <w:sz w:val="24"/>
                <w:lang w:val="zh-CN"/>
              </w:rPr>
            </w:pPr>
          </w:p>
        </w:tc>
      </w:tr>
      <w:tr>
        <w:tblPrEx>
          <w:tblCellMar>
            <w:top w:w="0" w:type="dxa"/>
            <w:left w:w="108" w:type="dxa"/>
            <w:bottom w:w="0" w:type="dxa"/>
            <w:right w:w="108" w:type="dxa"/>
          </w:tblCellMar>
        </w:tblPrEx>
        <w:trPr>
          <w:wBefore w:w="0" w:type="dxa"/>
          <w:wAfter w:w="0" w:type="dxa"/>
          <w:trHeight w:val="765" w:hRule="atLeast"/>
        </w:trPr>
        <w:tc>
          <w:tcPr>
            <w:tcW w:w="207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sz w:val="24"/>
              </w:rPr>
            </w:pPr>
            <w:r>
              <w:rPr>
                <w:rFonts w:hint="eastAsia"/>
                <w:sz w:val="24"/>
                <w:szCs w:val="21"/>
              </w:rPr>
              <w:t>总报价（大写）</w:t>
            </w:r>
          </w:p>
        </w:tc>
        <w:tc>
          <w:tcPr>
            <w:tcW w:w="656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rPr>
                <w:rFonts w:hint="eastAsia"/>
                <w:sz w:val="24"/>
              </w:rPr>
            </w:pPr>
          </w:p>
        </w:tc>
      </w:tr>
    </w:tbl>
    <w:p>
      <w:pPr>
        <w:spacing w:line="600" w:lineRule="exact"/>
        <w:rPr>
          <w:rFonts w:hint="eastAsia"/>
          <w:b/>
          <w:sz w:val="24"/>
          <w:u w:val="single"/>
        </w:rPr>
      </w:pPr>
      <w:r>
        <w:rPr>
          <w:rFonts w:hint="eastAsia"/>
          <w:b/>
          <w:sz w:val="24"/>
          <w:u w:val="single"/>
        </w:rPr>
        <w:t xml:space="preserve">说明：1、必须附投标报价明细表，否则作无效标处理。 </w:t>
      </w: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rPr>
          <w:rFonts w:hint="eastAsia" w:ascii="宋体" w:hAnsi="宋体"/>
          <w:sz w:val="24"/>
        </w:rPr>
      </w:pPr>
      <w:r>
        <w:rPr>
          <w:rFonts w:hint="eastAsia" w:ascii="宋体" w:hAnsi="宋体"/>
          <w:sz w:val="24"/>
        </w:rPr>
        <w:t>供应商（盖章）：                法定代表人或其委托代理人（签字或盖章）：</w:t>
      </w:r>
    </w:p>
    <w:p>
      <w:pPr>
        <w:ind w:right="33"/>
        <w:rPr>
          <w:rFonts w:hint="eastAsia" w:ascii="宋体" w:hAnsi="宋体"/>
          <w:sz w:val="24"/>
        </w:rPr>
      </w:pPr>
    </w:p>
    <w:p>
      <w:pPr>
        <w:jc w:val="right"/>
        <w:rPr>
          <w:rFonts w:hint="eastAsia" w:ascii="宋体" w:hAnsi="宋体" w:cs="宋体"/>
          <w:kern w:val="0"/>
          <w:sz w:val="24"/>
        </w:rPr>
      </w:pPr>
      <w:r>
        <w:rPr>
          <w:rFonts w:hint="eastAsia" w:ascii="宋体" w:hAnsi="宋体"/>
          <w:sz w:val="24"/>
        </w:rPr>
        <w:t>年   月   日</w:t>
      </w:r>
    </w:p>
    <w:p>
      <w:pPr>
        <w:spacing w:line="600" w:lineRule="exact"/>
        <w:rPr>
          <w:rFonts w:hint="eastAsia" w:ascii="宋体" w:hAnsi="宋体"/>
          <w:b/>
          <w:sz w:val="44"/>
          <w:szCs w:val="44"/>
        </w:rPr>
      </w:pPr>
    </w:p>
    <w:p>
      <w:pPr>
        <w:spacing w:line="600" w:lineRule="exact"/>
        <w:rPr>
          <w:rFonts w:hint="eastAsia" w:ascii="宋体" w:hAnsi="宋体"/>
          <w:b/>
          <w:sz w:val="44"/>
          <w:szCs w:val="44"/>
        </w:rPr>
      </w:pPr>
    </w:p>
    <w:p>
      <w:pPr>
        <w:spacing w:line="600" w:lineRule="exact"/>
        <w:rPr>
          <w:rFonts w:hint="eastAsia" w:ascii="宋体" w:hAnsi="宋体"/>
          <w:b/>
          <w:sz w:val="44"/>
          <w:szCs w:val="44"/>
        </w:rPr>
      </w:pPr>
    </w:p>
    <w:p>
      <w:pPr>
        <w:pStyle w:val="2"/>
        <w:numPr>
          <w:ilvl w:val="0"/>
          <w:numId w:val="0"/>
        </w:numPr>
        <w:spacing w:after="0" w:line="240" w:lineRule="auto"/>
        <w:jc w:val="center"/>
        <w:rPr>
          <w:rFonts w:hint="eastAsia" w:ascii="宋体" w:hAnsi="宋体"/>
          <w:b w:val="0"/>
        </w:rPr>
      </w:pPr>
      <w:bookmarkStart w:id="43" w:name="_Toc7245"/>
      <w:r>
        <w:rPr>
          <w:rFonts w:hint="eastAsia" w:ascii="宋体" w:hAnsi="宋体"/>
          <w:b w:val="0"/>
        </w:rPr>
        <w:t>附件四：投标报价明细表</w:t>
      </w:r>
      <w:bookmarkEnd w:id="43"/>
    </w:p>
    <w:p>
      <w:pPr>
        <w:spacing w:line="44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20" w:afterLines="50" w:line="440" w:lineRule="exact"/>
        <w:rPr>
          <w:rFonts w:hint="eastAsia"/>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w:t>
      </w:r>
      <w:r>
        <w:rPr>
          <w:rFonts w:hint="eastAsia"/>
          <w:sz w:val="24"/>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jc w:val="center"/>
              <w:rPr>
                <w:rFonts w:hint="eastAsia" w:ascii="宋体" w:hAnsi="宋体"/>
                <w:szCs w:val="21"/>
              </w:rPr>
            </w:pPr>
            <w:r>
              <w:rPr>
                <w:rFonts w:hint="eastAsia" w:ascii="宋体" w:hAnsi="宋体"/>
                <w:szCs w:val="21"/>
              </w:rPr>
              <w:t>货物名称</w:t>
            </w:r>
          </w:p>
        </w:tc>
        <w:tc>
          <w:tcPr>
            <w:tcW w:w="1260" w:type="dxa"/>
            <w:gridSpan w:val="2"/>
            <w:vMerge w:val="restart"/>
            <w:noWrap w:val="0"/>
            <w:vAlign w:val="center"/>
          </w:tcPr>
          <w:p>
            <w:pPr>
              <w:jc w:val="center"/>
              <w:rPr>
                <w:rFonts w:hint="eastAsia" w:ascii="宋体" w:hAnsi="宋体"/>
                <w:szCs w:val="21"/>
              </w:rPr>
            </w:pPr>
            <w:r>
              <w:rPr>
                <w:rFonts w:hint="eastAsia" w:ascii="宋体" w:hAnsi="宋体"/>
                <w:szCs w:val="21"/>
              </w:rPr>
              <w:t>型号、规格</w:t>
            </w:r>
          </w:p>
        </w:tc>
        <w:tc>
          <w:tcPr>
            <w:tcW w:w="1260" w:type="dxa"/>
            <w:vMerge w:val="restart"/>
            <w:noWrap w:val="0"/>
            <w:vAlign w:val="center"/>
          </w:tcPr>
          <w:p>
            <w:pPr>
              <w:jc w:val="center"/>
              <w:rPr>
                <w:rFonts w:hint="eastAsia" w:ascii="宋体" w:hAnsi="宋体"/>
                <w:szCs w:val="21"/>
              </w:rPr>
            </w:pPr>
            <w:r>
              <w:rPr>
                <w:rFonts w:hint="eastAsia" w:ascii="宋体" w:hAnsi="宋体"/>
                <w:szCs w:val="21"/>
              </w:rPr>
              <w:t>技术参数</w:t>
            </w:r>
          </w:p>
        </w:tc>
        <w:tc>
          <w:tcPr>
            <w:tcW w:w="1267" w:type="dxa"/>
            <w:vMerge w:val="restart"/>
            <w:noWrap w:val="0"/>
            <w:vAlign w:val="center"/>
          </w:tcPr>
          <w:p>
            <w:pPr>
              <w:jc w:val="center"/>
              <w:rPr>
                <w:rFonts w:hint="eastAsia" w:ascii="宋体" w:hAnsi="宋体"/>
                <w:szCs w:val="21"/>
              </w:rPr>
            </w:pPr>
            <w:r>
              <w:rPr>
                <w:rFonts w:hint="eastAsia" w:ascii="宋体" w:hAnsi="宋体"/>
                <w:szCs w:val="21"/>
              </w:rPr>
              <w:t>生产厂家</w:t>
            </w:r>
          </w:p>
        </w:tc>
        <w:tc>
          <w:tcPr>
            <w:tcW w:w="1217" w:type="dxa"/>
            <w:vMerge w:val="restart"/>
            <w:noWrap w:val="0"/>
            <w:vAlign w:val="center"/>
          </w:tcPr>
          <w:p>
            <w:pPr>
              <w:jc w:val="center"/>
              <w:rPr>
                <w:rFonts w:hint="eastAsia" w:ascii="宋体" w:hAnsi="宋体"/>
                <w:szCs w:val="21"/>
              </w:rPr>
            </w:pPr>
            <w:r>
              <w:rPr>
                <w:rFonts w:hint="eastAsia" w:ascii="宋体" w:hAnsi="宋体"/>
                <w:szCs w:val="21"/>
              </w:rPr>
              <w:t>品牌及其产地</w:t>
            </w:r>
          </w:p>
        </w:tc>
        <w:tc>
          <w:tcPr>
            <w:tcW w:w="851" w:type="dxa"/>
            <w:vMerge w:val="restart"/>
            <w:noWrap w:val="0"/>
            <w:vAlign w:val="center"/>
          </w:tcPr>
          <w:p>
            <w:pPr>
              <w:jc w:val="center"/>
              <w:rPr>
                <w:rFonts w:hint="eastAsia" w:ascii="宋体" w:hAnsi="宋体"/>
                <w:szCs w:val="21"/>
              </w:rPr>
            </w:pPr>
            <w:r>
              <w:rPr>
                <w:rFonts w:hint="eastAsia" w:ascii="宋体" w:hAnsi="宋体"/>
                <w:szCs w:val="21"/>
              </w:rPr>
              <w:t>数量</w:t>
            </w:r>
          </w:p>
        </w:tc>
        <w:tc>
          <w:tcPr>
            <w:tcW w:w="850" w:type="dxa"/>
            <w:vMerge w:val="restart"/>
            <w:noWrap w:val="0"/>
            <w:vAlign w:val="center"/>
          </w:tcPr>
          <w:p>
            <w:pPr>
              <w:jc w:val="center"/>
              <w:rPr>
                <w:rFonts w:hint="eastAsia" w:ascii="宋体" w:hAnsi="宋体"/>
                <w:szCs w:val="21"/>
              </w:rPr>
            </w:pPr>
            <w:r>
              <w:rPr>
                <w:rFonts w:hint="eastAsia" w:ascii="宋体" w:hAnsi="宋体"/>
                <w:szCs w:val="21"/>
              </w:rPr>
              <w:t>单位</w:t>
            </w:r>
          </w:p>
        </w:tc>
        <w:tc>
          <w:tcPr>
            <w:tcW w:w="1700" w:type="dxa"/>
            <w:gridSpan w:val="2"/>
            <w:noWrap w:val="0"/>
            <w:vAlign w:val="center"/>
          </w:tcPr>
          <w:p>
            <w:pPr>
              <w:jc w:val="center"/>
              <w:rPr>
                <w:rFonts w:hint="eastAsia"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continue"/>
            <w:noWrap w:val="0"/>
            <w:vAlign w:val="center"/>
          </w:tcPr>
          <w:p>
            <w:pPr>
              <w:jc w:val="center"/>
              <w:rPr>
                <w:rFonts w:hint="eastAsia" w:ascii="宋体" w:hAnsi="宋体"/>
                <w:szCs w:val="21"/>
              </w:rPr>
            </w:pPr>
          </w:p>
        </w:tc>
        <w:tc>
          <w:tcPr>
            <w:tcW w:w="1260" w:type="dxa"/>
            <w:vMerge w:val="continue"/>
            <w:noWrap w:val="0"/>
            <w:vAlign w:val="center"/>
          </w:tcPr>
          <w:p>
            <w:pPr>
              <w:jc w:val="center"/>
              <w:rPr>
                <w:rFonts w:hint="eastAsia" w:ascii="宋体" w:hAnsi="宋体"/>
                <w:szCs w:val="21"/>
              </w:rPr>
            </w:pPr>
          </w:p>
        </w:tc>
        <w:tc>
          <w:tcPr>
            <w:tcW w:w="1260" w:type="dxa"/>
            <w:gridSpan w:val="2"/>
            <w:vMerge w:val="continue"/>
            <w:noWrap w:val="0"/>
            <w:vAlign w:val="center"/>
          </w:tcPr>
          <w:p>
            <w:pPr>
              <w:jc w:val="center"/>
              <w:rPr>
                <w:rFonts w:hint="eastAsia" w:ascii="宋体" w:hAnsi="宋体"/>
                <w:szCs w:val="21"/>
              </w:rPr>
            </w:pPr>
          </w:p>
        </w:tc>
        <w:tc>
          <w:tcPr>
            <w:tcW w:w="1260" w:type="dxa"/>
            <w:vMerge w:val="continue"/>
            <w:noWrap w:val="0"/>
            <w:vAlign w:val="center"/>
          </w:tcPr>
          <w:p>
            <w:pPr>
              <w:jc w:val="center"/>
              <w:rPr>
                <w:rFonts w:hint="eastAsia" w:ascii="宋体" w:hAnsi="宋体"/>
                <w:szCs w:val="21"/>
              </w:rPr>
            </w:pPr>
          </w:p>
        </w:tc>
        <w:tc>
          <w:tcPr>
            <w:tcW w:w="1267" w:type="dxa"/>
            <w:vMerge w:val="continue"/>
            <w:noWrap w:val="0"/>
            <w:vAlign w:val="center"/>
          </w:tcPr>
          <w:p>
            <w:pPr>
              <w:jc w:val="center"/>
              <w:rPr>
                <w:rFonts w:hint="eastAsia" w:ascii="宋体" w:hAnsi="宋体"/>
                <w:szCs w:val="21"/>
              </w:rPr>
            </w:pPr>
          </w:p>
        </w:tc>
        <w:tc>
          <w:tcPr>
            <w:tcW w:w="1217" w:type="dxa"/>
            <w:vMerge w:val="continue"/>
            <w:noWrap w:val="0"/>
            <w:vAlign w:val="center"/>
          </w:tcPr>
          <w:p>
            <w:pPr>
              <w:jc w:val="center"/>
              <w:rPr>
                <w:rFonts w:hint="eastAsia" w:ascii="宋体" w:hAnsi="宋体"/>
                <w:szCs w:val="21"/>
              </w:rPr>
            </w:pPr>
          </w:p>
        </w:tc>
        <w:tc>
          <w:tcPr>
            <w:tcW w:w="851" w:type="dxa"/>
            <w:vMerge w:val="continue"/>
            <w:noWrap w:val="0"/>
            <w:vAlign w:val="center"/>
          </w:tcPr>
          <w:p>
            <w:pPr>
              <w:jc w:val="center"/>
              <w:rPr>
                <w:rFonts w:hint="eastAsia" w:ascii="宋体" w:hAnsi="宋体"/>
                <w:szCs w:val="21"/>
              </w:rPr>
            </w:pPr>
          </w:p>
        </w:tc>
        <w:tc>
          <w:tcPr>
            <w:tcW w:w="850" w:type="dxa"/>
            <w:vMerge w:val="continue"/>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r>
              <w:rPr>
                <w:rFonts w:hint="eastAsia" w:ascii="宋体" w:hAnsi="宋体"/>
                <w:szCs w:val="21"/>
              </w:rPr>
              <w:t>综合单价</w:t>
            </w:r>
          </w:p>
        </w:tc>
        <w:tc>
          <w:tcPr>
            <w:tcW w:w="850" w:type="dxa"/>
            <w:noWrap w:val="0"/>
            <w:vAlign w:val="center"/>
          </w:tcPr>
          <w:p>
            <w:pPr>
              <w:jc w:val="center"/>
              <w:rPr>
                <w:rFonts w:hint="eastAsia" w:ascii="宋体" w:hAnsi="宋体"/>
                <w:szCs w:val="21"/>
              </w:rPr>
            </w:pPr>
            <w:r>
              <w:rPr>
                <w:rFonts w:hint="eastAsia" w:ascii="宋体" w:hAnsi="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gridSpan w:val="2"/>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217" w:type="dxa"/>
            <w:noWrap w:val="0"/>
            <w:vAlign w:val="center"/>
          </w:tcPr>
          <w:p>
            <w:pPr>
              <w:jc w:val="center"/>
              <w:rPr>
                <w:rFonts w:hint="eastAsia" w:ascii="宋体" w:hAnsi="宋体"/>
                <w:szCs w:val="21"/>
              </w:rPr>
            </w:pPr>
          </w:p>
        </w:tc>
        <w:tc>
          <w:tcPr>
            <w:tcW w:w="851"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restart"/>
            <w:noWrap w:val="0"/>
            <w:vAlign w:val="center"/>
          </w:tcPr>
          <w:p>
            <w:pPr>
              <w:jc w:val="center"/>
              <w:rPr>
                <w:rFonts w:hint="eastAsia" w:ascii="宋体" w:hAnsi="宋体"/>
                <w:sz w:val="30"/>
                <w:szCs w:val="30"/>
              </w:rPr>
            </w:pPr>
            <w:r>
              <w:rPr>
                <w:rFonts w:hint="eastAsia" w:ascii="宋体" w:hAnsi="宋体"/>
                <w:sz w:val="30"/>
                <w:szCs w:val="30"/>
              </w:rPr>
              <w:t>合 计</w:t>
            </w:r>
          </w:p>
        </w:tc>
        <w:tc>
          <w:tcPr>
            <w:tcW w:w="8334" w:type="dxa"/>
            <w:gridSpan w:val="8"/>
            <w:noWrap w:val="0"/>
            <w:vAlign w:val="center"/>
          </w:tcPr>
          <w:p>
            <w:pPr>
              <w:jc w:val="left"/>
              <w:rPr>
                <w:rFonts w:hint="eastAsia" w:ascii="宋体" w:hAnsi="宋体"/>
                <w:sz w:val="28"/>
                <w:szCs w:val="28"/>
              </w:rPr>
            </w:pPr>
            <w:r>
              <w:rPr>
                <w:rFonts w:hint="eastAsia" w:ascii="宋体" w:hAnsi="宋体"/>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continue"/>
            <w:noWrap w:val="0"/>
            <w:vAlign w:val="center"/>
          </w:tcPr>
          <w:p>
            <w:pPr>
              <w:jc w:val="center"/>
              <w:rPr>
                <w:rFonts w:hint="eastAsia" w:ascii="宋体" w:hAnsi="宋体"/>
                <w:szCs w:val="21"/>
              </w:rPr>
            </w:pPr>
          </w:p>
        </w:tc>
        <w:tc>
          <w:tcPr>
            <w:tcW w:w="8334" w:type="dxa"/>
            <w:gridSpan w:val="8"/>
            <w:noWrap w:val="0"/>
            <w:vAlign w:val="center"/>
          </w:tcPr>
          <w:p>
            <w:pPr>
              <w:jc w:val="left"/>
              <w:rPr>
                <w:rFonts w:hint="eastAsia" w:ascii="宋体" w:hAnsi="宋体"/>
                <w:sz w:val="28"/>
                <w:szCs w:val="28"/>
              </w:rPr>
            </w:pPr>
            <w:r>
              <w:rPr>
                <w:rFonts w:hint="eastAsia" w:ascii="宋体" w:hAnsi="宋体"/>
                <w:sz w:val="28"/>
                <w:szCs w:val="28"/>
              </w:rPr>
              <w:t>（大写）</w:t>
            </w:r>
          </w:p>
        </w:tc>
      </w:tr>
    </w:tbl>
    <w:p>
      <w:pPr>
        <w:spacing w:line="600" w:lineRule="exact"/>
        <w:rPr>
          <w:rFonts w:hint="eastAsia"/>
          <w:b/>
          <w:sz w:val="24"/>
          <w:u w:val="single"/>
        </w:rPr>
      </w:pPr>
      <w:r>
        <w:rPr>
          <w:rFonts w:hint="eastAsia"/>
          <w:b/>
          <w:sz w:val="24"/>
          <w:u w:val="single"/>
        </w:rPr>
        <w:t>注：1、本表格可自行扩展。</w:t>
      </w:r>
    </w:p>
    <w:p>
      <w:pPr>
        <w:spacing w:line="600" w:lineRule="exact"/>
        <w:ind w:firstLine="482" w:firstLineChars="200"/>
        <w:rPr>
          <w:rFonts w:hint="eastAsia"/>
          <w:b/>
          <w:sz w:val="24"/>
          <w:u w:val="single"/>
        </w:rPr>
      </w:pPr>
      <w:r>
        <w:rPr>
          <w:rFonts w:hint="eastAsia"/>
          <w:b/>
          <w:sz w:val="24"/>
          <w:u w:val="single"/>
        </w:rPr>
        <w:t>2、综合单价为包含所有相关费用的单价。</w:t>
      </w:r>
    </w:p>
    <w:p>
      <w:pPr>
        <w:spacing w:line="600" w:lineRule="exact"/>
        <w:ind w:firstLine="482" w:firstLineChars="200"/>
        <w:rPr>
          <w:rFonts w:hint="eastAsia"/>
          <w:b/>
          <w:sz w:val="24"/>
          <w:u w:val="single"/>
        </w:rPr>
      </w:pPr>
      <w:r>
        <w:rPr>
          <w:rFonts w:hint="eastAsia"/>
          <w:b/>
          <w:sz w:val="24"/>
          <w:u w:val="single"/>
        </w:rPr>
        <w:t>3、本表所填内容必须与附件六“投标设备材料详细清单”对应内容相一致。</w:t>
      </w: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rPr>
          <w:rFonts w:hint="eastAsia" w:ascii="宋体" w:hAnsi="宋体"/>
          <w:sz w:val="24"/>
        </w:rPr>
      </w:pPr>
      <w:r>
        <w:rPr>
          <w:rFonts w:hint="eastAsia" w:ascii="宋体" w:hAnsi="宋体"/>
          <w:sz w:val="24"/>
        </w:rPr>
        <w:t>供应商（盖章）：              法定代表人或其委托代理人（签字或盖章）：</w:t>
      </w:r>
    </w:p>
    <w:p>
      <w:pPr>
        <w:ind w:right="33"/>
        <w:rPr>
          <w:rFonts w:hint="eastAsia" w:ascii="宋体" w:hAnsi="宋体"/>
          <w:sz w:val="24"/>
        </w:rPr>
      </w:pPr>
    </w:p>
    <w:p>
      <w:pPr>
        <w:jc w:val="right"/>
        <w:rPr>
          <w:rFonts w:hint="eastAsia" w:ascii="宋体" w:hAnsi="宋体" w:cs="宋体"/>
          <w:kern w:val="0"/>
          <w:sz w:val="24"/>
        </w:rPr>
      </w:pPr>
      <w:r>
        <w:rPr>
          <w:rFonts w:hint="eastAsia" w:ascii="宋体" w:hAnsi="宋体"/>
          <w:sz w:val="24"/>
        </w:rPr>
        <w:t>年   月   日</w:t>
      </w:r>
    </w:p>
    <w:p>
      <w:pPr>
        <w:spacing w:line="600" w:lineRule="exact"/>
        <w:ind w:firstLine="5760" w:firstLineChars="2400"/>
        <w:rPr>
          <w:rFonts w:hint="eastAsia" w:ascii="宋体" w:hAnsi="宋体"/>
          <w:sz w:val="24"/>
        </w:rPr>
      </w:pPr>
    </w:p>
    <w:p>
      <w:pPr>
        <w:pStyle w:val="2"/>
        <w:numPr>
          <w:ilvl w:val="0"/>
          <w:numId w:val="0"/>
        </w:numPr>
        <w:spacing w:after="0" w:line="240" w:lineRule="auto"/>
        <w:jc w:val="center"/>
        <w:rPr>
          <w:rFonts w:hint="eastAsia" w:ascii="宋体" w:hAnsi="宋体"/>
          <w:b w:val="0"/>
        </w:rPr>
      </w:pPr>
      <w:bookmarkStart w:id="44" w:name="_Toc390673262"/>
      <w:bookmarkStart w:id="45" w:name="_Toc12723"/>
      <w:r>
        <w:rPr>
          <w:rFonts w:hint="eastAsia" w:ascii="宋体" w:hAnsi="宋体"/>
          <w:b w:val="0"/>
        </w:rPr>
        <w:t>附件五：投标技术方案和人力资源安排</w:t>
      </w:r>
      <w:bookmarkEnd w:id="44"/>
      <w:bookmarkEnd w:id="45"/>
    </w:p>
    <w:p>
      <w:pPr>
        <w:spacing w:line="600" w:lineRule="exact"/>
        <w:ind w:firstLine="3360" w:firstLineChars="1200"/>
        <w:rPr>
          <w:rFonts w:hint="eastAsia"/>
          <w:bCs/>
          <w:sz w:val="28"/>
        </w:rPr>
      </w:pPr>
      <w:r>
        <w:rPr>
          <w:rFonts w:hint="eastAsia"/>
          <w:sz w:val="28"/>
        </w:rPr>
        <w:t>（由供应商自行填写）</w:t>
      </w:r>
      <w:bookmarkStart w:id="46" w:name="_Toc170177920"/>
    </w:p>
    <w:p>
      <w:pPr>
        <w:spacing w:line="600" w:lineRule="exact"/>
        <w:ind w:firstLine="560" w:firstLineChars="200"/>
        <w:jc w:val="left"/>
        <w:rPr>
          <w:rFonts w:hint="eastAsia"/>
          <w:sz w:val="28"/>
        </w:rPr>
      </w:pPr>
      <w:r>
        <w:rPr>
          <w:rFonts w:hint="eastAsia"/>
          <w:sz w:val="28"/>
        </w:rPr>
        <w:t>主要包括：对本项目技术要点阐述、安装技术方案、技术措施和人力资源安排等。</w:t>
      </w: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rPr>
          <w:rFonts w:hint="eastAsia"/>
          <w:sz w:val="28"/>
        </w:rPr>
      </w:pPr>
      <w:r>
        <w:rPr>
          <w:rFonts w:hint="eastAsia"/>
          <w:sz w:val="28"/>
        </w:rPr>
        <w:t>供应商（盖章）：       法定代表人或其委托代理人（签字或盖章）：</w:t>
      </w:r>
    </w:p>
    <w:p>
      <w:pPr>
        <w:spacing w:line="600" w:lineRule="exact"/>
        <w:ind w:right="560"/>
        <w:jc w:val="right"/>
        <w:rPr>
          <w:rFonts w:hint="eastAsia"/>
          <w:sz w:val="28"/>
        </w:rPr>
      </w:pPr>
      <w:r>
        <w:rPr>
          <w:rFonts w:hint="eastAsia"/>
          <w:sz w:val="28"/>
        </w:rPr>
        <w:t>年   月   日</w:t>
      </w:r>
    </w:p>
    <w:p>
      <w:pPr>
        <w:spacing w:line="200" w:lineRule="exact"/>
        <w:rPr>
          <w:rFonts w:hint="eastAsia" w:ascii="宋体" w:hAnsi="宋体"/>
          <w:sz w:val="24"/>
        </w:rPr>
      </w:pPr>
    </w:p>
    <w:p>
      <w:pPr>
        <w:spacing w:line="200" w:lineRule="exact"/>
        <w:rPr>
          <w:rFonts w:hint="eastAsia" w:ascii="宋体" w:hAnsi="宋体"/>
          <w:sz w:val="24"/>
        </w:rPr>
      </w:pPr>
    </w:p>
    <w:p>
      <w:pPr>
        <w:spacing w:line="200" w:lineRule="exact"/>
        <w:rPr>
          <w:rFonts w:hint="eastAsia" w:ascii="宋体" w:hAnsi="宋体"/>
          <w:sz w:val="24"/>
        </w:rPr>
      </w:pPr>
    </w:p>
    <w:bookmarkEnd w:id="46"/>
    <w:p>
      <w:pPr>
        <w:spacing w:line="600" w:lineRule="exact"/>
        <w:rPr>
          <w:rFonts w:hint="eastAsia" w:ascii="宋体" w:hAnsi="宋体"/>
          <w:b/>
          <w:sz w:val="44"/>
          <w:szCs w:val="44"/>
        </w:rPr>
      </w:pPr>
    </w:p>
    <w:p>
      <w:pPr>
        <w:pStyle w:val="2"/>
        <w:numPr>
          <w:ilvl w:val="0"/>
          <w:numId w:val="0"/>
        </w:numPr>
        <w:spacing w:after="0" w:line="240" w:lineRule="auto"/>
        <w:jc w:val="center"/>
        <w:rPr>
          <w:rFonts w:hint="eastAsia" w:ascii="宋体" w:hAnsi="宋体"/>
          <w:b w:val="0"/>
        </w:rPr>
      </w:pPr>
      <w:bookmarkStart w:id="47" w:name="_Toc23986"/>
      <w:r>
        <w:rPr>
          <w:rFonts w:hint="eastAsia" w:ascii="宋体" w:hAnsi="宋体"/>
          <w:b w:val="0"/>
        </w:rPr>
        <w:t>附件六：投标设备材料详细清单</w:t>
      </w:r>
      <w:bookmarkEnd w:id="47"/>
    </w:p>
    <w:p>
      <w:pPr>
        <w:spacing w:line="44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20" w:afterLines="50" w:line="440" w:lineRule="exact"/>
        <w:rPr>
          <w:rFonts w:hint="eastAsia"/>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w:t>
      </w:r>
      <w:r>
        <w:rPr>
          <w:rFonts w:hint="eastAsia"/>
          <w:sz w:val="24"/>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260"/>
        <w:gridCol w:w="1267"/>
        <w:gridCol w:w="1613"/>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7" w:hRule="atLeast"/>
        </w:trPr>
        <w:tc>
          <w:tcPr>
            <w:tcW w:w="648" w:type="dxa"/>
            <w:noWrap w:val="0"/>
            <w:vAlign w:val="center"/>
          </w:tcPr>
          <w:p>
            <w:pPr>
              <w:jc w:val="center"/>
              <w:rPr>
                <w:rFonts w:hint="eastAsia" w:ascii="宋体" w:hAnsi="宋体"/>
                <w:szCs w:val="21"/>
              </w:rPr>
            </w:pPr>
            <w:r>
              <w:rPr>
                <w:rFonts w:hint="eastAsia" w:ascii="宋体" w:hAnsi="宋体"/>
                <w:szCs w:val="21"/>
              </w:rPr>
              <w:t>序号</w:t>
            </w:r>
          </w:p>
        </w:tc>
        <w:tc>
          <w:tcPr>
            <w:tcW w:w="1260" w:type="dxa"/>
            <w:noWrap w:val="0"/>
            <w:vAlign w:val="center"/>
          </w:tcPr>
          <w:p>
            <w:pPr>
              <w:jc w:val="center"/>
              <w:rPr>
                <w:rFonts w:hint="eastAsia" w:ascii="宋体" w:hAnsi="宋体"/>
                <w:szCs w:val="21"/>
              </w:rPr>
            </w:pPr>
            <w:r>
              <w:rPr>
                <w:rFonts w:hint="eastAsia" w:ascii="宋体" w:hAnsi="宋体"/>
                <w:szCs w:val="21"/>
              </w:rPr>
              <w:t>货物名称</w:t>
            </w:r>
          </w:p>
        </w:tc>
        <w:tc>
          <w:tcPr>
            <w:tcW w:w="1260" w:type="dxa"/>
            <w:noWrap w:val="0"/>
            <w:vAlign w:val="center"/>
          </w:tcPr>
          <w:p>
            <w:pPr>
              <w:jc w:val="center"/>
              <w:rPr>
                <w:rFonts w:hint="eastAsia" w:ascii="宋体" w:hAnsi="宋体"/>
                <w:szCs w:val="21"/>
              </w:rPr>
            </w:pPr>
            <w:r>
              <w:rPr>
                <w:rFonts w:hint="eastAsia" w:ascii="宋体" w:hAnsi="宋体"/>
                <w:szCs w:val="21"/>
              </w:rPr>
              <w:t>型号、规格</w:t>
            </w:r>
          </w:p>
        </w:tc>
        <w:tc>
          <w:tcPr>
            <w:tcW w:w="1260" w:type="dxa"/>
            <w:noWrap w:val="0"/>
            <w:vAlign w:val="center"/>
          </w:tcPr>
          <w:p>
            <w:pPr>
              <w:jc w:val="center"/>
              <w:rPr>
                <w:rFonts w:hint="eastAsia" w:ascii="宋体" w:hAnsi="宋体"/>
                <w:szCs w:val="21"/>
              </w:rPr>
            </w:pPr>
            <w:r>
              <w:rPr>
                <w:rFonts w:hint="eastAsia" w:ascii="宋体" w:hAnsi="宋体"/>
                <w:szCs w:val="21"/>
              </w:rPr>
              <w:t>技术参数</w:t>
            </w:r>
          </w:p>
        </w:tc>
        <w:tc>
          <w:tcPr>
            <w:tcW w:w="1267" w:type="dxa"/>
            <w:noWrap w:val="0"/>
            <w:vAlign w:val="center"/>
          </w:tcPr>
          <w:p>
            <w:pPr>
              <w:jc w:val="center"/>
              <w:rPr>
                <w:rFonts w:hint="eastAsia" w:ascii="宋体" w:hAnsi="宋体"/>
                <w:szCs w:val="21"/>
              </w:rPr>
            </w:pPr>
            <w:r>
              <w:rPr>
                <w:rFonts w:hint="eastAsia" w:ascii="宋体" w:hAnsi="宋体"/>
                <w:szCs w:val="21"/>
              </w:rPr>
              <w:t>生产厂家</w:t>
            </w:r>
          </w:p>
        </w:tc>
        <w:tc>
          <w:tcPr>
            <w:tcW w:w="1613" w:type="dxa"/>
            <w:noWrap w:val="0"/>
            <w:vAlign w:val="center"/>
          </w:tcPr>
          <w:p>
            <w:pPr>
              <w:jc w:val="center"/>
              <w:rPr>
                <w:rFonts w:hint="eastAsia" w:ascii="宋体" w:hAnsi="宋体"/>
                <w:szCs w:val="21"/>
              </w:rPr>
            </w:pPr>
            <w:r>
              <w:rPr>
                <w:rFonts w:hint="eastAsia" w:ascii="宋体" w:hAnsi="宋体"/>
                <w:szCs w:val="21"/>
              </w:rPr>
              <w:t>品牌及其产地</w:t>
            </w:r>
          </w:p>
        </w:tc>
        <w:tc>
          <w:tcPr>
            <w:tcW w:w="847" w:type="dxa"/>
            <w:noWrap w:val="0"/>
            <w:vAlign w:val="center"/>
          </w:tcPr>
          <w:p>
            <w:pPr>
              <w:jc w:val="center"/>
              <w:rPr>
                <w:rFonts w:hint="eastAsia" w:ascii="宋体" w:hAnsi="宋体"/>
                <w:szCs w:val="21"/>
              </w:rPr>
            </w:pPr>
            <w:r>
              <w:rPr>
                <w:rFonts w:hint="eastAsia" w:ascii="宋体" w:hAnsi="宋体"/>
                <w:szCs w:val="21"/>
              </w:rPr>
              <w:t>数量</w:t>
            </w:r>
          </w:p>
        </w:tc>
        <w:tc>
          <w:tcPr>
            <w:tcW w:w="848" w:type="dxa"/>
            <w:noWrap w:val="0"/>
            <w:vAlign w:val="center"/>
          </w:tcPr>
          <w:p>
            <w:pPr>
              <w:jc w:val="center"/>
              <w:rPr>
                <w:rFonts w:hint="eastAsia"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1267" w:type="dxa"/>
            <w:noWrap w:val="0"/>
            <w:vAlign w:val="center"/>
          </w:tcPr>
          <w:p>
            <w:pPr>
              <w:jc w:val="center"/>
              <w:rPr>
                <w:rFonts w:hint="eastAsia" w:ascii="宋体" w:hAnsi="宋体"/>
                <w:szCs w:val="21"/>
              </w:rPr>
            </w:pPr>
          </w:p>
        </w:tc>
        <w:tc>
          <w:tcPr>
            <w:tcW w:w="1613" w:type="dxa"/>
            <w:noWrap w:val="0"/>
            <w:vAlign w:val="center"/>
          </w:tcPr>
          <w:p>
            <w:pPr>
              <w:jc w:val="center"/>
              <w:rPr>
                <w:rFonts w:hint="eastAsia" w:ascii="宋体" w:hAnsi="宋体"/>
                <w:szCs w:val="21"/>
              </w:rPr>
            </w:pPr>
          </w:p>
        </w:tc>
        <w:tc>
          <w:tcPr>
            <w:tcW w:w="847" w:type="dxa"/>
            <w:noWrap w:val="0"/>
            <w:vAlign w:val="center"/>
          </w:tcPr>
          <w:p>
            <w:pPr>
              <w:jc w:val="center"/>
              <w:rPr>
                <w:rFonts w:hint="eastAsia" w:ascii="宋体" w:hAnsi="宋体"/>
                <w:szCs w:val="21"/>
              </w:rPr>
            </w:pPr>
          </w:p>
        </w:tc>
        <w:tc>
          <w:tcPr>
            <w:tcW w:w="848" w:type="dxa"/>
            <w:noWrap w:val="0"/>
            <w:vAlign w:val="center"/>
          </w:tcPr>
          <w:p>
            <w:pPr>
              <w:rPr>
                <w:rFonts w:hint="eastAsia" w:ascii="宋体" w:hAnsi="宋体"/>
                <w:szCs w:val="21"/>
              </w:rPr>
            </w:pPr>
          </w:p>
        </w:tc>
      </w:tr>
    </w:tbl>
    <w:p>
      <w:pPr>
        <w:rPr>
          <w:rFonts w:hint="eastAsia"/>
        </w:rPr>
      </w:pPr>
    </w:p>
    <w:p>
      <w:pPr>
        <w:rPr>
          <w:rFonts w:hint="eastAsia"/>
        </w:rPr>
      </w:pPr>
    </w:p>
    <w:p>
      <w:pPr>
        <w:rPr>
          <w:rFonts w:hint="eastAsia"/>
        </w:rPr>
      </w:pPr>
    </w:p>
    <w:p>
      <w:pPr>
        <w:pStyle w:val="18"/>
        <w:spacing w:line="360" w:lineRule="auto"/>
        <w:jc w:val="both"/>
        <w:rPr>
          <w:rFonts w:hint="eastAsia"/>
          <w:b w:val="0"/>
          <w:sz w:val="24"/>
        </w:rPr>
      </w:pPr>
      <w:r>
        <w:rPr>
          <w:rFonts w:hint="eastAsia" w:ascii="宋体"/>
          <w:b w:val="0"/>
          <w:sz w:val="24"/>
        </w:rPr>
        <w:t>供应商（盖章）：               法定代表人或其委托代理人（签字或盖章）：</w:t>
      </w:r>
    </w:p>
    <w:p>
      <w:pPr>
        <w:wordWrap w:val="0"/>
        <w:spacing w:line="360" w:lineRule="auto"/>
        <w:ind w:right="480" w:firstLine="5760" w:firstLineChars="2400"/>
        <w:rPr>
          <w:rFonts w:hint="eastAsia" w:ascii="宋体"/>
          <w:sz w:val="24"/>
        </w:rPr>
      </w:pPr>
      <w:r>
        <w:rPr>
          <w:rFonts w:hint="eastAsia" w:ascii="宋体"/>
          <w:sz w:val="24"/>
        </w:rPr>
        <w:t>年   月   日</w:t>
      </w:r>
    </w:p>
    <w:p>
      <w:pPr>
        <w:wordWrap w:val="0"/>
        <w:spacing w:line="360" w:lineRule="auto"/>
        <w:ind w:right="480" w:firstLine="5760" w:firstLineChars="2400"/>
        <w:rPr>
          <w:rFonts w:hint="eastAsia" w:ascii="宋体"/>
          <w:sz w:val="24"/>
        </w:rPr>
      </w:pPr>
    </w:p>
    <w:p>
      <w:pPr>
        <w:spacing w:line="360" w:lineRule="auto"/>
        <w:rPr>
          <w:rFonts w:hint="eastAsia" w:ascii="宋体" w:hAnsi="宋体"/>
          <w:b/>
          <w:sz w:val="24"/>
          <w:u w:val="single"/>
        </w:rPr>
      </w:pPr>
      <w:r>
        <w:rPr>
          <w:rFonts w:hint="eastAsia" w:ascii="宋体" w:hAnsi="宋体"/>
          <w:b/>
          <w:sz w:val="24"/>
          <w:u w:val="single"/>
        </w:rPr>
        <w:t>注：1、本表格可自行扩展。</w:t>
      </w:r>
    </w:p>
    <w:p>
      <w:pPr>
        <w:spacing w:line="360" w:lineRule="auto"/>
        <w:ind w:firstLine="482" w:firstLineChars="200"/>
        <w:rPr>
          <w:rFonts w:hint="eastAsia" w:ascii="宋体" w:hAnsi="宋体"/>
          <w:b/>
          <w:sz w:val="24"/>
          <w:u w:val="single"/>
        </w:rPr>
      </w:pPr>
      <w:r>
        <w:rPr>
          <w:rFonts w:hint="eastAsia" w:ascii="宋体" w:hAnsi="宋体"/>
          <w:b/>
          <w:sz w:val="24"/>
          <w:u w:val="single"/>
        </w:rPr>
        <w:t>2、本表所填内容必须与附件四“投标报价明细表”对应内容相一致。</w:t>
      </w: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right="560" w:firstLine="6160" w:firstLineChars="2200"/>
        <w:rPr>
          <w:rFonts w:hint="eastAsia"/>
          <w:sz w:val="28"/>
        </w:rPr>
      </w:pPr>
    </w:p>
    <w:p>
      <w:pPr>
        <w:pStyle w:val="2"/>
        <w:numPr>
          <w:ilvl w:val="0"/>
          <w:numId w:val="0"/>
        </w:numPr>
        <w:spacing w:after="0" w:line="240" w:lineRule="auto"/>
        <w:jc w:val="center"/>
        <w:rPr>
          <w:rFonts w:hint="eastAsia" w:ascii="宋体" w:hAnsi="宋体"/>
          <w:b w:val="0"/>
        </w:rPr>
      </w:pPr>
      <w:bookmarkStart w:id="48" w:name="_Toc8463"/>
      <w:r>
        <w:rPr>
          <w:rFonts w:hint="eastAsia" w:ascii="宋体" w:hAnsi="宋体"/>
          <w:b w:val="0"/>
        </w:rPr>
        <w:t>附件七：投标设备主要技术参数说明</w:t>
      </w:r>
      <w:bookmarkEnd w:id="48"/>
    </w:p>
    <w:p>
      <w:pPr>
        <w:spacing w:after="120" w:line="360" w:lineRule="auto"/>
        <w:rPr>
          <w:rFonts w:hint="eastAsia" w:ascii="Arial" w:hAnsi="Arial" w:cs="Arial"/>
          <w:sz w:val="24"/>
        </w:rPr>
      </w:pPr>
    </w:p>
    <w:p>
      <w:pPr>
        <w:spacing w:after="120" w:line="360" w:lineRule="auto"/>
        <w:rPr>
          <w:rFonts w:hint="eastAsia" w:ascii="Arial" w:hAnsi="Arial" w:cs="Arial"/>
          <w:sz w:val="24"/>
        </w:rPr>
      </w:pPr>
      <w:r>
        <w:rPr>
          <w:rFonts w:hint="eastAsia" w:ascii="Arial" w:hAnsi="Arial" w:cs="Arial"/>
          <w:sz w:val="24"/>
        </w:rPr>
        <w:t xml:space="preserve">投标设备名称(型号规格)：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47"/>
        <w:gridCol w:w="321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trPr>
        <w:tc>
          <w:tcPr>
            <w:tcW w:w="975" w:type="dxa"/>
            <w:noWrap w:val="0"/>
            <w:vAlign w:val="center"/>
          </w:tcPr>
          <w:p>
            <w:pPr>
              <w:jc w:val="center"/>
              <w:rPr>
                <w:rFonts w:hint="eastAsia" w:ascii="宋体" w:hAnsi="宋体" w:cs="Arial"/>
                <w:sz w:val="24"/>
              </w:rPr>
            </w:pPr>
            <w:r>
              <w:rPr>
                <w:rFonts w:hint="eastAsia" w:ascii="宋体" w:hAnsi="宋体" w:cs="Arial"/>
                <w:sz w:val="24"/>
              </w:rPr>
              <w:t>序号</w:t>
            </w:r>
          </w:p>
        </w:tc>
        <w:tc>
          <w:tcPr>
            <w:tcW w:w="2447" w:type="dxa"/>
            <w:noWrap w:val="0"/>
            <w:vAlign w:val="center"/>
          </w:tcPr>
          <w:p>
            <w:pPr>
              <w:jc w:val="center"/>
              <w:rPr>
                <w:rFonts w:hint="eastAsia" w:ascii="宋体" w:hAnsi="宋体" w:cs="Arial"/>
                <w:sz w:val="24"/>
              </w:rPr>
            </w:pPr>
            <w:r>
              <w:rPr>
                <w:rFonts w:hint="eastAsia" w:ascii="宋体" w:hAnsi="宋体" w:cs="Arial"/>
                <w:sz w:val="24"/>
              </w:rPr>
              <w:t>部件名称</w:t>
            </w:r>
          </w:p>
        </w:tc>
        <w:tc>
          <w:tcPr>
            <w:tcW w:w="3210" w:type="dxa"/>
            <w:noWrap w:val="0"/>
            <w:vAlign w:val="center"/>
          </w:tcPr>
          <w:p>
            <w:pPr>
              <w:jc w:val="center"/>
              <w:rPr>
                <w:rFonts w:hint="eastAsia" w:ascii="宋体" w:hAnsi="宋体" w:cs="Arial"/>
                <w:sz w:val="24"/>
              </w:rPr>
            </w:pPr>
            <w:r>
              <w:rPr>
                <w:rFonts w:hint="eastAsia" w:ascii="宋体" w:hAnsi="宋体" w:cs="Arial"/>
                <w:sz w:val="24"/>
              </w:rPr>
              <w:t>技术参数、性能、特点</w:t>
            </w:r>
          </w:p>
        </w:tc>
        <w:tc>
          <w:tcPr>
            <w:tcW w:w="2371" w:type="dxa"/>
            <w:noWrap w:val="0"/>
            <w:vAlign w:val="center"/>
          </w:tcPr>
          <w:p>
            <w:pPr>
              <w:jc w:val="center"/>
              <w:rPr>
                <w:rFonts w:hint="eastAsia" w:ascii="宋体" w:hAnsi="宋体" w:cs="Arial"/>
                <w:sz w:val="24"/>
              </w:rPr>
            </w:pPr>
            <w:r>
              <w:rPr>
                <w:rFonts w:hint="eastAsia" w:ascii="宋体" w:hAnsi="宋体" w:cs="Arial"/>
                <w:sz w:val="24"/>
              </w:rPr>
              <w:t>生产厂商、产地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pStyle w:val="39"/>
              <w:snapToGrid/>
              <w:spacing w:before="0" w:beforeLines="0" w:after="0" w:afterLines="0"/>
              <w:rPr>
                <w:rFonts w:ascii="宋体" w:hAnsi="宋体"/>
                <w:color w:val="auto"/>
              </w:rPr>
            </w:pPr>
            <w:r>
              <w:rPr>
                <w:rFonts w:ascii="宋体" w:hAnsi="宋体"/>
                <w:color w:val="auto"/>
              </w:rPr>
              <w:t>1</w:t>
            </w:r>
          </w:p>
        </w:tc>
        <w:tc>
          <w:tcPr>
            <w:tcW w:w="2447" w:type="dxa"/>
            <w:noWrap w:val="0"/>
            <w:vAlign w:val="center"/>
          </w:tcPr>
          <w:p>
            <w:pPr>
              <w:pStyle w:val="39"/>
              <w:snapToGrid/>
              <w:spacing w:before="0" w:beforeLines="0" w:after="0" w:afterLines="0"/>
              <w:rPr>
                <w:rFonts w:hint="eastAsia" w:ascii="宋体" w:hAnsi="宋体"/>
                <w:color w:val="auto"/>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2</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3</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4</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5</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6</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7</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r>
              <w:rPr>
                <w:rFonts w:ascii="宋体" w:hAnsi="宋体" w:cs="Arial"/>
                <w:sz w:val="24"/>
              </w:rPr>
              <w:t>8</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hint="eastAsia" w:ascii="宋体" w:hAnsi="宋体" w:cs="Arial"/>
                <w:sz w:val="24"/>
              </w:rPr>
            </w:pPr>
            <w:r>
              <w:rPr>
                <w:rFonts w:hint="eastAsia" w:ascii="宋体" w:hAnsi="宋体" w:cs="Arial"/>
                <w:sz w:val="24"/>
              </w:rPr>
              <w:t>9</w:t>
            </w:r>
          </w:p>
        </w:tc>
        <w:tc>
          <w:tcPr>
            <w:tcW w:w="2447" w:type="dxa"/>
            <w:noWrap w:val="0"/>
            <w:vAlign w:val="center"/>
          </w:tcPr>
          <w:p>
            <w:pPr>
              <w:jc w:val="center"/>
              <w:rPr>
                <w:rFonts w:hint="eastAsia"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p>
        </w:tc>
        <w:tc>
          <w:tcPr>
            <w:tcW w:w="2447" w:type="dxa"/>
            <w:noWrap w:val="0"/>
            <w:vAlign w:val="center"/>
          </w:tcPr>
          <w:p>
            <w:pPr>
              <w:jc w:val="center"/>
              <w:rPr>
                <w:rFonts w:hint="eastAsia"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sz w:val="24"/>
              </w:rPr>
            </w:pPr>
          </w:p>
        </w:tc>
        <w:tc>
          <w:tcPr>
            <w:tcW w:w="2447" w:type="dxa"/>
            <w:noWrap w:val="0"/>
            <w:vAlign w:val="center"/>
          </w:tcPr>
          <w:p>
            <w:pPr>
              <w:jc w:val="center"/>
              <w:rPr>
                <w:rFonts w:hint="eastAsia"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hint="eastAsia" w:ascii="宋体" w:hAnsi="宋体" w:cs="Arial"/>
                <w:sz w:val="24"/>
              </w:rPr>
            </w:pPr>
            <w:r>
              <w:rPr>
                <w:rFonts w:hint="eastAsia" w:ascii="宋体" w:hAnsi="宋体" w:cs="Arial"/>
                <w:sz w:val="24"/>
              </w:rPr>
              <w:t>…</w:t>
            </w:r>
          </w:p>
        </w:tc>
        <w:tc>
          <w:tcPr>
            <w:tcW w:w="2447" w:type="dxa"/>
            <w:noWrap w:val="0"/>
            <w:vAlign w:val="center"/>
          </w:tcPr>
          <w:p>
            <w:pPr>
              <w:jc w:val="center"/>
              <w:rPr>
                <w:rFonts w:hint="eastAsia"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bl>
    <w:p>
      <w:pPr>
        <w:spacing w:before="120" w:beforeLines="50" w:after="120"/>
        <w:rPr>
          <w:rFonts w:hint="eastAsia"/>
          <w:b/>
          <w:sz w:val="24"/>
          <w:u w:val="single"/>
        </w:rPr>
      </w:pPr>
      <w:r>
        <w:rPr>
          <w:rFonts w:hint="eastAsia"/>
          <w:b/>
          <w:sz w:val="24"/>
          <w:u w:val="single"/>
        </w:rPr>
        <w:t>注：如果不同型号规格的部件有不同，应该依据此表分别填写，并注明投标设备(型号规格)。</w:t>
      </w:r>
    </w:p>
    <w:p>
      <w:pPr>
        <w:pStyle w:val="26"/>
        <w:spacing w:after="120" w:line="360" w:lineRule="auto"/>
        <w:ind w:left="5250"/>
        <w:rPr>
          <w:rFonts w:hint="eastAsia" w:ascii="Arial" w:hAnsi="Arial" w:cs="Arial"/>
        </w:rPr>
      </w:pPr>
    </w:p>
    <w:p>
      <w:pPr>
        <w:rPr>
          <w:rFonts w:hint="eastAsia"/>
        </w:rPr>
      </w:pPr>
    </w:p>
    <w:p>
      <w:pPr>
        <w:rPr>
          <w:rFonts w:hint="eastAsia"/>
        </w:rPr>
      </w:pPr>
    </w:p>
    <w:p>
      <w:pPr>
        <w:pStyle w:val="18"/>
        <w:spacing w:line="400" w:lineRule="exact"/>
        <w:jc w:val="left"/>
        <w:rPr>
          <w:rFonts w:hint="eastAsia" w:ascii="宋体"/>
          <w:b w:val="0"/>
          <w:sz w:val="24"/>
        </w:rPr>
      </w:pPr>
      <w:r>
        <w:rPr>
          <w:rFonts w:hint="eastAsia" w:ascii="宋体"/>
          <w:b w:val="0"/>
          <w:sz w:val="24"/>
        </w:rPr>
        <w:t>供应商（盖章）：             法定代表人或其委托代理人（签字或盖章）：</w:t>
      </w:r>
    </w:p>
    <w:p>
      <w:pPr>
        <w:pStyle w:val="18"/>
        <w:spacing w:line="400" w:lineRule="exact"/>
        <w:jc w:val="left"/>
        <w:rPr>
          <w:rFonts w:hint="eastAsia"/>
          <w:sz w:val="24"/>
        </w:rPr>
      </w:pPr>
    </w:p>
    <w:p>
      <w:pPr>
        <w:spacing w:line="400" w:lineRule="exact"/>
        <w:ind w:right="120" w:firstLine="6556" w:firstLineChars="2732"/>
        <w:jc w:val="right"/>
        <w:rPr>
          <w:rFonts w:hint="eastAsia" w:ascii="宋体"/>
          <w:sz w:val="24"/>
        </w:rPr>
      </w:pPr>
      <w:r>
        <w:rPr>
          <w:rFonts w:hint="eastAsia" w:ascii="宋体"/>
          <w:sz w:val="24"/>
        </w:rPr>
        <w:t>年   月   日</w:t>
      </w:r>
    </w:p>
    <w:p>
      <w:pPr>
        <w:spacing w:line="200" w:lineRule="exact"/>
        <w:rPr>
          <w:rFonts w:hint="eastAsia" w:ascii="宋体" w:hAnsi="宋体"/>
          <w:sz w:val="24"/>
        </w:rPr>
      </w:pPr>
    </w:p>
    <w:p>
      <w:pPr>
        <w:spacing w:line="200" w:lineRule="exact"/>
        <w:rPr>
          <w:rFonts w:hint="eastAsia" w:ascii="宋体" w:hAnsi="宋体"/>
          <w:sz w:val="24"/>
        </w:rPr>
      </w:pPr>
    </w:p>
    <w:p>
      <w:pPr>
        <w:spacing w:line="200" w:lineRule="exact"/>
        <w:rPr>
          <w:rFonts w:hint="eastAsia" w:ascii="宋体" w:hAnsi="宋体"/>
          <w:sz w:val="24"/>
        </w:rPr>
      </w:pPr>
    </w:p>
    <w:p>
      <w:pPr>
        <w:spacing w:line="600" w:lineRule="exact"/>
        <w:rPr>
          <w:rFonts w:hint="eastAsia" w:ascii="宋体" w:hAnsi="宋体"/>
          <w:b/>
          <w:sz w:val="44"/>
          <w:szCs w:val="44"/>
        </w:rPr>
      </w:pPr>
    </w:p>
    <w:p>
      <w:pPr>
        <w:pStyle w:val="2"/>
        <w:numPr>
          <w:ilvl w:val="0"/>
          <w:numId w:val="0"/>
        </w:numPr>
        <w:spacing w:after="0" w:line="240" w:lineRule="auto"/>
        <w:jc w:val="center"/>
        <w:rPr>
          <w:rFonts w:hint="eastAsia" w:ascii="宋体" w:hAnsi="宋体"/>
          <w:b w:val="0"/>
        </w:rPr>
      </w:pPr>
      <w:bookmarkStart w:id="49" w:name="_Toc7451"/>
      <w:r>
        <w:rPr>
          <w:rFonts w:hint="eastAsia" w:ascii="宋体" w:hAnsi="宋体"/>
          <w:b w:val="0"/>
        </w:rPr>
        <w:t>附件八：技术偏离表</w:t>
      </w:r>
      <w:bookmarkEnd w:id="49"/>
    </w:p>
    <w:p>
      <w:pPr>
        <w:rPr>
          <w:rFonts w:hint="eastAsia"/>
        </w:rPr>
      </w:pP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66"/>
        <w:gridCol w:w="1964"/>
        <w:gridCol w:w="1964"/>
        <w:gridCol w:w="1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r>
              <w:rPr>
                <w:rFonts w:hint="eastAsia" w:ascii="宋体" w:hAnsi="宋体"/>
                <w:sz w:val="24"/>
              </w:rPr>
              <w:t>编号</w:t>
            </w:r>
          </w:p>
        </w:tc>
        <w:tc>
          <w:tcPr>
            <w:tcW w:w="2166" w:type="dxa"/>
            <w:noWrap w:val="0"/>
            <w:vAlign w:val="center"/>
          </w:tcPr>
          <w:p>
            <w:pPr>
              <w:jc w:val="center"/>
              <w:rPr>
                <w:rFonts w:hint="eastAsia" w:ascii="宋体" w:hAnsi="宋体"/>
                <w:sz w:val="24"/>
              </w:rPr>
            </w:pPr>
            <w:r>
              <w:rPr>
                <w:rFonts w:hint="eastAsia" w:ascii="宋体" w:hAnsi="宋体"/>
                <w:sz w:val="24"/>
              </w:rPr>
              <w:t>项目名称</w:t>
            </w:r>
          </w:p>
        </w:tc>
        <w:tc>
          <w:tcPr>
            <w:tcW w:w="1964" w:type="dxa"/>
            <w:noWrap w:val="0"/>
            <w:vAlign w:val="center"/>
          </w:tcPr>
          <w:p>
            <w:pPr>
              <w:jc w:val="center"/>
              <w:rPr>
                <w:rFonts w:hint="eastAsia" w:ascii="宋体" w:hAnsi="宋体"/>
                <w:sz w:val="24"/>
              </w:rPr>
            </w:pPr>
            <w:r>
              <w:rPr>
                <w:rFonts w:hint="eastAsia" w:ascii="宋体" w:hAnsi="宋体"/>
                <w:sz w:val="24"/>
              </w:rPr>
              <w:t>技术</w:t>
            </w:r>
          </w:p>
          <w:p>
            <w:pPr>
              <w:jc w:val="center"/>
              <w:rPr>
                <w:rFonts w:hint="eastAsia" w:ascii="宋体" w:hAnsi="宋体"/>
                <w:sz w:val="24"/>
              </w:rPr>
            </w:pPr>
            <w:r>
              <w:rPr>
                <w:rFonts w:hint="eastAsia" w:ascii="宋体" w:hAnsi="宋体"/>
                <w:sz w:val="24"/>
              </w:rPr>
              <w:t>参数要求</w:t>
            </w:r>
          </w:p>
        </w:tc>
        <w:tc>
          <w:tcPr>
            <w:tcW w:w="1964" w:type="dxa"/>
            <w:noWrap w:val="0"/>
            <w:vAlign w:val="center"/>
          </w:tcPr>
          <w:p>
            <w:pPr>
              <w:jc w:val="center"/>
              <w:rPr>
                <w:rFonts w:hint="eastAsia" w:ascii="宋体" w:hAnsi="宋体"/>
                <w:sz w:val="24"/>
              </w:rPr>
            </w:pPr>
            <w:r>
              <w:rPr>
                <w:rFonts w:hint="eastAsia" w:ascii="宋体" w:hAnsi="宋体"/>
                <w:sz w:val="24"/>
              </w:rPr>
              <w:t>投标技术</w:t>
            </w:r>
          </w:p>
          <w:p>
            <w:pPr>
              <w:jc w:val="center"/>
              <w:rPr>
                <w:rFonts w:hint="eastAsia" w:ascii="宋体" w:hAnsi="宋体"/>
                <w:sz w:val="24"/>
              </w:rPr>
            </w:pPr>
            <w:r>
              <w:rPr>
                <w:rFonts w:hint="eastAsia" w:ascii="宋体" w:hAnsi="宋体"/>
                <w:sz w:val="24"/>
              </w:rPr>
              <w:t>参数响应</w:t>
            </w:r>
          </w:p>
        </w:tc>
        <w:tc>
          <w:tcPr>
            <w:tcW w:w="1992" w:type="dxa"/>
            <w:noWrap w:val="0"/>
            <w:vAlign w:val="center"/>
          </w:tcPr>
          <w:p>
            <w:pPr>
              <w:jc w:val="center"/>
              <w:rPr>
                <w:rFonts w:hint="eastAsia" w:ascii="宋体" w:hAnsi="宋体"/>
                <w:sz w:val="24"/>
              </w:rPr>
            </w:pPr>
            <w:r>
              <w:rPr>
                <w:rFonts w:hint="eastAsia" w:ascii="宋体" w:hAnsi="宋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sz w:val="24"/>
              </w:rPr>
            </w:pPr>
          </w:p>
        </w:tc>
        <w:tc>
          <w:tcPr>
            <w:tcW w:w="2166"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64" w:type="dxa"/>
            <w:noWrap w:val="0"/>
            <w:vAlign w:val="center"/>
          </w:tcPr>
          <w:p>
            <w:pPr>
              <w:jc w:val="center"/>
              <w:rPr>
                <w:rFonts w:hint="eastAsia" w:ascii="宋体" w:hAnsi="宋体"/>
                <w:sz w:val="24"/>
              </w:rPr>
            </w:pPr>
          </w:p>
        </w:tc>
        <w:tc>
          <w:tcPr>
            <w:tcW w:w="1992" w:type="dxa"/>
            <w:noWrap w:val="0"/>
            <w:vAlign w:val="center"/>
          </w:tcPr>
          <w:p>
            <w:pPr>
              <w:jc w:val="center"/>
              <w:rPr>
                <w:rFonts w:hint="eastAsia" w:ascii="宋体" w:hAnsi="宋体"/>
                <w:sz w:val="24"/>
              </w:rPr>
            </w:pPr>
          </w:p>
        </w:tc>
      </w:tr>
    </w:tbl>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600" w:lineRule="exact"/>
        <w:ind w:firstLine="3360" w:firstLineChars="1200"/>
        <w:rPr>
          <w:rFonts w:hint="eastAsia"/>
          <w:sz w:val="28"/>
        </w:rPr>
      </w:pPr>
    </w:p>
    <w:p>
      <w:pPr>
        <w:spacing w:line="360" w:lineRule="auto"/>
        <w:jc w:val="left"/>
        <w:rPr>
          <w:rFonts w:hint="eastAsia" w:ascii="宋体" w:hAnsi="宋体"/>
          <w:sz w:val="24"/>
        </w:rPr>
      </w:pPr>
      <w:r>
        <w:rPr>
          <w:rFonts w:hint="eastAsia" w:ascii="宋体" w:hAnsi="宋体"/>
          <w:bCs/>
          <w:sz w:val="24"/>
        </w:rPr>
        <w:t>供应商</w:t>
      </w:r>
      <w:r>
        <w:rPr>
          <w:rFonts w:hint="eastAsia" w:ascii="宋体" w:hAnsi="宋体"/>
          <w:sz w:val="24"/>
        </w:rPr>
        <w:t>（盖章）：                法定代表人或其委托代理人（签字或盖章）：</w:t>
      </w:r>
    </w:p>
    <w:p>
      <w:pPr>
        <w:spacing w:line="360" w:lineRule="auto"/>
        <w:ind w:firstLine="3600"/>
        <w:jc w:val="left"/>
        <w:rPr>
          <w:rFonts w:hint="eastAsia" w:ascii="宋体" w:hAnsi="宋体"/>
          <w:sz w:val="24"/>
        </w:rPr>
      </w:pPr>
    </w:p>
    <w:p>
      <w:pPr>
        <w:spacing w:line="360" w:lineRule="auto"/>
        <w:ind w:firstLine="3600"/>
        <w:jc w:val="center"/>
        <w:rPr>
          <w:rFonts w:hint="eastAsia" w:ascii="宋体"/>
          <w:sz w:val="24"/>
        </w:rPr>
      </w:pPr>
      <w:r>
        <w:rPr>
          <w:rFonts w:hint="eastAsia" w:ascii="宋体" w:hAnsi="宋体"/>
          <w:sz w:val="24"/>
        </w:rPr>
        <w:t xml:space="preserve">                年   月   日</w:t>
      </w:r>
    </w:p>
    <w:p>
      <w:pPr>
        <w:pStyle w:val="2"/>
        <w:numPr>
          <w:ilvl w:val="0"/>
          <w:numId w:val="0"/>
        </w:numPr>
        <w:spacing w:after="0" w:line="240" w:lineRule="auto"/>
        <w:jc w:val="center"/>
        <w:rPr>
          <w:rFonts w:hint="eastAsia" w:ascii="宋体" w:hAnsi="宋体"/>
          <w:b w:val="0"/>
        </w:rPr>
      </w:pPr>
      <w:bookmarkStart w:id="50" w:name="_Toc264116927"/>
      <w:bookmarkStart w:id="51" w:name="_Toc387308401"/>
      <w:bookmarkStart w:id="52" w:name="_Toc16893"/>
      <w:r>
        <w:rPr>
          <w:rFonts w:hint="eastAsia" w:ascii="宋体" w:hAnsi="宋体"/>
          <w:b w:val="0"/>
        </w:rPr>
        <w:t>附件九：投标承诺书</w:t>
      </w:r>
      <w:bookmarkEnd w:id="50"/>
      <w:bookmarkEnd w:id="51"/>
      <w:bookmarkEnd w:id="52"/>
    </w:p>
    <w:p>
      <w:pPr>
        <w:spacing w:line="600" w:lineRule="exact"/>
        <w:rPr>
          <w:rFonts w:hint="eastAsia" w:ascii="宋体" w:hAnsi="宋体"/>
          <w:sz w:val="28"/>
        </w:rPr>
      </w:pPr>
      <w:r>
        <w:rPr>
          <w:rFonts w:hint="eastAsia" w:ascii="宋体" w:hAnsi="宋体"/>
          <w:sz w:val="28"/>
          <w:u w:val="single"/>
        </w:rPr>
        <w:t xml:space="preserve">                     </w:t>
      </w:r>
      <w:r>
        <w:rPr>
          <w:rFonts w:hint="eastAsia" w:ascii="宋体" w:hAnsi="宋体"/>
          <w:sz w:val="28"/>
        </w:rPr>
        <w:t>：</w:t>
      </w:r>
    </w:p>
    <w:p>
      <w:pPr>
        <w:spacing w:line="600" w:lineRule="exact"/>
        <w:ind w:firstLine="705"/>
        <w:rPr>
          <w:rFonts w:hint="eastAsia" w:ascii="宋体" w:hAnsi="宋体"/>
          <w:sz w:val="24"/>
        </w:rPr>
      </w:pPr>
      <w:r>
        <w:rPr>
          <w:rFonts w:hint="eastAsia" w:ascii="宋体" w:hAnsi="宋体"/>
          <w:sz w:val="28"/>
          <w:szCs w:val="28"/>
        </w:rPr>
        <w:t>我公司自愿参加</w:t>
      </w:r>
      <w:r>
        <w:rPr>
          <w:rFonts w:hint="eastAsia" w:ascii="宋体" w:hAnsi="宋体"/>
          <w:sz w:val="28"/>
          <w:szCs w:val="28"/>
          <w:u w:val="single"/>
        </w:rPr>
        <w:t xml:space="preserve">            </w:t>
      </w:r>
      <w:r>
        <w:rPr>
          <w:rFonts w:hint="eastAsia" w:ascii="宋体" w:hAnsi="宋体"/>
          <w:sz w:val="28"/>
          <w:szCs w:val="28"/>
        </w:rPr>
        <w:t>的采购</w:t>
      </w:r>
      <w:r>
        <w:rPr>
          <w:rFonts w:hint="eastAsia" w:ascii="宋体"/>
          <w:sz w:val="28"/>
        </w:rPr>
        <w:t>招标活动</w:t>
      </w:r>
      <w:r>
        <w:rPr>
          <w:rFonts w:hint="eastAsia" w:ascii="宋体" w:hAnsi="宋体"/>
          <w:sz w:val="28"/>
          <w:szCs w:val="28"/>
        </w:rPr>
        <w:t>，完全遵守采购文件的所有要求，并作如下承诺</w:t>
      </w:r>
      <w:r>
        <w:rPr>
          <w:rFonts w:hint="eastAsia" w:ascii="宋体" w:hAnsi="宋体"/>
          <w:sz w:val="24"/>
        </w:rPr>
        <w:t>：</w:t>
      </w:r>
    </w:p>
    <w:p>
      <w:pPr>
        <w:spacing w:line="600" w:lineRule="exact"/>
        <w:ind w:firstLine="705"/>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1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①</w:t>
      </w:r>
      <w:r>
        <w:rPr>
          <w:rFonts w:ascii="宋体" w:hAnsi="宋体"/>
          <w:sz w:val="24"/>
          <w:u w:val="single"/>
        </w:rPr>
        <w:fldChar w:fldCharType="end"/>
      </w:r>
      <w:r>
        <w:rPr>
          <w:rFonts w:hint="eastAsia" w:ascii="宋体" w:hAnsi="宋体"/>
          <w:sz w:val="24"/>
          <w:u w:val="single"/>
        </w:rPr>
        <w:t>我方提供从验收合格之日起，  年的免费维修保养服务和   年的免</w:t>
      </w:r>
    </w:p>
    <w:p>
      <w:pPr>
        <w:spacing w:line="600" w:lineRule="exact"/>
        <w:rPr>
          <w:rFonts w:hint="eastAsia" w:ascii="宋体" w:hAnsi="宋体"/>
          <w:sz w:val="24"/>
          <w:u w:val="single"/>
        </w:rPr>
      </w:pPr>
      <w:r>
        <w:rPr>
          <w:rFonts w:hint="eastAsia" w:ascii="宋体" w:hAnsi="宋体"/>
          <w:sz w:val="24"/>
          <w:u w:val="single"/>
        </w:rPr>
        <w:t>费质保期。</w:t>
      </w:r>
      <w:r>
        <w:rPr>
          <w:rFonts w:hint="eastAsia" w:ascii="宋体" w:hAnsi="宋体"/>
          <w:sz w:val="24"/>
        </w:rPr>
        <w:t xml:space="preserve">                                                           </w:t>
      </w:r>
    </w:p>
    <w:p>
      <w:pPr>
        <w:spacing w:line="600" w:lineRule="exact"/>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fldChar w:fldCharType="begin"/>
      </w:r>
      <w:r>
        <w:rPr>
          <w:rFonts w:ascii="宋体" w:hAnsi="宋体"/>
          <w:sz w:val="24"/>
          <w:u w:val="single"/>
        </w:rPr>
        <w:instrText xml:space="preserve"> </w:instrText>
      </w:r>
      <w:r>
        <w:rPr>
          <w:rFonts w:hint="eastAsia" w:ascii="宋体" w:hAnsi="宋体"/>
          <w:sz w:val="24"/>
          <w:u w:val="single"/>
        </w:rPr>
        <w:instrText xml:space="preserve">= 2 \* GB3</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sz w:val="24"/>
          <w:u w:val="single"/>
        </w:rPr>
        <w:t>②</w:t>
      </w:r>
      <w:r>
        <w:rPr>
          <w:rFonts w:ascii="宋体" w:hAnsi="宋体"/>
          <w:sz w:val="24"/>
          <w:u w:val="single"/>
        </w:rPr>
        <w:fldChar w:fldCharType="end"/>
      </w:r>
      <w:r>
        <w:rPr>
          <w:rFonts w:hint="eastAsia" w:ascii="宋体" w:hAnsi="宋体"/>
          <w:sz w:val="24"/>
          <w:u w:val="single"/>
        </w:rPr>
        <w:t>付款方式：</w:t>
      </w:r>
      <w:r>
        <w:rPr>
          <w:rFonts w:hint="eastAsia" w:ascii="宋体" w:hAnsi="宋体"/>
          <w:sz w:val="24"/>
        </w:rPr>
        <w:t xml:space="preserve">                                                    </w:t>
      </w:r>
    </w:p>
    <w:p>
      <w:pPr>
        <w:spacing w:line="600" w:lineRule="exact"/>
        <w:ind w:firstLine="1080" w:firstLineChars="450"/>
        <w:rPr>
          <w:rFonts w:hint="eastAsia" w:ascii="宋体" w:hAnsi="宋体"/>
          <w:sz w:val="24"/>
          <w:u w:val="single"/>
        </w:rPr>
      </w:pPr>
      <w:r>
        <w:rPr>
          <w:rFonts w:hint="eastAsia" w:ascii="宋体" w:hAnsi="宋体"/>
          <w:sz w:val="24"/>
          <w:u w:val="single"/>
        </w:rPr>
        <w:t xml:space="preserve">       ……</w:t>
      </w:r>
    </w:p>
    <w:p>
      <w:pPr>
        <w:spacing w:line="600" w:lineRule="exact"/>
        <w:ind w:firstLine="560" w:firstLineChars="200"/>
        <w:rPr>
          <w:rFonts w:hint="eastAsia" w:ascii="宋体" w:hAnsi="宋体"/>
          <w:sz w:val="24"/>
          <w:u w:val="single"/>
        </w:rPr>
      </w:pPr>
      <w:r>
        <w:rPr>
          <w:rFonts w:hint="eastAsia" w:ascii="宋体" w:hAnsi="宋体"/>
          <w:sz w:val="28"/>
          <w:szCs w:val="28"/>
        </w:rPr>
        <w:t>我公司提供免费维修保养期后的维修保养办法及费用：</w:t>
      </w: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rPr>
          <w:rFonts w:hint="eastAsia" w:ascii="宋体" w:hAnsi="宋体"/>
          <w:sz w:val="24"/>
          <w:u w:val="single"/>
        </w:rPr>
      </w:pPr>
    </w:p>
    <w:p>
      <w:pPr>
        <w:spacing w:line="600" w:lineRule="exact"/>
        <w:jc w:val="left"/>
        <w:rPr>
          <w:rFonts w:hint="eastAsia" w:ascii="宋体"/>
          <w:sz w:val="24"/>
        </w:rPr>
      </w:pPr>
    </w:p>
    <w:p>
      <w:pPr>
        <w:tabs>
          <w:tab w:val="left" w:pos="3855"/>
        </w:tabs>
        <w:spacing w:line="600" w:lineRule="exact"/>
        <w:jc w:val="left"/>
        <w:rPr>
          <w:rFonts w:hint="eastAsia" w:ascii="宋体"/>
          <w:sz w:val="24"/>
        </w:rPr>
      </w:pPr>
      <w:r>
        <w:rPr>
          <w:rFonts w:ascii="宋体"/>
          <w:sz w:val="24"/>
        </w:rPr>
        <w:tab/>
      </w:r>
    </w:p>
    <w:p>
      <w:pPr>
        <w:spacing w:line="600" w:lineRule="exact"/>
        <w:jc w:val="left"/>
        <w:rPr>
          <w:rFonts w:hint="eastAsia" w:ascii="宋体"/>
          <w:sz w:val="24"/>
        </w:rPr>
      </w:pPr>
    </w:p>
    <w:p>
      <w:pPr>
        <w:spacing w:line="600" w:lineRule="exact"/>
        <w:jc w:val="left"/>
        <w:rPr>
          <w:rFonts w:hint="eastAsia" w:ascii="宋体"/>
          <w:sz w:val="24"/>
        </w:rPr>
      </w:pPr>
    </w:p>
    <w:p>
      <w:pPr>
        <w:spacing w:line="600" w:lineRule="exact"/>
        <w:jc w:val="left"/>
        <w:rPr>
          <w:rFonts w:hint="eastAsia" w:ascii="宋体"/>
          <w:sz w:val="24"/>
        </w:rPr>
      </w:pPr>
      <w:r>
        <w:rPr>
          <w:rFonts w:hint="eastAsia" w:ascii="宋体"/>
          <w:sz w:val="24"/>
        </w:rPr>
        <w:t>供应商（盖章）：                   法定代表人或其委托代理人（签字或盖章）：</w:t>
      </w:r>
    </w:p>
    <w:p>
      <w:pPr>
        <w:spacing w:line="600" w:lineRule="exact"/>
        <w:ind w:right="480"/>
        <w:jc w:val="right"/>
        <w:rPr>
          <w:rFonts w:hint="eastAsia" w:ascii="宋体" w:hAnsi="宋体"/>
          <w:sz w:val="24"/>
          <w:u w:val="single"/>
        </w:rPr>
      </w:pPr>
      <w:r>
        <w:rPr>
          <w:rFonts w:hint="eastAsia" w:ascii="宋体"/>
          <w:sz w:val="24"/>
          <w:u w:val="single"/>
        </w:rPr>
        <w:t xml:space="preserve">   年   月   日</w:t>
      </w:r>
    </w:p>
    <w:p>
      <w:pPr>
        <w:spacing w:line="600" w:lineRule="exact"/>
        <w:ind w:firstLine="5760" w:firstLineChars="2400"/>
        <w:rPr>
          <w:rFonts w:hint="eastAsia" w:ascii="宋体" w:hAnsi="宋体"/>
          <w:sz w:val="24"/>
        </w:rPr>
      </w:pPr>
    </w:p>
    <w:p>
      <w:pPr>
        <w:spacing w:line="600" w:lineRule="exact"/>
        <w:ind w:firstLine="5760" w:firstLineChars="2400"/>
        <w:rPr>
          <w:rFonts w:hint="eastAsia" w:ascii="宋体" w:hAnsi="宋体"/>
          <w:sz w:val="24"/>
        </w:rPr>
      </w:pPr>
    </w:p>
    <w:p>
      <w:pPr>
        <w:spacing w:line="600" w:lineRule="exact"/>
        <w:ind w:firstLine="5760" w:firstLineChars="2400"/>
        <w:rPr>
          <w:rFonts w:hint="eastAsia" w:ascii="宋体" w:hAnsi="宋体"/>
          <w:sz w:val="24"/>
        </w:rPr>
      </w:pPr>
    </w:p>
    <w:p>
      <w:pPr>
        <w:spacing w:line="600" w:lineRule="exact"/>
        <w:ind w:firstLine="5760" w:firstLineChars="2400"/>
        <w:rPr>
          <w:rFonts w:hint="eastAsia" w:ascii="宋体" w:hAnsi="宋体"/>
          <w:sz w:val="24"/>
        </w:rPr>
      </w:pPr>
    </w:p>
    <w:p>
      <w:pPr>
        <w:spacing w:line="600" w:lineRule="exact"/>
        <w:jc w:val="center"/>
        <w:rPr>
          <w:rFonts w:hint="eastAsia" w:ascii="宋体" w:hAnsi="宋体"/>
          <w:b/>
          <w:sz w:val="44"/>
          <w:szCs w:val="44"/>
        </w:rPr>
      </w:pPr>
    </w:p>
    <w:p>
      <w:pPr>
        <w:pStyle w:val="2"/>
        <w:numPr>
          <w:ilvl w:val="0"/>
          <w:numId w:val="0"/>
        </w:numPr>
        <w:spacing w:after="0" w:line="240" w:lineRule="auto"/>
        <w:rPr>
          <w:rFonts w:hint="eastAsia" w:ascii="宋体" w:hAnsi="宋体"/>
          <w:b w:val="0"/>
        </w:rPr>
      </w:pPr>
      <w:r>
        <w:rPr>
          <w:rFonts w:hint="eastAsia" w:ascii="宋体" w:hAnsi="宋体"/>
          <w:b w:val="0"/>
        </w:rPr>
        <w:t xml:space="preserve">           </w:t>
      </w:r>
      <w:bookmarkStart w:id="53" w:name="_Toc387308402"/>
      <w:bookmarkStart w:id="54" w:name="_Toc1532"/>
      <w:bookmarkStart w:id="55" w:name="_Toc264116928"/>
      <w:bookmarkStart w:id="56" w:name="_Toc328644410"/>
      <w:r>
        <w:rPr>
          <w:rFonts w:hint="eastAsia" w:ascii="宋体" w:hAnsi="宋体"/>
          <w:b w:val="0"/>
        </w:rPr>
        <w:t>附件十：投标提问书</w:t>
      </w:r>
      <w:bookmarkEnd w:id="53"/>
      <w:bookmarkEnd w:id="54"/>
    </w:p>
    <w:p>
      <w:pPr>
        <w:rPr>
          <w:rFonts w:hint="eastAsia"/>
        </w:rPr>
      </w:pPr>
    </w:p>
    <w:p>
      <w:pPr>
        <w:rPr>
          <w:rFonts w:hint="eastAsia"/>
        </w:rPr>
      </w:pPr>
      <w:r>
        <w:rPr>
          <w:rFonts w:hint="eastAsia"/>
        </w:rPr>
        <w:t xml:space="preserve"> </w:t>
      </w:r>
      <w:r>
        <w:rPr>
          <w:rFonts w:hint="eastAsia"/>
          <w:u w:val="single"/>
        </w:rPr>
        <w:t xml:space="preserve">                 </w:t>
      </w:r>
      <w:bookmarkStart w:id="57" w:name="_Toc19506"/>
      <w:r>
        <w:rPr>
          <w:rFonts w:hint="eastAsia"/>
        </w:rPr>
        <w:t>：</w:t>
      </w:r>
      <w:bookmarkEnd w:id="57"/>
    </w:p>
    <w:p>
      <w:pPr>
        <w:pStyle w:val="120"/>
        <w:ind w:firstLine="538"/>
        <w:rPr>
          <w:rFonts w:hint="eastAsia"/>
          <w:color w:val="auto"/>
        </w:rPr>
      </w:pPr>
      <w:bookmarkStart w:id="58" w:name="_Toc4000"/>
      <w:r>
        <w:rPr>
          <w:rFonts w:hint="eastAsia"/>
          <w:color w:val="auto"/>
        </w:rPr>
        <w:t xml:space="preserve"> 我们认真阅读了</w:t>
      </w:r>
      <w:r>
        <w:rPr>
          <w:rFonts w:hint="eastAsia"/>
          <w:color w:val="auto"/>
          <w:u w:val="single"/>
        </w:rPr>
        <w:t xml:space="preserve">                          </w:t>
      </w:r>
      <w:r>
        <w:rPr>
          <w:rFonts w:hint="eastAsia"/>
          <w:color w:val="auto"/>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58"/>
    </w:p>
    <w:p>
      <w:pPr>
        <w:pStyle w:val="34"/>
        <w:spacing w:line="480" w:lineRule="auto"/>
        <w:ind w:firstLine="630"/>
        <w:rPr>
          <w:rFonts w:hint="eastAsia" w:ascii="宋体" w:hAnsi="宋体"/>
          <w:spacing w:val="20"/>
          <w:sz w:val="24"/>
        </w:rPr>
      </w:pPr>
      <w:r>
        <w:rPr>
          <w:rFonts w:hint="eastAsia" w:ascii="宋体" w:hAnsi="宋体"/>
          <w:spacing w:val="20"/>
          <w:sz w:val="24"/>
        </w:rPr>
        <w:t>需在投标中澄清、解答的问题：（可添页）</w:t>
      </w:r>
    </w:p>
    <w:p>
      <w:pPr>
        <w:pStyle w:val="34"/>
        <w:spacing w:line="480" w:lineRule="auto"/>
        <w:ind w:firstLine="630"/>
        <w:rPr>
          <w:rFonts w:hint="eastAsia" w:ascii="宋体" w:hAnsi="宋体"/>
          <w:spacing w:val="20"/>
          <w:sz w:val="24"/>
          <w:u w:val="single"/>
        </w:rPr>
      </w:pPr>
      <w:r>
        <w:rPr>
          <w:rFonts w:hint="eastAsia" w:ascii="宋体" w:hAnsi="宋体"/>
          <w:spacing w:val="20"/>
          <w:sz w:val="24"/>
        </w:rPr>
        <w:t>1、</w:t>
      </w:r>
      <w:r>
        <w:rPr>
          <w:rFonts w:hint="eastAsia" w:ascii="宋体" w:hAnsi="宋体"/>
          <w:spacing w:val="20"/>
          <w:sz w:val="24"/>
          <w:u w:val="single"/>
        </w:rPr>
        <w:t xml:space="preserve">                                             </w:t>
      </w:r>
    </w:p>
    <w:p>
      <w:pPr>
        <w:pStyle w:val="34"/>
        <w:spacing w:line="480" w:lineRule="auto"/>
        <w:ind w:firstLine="630"/>
        <w:rPr>
          <w:rFonts w:hint="eastAsia" w:ascii="宋体" w:hAnsi="宋体"/>
          <w:spacing w:val="20"/>
          <w:sz w:val="24"/>
          <w:u w:val="single"/>
        </w:rPr>
      </w:pPr>
      <w:r>
        <w:rPr>
          <w:rFonts w:hint="eastAsia" w:ascii="宋体" w:hAnsi="宋体"/>
          <w:spacing w:val="20"/>
          <w:sz w:val="24"/>
        </w:rPr>
        <w:t>2、</w:t>
      </w:r>
      <w:r>
        <w:rPr>
          <w:rFonts w:hint="eastAsia" w:ascii="宋体" w:hAnsi="宋体"/>
          <w:spacing w:val="20"/>
          <w:sz w:val="24"/>
          <w:u w:val="single"/>
        </w:rPr>
        <w:t xml:space="preserve">                                             </w:t>
      </w:r>
    </w:p>
    <w:p>
      <w:pPr>
        <w:pStyle w:val="34"/>
        <w:spacing w:line="480" w:lineRule="auto"/>
        <w:ind w:firstLine="630"/>
        <w:rPr>
          <w:rFonts w:hint="eastAsia" w:ascii="宋体" w:hAnsi="宋体"/>
          <w:spacing w:val="20"/>
          <w:sz w:val="24"/>
          <w:u w:val="single"/>
        </w:rPr>
      </w:pPr>
      <w:r>
        <w:rPr>
          <w:rFonts w:hint="eastAsia" w:ascii="宋体" w:hAnsi="宋体"/>
          <w:spacing w:val="20"/>
          <w:sz w:val="24"/>
        </w:rPr>
        <w:t>3、</w:t>
      </w:r>
      <w:r>
        <w:rPr>
          <w:rFonts w:hint="eastAsia" w:ascii="宋体" w:hAnsi="宋体"/>
          <w:spacing w:val="20"/>
          <w:sz w:val="24"/>
          <w:u w:val="single"/>
        </w:rPr>
        <w:t xml:space="preserve">                                             </w:t>
      </w:r>
    </w:p>
    <w:p>
      <w:pPr>
        <w:pStyle w:val="34"/>
        <w:spacing w:line="480" w:lineRule="auto"/>
        <w:ind w:firstLine="630"/>
        <w:rPr>
          <w:rFonts w:hint="eastAsia" w:ascii="宋体" w:hAnsi="宋体"/>
          <w:spacing w:val="20"/>
          <w:sz w:val="24"/>
          <w:u w:val="single"/>
        </w:rPr>
      </w:pPr>
      <w:r>
        <w:rPr>
          <w:rFonts w:hint="eastAsia" w:ascii="宋体" w:hAnsi="宋体"/>
          <w:spacing w:val="20"/>
          <w:sz w:val="24"/>
        </w:rPr>
        <w:t>4、</w:t>
      </w:r>
      <w:r>
        <w:rPr>
          <w:rFonts w:hint="eastAsia" w:ascii="宋体" w:hAnsi="宋体"/>
          <w:spacing w:val="20"/>
          <w:sz w:val="24"/>
          <w:u w:val="single"/>
        </w:rPr>
        <w:t xml:space="preserve">                                             </w:t>
      </w:r>
    </w:p>
    <w:p>
      <w:pPr>
        <w:pStyle w:val="34"/>
        <w:spacing w:line="480" w:lineRule="auto"/>
        <w:ind w:firstLine="630"/>
        <w:rPr>
          <w:rFonts w:hint="eastAsia" w:ascii="宋体" w:hAnsi="宋体"/>
          <w:spacing w:val="20"/>
          <w:sz w:val="24"/>
          <w:u w:val="single"/>
        </w:rPr>
      </w:pPr>
    </w:p>
    <w:p>
      <w:pPr>
        <w:pStyle w:val="34"/>
        <w:spacing w:line="480" w:lineRule="auto"/>
        <w:jc w:val="left"/>
        <w:rPr>
          <w:rFonts w:hint="eastAsia" w:ascii="宋体" w:hAnsi="宋体"/>
          <w:spacing w:val="20"/>
          <w:sz w:val="24"/>
          <w:u w:val="single"/>
        </w:rPr>
      </w:pPr>
      <w:r>
        <w:rPr>
          <w:rFonts w:hint="eastAsia" w:ascii="宋体" w:hAnsi="宋体"/>
          <w:spacing w:val="20"/>
          <w:sz w:val="24"/>
        </w:rPr>
        <w:t>联系电话：</w:t>
      </w:r>
      <w:r>
        <w:rPr>
          <w:rFonts w:hint="eastAsia" w:ascii="宋体" w:hAnsi="宋体"/>
          <w:spacing w:val="20"/>
          <w:sz w:val="24"/>
          <w:u w:val="single"/>
        </w:rPr>
        <w:t xml:space="preserve">            </w:t>
      </w:r>
      <w:r>
        <w:rPr>
          <w:rFonts w:hint="eastAsia" w:ascii="宋体" w:hAnsi="宋体"/>
          <w:spacing w:val="20"/>
          <w:sz w:val="24"/>
        </w:rPr>
        <w:t xml:space="preserve">     投标供应商：（盖章）</w:t>
      </w:r>
      <w:r>
        <w:rPr>
          <w:rFonts w:hint="eastAsia" w:ascii="宋体" w:hAnsi="宋体"/>
          <w:spacing w:val="20"/>
          <w:sz w:val="24"/>
          <w:u w:val="single"/>
        </w:rPr>
        <w:t xml:space="preserve">         </w:t>
      </w:r>
    </w:p>
    <w:p>
      <w:pPr>
        <w:pStyle w:val="34"/>
        <w:spacing w:line="480" w:lineRule="auto"/>
        <w:jc w:val="left"/>
        <w:rPr>
          <w:rFonts w:hint="eastAsia" w:ascii="宋体" w:hAnsi="宋体"/>
          <w:spacing w:val="20"/>
          <w:sz w:val="24"/>
          <w:u w:val="single"/>
        </w:rPr>
      </w:pPr>
      <w:r>
        <w:rPr>
          <w:rFonts w:hint="eastAsia" w:ascii="宋体" w:hAnsi="宋体"/>
          <w:spacing w:val="20"/>
          <w:sz w:val="24"/>
        </w:rPr>
        <w:t>传   真：</w:t>
      </w:r>
      <w:r>
        <w:rPr>
          <w:rFonts w:hint="eastAsia" w:ascii="宋体" w:hAnsi="宋体"/>
          <w:spacing w:val="20"/>
          <w:sz w:val="24"/>
          <w:u w:val="single"/>
        </w:rPr>
        <w:t xml:space="preserve">             </w:t>
      </w:r>
      <w:r>
        <w:rPr>
          <w:rFonts w:hint="eastAsia" w:ascii="宋体" w:hAnsi="宋体"/>
          <w:spacing w:val="20"/>
          <w:sz w:val="24"/>
        </w:rPr>
        <w:t xml:space="preserve">     经 办 人：（签字或盖章）</w:t>
      </w:r>
      <w:r>
        <w:rPr>
          <w:rFonts w:hint="eastAsia" w:ascii="宋体" w:hAnsi="宋体"/>
          <w:spacing w:val="20"/>
          <w:sz w:val="24"/>
          <w:u w:val="single"/>
        </w:rPr>
        <w:t xml:space="preserve">         </w:t>
      </w:r>
    </w:p>
    <w:p>
      <w:pPr>
        <w:pStyle w:val="34"/>
        <w:spacing w:line="480" w:lineRule="auto"/>
        <w:jc w:val="left"/>
        <w:rPr>
          <w:rFonts w:hint="eastAsia" w:ascii="宋体" w:hAnsi="宋体"/>
          <w:spacing w:val="20"/>
          <w:sz w:val="24"/>
          <w:u w:val="single"/>
        </w:rPr>
      </w:pPr>
    </w:p>
    <w:p>
      <w:pPr>
        <w:pStyle w:val="34"/>
        <w:spacing w:line="480" w:lineRule="auto"/>
        <w:jc w:val="left"/>
        <w:rPr>
          <w:rFonts w:hint="eastAsia" w:ascii="宋体" w:hAnsi="宋体"/>
          <w:spacing w:val="20"/>
          <w:sz w:val="24"/>
          <w:u w:val="single"/>
        </w:rPr>
      </w:pPr>
    </w:p>
    <w:p>
      <w:pPr>
        <w:spacing w:line="480" w:lineRule="auto"/>
        <w:ind w:firstLine="5880" w:firstLineChars="2100"/>
        <w:rPr>
          <w:rFonts w:hint="eastAsia" w:ascii="宋体" w:hAnsi="宋体"/>
          <w:spacing w:val="20"/>
          <w:sz w:val="24"/>
        </w:rPr>
      </w:pPr>
      <w:r>
        <w:rPr>
          <w:rFonts w:hint="eastAsia" w:ascii="宋体" w:hAnsi="宋体"/>
          <w:spacing w:val="20"/>
          <w:sz w:val="24"/>
        </w:rPr>
        <w:t>年    月    日</w:t>
      </w:r>
      <w:bookmarkEnd w:id="55"/>
      <w:bookmarkEnd w:id="56"/>
    </w:p>
    <w:p>
      <w:pPr>
        <w:spacing w:line="480" w:lineRule="auto"/>
        <w:ind w:firstLine="5880" w:firstLineChars="2100"/>
        <w:rPr>
          <w:rFonts w:hint="eastAsia" w:ascii="宋体" w:hAnsi="宋体"/>
          <w:spacing w:val="20"/>
          <w:sz w:val="24"/>
        </w:rPr>
      </w:pPr>
    </w:p>
    <w:p>
      <w:pPr>
        <w:spacing w:line="480" w:lineRule="auto"/>
        <w:ind w:firstLine="5880" w:firstLineChars="2100"/>
        <w:rPr>
          <w:rFonts w:hint="eastAsia" w:ascii="宋体" w:hAnsi="宋体"/>
          <w:spacing w:val="20"/>
          <w:sz w:val="24"/>
        </w:rPr>
      </w:pPr>
    </w:p>
    <w:p>
      <w:pPr>
        <w:spacing w:line="480" w:lineRule="auto"/>
        <w:ind w:firstLine="5880" w:firstLineChars="2100"/>
        <w:rPr>
          <w:rFonts w:hint="eastAsia" w:ascii="宋体" w:hAnsi="宋体"/>
          <w:spacing w:val="20"/>
          <w:sz w:val="24"/>
        </w:rPr>
      </w:pPr>
    </w:p>
    <w:p>
      <w:pPr>
        <w:pStyle w:val="2"/>
        <w:numPr>
          <w:ilvl w:val="0"/>
          <w:numId w:val="0"/>
        </w:numPr>
        <w:spacing w:after="0" w:line="240" w:lineRule="auto"/>
        <w:jc w:val="center"/>
        <w:rPr>
          <w:rFonts w:hint="eastAsia" w:ascii="宋体" w:hAnsi="宋体"/>
          <w:b w:val="0"/>
          <w:sz w:val="30"/>
          <w:szCs w:val="30"/>
          <w:u w:val="single"/>
          <w14:shadow w14:blurRad="50800" w14:dist="38100" w14:dir="2700000" w14:sx="100000" w14:sy="100000" w14:kx="0" w14:ky="0" w14:algn="tl">
            <w14:srgbClr w14:val="000000">
              <w14:alpha w14:val="60000"/>
            </w14:srgbClr>
          </w14:shadow>
        </w:rPr>
      </w:pPr>
      <w:bookmarkStart w:id="59" w:name="_Toc26880"/>
      <w:r>
        <w:rPr>
          <w:rFonts w:hint="eastAsia" w:ascii="宋体" w:hAnsi="宋体"/>
          <w:b w:val="0"/>
        </w:rPr>
        <w:t>附件十一：答疑纪要</w:t>
      </w:r>
      <w:bookmarkEnd w:id="59"/>
    </w:p>
    <w:p>
      <w:pPr>
        <w:adjustRightInd w:val="0"/>
        <w:snapToGrid w:val="0"/>
        <w:spacing w:line="440" w:lineRule="exact"/>
        <w:jc w:val="center"/>
        <w:rPr>
          <w:rFonts w:hint="eastAsia"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440" w:lineRule="exact"/>
        <w:jc w:val="center"/>
        <w:rPr>
          <w:rFonts w:hint="eastAsia"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440" w:lineRule="exact"/>
        <w:ind w:firstLine="482"/>
        <w:rPr>
          <w:rFonts w:hint="eastAsia" w:ascii="宋体" w:hAnsi="宋体"/>
          <w:sz w:val="24"/>
        </w:rPr>
      </w:pPr>
      <w:r>
        <w:rPr>
          <w:rFonts w:hint="eastAsia" w:ascii="宋体" w:hAnsi="宋体"/>
          <w:sz w:val="24"/>
        </w:rPr>
        <w:t>各投标供应商在研究了</w:t>
      </w:r>
      <w:r>
        <w:rPr>
          <w:rFonts w:hint="eastAsia" w:ascii="宋体" w:hAnsi="宋体"/>
          <w:sz w:val="24"/>
          <w:u w:val="single"/>
        </w:rPr>
        <w:t xml:space="preserve">                        采购</w:t>
      </w:r>
      <w:r>
        <w:rPr>
          <w:rFonts w:hint="eastAsia" w:ascii="宋体" w:hAnsi="宋体"/>
          <w:sz w:val="24"/>
        </w:rPr>
        <w:t>项目的采购文件等有关资料后，各投标供应商于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16</w:t>
      </w:r>
      <w:r>
        <w:rPr>
          <w:rFonts w:hint="eastAsia" w:ascii="宋体" w:hAnsi="宋体"/>
          <w:sz w:val="24"/>
        </w:rPr>
        <w:t>时前提交了投标提问书，现采购人对各投标供应商的提问和采购文件作如下说明：</w:t>
      </w:r>
    </w:p>
    <w:p>
      <w:pPr>
        <w:adjustRightInd w:val="0"/>
        <w:snapToGrid w:val="0"/>
        <w:spacing w:line="440" w:lineRule="exact"/>
        <w:ind w:firstLine="482"/>
        <w:rPr>
          <w:rFonts w:hint="eastAsia" w:ascii="宋体" w:hAnsi="宋体"/>
          <w:sz w:val="24"/>
        </w:rPr>
      </w:pPr>
      <w:r>
        <w:rPr>
          <w:rFonts w:hint="eastAsia" w:ascii="宋体" w:hAnsi="宋体"/>
          <w:sz w:val="24"/>
        </w:rPr>
        <w:t>一、对各投标供应商提问的回复：</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 xml:space="preserve">                                                </w:t>
      </w:r>
    </w:p>
    <w:p>
      <w:pPr>
        <w:adjustRightInd w:val="0"/>
        <w:snapToGrid w:val="0"/>
        <w:spacing w:line="440" w:lineRule="exact"/>
        <w:ind w:firstLine="472" w:firstLineChars="196"/>
        <w:rPr>
          <w:rFonts w:hint="eastAsia" w:ascii="宋体" w:hAnsi="宋体"/>
          <w:b/>
          <w:kern w:val="16"/>
          <w:sz w:val="24"/>
        </w:rPr>
      </w:pPr>
      <w:r>
        <w:rPr>
          <w:rFonts w:hint="eastAsia" w:ascii="宋体" w:hAnsi="宋体"/>
          <w:b/>
          <w:kern w:val="16"/>
          <w:sz w:val="24"/>
        </w:rPr>
        <w:t>答：</w:t>
      </w:r>
      <w:r>
        <w:rPr>
          <w:rFonts w:hint="eastAsia" w:ascii="宋体" w:hAnsi="宋体"/>
          <w:b/>
          <w:kern w:val="16"/>
          <w:sz w:val="24"/>
          <w:u w:val="single"/>
        </w:rPr>
        <w:t xml:space="preserve">                                                </w:t>
      </w:r>
    </w:p>
    <w:p>
      <w:pPr>
        <w:adjustRightInd w:val="0"/>
        <w:snapToGrid w:val="0"/>
        <w:spacing w:line="440" w:lineRule="exact"/>
        <w:ind w:firstLine="470" w:firstLineChars="196"/>
        <w:rPr>
          <w:rFonts w:hint="eastAsia" w:ascii="宋体" w:hAnsi="宋体"/>
          <w:sz w:val="24"/>
        </w:rPr>
      </w:pPr>
      <w:r>
        <w:rPr>
          <w:rFonts w:hint="eastAsia" w:ascii="宋体" w:hAnsi="宋体"/>
          <w:sz w:val="24"/>
        </w:rPr>
        <w:t xml:space="preserve">2、 </w:t>
      </w:r>
      <w:r>
        <w:rPr>
          <w:rFonts w:hint="eastAsia" w:ascii="宋体" w:hAnsi="宋体"/>
          <w:sz w:val="24"/>
          <w:u w:val="single"/>
        </w:rPr>
        <w:t xml:space="preserve">                                                </w:t>
      </w:r>
    </w:p>
    <w:p>
      <w:pPr>
        <w:adjustRightInd w:val="0"/>
        <w:snapToGrid w:val="0"/>
        <w:spacing w:line="440" w:lineRule="exact"/>
        <w:ind w:firstLine="472" w:firstLineChars="196"/>
        <w:rPr>
          <w:rFonts w:hint="eastAsia" w:ascii="宋体" w:hAnsi="宋体"/>
          <w:b/>
          <w:sz w:val="24"/>
        </w:rPr>
      </w:pPr>
      <w:r>
        <w:rPr>
          <w:rFonts w:hint="eastAsia" w:ascii="宋体" w:hAnsi="宋体"/>
          <w:b/>
          <w:sz w:val="24"/>
        </w:rPr>
        <w:t>答：</w:t>
      </w:r>
      <w:r>
        <w:rPr>
          <w:rFonts w:hint="eastAsia" w:ascii="宋体" w:hAnsi="宋体"/>
          <w:b/>
          <w:sz w:val="24"/>
          <w:u w:val="single"/>
        </w:rPr>
        <w:t xml:space="preserve">                                                </w:t>
      </w: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0" w:firstLineChars="196"/>
        <w:rPr>
          <w:rFonts w:hint="eastAsia" w:ascii="宋体" w:hAnsi="宋体"/>
          <w:sz w:val="24"/>
        </w:rPr>
      </w:pPr>
      <w:r>
        <w:rPr>
          <w:rFonts w:hint="eastAsia" w:ascii="宋体" w:hAnsi="宋体"/>
          <w:sz w:val="24"/>
        </w:rPr>
        <w:t>二、对采购文件补充说明如下：</w:t>
      </w:r>
    </w:p>
    <w:p>
      <w:pPr>
        <w:adjustRightInd w:val="0"/>
        <w:snapToGrid w:val="0"/>
        <w:spacing w:line="440" w:lineRule="exact"/>
        <w:ind w:firstLine="470" w:firstLineChars="196"/>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adjustRightInd w:val="0"/>
        <w:snapToGrid w:val="0"/>
        <w:spacing w:line="440" w:lineRule="exact"/>
        <w:ind w:firstLine="470" w:firstLineChars="196"/>
        <w:rPr>
          <w:rFonts w:hint="eastAsia" w:ascii="宋体" w:hAnsi="宋体"/>
          <w:sz w:val="24"/>
          <w:u w:val="single"/>
        </w:rPr>
      </w:pPr>
      <w:r>
        <w:rPr>
          <w:rFonts w:hint="eastAsia" w:ascii="宋体" w:hAnsi="宋体"/>
          <w:sz w:val="24"/>
        </w:rPr>
        <w:t>2、</w:t>
      </w:r>
      <w:r>
        <w:rPr>
          <w:rFonts w:hint="eastAsia" w:ascii="宋体" w:hAnsi="宋体"/>
          <w:sz w:val="24"/>
          <w:u w:val="single"/>
        </w:rPr>
        <w:t xml:space="preserve">                                                 </w:t>
      </w: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right="480" w:firstLine="470" w:firstLineChars="196"/>
        <w:jc w:val="center"/>
        <w:rPr>
          <w:rFonts w:hint="eastAsia" w:ascii="宋体" w:hAnsi="宋体"/>
          <w:sz w:val="24"/>
        </w:rPr>
      </w:pPr>
      <w:r>
        <w:rPr>
          <w:rFonts w:hint="eastAsia" w:ascii="宋体" w:hAnsi="宋体"/>
          <w:sz w:val="24"/>
        </w:rPr>
        <w:t xml:space="preserve">                               采购人：</w:t>
      </w:r>
      <w:r>
        <w:rPr>
          <w:rFonts w:hint="eastAsia" w:ascii="宋体" w:hAnsi="宋体"/>
          <w:sz w:val="24"/>
          <w:u w:val="single"/>
        </w:rPr>
        <w:t xml:space="preserve">                   </w:t>
      </w:r>
      <w:r>
        <w:rPr>
          <w:szCs w:val="21"/>
        </w:rPr>
        <w:t>（盖单位章）</w:t>
      </w:r>
    </w:p>
    <w:p>
      <w:pPr>
        <w:spacing w:line="440" w:lineRule="exact"/>
        <w:jc w:val="center"/>
        <w:rPr>
          <w:rFonts w:hint="eastAsia" w:ascii="宋体" w:hAnsi="宋体"/>
          <w:sz w:val="24"/>
        </w:rPr>
      </w:pPr>
      <w:r>
        <w:rPr>
          <w:rFonts w:hint="eastAsia" w:ascii="宋体" w:hAnsi="宋体"/>
          <w:sz w:val="24"/>
        </w:rPr>
        <w:t xml:space="preserve">                               采购代理：</w:t>
      </w:r>
      <w:r>
        <w:rPr>
          <w:rFonts w:hint="eastAsia" w:ascii="宋体" w:hAnsi="宋体"/>
          <w:sz w:val="24"/>
          <w:u w:val="single"/>
        </w:rPr>
        <w:t xml:space="preserve">                 </w:t>
      </w:r>
      <w:r>
        <w:rPr>
          <w:szCs w:val="21"/>
        </w:rPr>
        <w:t>（盖单位章）</w:t>
      </w:r>
    </w:p>
    <w:p>
      <w:pPr>
        <w:pStyle w:val="26"/>
        <w:spacing w:line="440" w:lineRule="exact"/>
        <w:ind w:left="525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宋体" w:hAnsi="宋体"/>
          <w:b/>
          <w:sz w:val="44"/>
          <w:szCs w:val="44"/>
        </w:rPr>
      </w:pPr>
    </w:p>
    <w:p>
      <w:pPr>
        <w:pStyle w:val="2"/>
        <w:numPr>
          <w:ilvl w:val="0"/>
          <w:numId w:val="0"/>
        </w:numPr>
        <w:spacing w:after="0" w:line="240" w:lineRule="auto"/>
        <w:jc w:val="center"/>
        <w:rPr>
          <w:rFonts w:hint="eastAsia" w:ascii="宋体" w:hAnsi="宋体"/>
          <w:b w:val="0"/>
        </w:rPr>
      </w:pPr>
      <w:bookmarkStart w:id="60" w:name="_Toc7711"/>
      <w:r>
        <w:rPr>
          <w:rFonts w:hint="eastAsia" w:ascii="宋体" w:hAnsi="宋体"/>
          <w:b w:val="0"/>
        </w:rPr>
        <w:t>附件十二：采购范围和技术要求</w:t>
      </w:r>
      <w:bookmarkEnd w:id="60"/>
    </w:p>
    <w:p>
      <w:pPr>
        <w:pStyle w:val="3"/>
        <w:keepLines w:val="0"/>
        <w:widowControl/>
        <w:numPr>
          <w:ilvl w:val="1"/>
          <w:numId w:val="0"/>
        </w:numPr>
        <w:tabs>
          <w:tab w:val="left" w:pos="851"/>
        </w:tabs>
        <w:spacing w:before="0" w:after="0" w:line="360" w:lineRule="auto"/>
        <w:ind w:left="851" w:hanging="851"/>
        <w:jc w:val="left"/>
        <w:rPr>
          <w:rFonts w:hint="eastAsia" w:ascii="宋体" w:hAnsi="宋体" w:eastAsia="宋体" w:cs="宋体"/>
          <w:sz w:val="24"/>
          <w:szCs w:val="24"/>
        </w:rPr>
      </w:pPr>
      <w:bookmarkStart w:id="61" w:name="_Toc143765371"/>
      <w:bookmarkStart w:id="62" w:name="_Toc35932881"/>
      <w:bookmarkStart w:id="63" w:name="_Toc521530775"/>
      <w:bookmarkStart w:id="64" w:name="_Toc495128070"/>
      <w:bookmarkStart w:id="65" w:name="_Toc495130004"/>
    </w:p>
    <w:p>
      <w:pPr>
        <w:pStyle w:val="3"/>
        <w:keepLines w:val="0"/>
        <w:widowControl/>
        <w:numPr>
          <w:ilvl w:val="1"/>
          <w:numId w:val="0"/>
        </w:numPr>
        <w:tabs>
          <w:tab w:val="left" w:pos="851"/>
        </w:tabs>
        <w:spacing w:before="0" w:after="0" w:line="360" w:lineRule="auto"/>
        <w:ind w:left="851" w:hanging="851"/>
        <w:jc w:val="left"/>
        <w:rPr>
          <w:rFonts w:hint="eastAsia" w:ascii="宋体" w:hAnsi="宋体" w:eastAsia="宋体" w:cs="宋体"/>
          <w:sz w:val="24"/>
          <w:szCs w:val="24"/>
        </w:rPr>
      </w:pPr>
      <w:r>
        <w:rPr>
          <w:rFonts w:hint="eastAsia" w:ascii="宋体" w:hAnsi="宋体" w:eastAsia="宋体" w:cs="宋体"/>
          <w:sz w:val="24"/>
          <w:szCs w:val="24"/>
        </w:rPr>
        <w:t>12.1柯桥区钱清镇智能交通项目工程目标、实施范围</w:t>
      </w:r>
      <w:bookmarkEnd w:id="61"/>
      <w:bookmarkEnd w:id="62"/>
      <w:bookmarkEnd w:id="63"/>
      <w:bookmarkEnd w:id="64"/>
      <w:bookmarkEnd w:id="65"/>
    </w:p>
    <w:p>
      <w:pPr>
        <w:pStyle w:val="4"/>
        <w:keepLines w:val="0"/>
        <w:widowControl/>
        <w:numPr>
          <w:ilvl w:val="2"/>
          <w:numId w:val="0"/>
        </w:numPr>
        <w:tabs>
          <w:tab w:val="left" w:pos="851"/>
        </w:tabs>
        <w:spacing w:before="0" w:after="0" w:line="360" w:lineRule="auto"/>
        <w:ind w:left="851" w:hanging="851"/>
        <w:jc w:val="left"/>
        <w:rPr>
          <w:rFonts w:hint="eastAsia" w:ascii="宋体" w:hAnsi="宋体" w:cs="宋体"/>
        </w:rPr>
      </w:pPr>
      <w:bookmarkStart w:id="66" w:name="_Toc495130005"/>
      <w:bookmarkStart w:id="67" w:name="_Toc495128071"/>
      <w:bookmarkStart w:id="68" w:name="_Toc521530776"/>
      <w:r>
        <w:rPr>
          <w:rFonts w:hint="eastAsia" w:ascii="宋体" w:hAnsi="宋体" w:cs="宋体"/>
          <w:sz w:val="24"/>
          <w:szCs w:val="24"/>
        </w:rPr>
        <w:t>12.1.1工程目标</w:t>
      </w:r>
      <w:bookmarkEnd w:id="66"/>
      <w:bookmarkEnd w:id="67"/>
      <w:bookmarkEnd w:id="68"/>
    </w:p>
    <w:p>
      <w:pPr>
        <w:pStyle w:val="63"/>
        <w:ind w:firstLine="480"/>
        <w:rPr>
          <w:rFonts w:hint="eastAsia"/>
        </w:rPr>
      </w:pPr>
      <w:r>
        <w:rPr>
          <w:rFonts w:hint="eastAsia"/>
        </w:rPr>
        <w:t>1)</w:t>
      </w:r>
      <w:r>
        <w:rPr>
          <w:rFonts w:hint="eastAsia"/>
        </w:rPr>
        <w:tab/>
      </w:r>
      <w:r>
        <w:rPr>
          <w:rFonts w:hint="eastAsia"/>
        </w:rPr>
        <w:t>统一规范智能交通设施外观型式与技术标准</w:t>
      </w:r>
    </w:p>
    <w:p>
      <w:pPr>
        <w:pStyle w:val="63"/>
        <w:ind w:firstLine="480"/>
        <w:rPr>
          <w:rFonts w:hint="eastAsia"/>
        </w:rPr>
      </w:pPr>
      <w:r>
        <w:rPr>
          <w:rFonts w:hint="eastAsia"/>
        </w:rPr>
        <w:t>按照柯桥城区已建设完成的智能交通系统场设施外观型式与技术标准，对钱清镇历年建设智能交通外场设施应用现状进行摸排与评估，保留合乎规范的并予以适当升级，替换已故障损坏与不满足规范要求的，逐步统一外场设施外观型式与技术标准，使其相容于周围建筑环境，不产生视觉突兀。</w:t>
      </w:r>
    </w:p>
    <w:p>
      <w:pPr>
        <w:pStyle w:val="63"/>
        <w:ind w:firstLine="480"/>
        <w:rPr>
          <w:rFonts w:hint="eastAsia"/>
        </w:rPr>
      </w:pPr>
      <w:r>
        <w:rPr>
          <w:rFonts w:hint="eastAsia"/>
        </w:rPr>
        <w:t>2)</w:t>
      </w:r>
      <w:r>
        <w:rPr>
          <w:rFonts w:hint="eastAsia"/>
        </w:rPr>
        <w:tab/>
      </w:r>
      <w:r>
        <w:rPr>
          <w:rFonts w:hint="eastAsia"/>
        </w:rPr>
        <w:t>构建钱清镇智能交通应用体系及运营服务规范</w:t>
      </w:r>
    </w:p>
    <w:p>
      <w:pPr>
        <w:pStyle w:val="63"/>
        <w:ind w:firstLine="480"/>
        <w:rPr>
          <w:rFonts w:hint="eastAsia"/>
        </w:rPr>
      </w:pPr>
      <w:r>
        <w:rPr>
          <w:rFonts w:hint="eastAsia"/>
        </w:rPr>
        <w:t>在钱清镇已有交通建设和应用基础之上，按照部委行业规范要求，遵循技术发展规律，符合钱清镇城镇定位及交通特征，构建钱清镇智能交通应用体系，制定运营管理维护及交通信息服务管理规范，从顶层设计着手，规划钱清镇智能交通整体发展，全面提升城区交通通行效率。</w:t>
      </w:r>
    </w:p>
    <w:p>
      <w:pPr>
        <w:pStyle w:val="63"/>
        <w:ind w:firstLine="480"/>
        <w:rPr>
          <w:rFonts w:hint="eastAsia"/>
        </w:rPr>
      </w:pPr>
      <w:r>
        <w:rPr>
          <w:rFonts w:hint="eastAsia"/>
        </w:rPr>
        <w:t>3)</w:t>
      </w:r>
      <w:r>
        <w:rPr>
          <w:rFonts w:hint="eastAsia"/>
        </w:rPr>
        <w:tab/>
      </w:r>
      <w:r>
        <w:rPr>
          <w:rFonts w:hint="eastAsia"/>
        </w:rPr>
        <w:t>扩大智能交通设施覆盖范围，提高设施覆盖密度</w:t>
      </w:r>
    </w:p>
    <w:p>
      <w:pPr>
        <w:pStyle w:val="63"/>
        <w:ind w:firstLine="480"/>
      </w:pPr>
      <w:r>
        <w:rPr>
          <w:rFonts w:hint="eastAsia"/>
        </w:rPr>
        <w:t>随着钱清镇镇区面积的不断扩大，路网结构的不断拓展，经济活动逐渐外迁，便要求智能交通设施配套跟上，以满足公众交通秩序、安全、高效出行需求，均衡中心镇区与外围镇郊发展，与柯桥区相协调。</w:t>
      </w:r>
    </w:p>
    <w:p>
      <w:pPr>
        <w:pStyle w:val="63"/>
        <w:ind w:firstLine="480"/>
        <w:rPr>
          <w:rFonts w:hint="eastAsia"/>
        </w:rPr>
      </w:pPr>
      <w:r>
        <w:rPr>
          <w:rFonts w:hint="eastAsia"/>
        </w:rPr>
        <w:t>4)</w:t>
      </w:r>
      <w:r>
        <w:rPr>
          <w:rFonts w:hint="eastAsia"/>
        </w:rPr>
        <w:tab/>
      </w:r>
      <w:r>
        <w:rPr>
          <w:rFonts w:hint="eastAsia"/>
        </w:rPr>
        <w:t>增强交通信息的应用深度与广度，提升交通信息服务水平</w:t>
      </w:r>
    </w:p>
    <w:p>
      <w:pPr>
        <w:pStyle w:val="63"/>
        <w:ind w:firstLine="480"/>
        <w:rPr>
          <w:rFonts w:hint="eastAsia"/>
        </w:rPr>
      </w:pPr>
      <w:r>
        <w:rPr>
          <w:rFonts w:hint="eastAsia"/>
        </w:rPr>
        <w:t>接入柯桥区智能交通指挥管控平台，对采集与共享的各类交通基础信息、动静态信息进行处理，生成实时交通路况信息、旅行时间信息、停车位信息等，借助于门户网站、广播、电视、手机 APP 等，为市民和游客提供交通出行信息，让智能交通技术惠及大多数民众，增强其在百姓间的存在感。</w:t>
      </w:r>
      <w:bookmarkStart w:id="69" w:name="_Toc495130006"/>
      <w:bookmarkStart w:id="70" w:name="_Toc521530777"/>
      <w:bookmarkStart w:id="71" w:name="_Toc495128072"/>
    </w:p>
    <w:p>
      <w:pPr>
        <w:pStyle w:val="63"/>
        <w:ind w:firstLine="0" w:firstLineChars="0"/>
        <w:rPr>
          <w:rFonts w:hint="eastAsia"/>
          <w:b/>
        </w:rPr>
      </w:pPr>
      <w:r>
        <w:rPr>
          <w:rFonts w:hint="eastAsia"/>
          <w:b/>
        </w:rPr>
        <w:t>12.1.2实施</w:t>
      </w:r>
      <w:r>
        <w:rPr>
          <w:b/>
        </w:rPr>
        <w:t>范围</w:t>
      </w:r>
      <w:bookmarkEnd w:id="69"/>
      <w:bookmarkEnd w:id="70"/>
      <w:bookmarkEnd w:id="71"/>
    </w:p>
    <w:p>
      <w:pPr>
        <w:spacing w:line="360" w:lineRule="auto"/>
        <w:ind w:firstLine="480"/>
        <w:rPr>
          <w:rFonts w:ascii="宋体" w:hAnsi="宋体"/>
          <w:sz w:val="24"/>
        </w:rPr>
      </w:pPr>
      <w:r>
        <w:rPr>
          <w:rFonts w:hint="eastAsia" w:ascii="宋体" w:hAnsi="宋体"/>
          <w:sz w:val="24"/>
        </w:rPr>
        <w:t>柯桥区钱清镇智能交通（设备、线路）租赁项目工程实施范围为群贤路东西向干道，万绣路、镇东路两条南北向道路，以及文化路东西向道路。其中，群贤路东起万绣路，西至镇东路；万绣路和镇东路都是南起发展路，北至钱陶线；文化路则东起镇前路，西至杨绍线。另外，还包括杨绍线九岩路路口、西后街与镇北路路口等 。</w:t>
      </w:r>
    </w:p>
    <w:p>
      <w:pPr>
        <w:spacing w:line="360" w:lineRule="auto"/>
        <w:jc w:val="center"/>
        <w:rPr>
          <w:rFonts w:hint="eastAsia" w:ascii="宋体" w:hAnsi="宋体"/>
          <w:sz w:val="24"/>
        </w:rPr>
      </w:pPr>
      <w:r>
        <w:drawing>
          <wp:inline distT="0" distB="0" distL="114300" distR="114300">
            <wp:extent cx="5236210" cy="34772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36210" cy="3477260"/>
                    </a:xfrm>
                    <a:prstGeom prst="rect">
                      <a:avLst/>
                    </a:prstGeom>
                    <a:noFill/>
                    <a:ln>
                      <a:noFill/>
                    </a:ln>
                  </pic:spPr>
                </pic:pic>
              </a:graphicData>
            </a:graphic>
          </wp:inline>
        </w:drawing>
      </w:r>
    </w:p>
    <w:p>
      <w:pPr>
        <w:pStyle w:val="3"/>
        <w:keepLines w:val="0"/>
        <w:widowControl/>
        <w:numPr>
          <w:ilvl w:val="1"/>
          <w:numId w:val="0"/>
        </w:numPr>
        <w:tabs>
          <w:tab w:val="left" w:pos="851"/>
        </w:tabs>
        <w:spacing w:before="0" w:after="0" w:line="360" w:lineRule="auto"/>
        <w:ind w:left="851" w:hanging="851"/>
        <w:jc w:val="left"/>
        <w:rPr>
          <w:rFonts w:hint="eastAsia" w:ascii="宋体" w:hAnsi="宋体" w:eastAsia="宋体" w:cs="宋体"/>
          <w:sz w:val="24"/>
        </w:rPr>
      </w:pPr>
      <w:bookmarkStart w:id="72" w:name="_Toc495130007"/>
      <w:bookmarkStart w:id="73" w:name="_Toc521530778"/>
      <w:bookmarkStart w:id="74" w:name="_Toc495128073"/>
      <w:r>
        <w:rPr>
          <w:rFonts w:hint="eastAsia" w:ascii="宋体" w:hAnsi="宋体" w:eastAsia="宋体" w:cs="宋体"/>
          <w:sz w:val="24"/>
        </w:rPr>
        <w:t>12.2主要工程内容</w:t>
      </w:r>
      <w:bookmarkEnd w:id="72"/>
      <w:bookmarkEnd w:id="73"/>
      <w:bookmarkEnd w:id="74"/>
    </w:p>
    <w:p>
      <w:pPr>
        <w:spacing w:line="360" w:lineRule="auto"/>
        <w:ind w:firstLine="480"/>
        <w:rPr>
          <w:rFonts w:ascii="宋体" w:hAnsi="宋体"/>
          <w:sz w:val="24"/>
        </w:rPr>
      </w:pPr>
      <w:r>
        <w:rPr>
          <w:rFonts w:hint="eastAsia" w:ascii="宋体" w:hAnsi="宋体"/>
          <w:sz w:val="24"/>
        </w:rPr>
        <w:t>工程</w:t>
      </w:r>
      <w:r>
        <w:rPr>
          <w:rFonts w:ascii="宋体" w:hAnsi="宋体"/>
          <w:sz w:val="24"/>
        </w:rPr>
        <w:t>主要内容：</w:t>
      </w:r>
      <w:r>
        <w:rPr>
          <w:rFonts w:hint="eastAsia" w:ascii="宋体" w:hAnsi="宋体"/>
          <w:sz w:val="24"/>
        </w:rPr>
        <w:t>在柯桥区钱清镇建设智能交通系统，涉及交通信号控制系统、电子警察系统（交通信息采集系统）、违停抓拍系统、视频监控系统（含高位）、中队分指挥中心等业务子系统，及配套网络通信系统、供电系统和土建附属等。</w:t>
      </w:r>
    </w:p>
    <w:p>
      <w:pPr>
        <w:pStyle w:val="4"/>
        <w:keepLines w:val="0"/>
        <w:widowControl/>
        <w:numPr>
          <w:ilvl w:val="2"/>
          <w:numId w:val="0"/>
        </w:numPr>
        <w:tabs>
          <w:tab w:val="left" w:pos="851"/>
        </w:tabs>
        <w:spacing w:before="0" w:after="0" w:line="360" w:lineRule="auto"/>
        <w:ind w:left="851" w:hanging="851"/>
        <w:jc w:val="left"/>
        <w:rPr>
          <w:rFonts w:hint="eastAsia" w:ascii="宋体" w:hAnsi="宋体" w:cs="宋体"/>
          <w:sz w:val="24"/>
        </w:rPr>
      </w:pPr>
      <w:bookmarkStart w:id="75" w:name="_Toc495130008"/>
      <w:bookmarkStart w:id="76" w:name="_Toc521530779"/>
      <w:bookmarkStart w:id="77" w:name="_Toc495128074"/>
      <w:r>
        <w:rPr>
          <w:rFonts w:hint="eastAsia" w:ascii="宋体" w:hAnsi="宋体" w:cs="宋体"/>
          <w:sz w:val="24"/>
        </w:rPr>
        <w:t>12.2.1交通信号控制系统</w:t>
      </w:r>
      <w:bookmarkEnd w:id="75"/>
      <w:bookmarkEnd w:id="76"/>
      <w:bookmarkEnd w:id="77"/>
    </w:p>
    <w:p>
      <w:pPr>
        <w:pStyle w:val="63"/>
        <w:ind w:firstLine="480"/>
        <w:rPr>
          <w:rFonts w:hint="eastAsia"/>
        </w:rPr>
      </w:pPr>
      <w:r>
        <w:rPr>
          <w:rFonts w:hint="eastAsia"/>
        </w:rPr>
        <w:t>钱清镇未来的交通信号控制系统，要考虑规模性建设，要求能够实现“集中控制、分级管理、协调联动”的工作目标。根据钱清镇交通实际状况，按照交通信号控制系统的结构设计，完成集中控制、分级管理、协调联动的总体目标。实现交通信号控制系统的点、线、面自适应优化控制；实现数据检测与数据管理；实现中心与路口的分级管理和控制；实现系统设备运行自动监测与管理；最终实现道路通行能力的最大化，发挥系统的最大效益。</w:t>
      </w:r>
    </w:p>
    <w:p>
      <w:pPr>
        <w:pStyle w:val="63"/>
        <w:ind w:firstLine="0" w:firstLineChars="0"/>
        <w:rPr>
          <w:rFonts w:hint="eastAsia"/>
        </w:rPr>
      </w:pPr>
      <w:r>
        <w:t>1</w:t>
      </w:r>
      <w:r>
        <w:rPr>
          <w:rFonts w:hint="eastAsia"/>
        </w:rPr>
        <w:t>、系统需求</w:t>
      </w:r>
    </w:p>
    <w:p>
      <w:pPr>
        <w:pStyle w:val="63"/>
        <w:ind w:firstLine="480"/>
        <w:rPr>
          <w:rFonts w:hint="eastAsia"/>
        </w:rPr>
      </w:pPr>
      <w:r>
        <w:rPr>
          <w:rFonts w:hint="eastAsia"/>
        </w:rPr>
        <w:t>由于目前各个路口控制方案不能根据交通量变化实时调整，前后路口无法实现联网协调控制，致使道路通行效率达不到建设时的设计要求，增加了交通出行者的出行时间。现需要对各条道路采用联网协调控制和自适应控制模式等控制</w:t>
      </w:r>
      <w:r>
        <w:t>方案</w:t>
      </w:r>
      <w:r>
        <w:rPr>
          <w:rFonts w:hint="eastAsia"/>
        </w:rPr>
        <w:t>，提高主干道路的通行能力，有效地改善区域道路交通环境，缓解城区交通拥堵问题，提升交通管理能力。</w:t>
      </w:r>
    </w:p>
    <w:p>
      <w:pPr>
        <w:pStyle w:val="63"/>
        <w:spacing w:after="120"/>
        <w:ind w:firstLine="480"/>
        <w:rPr>
          <w:rFonts w:hint="eastAsia"/>
        </w:rPr>
      </w:pPr>
      <w:r>
        <w:rPr>
          <w:rFonts w:hint="eastAsia"/>
        </w:rPr>
        <w:t>1)</w:t>
      </w:r>
      <w:r>
        <w:rPr>
          <w:rFonts w:hint="eastAsia"/>
        </w:rPr>
        <w:tab/>
      </w:r>
      <w:r>
        <w:rPr>
          <w:rFonts w:hint="eastAsia"/>
        </w:rPr>
        <w:t>根据具体交通需求，实现主干道信号协调控制和单路口自适应控制，提高路网通行能力。</w:t>
      </w:r>
    </w:p>
    <w:p>
      <w:pPr>
        <w:pStyle w:val="63"/>
        <w:ind w:firstLine="480"/>
        <w:rPr>
          <w:rFonts w:hint="eastAsia"/>
        </w:rPr>
      </w:pPr>
      <w:r>
        <w:rPr>
          <w:rFonts w:hint="eastAsia"/>
        </w:rPr>
        <w:t>2)</w:t>
      </w:r>
      <w:r>
        <w:rPr>
          <w:rFonts w:hint="eastAsia"/>
        </w:rPr>
        <w:tab/>
      </w:r>
      <w:r>
        <w:rPr>
          <w:rFonts w:hint="eastAsia"/>
        </w:rPr>
        <w:t>在指挥中心完成和实现中心、路口级控制，系统可实现自动控制功能（包括固定配时、自适应控制和智能控制）、手动控制功能，特殊控制功能（包括黄闪控制、行人二次过街控制等）以及交通相关数据的统计与分析功能。可以根据用户要求，提供主要交通干道的绿波控制。</w:t>
      </w:r>
    </w:p>
    <w:p>
      <w:pPr>
        <w:pStyle w:val="63"/>
        <w:ind w:firstLine="480"/>
        <w:rPr>
          <w:rFonts w:hint="eastAsia"/>
        </w:rPr>
      </w:pPr>
      <w:r>
        <w:rPr>
          <w:rFonts w:hint="eastAsia"/>
        </w:rPr>
        <w:t>3)</w:t>
      </w:r>
      <w:r>
        <w:rPr>
          <w:rFonts w:hint="eastAsia"/>
        </w:rPr>
        <w:tab/>
      </w:r>
      <w:r>
        <w:rPr>
          <w:rFonts w:hint="eastAsia"/>
        </w:rPr>
        <w:t>能根据**、消防、救护、抢险等特种车辆以及公交车辆的信息，调整信号配时，满足特种车辆或公交车辆优先通行的要求。</w:t>
      </w:r>
    </w:p>
    <w:p>
      <w:pPr>
        <w:pStyle w:val="63"/>
        <w:ind w:firstLine="480"/>
        <w:rPr>
          <w:rFonts w:hint="eastAsia"/>
        </w:rPr>
      </w:pPr>
      <w:r>
        <w:rPr>
          <w:rFonts w:hint="eastAsia"/>
        </w:rPr>
        <w:t>4)</w:t>
      </w:r>
      <w:r>
        <w:rPr>
          <w:rFonts w:hint="eastAsia"/>
        </w:rPr>
        <w:tab/>
      </w:r>
      <w:r>
        <w:rPr>
          <w:rFonts w:hint="eastAsia"/>
        </w:rPr>
        <w:t>通过控制终端，操作员可以实现对路口控制机的强制操作，人工干预路口信号机的放行。</w:t>
      </w:r>
    </w:p>
    <w:p>
      <w:pPr>
        <w:pStyle w:val="63"/>
        <w:ind w:firstLine="480"/>
        <w:rPr>
          <w:rFonts w:hint="eastAsia"/>
        </w:rPr>
      </w:pPr>
      <w:r>
        <w:rPr>
          <w:rFonts w:hint="eastAsia"/>
        </w:rPr>
        <w:t>5)</w:t>
      </w:r>
      <w:r>
        <w:rPr>
          <w:rFonts w:hint="eastAsia"/>
        </w:rPr>
        <w:tab/>
      </w:r>
      <w:r>
        <w:rPr>
          <w:rFonts w:hint="eastAsia"/>
        </w:rPr>
        <w:t>实现感应控制功能，包括半感应、全感应、优先感应等控制方式。</w:t>
      </w:r>
    </w:p>
    <w:p>
      <w:pPr>
        <w:pStyle w:val="63"/>
        <w:ind w:firstLine="480"/>
        <w:rPr>
          <w:rFonts w:hint="eastAsia"/>
        </w:rPr>
      </w:pPr>
      <w:r>
        <w:rPr>
          <w:rFonts w:hint="eastAsia"/>
        </w:rPr>
        <w:t>6)</w:t>
      </w:r>
      <w:r>
        <w:rPr>
          <w:rFonts w:hint="eastAsia"/>
        </w:rPr>
        <w:tab/>
      </w:r>
      <w:r>
        <w:rPr>
          <w:rFonts w:hint="eastAsia"/>
        </w:rPr>
        <w:t>最大绿灯时间和最小绿灯时间可调，实现定周期控制功能，控制中心能根据不同日期、时段的需求，设置不同的控制模式和控制参数。</w:t>
      </w:r>
    </w:p>
    <w:p>
      <w:pPr>
        <w:pStyle w:val="63"/>
        <w:ind w:firstLine="480"/>
        <w:rPr>
          <w:rFonts w:hint="eastAsia"/>
        </w:rPr>
      </w:pPr>
      <w:r>
        <w:rPr>
          <w:rFonts w:hint="eastAsia"/>
        </w:rPr>
        <w:t>7)</w:t>
      </w:r>
      <w:r>
        <w:rPr>
          <w:rFonts w:hint="eastAsia"/>
        </w:rPr>
        <w:tab/>
      </w:r>
      <w:r>
        <w:rPr>
          <w:rFonts w:hint="eastAsia"/>
        </w:rPr>
        <w:t>实现控制模式自动转换功能，包括动态方案选择、实时优化控制，可分别设置工作日、周末、节假日和特殊制定日的时间表，系统可根据日期自动改变执行时间表。</w:t>
      </w:r>
    </w:p>
    <w:p>
      <w:pPr>
        <w:pStyle w:val="63"/>
        <w:ind w:firstLine="480"/>
        <w:rPr>
          <w:rFonts w:hint="eastAsia"/>
        </w:rPr>
      </w:pPr>
      <w:r>
        <w:rPr>
          <w:rFonts w:hint="eastAsia"/>
        </w:rPr>
        <w:t>8)</w:t>
      </w:r>
      <w:r>
        <w:rPr>
          <w:rFonts w:hint="eastAsia"/>
        </w:rPr>
        <w:tab/>
      </w:r>
      <w:r>
        <w:rPr>
          <w:rFonts w:hint="eastAsia"/>
        </w:rPr>
        <w:t>系统具有时间表控制功能，设置时间包括月、周、日、时、分、秒，日时段划分不少于16个，支持 64 个方案，设置内容包括事件、控制模式、控制方案等。</w:t>
      </w:r>
    </w:p>
    <w:p>
      <w:pPr>
        <w:pStyle w:val="63"/>
        <w:ind w:firstLine="480"/>
        <w:rPr>
          <w:rFonts w:hint="eastAsia"/>
        </w:rPr>
      </w:pPr>
      <w:r>
        <w:rPr>
          <w:rFonts w:hint="eastAsia"/>
        </w:rPr>
        <w:t>9)</w:t>
      </w:r>
      <w:r>
        <w:rPr>
          <w:rFonts w:hint="eastAsia"/>
        </w:rPr>
        <w:tab/>
      </w:r>
      <w:r>
        <w:rPr>
          <w:rFonts w:hint="eastAsia"/>
        </w:rPr>
        <w:t>黄闪警示功能和远程关灯功能等。</w:t>
      </w:r>
    </w:p>
    <w:p>
      <w:pPr>
        <w:pStyle w:val="63"/>
        <w:ind w:firstLine="0" w:firstLineChars="0"/>
        <w:rPr>
          <w:rFonts w:hint="eastAsia"/>
        </w:rPr>
      </w:pPr>
      <w:r>
        <w:t>2</w:t>
      </w:r>
      <w:r>
        <w:rPr>
          <w:rFonts w:hint="eastAsia"/>
        </w:rPr>
        <w:t>、</w:t>
      </w:r>
      <w:r>
        <w:t xml:space="preserve"> </w:t>
      </w:r>
      <w:r>
        <w:rPr>
          <w:rFonts w:hint="eastAsia"/>
        </w:rPr>
        <w:t>建设目标</w:t>
      </w:r>
    </w:p>
    <w:p>
      <w:pPr>
        <w:pStyle w:val="63"/>
        <w:ind w:firstLine="480"/>
        <w:rPr>
          <w:rFonts w:hint="eastAsia"/>
        </w:rPr>
      </w:pPr>
      <w:r>
        <w:rPr>
          <w:rFonts w:hint="eastAsia"/>
        </w:rPr>
        <w:t>通过本项目使钱清镇交通信号控制与管理符合道路交通环境实际需求，同时为交警路面管理构建一个清晰、有层次的控制与管理环境。信号控制路口均处于系统监控状态， 且能进行路口交通信息采集、具备依据交通环境特征采用相应控制策略的环境和设施条件。</w:t>
      </w:r>
    </w:p>
    <w:p>
      <w:pPr>
        <w:pStyle w:val="63"/>
        <w:ind w:firstLine="480"/>
        <w:rPr>
          <w:rFonts w:hint="eastAsia"/>
        </w:rPr>
      </w:pPr>
      <w:r>
        <w:rPr>
          <w:rFonts w:hint="eastAsia"/>
        </w:rPr>
        <w:t>通过先进交通信号技术和设备的应用、信号控制设施完善设计及其配套交通组织调整，总体规划、分期实施，尽可能在时间和空间上优化利用道路资源，改善出行环境；在应用管理环节构建清晰的控制层次和体现针对性的控制策略指导思想，以均衡交通压力，缓解钱清镇道路交通拥堵问题。</w:t>
      </w:r>
    </w:p>
    <w:p>
      <w:pPr>
        <w:pStyle w:val="63"/>
        <w:ind w:firstLine="480"/>
        <w:rPr>
          <w:rFonts w:hint="eastAsia"/>
        </w:rPr>
      </w:pPr>
      <w:r>
        <w:t>3</w:t>
      </w:r>
      <w:r>
        <w:rPr>
          <w:rFonts w:hint="eastAsia"/>
        </w:rPr>
        <w:t>、建设原则</w:t>
      </w:r>
    </w:p>
    <w:p>
      <w:pPr>
        <w:pStyle w:val="63"/>
        <w:ind w:firstLine="480"/>
        <w:rPr>
          <w:rFonts w:hint="eastAsia"/>
        </w:rPr>
      </w:pPr>
      <w:r>
        <w:rPr>
          <w:rFonts w:hint="eastAsia"/>
        </w:rPr>
        <w:t>1)</w:t>
      </w:r>
      <w:r>
        <w:rPr>
          <w:rFonts w:hint="eastAsia"/>
        </w:rPr>
        <w:tab/>
      </w:r>
      <w:r>
        <w:rPr>
          <w:rFonts w:hint="eastAsia"/>
        </w:rPr>
        <w:t>布点原则</w:t>
      </w:r>
    </w:p>
    <w:p>
      <w:pPr>
        <w:pStyle w:val="63"/>
        <w:ind w:firstLine="480"/>
        <w:rPr>
          <w:rFonts w:hint="eastAsia"/>
        </w:rPr>
      </w:pPr>
      <w:r>
        <w:rPr>
          <w:rFonts w:hint="eastAsia"/>
        </w:rPr>
        <w:t>根据相关标准规范及管理需求，对以下范围内的路口实施交通信号控制：</w:t>
      </w:r>
    </w:p>
    <w:p>
      <w:pPr>
        <w:pStyle w:val="63"/>
        <w:numPr>
          <w:ilvl w:val="0"/>
          <w:numId w:val="8"/>
        </w:numPr>
        <w:ind w:firstLineChars="0"/>
      </w:pPr>
      <w:r>
        <w:t></w:t>
      </w:r>
      <w:r>
        <w:rPr>
          <w:rFonts w:hint="eastAsia"/>
        </w:rPr>
        <w:t>钱清镇内的所有干路交叉口；</w:t>
      </w:r>
    </w:p>
    <w:p>
      <w:pPr>
        <w:pStyle w:val="63"/>
        <w:numPr>
          <w:ilvl w:val="0"/>
          <w:numId w:val="8"/>
        </w:numPr>
        <w:ind w:firstLineChars="0"/>
      </w:pPr>
      <w:r>
        <w:t></w:t>
      </w:r>
      <w:r>
        <w:rPr>
          <w:rFonts w:hint="eastAsia"/>
        </w:rPr>
        <w:t>钱清镇内流量较大的、或常发生交通事故的支路交叉口；</w:t>
      </w:r>
    </w:p>
    <w:p>
      <w:pPr>
        <w:pStyle w:val="63"/>
        <w:numPr>
          <w:ilvl w:val="0"/>
          <w:numId w:val="8"/>
        </w:numPr>
        <w:ind w:firstLineChars="0"/>
      </w:pPr>
      <w:r>
        <w:t></w:t>
      </w:r>
      <w:r>
        <w:rPr>
          <w:rFonts w:hint="eastAsia"/>
        </w:rPr>
        <w:t>因交通信号协调控制需要而必须增加的交叉口。</w:t>
      </w:r>
    </w:p>
    <w:p>
      <w:pPr>
        <w:pStyle w:val="63"/>
        <w:ind w:firstLine="480"/>
        <w:rPr>
          <w:rFonts w:hint="eastAsia"/>
        </w:rPr>
      </w:pPr>
      <w:r>
        <w:rPr>
          <w:rFonts w:hint="eastAsia"/>
        </w:rPr>
        <w:t>2)</w:t>
      </w:r>
      <w:r>
        <w:rPr>
          <w:rFonts w:hint="eastAsia"/>
        </w:rPr>
        <w:tab/>
      </w:r>
      <w:r>
        <w:rPr>
          <w:rFonts w:hint="eastAsia"/>
        </w:rPr>
        <w:t>联网原则</w:t>
      </w:r>
    </w:p>
    <w:p>
      <w:pPr>
        <w:pStyle w:val="63"/>
        <w:ind w:firstLine="480"/>
        <w:rPr>
          <w:rFonts w:hint="eastAsia"/>
        </w:rPr>
      </w:pPr>
      <w:r>
        <w:rPr>
          <w:rFonts w:hint="eastAsia"/>
        </w:rPr>
        <w:t>对于所有信号控制路口实施联网接入。</w:t>
      </w:r>
    </w:p>
    <w:p>
      <w:pPr>
        <w:pStyle w:val="63"/>
        <w:ind w:firstLine="480"/>
        <w:rPr>
          <w:rFonts w:hint="eastAsia"/>
        </w:rPr>
      </w:pPr>
      <w:r>
        <w:rPr>
          <w:rFonts w:hint="eastAsia"/>
        </w:rPr>
        <w:t>3)</w:t>
      </w:r>
      <w:r>
        <w:rPr>
          <w:rFonts w:hint="eastAsia"/>
        </w:rPr>
        <w:tab/>
      </w:r>
      <w:r>
        <w:rPr>
          <w:rFonts w:hint="eastAsia"/>
        </w:rPr>
        <w:t>利旧原则</w:t>
      </w:r>
    </w:p>
    <w:p>
      <w:pPr>
        <w:pStyle w:val="63"/>
        <w:ind w:firstLine="480"/>
        <w:rPr>
          <w:rFonts w:hint="eastAsia"/>
        </w:rPr>
      </w:pPr>
      <w:r>
        <w:rPr>
          <w:rFonts w:hint="eastAsia"/>
        </w:rPr>
        <w:t>本次工程中</w:t>
      </w:r>
      <w:r>
        <w:t>的</w:t>
      </w:r>
      <w:r>
        <w:rPr>
          <w:rFonts w:hint="eastAsia"/>
        </w:rPr>
        <w:t>交通信号控制系统部分</w:t>
      </w:r>
      <w:r>
        <w:t>，</w:t>
      </w:r>
      <w:r>
        <w:rPr>
          <w:rFonts w:hint="eastAsia"/>
        </w:rPr>
        <w:t>是在已有的交通</w:t>
      </w:r>
      <w:r>
        <w:t>信号控制</w:t>
      </w:r>
      <w:r>
        <w:rPr>
          <w:rFonts w:hint="eastAsia"/>
        </w:rPr>
        <w:t>系统的基础上对</w:t>
      </w:r>
      <w:r>
        <w:t>部分点位进行</w:t>
      </w:r>
      <w:r>
        <w:rPr>
          <w:rFonts w:hint="eastAsia"/>
        </w:rPr>
        <w:t>功能扩展、功能完善、性能提升以及样式统一。本着合理利用资源的原则，需要对核心区域交叉路口及信号控制系统建设情况进行摸排梳理，并进行合理分类，利旧原则可主要应用于以下几种情形：</w:t>
      </w:r>
    </w:p>
    <w:p>
      <w:pPr>
        <w:pStyle w:val="63"/>
        <w:numPr>
          <w:ilvl w:val="0"/>
          <w:numId w:val="9"/>
        </w:numPr>
        <w:ind w:firstLineChars="0"/>
        <w:rPr>
          <w:rFonts w:hint="eastAsia"/>
        </w:rPr>
      </w:pPr>
      <w:r>
        <w:t></w:t>
      </w:r>
      <w:r>
        <w:tab/>
      </w:r>
      <w:r>
        <w:rPr>
          <w:rFonts w:hint="eastAsia"/>
        </w:rPr>
        <w:t>对于已建信号控制交叉路口的，信号机若为联网协调式的，则信号机不进行升级替换，进行沿用，若是单点式的则进行更换；</w:t>
      </w:r>
    </w:p>
    <w:p>
      <w:pPr>
        <w:pStyle w:val="63"/>
        <w:numPr>
          <w:ilvl w:val="0"/>
          <w:numId w:val="9"/>
        </w:numPr>
        <w:ind w:firstLineChars="0"/>
      </w:pPr>
      <w:r>
        <w:t></w:t>
      </w:r>
      <w:r>
        <w:tab/>
      </w:r>
      <w:r>
        <w:rPr>
          <w:rFonts w:hint="eastAsia"/>
        </w:rPr>
        <w:t>已建信号控制交叉路口，若杆件横挑臂为牌楼式（门式）或采用圆形杆件的，则需要进行杆件替换，其他符合本次设计规范的杆件则进行沿用（含基础预埋件，施工前需要进行载荷评估），但需要进行外观统一，如重新漆面、粘贴反光标识带等；</w:t>
      </w:r>
    </w:p>
    <w:p>
      <w:pPr>
        <w:pStyle w:val="63"/>
        <w:numPr>
          <w:ilvl w:val="0"/>
          <w:numId w:val="9"/>
        </w:numPr>
        <w:ind w:firstLineChars="0"/>
      </w:pPr>
      <w:r>
        <w:t></w:t>
      </w:r>
      <w:r>
        <w:tab/>
      </w:r>
      <w:r>
        <w:rPr>
          <w:rFonts w:hint="eastAsia"/>
        </w:rPr>
        <w:t>所有已建或新建的人行</w:t>
      </w:r>
      <w:r>
        <w:t>/</w:t>
      </w:r>
      <w:r>
        <w:rPr>
          <w:rFonts w:hint="eastAsia"/>
        </w:rPr>
        <w:t>非机动车信号灯，统一更换为一体式人行</w:t>
      </w:r>
      <w:r>
        <w:t>/</w:t>
      </w:r>
      <w:r>
        <w:rPr>
          <w:rFonts w:hint="eastAsia"/>
        </w:rPr>
        <w:t>非机动车信号灯；</w:t>
      </w:r>
    </w:p>
    <w:p>
      <w:pPr>
        <w:pStyle w:val="63"/>
        <w:numPr>
          <w:ilvl w:val="0"/>
          <w:numId w:val="9"/>
        </w:numPr>
        <w:ind w:firstLineChars="0"/>
      </w:pPr>
      <w:r>
        <w:t></w:t>
      </w:r>
      <w:r>
        <w:tab/>
      </w:r>
      <w:r>
        <w:rPr>
          <w:rFonts w:hint="eastAsia"/>
        </w:rPr>
        <w:t>对于信号机单点式更替为联网协调式的，机箱安装位置尽量进行沿用，以避免重新敷设缆线及供电通信接入；</w:t>
      </w:r>
    </w:p>
    <w:p>
      <w:pPr>
        <w:pStyle w:val="63"/>
        <w:numPr>
          <w:ilvl w:val="0"/>
          <w:numId w:val="9"/>
        </w:numPr>
        <w:spacing w:after="120"/>
        <w:ind w:firstLineChars="0"/>
      </w:pPr>
      <w:r>
        <w:t></w:t>
      </w:r>
      <w:r>
        <w:tab/>
      </w:r>
      <w:r>
        <w:rPr>
          <w:rFonts w:hint="eastAsia"/>
        </w:rPr>
        <w:t>对于过路管道连通的路口，则不需要重新开挖，其余路口或路段暂按照完全新建进行考虑，以监理计量为准进行最终的工程量核算。</w:t>
      </w:r>
    </w:p>
    <w:p>
      <w:pPr>
        <w:pStyle w:val="63"/>
        <w:ind w:firstLine="480"/>
        <w:rPr>
          <w:rFonts w:hint="eastAsia"/>
        </w:rPr>
      </w:pPr>
      <w:r>
        <w:rPr>
          <w:rFonts w:hint="eastAsia"/>
        </w:rPr>
        <w:t>4)</w:t>
      </w:r>
      <w:r>
        <w:rPr>
          <w:rFonts w:hint="eastAsia"/>
        </w:rPr>
        <w:tab/>
      </w:r>
      <w:r>
        <w:rPr>
          <w:rFonts w:hint="eastAsia"/>
        </w:rPr>
        <w:t>一致性原则</w:t>
      </w:r>
    </w:p>
    <w:p>
      <w:pPr>
        <w:pStyle w:val="63"/>
        <w:ind w:firstLine="480"/>
        <w:rPr>
          <w:rFonts w:hint="eastAsia"/>
        </w:rPr>
      </w:pPr>
      <w:r>
        <w:rPr>
          <w:rFonts w:hint="eastAsia"/>
        </w:rPr>
        <w:t>信号灯杆件、灯具、安装方式在同等道路条件下应保持相同，并与柯桥城区保持一致，与城市景观和风貌相适应。具体参考《绍兴市柯桥区核心城区智能交通设计》。</w:t>
      </w:r>
    </w:p>
    <w:p>
      <w:pPr>
        <w:pStyle w:val="63"/>
        <w:ind w:firstLine="480"/>
        <w:rPr>
          <w:rFonts w:hint="eastAsia"/>
        </w:rPr>
      </w:pPr>
      <w:r>
        <w:t>4</w:t>
      </w:r>
      <w:r>
        <w:rPr>
          <w:rFonts w:hint="eastAsia"/>
        </w:rPr>
        <w:t>、点位分布</w:t>
      </w:r>
    </w:p>
    <w:p>
      <w:pPr>
        <w:pStyle w:val="63"/>
        <w:ind w:firstLine="480"/>
      </w:pPr>
      <w:r>
        <w:rPr>
          <w:rFonts w:hint="eastAsia"/>
        </w:rPr>
        <w:t>本次工程交通信号控制系统共新建和改建</w:t>
      </w:r>
      <w:r>
        <w:t>12</w:t>
      </w:r>
      <w:r>
        <w:rPr>
          <w:rFonts w:hint="eastAsia"/>
        </w:rPr>
        <w:t>处信号控制系统路口，调整内容包括升级信号机、更换杆件（行人信号灯杆件全部更换）、更换信号灯组以及更换信号线和电缆等。信号系统的升级需结合道路扩建、路口、交通组织优化。</w:t>
      </w:r>
    </w:p>
    <w:p>
      <w:pPr>
        <w:pStyle w:val="63"/>
        <w:ind w:firstLine="480"/>
        <w:rPr>
          <w:rFonts w:hint="eastAsia"/>
        </w:rPr>
      </w:pPr>
    </w:p>
    <w:p>
      <w:pPr>
        <w:pStyle w:val="63"/>
        <w:ind w:firstLine="480"/>
        <w:rPr>
          <w:rFonts w:hint="eastAsia"/>
        </w:rPr>
      </w:pPr>
    </w:p>
    <w:p>
      <w:pPr>
        <w:pStyle w:val="63"/>
        <w:ind w:firstLine="480"/>
        <w:rPr>
          <w:rFonts w:hint="eastAsia"/>
        </w:rPr>
      </w:pPr>
    </w:p>
    <w:p>
      <w:pPr>
        <w:pStyle w:val="63"/>
        <w:ind w:firstLine="480"/>
      </w:pPr>
      <w:r>
        <w:rPr>
          <w:rFonts w:hint="eastAsia"/>
        </w:rPr>
        <w:t>交通信号控制系统点位分布</w:t>
      </w:r>
      <w: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87"/>
        <w:gridCol w:w="179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3287" w:type="dxa"/>
            <w:noWrap w:val="0"/>
            <w:vAlign w:val="center"/>
          </w:tcPr>
          <w:p>
            <w:pPr>
              <w:widowControl/>
              <w:jc w:val="center"/>
              <w:rPr>
                <w:rFonts w:ascii="宋体" w:hAnsi="宋体" w:cs="宋体"/>
                <w:kern w:val="0"/>
                <w:sz w:val="24"/>
              </w:rPr>
            </w:pPr>
            <w:r>
              <w:rPr>
                <w:rFonts w:hint="eastAsia" w:ascii="宋体" w:hAnsi="宋体" w:cs="宋体"/>
                <w:kern w:val="0"/>
                <w:sz w:val="24"/>
              </w:rPr>
              <w:t>路口名称</w:t>
            </w:r>
          </w:p>
        </w:tc>
        <w:tc>
          <w:tcPr>
            <w:tcW w:w="1790" w:type="dxa"/>
            <w:noWrap w:val="0"/>
            <w:vAlign w:val="center"/>
          </w:tcPr>
          <w:p>
            <w:pPr>
              <w:widowControl/>
              <w:jc w:val="center"/>
              <w:rPr>
                <w:rFonts w:ascii="宋体" w:hAnsi="宋体" w:cs="宋体"/>
                <w:kern w:val="0"/>
                <w:sz w:val="24"/>
              </w:rPr>
            </w:pPr>
            <w:r>
              <w:rPr>
                <w:rFonts w:hint="eastAsia" w:ascii="宋体" w:hAnsi="宋体" w:cs="宋体"/>
                <w:kern w:val="0"/>
                <w:sz w:val="24"/>
              </w:rPr>
              <w:t>路口类型</w:t>
            </w:r>
          </w:p>
        </w:tc>
        <w:tc>
          <w:tcPr>
            <w:tcW w:w="3100" w:type="dxa"/>
            <w:noWrap w:val="0"/>
            <w:vAlign w:val="center"/>
          </w:tcPr>
          <w:p>
            <w:pPr>
              <w:widowControl/>
              <w:jc w:val="center"/>
              <w:rPr>
                <w:rFonts w:ascii="宋体" w:hAnsi="宋体" w:cs="宋体"/>
                <w:kern w:val="0"/>
                <w:sz w:val="24"/>
              </w:rPr>
            </w:pPr>
            <w:r>
              <w:rPr>
                <w:rFonts w:hint="eastAsia" w:ascii="宋体" w:hAnsi="宋体" w:cs="宋体"/>
                <w:kern w:val="0"/>
                <w:sz w:val="24"/>
              </w:rPr>
              <w:t>新建/改建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287" w:type="dxa"/>
            <w:noWrap w:val="0"/>
            <w:vAlign w:val="center"/>
          </w:tcPr>
          <w:p>
            <w:pPr>
              <w:widowControl/>
              <w:jc w:val="center"/>
              <w:rPr>
                <w:rFonts w:ascii="宋体" w:hAnsi="宋体" w:cs="宋体"/>
                <w:kern w:val="0"/>
                <w:sz w:val="24"/>
              </w:rPr>
            </w:pPr>
            <w:r>
              <w:rPr>
                <w:rFonts w:hint="eastAsia" w:ascii="宋体" w:cs="宋体"/>
              </w:rPr>
              <w:t>镇前路二环路路口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新建，标线修整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287" w:type="dxa"/>
            <w:noWrap w:val="0"/>
            <w:vAlign w:val="center"/>
          </w:tcPr>
          <w:p>
            <w:pPr>
              <w:widowControl/>
              <w:jc w:val="center"/>
              <w:rPr>
                <w:rFonts w:ascii="宋体" w:hAnsi="宋体" w:cs="宋体"/>
                <w:kern w:val="0"/>
                <w:sz w:val="24"/>
              </w:rPr>
            </w:pPr>
            <w:r>
              <w:rPr>
                <w:rFonts w:hint="eastAsia" w:ascii="宋体" w:cs="宋体"/>
              </w:rPr>
              <w:t>万绣路羽衣路路口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287" w:type="dxa"/>
            <w:noWrap w:val="0"/>
            <w:vAlign w:val="center"/>
          </w:tcPr>
          <w:p>
            <w:pPr>
              <w:widowControl/>
              <w:jc w:val="center"/>
              <w:rPr>
                <w:rFonts w:ascii="宋体" w:hAnsi="宋体" w:cs="宋体"/>
                <w:kern w:val="0"/>
                <w:sz w:val="24"/>
              </w:rPr>
            </w:pPr>
            <w:r>
              <w:rPr>
                <w:rFonts w:hint="eastAsia" w:ascii="宋体" w:cs="宋体"/>
              </w:rPr>
              <w:t>万绣路群贤路路口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287" w:type="dxa"/>
            <w:noWrap w:val="0"/>
            <w:vAlign w:val="center"/>
          </w:tcPr>
          <w:p>
            <w:pPr>
              <w:widowControl/>
              <w:jc w:val="center"/>
              <w:rPr>
                <w:rFonts w:ascii="宋体" w:hAnsi="宋体" w:cs="宋体"/>
                <w:kern w:val="0"/>
                <w:sz w:val="24"/>
              </w:rPr>
            </w:pPr>
            <w:r>
              <w:rPr>
                <w:rFonts w:hint="eastAsia" w:ascii="宋体" w:cs="宋体"/>
              </w:rPr>
              <w:t>万绣路山阴路路口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3287" w:type="dxa"/>
            <w:noWrap w:val="0"/>
            <w:vAlign w:val="center"/>
          </w:tcPr>
          <w:p>
            <w:pPr>
              <w:widowControl/>
              <w:jc w:val="center"/>
              <w:rPr>
                <w:rFonts w:ascii="宋体" w:hAnsi="宋体" w:cs="宋体"/>
                <w:kern w:val="0"/>
                <w:sz w:val="24"/>
              </w:rPr>
            </w:pPr>
            <w:r>
              <w:rPr>
                <w:rFonts w:hint="eastAsia" w:ascii="宋体" w:cs="宋体"/>
              </w:rPr>
              <w:t>万绣路发展路路口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3287" w:type="dxa"/>
            <w:noWrap w:val="0"/>
            <w:vAlign w:val="center"/>
          </w:tcPr>
          <w:p>
            <w:pPr>
              <w:widowControl/>
              <w:jc w:val="center"/>
              <w:rPr>
                <w:rFonts w:ascii="宋体" w:hAnsi="宋体" w:cs="宋体"/>
                <w:kern w:val="0"/>
                <w:sz w:val="24"/>
              </w:rPr>
            </w:pPr>
            <w:r>
              <w:rPr>
                <w:rFonts w:hint="eastAsia" w:ascii="宋体" w:cs="宋体"/>
              </w:rPr>
              <w:t>镇东路群贤路路口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3287" w:type="dxa"/>
            <w:noWrap w:val="0"/>
            <w:vAlign w:val="center"/>
          </w:tcPr>
          <w:p>
            <w:pPr>
              <w:widowControl/>
              <w:jc w:val="center"/>
              <w:rPr>
                <w:rFonts w:ascii="宋体" w:hAnsi="宋体" w:cs="宋体"/>
                <w:kern w:val="0"/>
                <w:sz w:val="24"/>
              </w:rPr>
            </w:pPr>
            <w:r>
              <w:rPr>
                <w:rFonts w:hint="eastAsia" w:ascii="宋体" w:cs="宋体"/>
              </w:rPr>
              <w:t>镇东路山阴路路口</w:t>
            </w:r>
          </w:p>
        </w:tc>
        <w:tc>
          <w:tcPr>
            <w:tcW w:w="1790" w:type="dxa"/>
            <w:noWrap w:val="0"/>
            <w:vAlign w:val="center"/>
          </w:tcPr>
          <w:p>
            <w:pPr>
              <w:widowControl/>
              <w:jc w:val="center"/>
              <w:rPr>
                <w:rFonts w:ascii="宋体" w:hAnsi="宋体" w:cs="宋体"/>
                <w:kern w:val="0"/>
                <w:sz w:val="24"/>
              </w:rPr>
            </w:pPr>
            <w:r>
              <w:t>T</w:t>
            </w:r>
            <w:r>
              <w:rPr>
                <w:rFonts w:hint="eastAsia" w:ascii="宋体" w:cs="宋体"/>
              </w:rPr>
              <w:t>字型</w:t>
            </w:r>
          </w:p>
        </w:tc>
        <w:tc>
          <w:tcPr>
            <w:tcW w:w="3100" w:type="dxa"/>
            <w:noWrap w:val="0"/>
            <w:vAlign w:val="center"/>
          </w:tcPr>
          <w:p>
            <w:pPr>
              <w:widowControl/>
              <w:jc w:val="center"/>
              <w:rPr>
                <w:rFonts w:ascii="宋体" w:hAnsi="宋体" w:cs="宋体"/>
                <w:kern w:val="0"/>
                <w:sz w:val="24"/>
              </w:rPr>
            </w:pPr>
            <w:r>
              <w:rPr>
                <w:rFonts w:hint="eastAsia" w:ascii="宋体" w:cs="宋体"/>
              </w:rPr>
              <w:t>新建，标线修整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3287" w:type="dxa"/>
            <w:noWrap w:val="0"/>
            <w:vAlign w:val="center"/>
          </w:tcPr>
          <w:p>
            <w:pPr>
              <w:widowControl/>
              <w:jc w:val="center"/>
              <w:rPr>
                <w:rFonts w:ascii="宋体" w:hAnsi="宋体" w:cs="宋体"/>
                <w:kern w:val="0"/>
                <w:sz w:val="24"/>
              </w:rPr>
            </w:pPr>
            <w:r>
              <w:rPr>
                <w:rFonts w:hint="eastAsia" w:ascii="宋体" w:cs="宋体"/>
              </w:rPr>
              <w:t>镇东路发展路路口</w:t>
            </w:r>
          </w:p>
        </w:tc>
        <w:tc>
          <w:tcPr>
            <w:tcW w:w="1790" w:type="dxa"/>
            <w:noWrap w:val="0"/>
            <w:vAlign w:val="center"/>
          </w:tcPr>
          <w:p>
            <w:pPr>
              <w:widowControl/>
              <w:jc w:val="center"/>
              <w:rPr>
                <w:rFonts w:ascii="宋体" w:hAnsi="宋体" w:cs="宋体"/>
                <w:kern w:val="0"/>
                <w:sz w:val="24"/>
              </w:rPr>
            </w:pPr>
            <w:r>
              <w:t>T</w:t>
            </w:r>
            <w:r>
              <w:rPr>
                <w:rFonts w:hint="eastAsia" w:ascii="宋体" w:cs="宋体"/>
              </w:rPr>
              <w:t>字型</w:t>
            </w:r>
          </w:p>
        </w:tc>
        <w:tc>
          <w:tcPr>
            <w:tcW w:w="3100" w:type="dxa"/>
            <w:noWrap w:val="0"/>
            <w:vAlign w:val="center"/>
          </w:tcPr>
          <w:p>
            <w:pPr>
              <w:widowControl/>
              <w:jc w:val="center"/>
              <w:rPr>
                <w:rFonts w:ascii="宋体" w:hAnsi="宋体" w:cs="宋体"/>
                <w:kern w:val="0"/>
                <w:sz w:val="24"/>
              </w:rPr>
            </w:pPr>
            <w:r>
              <w:rPr>
                <w:rFonts w:hint="eastAsia" w:ascii="宋体" w:cs="宋体"/>
              </w:rPr>
              <w:t>新建，标线修整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3287" w:type="dxa"/>
            <w:noWrap w:val="0"/>
            <w:vAlign w:val="center"/>
          </w:tcPr>
          <w:p>
            <w:pPr>
              <w:widowControl/>
              <w:jc w:val="center"/>
              <w:rPr>
                <w:rFonts w:ascii="宋体" w:hAnsi="宋体" w:cs="宋体"/>
                <w:kern w:val="0"/>
                <w:sz w:val="24"/>
              </w:rPr>
            </w:pPr>
            <w:r>
              <w:rPr>
                <w:rFonts w:hint="eastAsia" w:ascii="宋体" w:cs="宋体"/>
              </w:rPr>
              <w:t>杨绍线九岩路路口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3287" w:type="dxa"/>
            <w:noWrap w:val="0"/>
            <w:vAlign w:val="center"/>
          </w:tcPr>
          <w:p>
            <w:pPr>
              <w:widowControl/>
              <w:jc w:val="center"/>
              <w:rPr>
                <w:rFonts w:ascii="宋体" w:hAnsi="宋体" w:cs="宋体"/>
                <w:kern w:val="0"/>
                <w:sz w:val="24"/>
              </w:rPr>
            </w:pPr>
            <w:r>
              <w:rPr>
                <w:rFonts w:hint="eastAsia" w:ascii="宋体" w:cs="宋体"/>
              </w:rPr>
              <w:t>柯袍线沙田村路口</w:t>
            </w:r>
          </w:p>
        </w:tc>
        <w:tc>
          <w:tcPr>
            <w:tcW w:w="1790" w:type="dxa"/>
            <w:noWrap w:val="0"/>
            <w:vAlign w:val="center"/>
          </w:tcPr>
          <w:p>
            <w:pPr>
              <w:widowControl/>
              <w:jc w:val="center"/>
              <w:rPr>
                <w:rFonts w:ascii="宋体" w:hAnsi="宋体" w:cs="宋体"/>
                <w:kern w:val="0"/>
                <w:sz w:val="24"/>
              </w:rPr>
            </w:pPr>
            <w:r>
              <w:rPr>
                <w:rFonts w:hint="eastAsia" w:ascii="宋体" w:cs="宋体"/>
              </w:rPr>
              <w:t>十字型</w:t>
            </w:r>
          </w:p>
        </w:tc>
        <w:tc>
          <w:tcPr>
            <w:tcW w:w="3100" w:type="dxa"/>
            <w:noWrap w:val="0"/>
            <w:vAlign w:val="center"/>
          </w:tcPr>
          <w:p>
            <w:pPr>
              <w:widowControl/>
              <w:jc w:val="center"/>
              <w:rPr>
                <w:rFonts w:ascii="宋体" w:hAnsi="宋体" w:cs="宋体"/>
                <w:kern w:val="0"/>
                <w:sz w:val="24"/>
              </w:rPr>
            </w:pPr>
            <w:r>
              <w:rPr>
                <w:rFonts w:hint="eastAsia" w:ascii="宋体" w:cs="宋体"/>
              </w:rPr>
              <w:t>改建，标线修整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3287" w:type="dxa"/>
            <w:noWrap w:val="0"/>
            <w:vAlign w:val="center"/>
          </w:tcPr>
          <w:p>
            <w:pPr>
              <w:widowControl/>
              <w:jc w:val="center"/>
              <w:rPr>
                <w:rFonts w:ascii="宋体" w:cs="宋体"/>
              </w:rPr>
            </w:pPr>
            <w:r>
              <w:rPr>
                <w:rFonts w:hint="eastAsia" w:ascii="宋体" w:cs="宋体"/>
              </w:rPr>
              <w:t>钱安线瓜渔线路口</w:t>
            </w:r>
          </w:p>
        </w:tc>
        <w:tc>
          <w:tcPr>
            <w:tcW w:w="1790" w:type="dxa"/>
            <w:noWrap w:val="0"/>
            <w:vAlign w:val="center"/>
          </w:tcPr>
          <w:p>
            <w:pPr>
              <w:widowControl/>
              <w:jc w:val="center"/>
              <w:rPr>
                <w:rFonts w:ascii="宋体" w:cs="宋体"/>
              </w:rPr>
            </w:pPr>
            <w:r>
              <w:t>T</w:t>
            </w:r>
            <w:r>
              <w:rPr>
                <w:rFonts w:hint="eastAsia" w:ascii="宋体" w:cs="宋体"/>
              </w:rPr>
              <w:t>字型</w:t>
            </w:r>
          </w:p>
        </w:tc>
        <w:tc>
          <w:tcPr>
            <w:tcW w:w="3100" w:type="dxa"/>
            <w:noWrap w:val="0"/>
            <w:vAlign w:val="center"/>
          </w:tcPr>
          <w:p>
            <w:pPr>
              <w:widowControl/>
              <w:jc w:val="center"/>
              <w:rPr>
                <w:rFonts w:ascii="宋体" w:cs="宋体"/>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4" w:type="dxa"/>
            <w:noWrap w:val="0"/>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3287" w:type="dxa"/>
            <w:noWrap w:val="0"/>
            <w:vAlign w:val="center"/>
          </w:tcPr>
          <w:p>
            <w:pPr>
              <w:widowControl/>
              <w:jc w:val="center"/>
              <w:rPr>
                <w:rFonts w:ascii="宋体" w:cs="宋体"/>
              </w:rPr>
            </w:pPr>
            <w:r>
              <w:rPr>
                <w:rFonts w:hint="eastAsia" w:ascii="宋体" w:cs="宋体"/>
              </w:rPr>
              <w:t>预留路口</w:t>
            </w:r>
          </w:p>
        </w:tc>
        <w:tc>
          <w:tcPr>
            <w:tcW w:w="1790" w:type="dxa"/>
            <w:noWrap w:val="0"/>
            <w:vAlign w:val="center"/>
          </w:tcPr>
          <w:p>
            <w:pPr>
              <w:widowControl/>
              <w:jc w:val="center"/>
              <w:rPr>
                <w:rFonts w:ascii="宋体" w:cs="宋体"/>
              </w:rPr>
            </w:pPr>
            <w:r>
              <w:rPr>
                <w:rFonts w:hint="eastAsia" w:ascii="宋体" w:cs="宋体"/>
              </w:rPr>
              <w:t>十字型</w:t>
            </w:r>
          </w:p>
        </w:tc>
        <w:tc>
          <w:tcPr>
            <w:tcW w:w="3100" w:type="dxa"/>
            <w:noWrap w:val="0"/>
            <w:vAlign w:val="center"/>
          </w:tcPr>
          <w:p>
            <w:pPr>
              <w:widowControl/>
              <w:jc w:val="center"/>
              <w:rPr>
                <w:rFonts w:ascii="宋体" w:cs="宋体"/>
              </w:rPr>
            </w:pPr>
            <w:r>
              <w:rPr>
                <w:rFonts w:hint="eastAsia" w:ascii="宋体" w:cs="宋体"/>
              </w:rPr>
              <w:t>新建</w:t>
            </w:r>
          </w:p>
        </w:tc>
      </w:tr>
    </w:tbl>
    <w:p>
      <w:pPr>
        <w:pStyle w:val="4"/>
        <w:keepLines w:val="0"/>
        <w:widowControl/>
        <w:numPr>
          <w:ilvl w:val="2"/>
          <w:numId w:val="0"/>
        </w:numPr>
        <w:tabs>
          <w:tab w:val="left" w:pos="851"/>
        </w:tabs>
        <w:spacing w:before="240" w:after="0" w:line="360" w:lineRule="auto"/>
        <w:ind w:left="851" w:hanging="851"/>
        <w:jc w:val="left"/>
        <w:rPr>
          <w:rFonts w:hint="eastAsia"/>
          <w:sz w:val="24"/>
        </w:rPr>
      </w:pPr>
      <w:bookmarkStart w:id="78" w:name="_Toc495130009"/>
      <w:bookmarkStart w:id="79" w:name="_Toc495128075"/>
      <w:bookmarkStart w:id="80" w:name="_Toc521530780"/>
      <w:r>
        <w:rPr>
          <w:rFonts w:hint="eastAsia"/>
          <w:sz w:val="24"/>
        </w:rPr>
        <w:t>12.2.2电子警察（交通信息采集）</w:t>
      </w:r>
      <w:bookmarkEnd w:id="78"/>
      <w:bookmarkEnd w:id="79"/>
      <w:r>
        <w:rPr>
          <w:rFonts w:hint="eastAsia"/>
          <w:sz w:val="24"/>
        </w:rPr>
        <w:t>系统</w:t>
      </w:r>
      <w:bookmarkEnd w:id="80"/>
    </w:p>
    <w:p>
      <w:pPr>
        <w:pStyle w:val="4"/>
        <w:keepLines w:val="0"/>
        <w:widowControl/>
        <w:numPr>
          <w:ilvl w:val="2"/>
          <w:numId w:val="0"/>
        </w:numPr>
        <w:tabs>
          <w:tab w:val="left" w:pos="851"/>
        </w:tabs>
        <w:spacing w:before="0" w:after="0" w:line="360" w:lineRule="auto"/>
        <w:ind w:left="851" w:hanging="851"/>
        <w:jc w:val="left"/>
        <w:rPr>
          <w:b w:val="0"/>
          <w:sz w:val="24"/>
        </w:rPr>
      </w:pPr>
      <w:r>
        <w:rPr>
          <w:b w:val="0"/>
          <w:sz w:val="24"/>
        </w:rPr>
        <w:t>1</w:t>
      </w:r>
      <w:r>
        <w:rPr>
          <w:rFonts w:hint="eastAsia"/>
          <w:b w:val="0"/>
          <w:sz w:val="24"/>
        </w:rPr>
        <w:t>、系统</w:t>
      </w:r>
      <w:r>
        <w:rPr>
          <w:b w:val="0"/>
          <w:sz w:val="24"/>
        </w:rPr>
        <w:t>需求</w:t>
      </w:r>
    </w:p>
    <w:p>
      <w:pPr>
        <w:pStyle w:val="63"/>
        <w:ind w:firstLine="480"/>
        <w:rPr>
          <w:rFonts w:hint="eastAsia"/>
        </w:rPr>
      </w:pPr>
      <w:r>
        <w:rPr>
          <w:rFonts w:hint="eastAsia"/>
        </w:rPr>
        <w:t>随着城市道路监控技术和 ITS 智能交通技术的发展和融合，“电子警察”已经成为缓解交通紧张，降低交通事故和隐患体现科技强警的一项重要举措。电子警察执法处罚系统具备高技术含量， 可以对超速、逆行、闯红灯、禁停、压黄线、抢占公交道等一系列违章现象进行准确、稳定、自动、全天候的监控、执法和处罚。电子警察的出现可以大大缓解因违章行为导致交通事故与警力少和**人员劳动力强度大的矛盾，有效抑制由于人力违章引起的交通事故。电子警察在国内一些大中城市经过几年的广泛应用，技术已经很成熟，由早期单一的闯红灯抓拍演变为多项违章内容及车流量、排队长度、等待时间、车道占用率、平均速度等交通信息统计分析的监控系统。</w:t>
      </w:r>
    </w:p>
    <w:p>
      <w:pPr>
        <w:pStyle w:val="63"/>
        <w:ind w:firstLine="199" w:firstLineChars="83"/>
      </w:pPr>
      <w:r>
        <w:t>2</w:t>
      </w:r>
      <w:r>
        <w:rPr>
          <w:rFonts w:hint="eastAsia"/>
        </w:rPr>
        <w:t>、建设</w:t>
      </w:r>
      <w:r>
        <w:t>目标</w:t>
      </w:r>
    </w:p>
    <w:p>
      <w:pPr>
        <w:pStyle w:val="63"/>
        <w:ind w:firstLine="480"/>
      </w:pPr>
      <w:r>
        <w:rPr>
          <w:rFonts w:hint="eastAsia"/>
        </w:rPr>
        <w:t>电子警察系统可缓解警力不足，扩大非现场执法力度，可以有效避免产生警民矛盾，监督违章驾驶，监管违法行为等日常交通管理工作，由此所产生经济和社会效益是极其显著的。然而，随着规范化、人性化执法理念的深入，电子警察系统应该推行</w:t>
      </w:r>
      <w:r>
        <w:t>“</w:t>
      </w:r>
      <w:r>
        <w:rPr>
          <w:rFonts w:hint="eastAsia"/>
        </w:rPr>
        <w:t>一告知、二警告、三取证</w:t>
      </w:r>
      <w:r>
        <w:t>”</w:t>
      </w:r>
      <w:r>
        <w:rPr>
          <w:rFonts w:hint="eastAsia"/>
        </w:rPr>
        <w:t>模式来运作，其中</w:t>
      </w:r>
      <w:r>
        <w:t>“</w:t>
      </w:r>
      <w:r>
        <w:rPr>
          <w:rFonts w:hint="eastAsia"/>
        </w:rPr>
        <w:t>一告知</w:t>
      </w:r>
      <w:r>
        <w:t>”</w:t>
      </w:r>
      <w:r>
        <w:rPr>
          <w:rFonts w:hint="eastAsia"/>
        </w:rPr>
        <w:t>是指公开告知电子警察系统安装位置及功能；</w:t>
      </w:r>
      <w:r>
        <w:t>“</w:t>
      </w:r>
      <w:r>
        <w:rPr>
          <w:rFonts w:hint="eastAsia"/>
        </w:rPr>
        <w:t>二警告</w:t>
      </w:r>
      <w:r>
        <w:t>”</w:t>
      </w:r>
      <w:r>
        <w:rPr>
          <w:rFonts w:hint="eastAsia"/>
        </w:rPr>
        <w:t>是指对违法者进行监测并警告；</w:t>
      </w:r>
      <w:r>
        <w:t>“</w:t>
      </w:r>
      <w:r>
        <w:rPr>
          <w:rFonts w:hint="eastAsia"/>
        </w:rPr>
        <w:t>三取证</w:t>
      </w:r>
      <w:r>
        <w:t>”</w:t>
      </w:r>
      <w:r>
        <w:rPr>
          <w:rFonts w:hint="eastAsia"/>
        </w:rPr>
        <w:t>是指对不听劝告的违法者进行违法取证并执法。</w:t>
      </w:r>
    </w:p>
    <w:p>
      <w:pPr>
        <w:pStyle w:val="63"/>
        <w:ind w:firstLine="480"/>
      </w:pPr>
      <w:r>
        <w:rPr>
          <w:rFonts w:hint="eastAsia"/>
        </w:rPr>
        <w:t>建设高清视频电子警察系统达到以下核心业务目标：</w:t>
      </w:r>
    </w:p>
    <w:p>
      <w:pPr>
        <w:pStyle w:val="63"/>
        <w:ind w:firstLine="480"/>
      </w:pPr>
      <w:r>
        <w:t xml:space="preserve">1) </w:t>
      </w:r>
      <w:r>
        <w:rPr>
          <w:rFonts w:hint="eastAsia"/>
        </w:rPr>
        <w:t>减少因闯红灯、压线行驶、逆向行驶、不按车道行驶等违法行为而造成的交通事故、堵塞和交通混乱；</w:t>
      </w:r>
    </w:p>
    <w:p>
      <w:pPr>
        <w:pStyle w:val="63"/>
        <w:ind w:firstLine="480"/>
      </w:pPr>
      <w:r>
        <w:t xml:space="preserve">2) </w:t>
      </w:r>
      <w:r>
        <w:rPr>
          <w:rFonts w:hint="eastAsia"/>
        </w:rPr>
        <w:t>检测和记录城区车辆情况，组织调度交通流，改善治安和交通秩序；</w:t>
      </w:r>
    </w:p>
    <w:p>
      <w:pPr>
        <w:pStyle w:val="63"/>
        <w:ind w:firstLine="480"/>
        <w:rPr>
          <w:rFonts w:hint="eastAsia"/>
        </w:rPr>
      </w:pPr>
      <w:r>
        <w:t xml:space="preserve">3) </w:t>
      </w:r>
      <w:r>
        <w:rPr>
          <w:rFonts w:hint="eastAsia"/>
        </w:rPr>
        <w:t>为交通肇事逃逸和涉车案件等违法行为提供线索和证据。</w:t>
      </w:r>
    </w:p>
    <w:p>
      <w:pPr>
        <w:pStyle w:val="63"/>
        <w:ind w:firstLine="480"/>
      </w:pPr>
      <w:r>
        <w:rPr>
          <w:rFonts w:hint="eastAsia"/>
        </w:rPr>
        <w:t>同时，利用技术革新使系统的功能和性能达到一个更高的层次：</w:t>
      </w:r>
    </w:p>
    <w:p>
      <w:pPr>
        <w:pStyle w:val="63"/>
        <w:numPr>
          <w:ilvl w:val="0"/>
          <w:numId w:val="10"/>
        </w:numPr>
        <w:ind w:firstLineChars="0"/>
        <w:rPr>
          <w:rFonts w:hint="eastAsia"/>
        </w:rPr>
      </w:pPr>
      <w:r>
        <w:rPr>
          <w:rFonts w:hint="eastAsia"/>
        </w:rPr>
        <w:t>更高的车辆及违法行为的捕获率；</w:t>
      </w:r>
    </w:p>
    <w:p>
      <w:pPr>
        <w:pStyle w:val="63"/>
        <w:numPr>
          <w:ilvl w:val="0"/>
          <w:numId w:val="10"/>
        </w:numPr>
        <w:ind w:firstLineChars="0"/>
      </w:pPr>
      <w:r>
        <w:rPr>
          <w:rFonts w:hint="eastAsia"/>
        </w:rPr>
        <w:t>更高的车牌识别率和取证有效率；</w:t>
      </w:r>
    </w:p>
    <w:p>
      <w:pPr>
        <w:pStyle w:val="63"/>
        <w:numPr>
          <w:ilvl w:val="0"/>
          <w:numId w:val="10"/>
        </w:numPr>
        <w:ind w:firstLineChars="0"/>
        <w:rPr>
          <w:rFonts w:hint="eastAsia"/>
        </w:rPr>
      </w:pPr>
      <w:r>
        <w:rPr>
          <w:rFonts w:hint="eastAsia"/>
        </w:rPr>
        <w:t>更好的环境适应性；</w:t>
      </w:r>
    </w:p>
    <w:p>
      <w:pPr>
        <w:pStyle w:val="63"/>
        <w:numPr>
          <w:ilvl w:val="0"/>
          <w:numId w:val="10"/>
        </w:numPr>
        <w:ind w:firstLineChars="0"/>
        <w:rPr>
          <w:rFonts w:hint="eastAsia"/>
        </w:rPr>
      </w:pPr>
      <w:r>
        <w:rPr>
          <w:rFonts w:hint="eastAsia"/>
        </w:rPr>
        <w:t>更完善的数据存储与读取性能；</w:t>
      </w:r>
    </w:p>
    <w:p>
      <w:pPr>
        <w:pStyle w:val="63"/>
        <w:numPr>
          <w:ilvl w:val="0"/>
          <w:numId w:val="10"/>
        </w:numPr>
        <w:ind w:firstLineChars="0"/>
        <w:rPr>
          <w:rFonts w:hint="eastAsia"/>
        </w:rPr>
      </w:pPr>
      <w:r>
        <w:rPr>
          <w:rFonts w:hint="eastAsia"/>
        </w:rPr>
        <w:t>更便捷的工程实施与后期维护；</w:t>
      </w:r>
    </w:p>
    <w:p>
      <w:pPr>
        <w:pStyle w:val="63"/>
        <w:numPr>
          <w:ilvl w:val="0"/>
          <w:numId w:val="10"/>
        </w:numPr>
        <w:ind w:firstLineChars="0"/>
        <w:rPr>
          <w:rFonts w:hint="eastAsia"/>
        </w:rPr>
      </w:pPr>
      <w:r>
        <w:rPr>
          <w:rFonts w:hint="eastAsia"/>
        </w:rPr>
        <w:t>更简洁的系统升级与扩容。</w:t>
      </w:r>
    </w:p>
    <w:p>
      <w:pPr>
        <w:pStyle w:val="63"/>
        <w:ind w:left="480" w:firstLine="0" w:firstLineChars="0"/>
        <w:rPr>
          <w:rFonts w:hint="eastAsia"/>
        </w:rPr>
      </w:pPr>
      <w:r>
        <w:t>3</w:t>
      </w:r>
      <w:r>
        <w:rPr>
          <w:rFonts w:hint="eastAsia"/>
        </w:rPr>
        <w:t>、建设原则</w:t>
      </w:r>
    </w:p>
    <w:p>
      <w:pPr>
        <w:pStyle w:val="63"/>
        <w:ind w:left="480" w:firstLine="0" w:firstLineChars="0"/>
        <w:rPr>
          <w:rFonts w:hint="eastAsia"/>
        </w:rPr>
      </w:pPr>
      <w:r>
        <w:rPr>
          <w:rFonts w:hint="eastAsia"/>
        </w:rPr>
        <w:t>1)</w:t>
      </w:r>
      <w:r>
        <w:rPr>
          <w:rFonts w:hint="eastAsia"/>
        </w:rPr>
        <w:tab/>
      </w:r>
      <w:r>
        <w:rPr>
          <w:rFonts w:hint="eastAsia"/>
        </w:rPr>
        <w:t>闯红灯自动记录设备设置要求如下：</w:t>
      </w:r>
    </w:p>
    <w:p>
      <w:pPr>
        <w:pStyle w:val="63"/>
        <w:numPr>
          <w:ilvl w:val="0"/>
          <w:numId w:val="11"/>
        </w:numPr>
        <w:ind w:firstLineChars="0"/>
      </w:pPr>
      <w:r>
        <w:rPr>
          <w:rFonts w:hint="eastAsia"/>
        </w:rPr>
        <w:t>安装了道路交通信号灯的城市主干路、一级、二级公路交叉口应设置，其它安装了道路交通信号灯的交叉口可视情设置；</w:t>
      </w:r>
    </w:p>
    <w:p>
      <w:pPr>
        <w:pStyle w:val="63"/>
        <w:numPr>
          <w:ilvl w:val="0"/>
          <w:numId w:val="11"/>
        </w:numPr>
        <w:ind w:firstLineChars="0"/>
      </w:pPr>
      <w:r>
        <w:rPr>
          <w:rFonts w:hint="eastAsia"/>
        </w:rPr>
        <w:t>安装闯红灯自动记录设备的交叉口道路交通信号灯应符合国家标准，相关交通标志标线应清晰明确。</w:t>
      </w:r>
    </w:p>
    <w:p>
      <w:pPr>
        <w:pStyle w:val="63"/>
        <w:ind w:firstLine="480"/>
      </w:pPr>
      <w:r>
        <w:rPr>
          <w:rFonts w:hint="eastAsia"/>
        </w:rPr>
        <w:t>2）</w:t>
      </w:r>
      <w:r>
        <w:t>三级</w:t>
      </w:r>
      <w:r>
        <w:rPr>
          <w:rFonts w:ascii="Times New Roman" w:eastAsia="Times New Roman"/>
        </w:rPr>
        <w:t>(</w:t>
      </w:r>
      <w:r>
        <w:t>含</w:t>
      </w:r>
      <w:r>
        <w:rPr>
          <w:rFonts w:ascii="Times New Roman" w:eastAsia="Times New Roman"/>
        </w:rPr>
        <w:t>)</w:t>
      </w:r>
      <w:r>
        <w:t>以上道路的省际交界处应设置车辆检测器，高速公路、一级和二级公路、城市快速路、城市主干路、城市次干路等道路因交通控制、交通诱导需要，可视情设置车辆检测器。</w:t>
      </w:r>
    </w:p>
    <w:p>
      <w:pPr>
        <w:pStyle w:val="63"/>
        <w:ind w:firstLine="480"/>
      </w:pPr>
      <w:r>
        <w:t>3</w:t>
      </w:r>
      <w:r>
        <w:rPr>
          <w:rFonts w:hint="eastAsia"/>
        </w:rPr>
        <w:t>）</w:t>
      </w:r>
      <w:r>
        <w:t>具有禁令标志、禁止标线以及施行交通管制规定的路段应视情设置。</w:t>
      </w:r>
    </w:p>
    <w:p>
      <w:pPr>
        <w:pStyle w:val="63"/>
        <w:ind w:firstLine="480"/>
        <w:rPr>
          <w:rFonts w:hint="eastAsia"/>
        </w:rPr>
      </w:pPr>
      <w:r>
        <w:t>4</w:t>
      </w:r>
      <w:r>
        <w:rPr>
          <w:rFonts w:hint="eastAsia"/>
        </w:rPr>
        <w:t>）</w:t>
      </w:r>
      <w:r>
        <w:t>交通事故多发和危险路段应设置，村庄、学校等人群密集的路段应视情设置。</w:t>
      </w:r>
    </w:p>
    <w:p>
      <w:pPr>
        <w:pStyle w:val="63"/>
        <w:ind w:firstLine="480"/>
        <w:rPr>
          <w:rFonts w:hint="eastAsia"/>
        </w:rPr>
      </w:pPr>
      <w:r>
        <w:t>4</w:t>
      </w:r>
      <w:r>
        <w:rPr>
          <w:rFonts w:hint="eastAsia"/>
        </w:rPr>
        <w:t>、点位</w:t>
      </w:r>
      <w:r>
        <w:t>分布</w:t>
      </w:r>
    </w:p>
    <w:p>
      <w:pPr>
        <w:pStyle w:val="63"/>
        <w:ind w:firstLine="480"/>
        <w:rPr>
          <w:rFonts w:hint="eastAsia"/>
        </w:rPr>
      </w:pPr>
      <w:r>
        <w:rPr>
          <w:rFonts w:hint="eastAsia"/>
        </w:rPr>
        <w:t>本次工程共需新建和改建</w:t>
      </w:r>
      <w:r>
        <w:t>12</w:t>
      </w:r>
      <w:r>
        <w:rPr>
          <w:rFonts w:hint="eastAsia"/>
        </w:rPr>
        <w:t>处交通违法行为抓拍路口，并同时采集相关路口的交通信息。具体清单如下表所示。</w:t>
      </w:r>
    </w:p>
    <w:p>
      <w:pPr>
        <w:pStyle w:val="63"/>
        <w:spacing w:after="120"/>
        <w:ind w:firstLine="480"/>
        <w:rPr>
          <w:rFonts w:hint="eastAsia"/>
        </w:rPr>
      </w:pPr>
    </w:p>
    <w:p>
      <w:pPr>
        <w:pStyle w:val="63"/>
        <w:spacing w:after="120"/>
        <w:ind w:firstLine="480"/>
        <w:rPr>
          <w:rFonts w:hint="eastAsia"/>
        </w:rPr>
      </w:pPr>
    </w:p>
    <w:p>
      <w:pPr>
        <w:pStyle w:val="63"/>
        <w:spacing w:after="120"/>
        <w:ind w:firstLine="480"/>
        <w:rPr>
          <w:rFonts w:hint="eastAsia"/>
        </w:rPr>
      </w:pPr>
      <w:r>
        <w:rPr>
          <w:rFonts w:hint="eastAsia"/>
        </w:rPr>
        <w:t>电子警察系统</w:t>
      </w:r>
      <w:r>
        <w:t>点位分布</w:t>
      </w:r>
      <w:r>
        <w:rPr>
          <w:rFonts w:hint="eastAsia"/>
        </w:rPr>
        <w:t>见</w:t>
      </w:r>
      <w:r>
        <w:t>下表：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953"/>
        <w:gridCol w:w="1633"/>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3953" w:type="dxa"/>
            <w:noWrap w:val="0"/>
            <w:vAlign w:val="center"/>
          </w:tcPr>
          <w:p>
            <w:pPr>
              <w:widowControl/>
              <w:jc w:val="center"/>
              <w:rPr>
                <w:rFonts w:ascii="宋体" w:hAnsi="宋体" w:cs="宋体"/>
                <w:kern w:val="0"/>
                <w:sz w:val="24"/>
              </w:rPr>
            </w:pPr>
            <w:r>
              <w:rPr>
                <w:rFonts w:hint="eastAsia" w:ascii="宋体" w:hAnsi="宋体" w:cs="宋体"/>
                <w:kern w:val="0"/>
                <w:sz w:val="24"/>
              </w:rPr>
              <w:t>路口名称</w:t>
            </w:r>
          </w:p>
        </w:tc>
        <w:tc>
          <w:tcPr>
            <w:tcW w:w="1633" w:type="dxa"/>
            <w:noWrap w:val="0"/>
            <w:vAlign w:val="center"/>
          </w:tcPr>
          <w:p>
            <w:pPr>
              <w:widowControl/>
              <w:jc w:val="center"/>
              <w:rPr>
                <w:rFonts w:ascii="宋体" w:hAnsi="宋体" w:cs="宋体"/>
                <w:kern w:val="0"/>
                <w:sz w:val="24"/>
              </w:rPr>
            </w:pPr>
            <w:r>
              <w:rPr>
                <w:rFonts w:hint="eastAsia" w:ascii="宋体" w:hAnsi="宋体" w:cs="宋体"/>
                <w:kern w:val="0"/>
                <w:sz w:val="24"/>
              </w:rPr>
              <w:t>方向数</w:t>
            </w:r>
          </w:p>
        </w:tc>
        <w:tc>
          <w:tcPr>
            <w:tcW w:w="2242" w:type="dxa"/>
            <w:noWrap w:val="0"/>
            <w:vAlign w:val="center"/>
          </w:tcPr>
          <w:p>
            <w:pPr>
              <w:widowControl/>
              <w:jc w:val="center"/>
              <w:rPr>
                <w:rFonts w:ascii="宋体" w:hAnsi="宋体" w:cs="宋体"/>
                <w:kern w:val="0"/>
                <w:sz w:val="24"/>
              </w:rPr>
            </w:pPr>
            <w:r>
              <w:rPr>
                <w:rFonts w:hint="eastAsia" w:ascii="宋体" w:hAnsi="宋体" w:cs="宋体"/>
                <w:kern w:val="0"/>
                <w:sz w:val="24"/>
              </w:rPr>
              <w:t>新建</w:t>
            </w:r>
            <w:r>
              <w:rPr>
                <w:rFonts w:ascii="宋体" w:hAnsi="宋体" w:cs="宋体"/>
                <w:kern w:val="0"/>
                <w:sz w:val="24"/>
              </w:rPr>
              <w:t>/</w:t>
            </w:r>
            <w:r>
              <w:rPr>
                <w:rFonts w:hint="eastAsia" w:ascii="宋体" w:hAnsi="宋体" w:cs="宋体"/>
                <w:kern w:val="0"/>
                <w:sz w:val="24"/>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953" w:type="dxa"/>
            <w:noWrap w:val="0"/>
            <w:vAlign w:val="center"/>
          </w:tcPr>
          <w:p>
            <w:pPr>
              <w:widowControl/>
              <w:jc w:val="center"/>
              <w:rPr>
                <w:rFonts w:ascii="宋体" w:hAnsi="宋体" w:cs="宋体"/>
                <w:kern w:val="0"/>
                <w:sz w:val="24"/>
              </w:rPr>
            </w:pPr>
            <w:r>
              <w:rPr>
                <w:rFonts w:hint="eastAsia" w:ascii="宋体" w:cs="宋体"/>
              </w:rPr>
              <w:t>镇前路二环路路口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953" w:type="dxa"/>
            <w:noWrap w:val="0"/>
            <w:vAlign w:val="center"/>
          </w:tcPr>
          <w:p>
            <w:pPr>
              <w:widowControl/>
              <w:jc w:val="center"/>
              <w:rPr>
                <w:rFonts w:ascii="宋体" w:hAnsi="宋体" w:cs="宋体"/>
                <w:kern w:val="0"/>
                <w:sz w:val="24"/>
              </w:rPr>
            </w:pPr>
            <w:r>
              <w:rPr>
                <w:rFonts w:hint="eastAsia" w:ascii="宋体" w:cs="宋体"/>
              </w:rPr>
              <w:t>万绣路羽衣路路口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953" w:type="dxa"/>
            <w:noWrap w:val="0"/>
            <w:vAlign w:val="center"/>
          </w:tcPr>
          <w:p>
            <w:pPr>
              <w:widowControl/>
              <w:jc w:val="center"/>
              <w:rPr>
                <w:rFonts w:ascii="宋体" w:hAnsi="宋体" w:cs="宋体"/>
                <w:kern w:val="0"/>
                <w:sz w:val="24"/>
              </w:rPr>
            </w:pPr>
            <w:r>
              <w:rPr>
                <w:rFonts w:hint="eastAsia" w:ascii="宋体" w:cs="宋体"/>
              </w:rPr>
              <w:t>万绣路群贤路路口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953" w:type="dxa"/>
            <w:noWrap w:val="0"/>
            <w:vAlign w:val="center"/>
          </w:tcPr>
          <w:p>
            <w:pPr>
              <w:widowControl/>
              <w:jc w:val="center"/>
              <w:rPr>
                <w:rFonts w:ascii="宋体" w:hAnsi="宋体" w:cs="宋体"/>
                <w:kern w:val="0"/>
                <w:sz w:val="24"/>
              </w:rPr>
            </w:pPr>
            <w:r>
              <w:rPr>
                <w:rFonts w:hint="eastAsia" w:ascii="宋体" w:cs="宋体"/>
              </w:rPr>
              <w:t>万绣路山阴路路口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3953" w:type="dxa"/>
            <w:noWrap w:val="0"/>
            <w:vAlign w:val="center"/>
          </w:tcPr>
          <w:p>
            <w:pPr>
              <w:widowControl/>
              <w:jc w:val="center"/>
              <w:rPr>
                <w:rFonts w:ascii="宋体" w:hAnsi="宋体" w:cs="宋体"/>
                <w:kern w:val="0"/>
                <w:sz w:val="24"/>
              </w:rPr>
            </w:pPr>
            <w:r>
              <w:rPr>
                <w:rFonts w:hint="eastAsia" w:ascii="宋体" w:cs="宋体"/>
              </w:rPr>
              <w:t>万绣路发展路路口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3953" w:type="dxa"/>
            <w:noWrap w:val="0"/>
            <w:vAlign w:val="center"/>
          </w:tcPr>
          <w:p>
            <w:pPr>
              <w:widowControl/>
              <w:jc w:val="center"/>
              <w:rPr>
                <w:rFonts w:ascii="宋体" w:hAnsi="宋体" w:cs="宋体"/>
                <w:kern w:val="0"/>
                <w:sz w:val="24"/>
              </w:rPr>
            </w:pPr>
            <w:r>
              <w:rPr>
                <w:rFonts w:hint="eastAsia" w:ascii="宋体" w:cs="宋体"/>
              </w:rPr>
              <w:t>镇东路群贤路路口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3953" w:type="dxa"/>
            <w:noWrap w:val="0"/>
            <w:vAlign w:val="center"/>
          </w:tcPr>
          <w:p>
            <w:pPr>
              <w:widowControl/>
              <w:jc w:val="center"/>
              <w:rPr>
                <w:rFonts w:ascii="宋体" w:hAnsi="宋体" w:cs="宋体"/>
                <w:kern w:val="0"/>
                <w:sz w:val="24"/>
              </w:rPr>
            </w:pPr>
            <w:r>
              <w:rPr>
                <w:rFonts w:hint="eastAsia" w:ascii="宋体" w:cs="宋体"/>
              </w:rPr>
              <w:t>镇东路山阴路路口</w:t>
            </w:r>
          </w:p>
        </w:tc>
        <w:tc>
          <w:tcPr>
            <w:tcW w:w="1633" w:type="dxa"/>
            <w:noWrap w:val="0"/>
            <w:vAlign w:val="center"/>
          </w:tcPr>
          <w:p>
            <w:pPr>
              <w:widowControl/>
              <w:jc w:val="center"/>
              <w:rPr>
                <w:rFonts w:ascii="宋体" w:hAnsi="宋体" w:cs="宋体"/>
                <w:kern w:val="0"/>
                <w:sz w:val="24"/>
              </w:rPr>
            </w:pPr>
            <w:r>
              <w:t>3</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3953" w:type="dxa"/>
            <w:noWrap w:val="0"/>
            <w:vAlign w:val="center"/>
          </w:tcPr>
          <w:p>
            <w:pPr>
              <w:widowControl/>
              <w:jc w:val="center"/>
              <w:rPr>
                <w:rFonts w:ascii="宋体" w:hAnsi="宋体" w:cs="宋体"/>
                <w:kern w:val="0"/>
                <w:sz w:val="24"/>
              </w:rPr>
            </w:pPr>
            <w:r>
              <w:rPr>
                <w:rFonts w:hint="eastAsia" w:ascii="宋体" w:cs="宋体"/>
              </w:rPr>
              <w:t>镇东路发展路路口</w:t>
            </w:r>
          </w:p>
        </w:tc>
        <w:tc>
          <w:tcPr>
            <w:tcW w:w="1633" w:type="dxa"/>
            <w:noWrap w:val="0"/>
            <w:vAlign w:val="center"/>
          </w:tcPr>
          <w:p>
            <w:pPr>
              <w:widowControl/>
              <w:jc w:val="center"/>
              <w:rPr>
                <w:rFonts w:ascii="宋体" w:hAnsi="宋体" w:cs="宋体"/>
                <w:kern w:val="0"/>
                <w:sz w:val="24"/>
              </w:rPr>
            </w:pPr>
            <w:r>
              <w:t>3</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3953" w:type="dxa"/>
            <w:noWrap w:val="0"/>
            <w:vAlign w:val="center"/>
          </w:tcPr>
          <w:p>
            <w:pPr>
              <w:widowControl/>
              <w:jc w:val="center"/>
              <w:rPr>
                <w:rFonts w:ascii="宋体" w:hAnsi="宋体" w:cs="宋体"/>
                <w:kern w:val="0"/>
                <w:sz w:val="24"/>
              </w:rPr>
            </w:pPr>
            <w:r>
              <w:rPr>
                <w:rFonts w:hint="eastAsia" w:ascii="宋体" w:cs="宋体"/>
              </w:rPr>
              <w:t>杨绍线九岩路路口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3953" w:type="dxa"/>
            <w:noWrap w:val="0"/>
            <w:vAlign w:val="center"/>
          </w:tcPr>
          <w:p>
            <w:pPr>
              <w:widowControl/>
              <w:jc w:val="center"/>
              <w:rPr>
                <w:rFonts w:ascii="宋体" w:hAnsi="宋体" w:cs="宋体"/>
                <w:kern w:val="0"/>
                <w:sz w:val="24"/>
              </w:rPr>
            </w:pPr>
            <w:r>
              <w:rPr>
                <w:rFonts w:hint="eastAsia" w:ascii="宋体" w:cs="宋体"/>
              </w:rPr>
              <w:t>柯袍线沙田村路口</w:t>
            </w:r>
          </w:p>
        </w:tc>
        <w:tc>
          <w:tcPr>
            <w:tcW w:w="1633" w:type="dxa"/>
            <w:noWrap w:val="0"/>
            <w:vAlign w:val="center"/>
          </w:tcPr>
          <w:p>
            <w:pPr>
              <w:widowControl/>
              <w:jc w:val="center"/>
              <w:rPr>
                <w:rFonts w:ascii="宋体" w:hAnsi="宋体" w:cs="宋体"/>
                <w:kern w:val="0"/>
                <w:sz w:val="24"/>
              </w:rPr>
            </w:pPr>
            <w:r>
              <w:t>4</w:t>
            </w:r>
          </w:p>
        </w:tc>
        <w:tc>
          <w:tcPr>
            <w:tcW w:w="2242" w:type="dxa"/>
            <w:noWrap w:val="0"/>
            <w:vAlign w:val="center"/>
          </w:tcPr>
          <w:p>
            <w:pPr>
              <w:widowControl/>
              <w:jc w:val="center"/>
              <w:rPr>
                <w:rFonts w:ascii="宋体" w:hAnsi="宋体" w:cs="宋体"/>
                <w:kern w:val="0"/>
                <w:sz w:val="24"/>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3953" w:type="dxa"/>
            <w:noWrap w:val="0"/>
            <w:vAlign w:val="center"/>
          </w:tcPr>
          <w:p>
            <w:pPr>
              <w:widowControl/>
              <w:jc w:val="center"/>
              <w:rPr>
                <w:rFonts w:ascii="宋体" w:cs="宋体"/>
              </w:rPr>
            </w:pPr>
            <w:r>
              <w:rPr>
                <w:rFonts w:hint="eastAsia" w:ascii="宋体" w:cs="宋体"/>
              </w:rPr>
              <w:t>钱安线瓜渔线路口</w:t>
            </w:r>
          </w:p>
        </w:tc>
        <w:tc>
          <w:tcPr>
            <w:tcW w:w="1633" w:type="dxa"/>
            <w:noWrap w:val="0"/>
            <w:vAlign w:val="center"/>
          </w:tcPr>
          <w:p>
            <w:pPr>
              <w:widowControl/>
              <w:jc w:val="center"/>
              <w:rPr>
                <w:highlight w:val="yellow"/>
              </w:rPr>
            </w:pPr>
            <w:r>
              <w:rPr>
                <w:rFonts w:hint="eastAsia"/>
              </w:rPr>
              <w:t>3</w:t>
            </w:r>
          </w:p>
        </w:tc>
        <w:tc>
          <w:tcPr>
            <w:tcW w:w="2242" w:type="dxa"/>
            <w:noWrap w:val="0"/>
            <w:vAlign w:val="center"/>
          </w:tcPr>
          <w:p>
            <w:pPr>
              <w:widowControl/>
              <w:jc w:val="center"/>
              <w:rPr>
                <w:rFonts w:ascii="宋体" w:cs="宋体"/>
                <w:highlight w:val="yellow"/>
              </w:rPr>
            </w:pPr>
            <w:r>
              <w:rPr>
                <w:rFonts w:hint="eastAsia" w:ascii="宋体" w:cs="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5" w:type="dxa"/>
            <w:noWrap w:val="0"/>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3953" w:type="dxa"/>
            <w:noWrap w:val="0"/>
            <w:vAlign w:val="center"/>
          </w:tcPr>
          <w:p>
            <w:pPr>
              <w:widowControl/>
              <w:jc w:val="center"/>
              <w:rPr>
                <w:rFonts w:ascii="宋体" w:cs="宋体"/>
              </w:rPr>
            </w:pPr>
            <w:r>
              <w:rPr>
                <w:rFonts w:hint="eastAsia" w:ascii="宋体" w:cs="宋体"/>
              </w:rPr>
              <w:t>预留路口</w:t>
            </w:r>
          </w:p>
        </w:tc>
        <w:tc>
          <w:tcPr>
            <w:tcW w:w="1633" w:type="dxa"/>
            <w:noWrap w:val="0"/>
            <w:vAlign w:val="center"/>
          </w:tcPr>
          <w:p>
            <w:pPr>
              <w:widowControl/>
              <w:jc w:val="center"/>
            </w:pPr>
            <w:r>
              <w:t>4</w:t>
            </w:r>
          </w:p>
        </w:tc>
        <w:tc>
          <w:tcPr>
            <w:tcW w:w="2242" w:type="dxa"/>
            <w:noWrap w:val="0"/>
            <w:vAlign w:val="center"/>
          </w:tcPr>
          <w:p>
            <w:pPr>
              <w:widowControl/>
              <w:jc w:val="center"/>
              <w:rPr>
                <w:rFonts w:ascii="宋体" w:cs="宋体"/>
              </w:rPr>
            </w:pPr>
            <w:r>
              <w:rPr>
                <w:rFonts w:hint="eastAsia" w:ascii="宋体" w:cs="宋体"/>
              </w:rPr>
              <w:t>新建</w:t>
            </w:r>
          </w:p>
        </w:tc>
      </w:tr>
    </w:tbl>
    <w:p>
      <w:pPr>
        <w:ind w:firstLine="480"/>
        <w:rPr>
          <w:rFonts w:hint="eastAsia"/>
        </w:rPr>
      </w:pPr>
    </w:p>
    <w:p>
      <w:pPr>
        <w:pStyle w:val="4"/>
        <w:keepLines w:val="0"/>
        <w:widowControl/>
        <w:numPr>
          <w:ilvl w:val="2"/>
          <w:numId w:val="0"/>
        </w:numPr>
        <w:tabs>
          <w:tab w:val="left" w:pos="851"/>
        </w:tabs>
        <w:spacing w:before="0" w:after="0" w:line="360" w:lineRule="auto"/>
        <w:ind w:left="851" w:hanging="851"/>
        <w:jc w:val="left"/>
        <w:rPr>
          <w:rFonts w:hint="eastAsia" w:ascii="宋体" w:hAnsi="宋体" w:cs="宋体"/>
          <w:sz w:val="24"/>
        </w:rPr>
      </w:pPr>
      <w:bookmarkStart w:id="81" w:name="_Toc495128076"/>
      <w:bookmarkStart w:id="82" w:name="_Toc495130010"/>
      <w:bookmarkStart w:id="83" w:name="_Toc521530781"/>
      <w:r>
        <w:rPr>
          <w:rFonts w:hint="eastAsia" w:ascii="宋体" w:hAnsi="宋体" w:cs="宋体"/>
          <w:sz w:val="24"/>
        </w:rPr>
        <w:t>12.2.3违停抓拍系统</w:t>
      </w:r>
      <w:bookmarkEnd w:id="81"/>
      <w:bookmarkEnd w:id="82"/>
      <w:bookmarkEnd w:id="83"/>
    </w:p>
    <w:p>
      <w:pPr>
        <w:pStyle w:val="4"/>
        <w:keepLines w:val="0"/>
        <w:widowControl/>
        <w:numPr>
          <w:ilvl w:val="2"/>
          <w:numId w:val="0"/>
        </w:numPr>
        <w:tabs>
          <w:tab w:val="left" w:pos="851"/>
        </w:tabs>
        <w:spacing w:before="0" w:after="0" w:line="360" w:lineRule="auto"/>
        <w:ind w:left="851" w:hanging="851"/>
        <w:jc w:val="left"/>
        <w:rPr>
          <w:rFonts w:hint="eastAsia" w:ascii="宋体" w:hAnsi="宋体" w:cs="宋体"/>
          <w:b w:val="0"/>
          <w:sz w:val="24"/>
        </w:rPr>
      </w:pPr>
      <w:r>
        <w:rPr>
          <w:b w:val="0"/>
          <w:sz w:val="24"/>
        </w:rPr>
        <w:t>1</w:t>
      </w:r>
      <w:r>
        <w:rPr>
          <w:rFonts w:hint="eastAsia"/>
          <w:b w:val="0"/>
          <w:sz w:val="24"/>
        </w:rPr>
        <w:t>、系统</w:t>
      </w:r>
      <w:r>
        <w:rPr>
          <w:b w:val="0"/>
          <w:sz w:val="24"/>
        </w:rPr>
        <w:t>需求</w:t>
      </w:r>
    </w:p>
    <w:p>
      <w:pPr>
        <w:pStyle w:val="63"/>
        <w:ind w:firstLine="480"/>
        <w:rPr>
          <w:rFonts w:hint="eastAsia"/>
        </w:rPr>
      </w:pPr>
      <w:r>
        <w:rPr>
          <w:rFonts w:hint="eastAsia"/>
        </w:rPr>
        <w:t>城市道路上的违章停车现象一直是城市交通中的顽疾，对道路的顺畅以及行人的安全存在严重的影响。对违反交通规则的行为及时准确地进行取证查处，是道路监控的关键问题。</w:t>
      </w:r>
    </w:p>
    <w:p>
      <w:pPr>
        <w:pStyle w:val="63"/>
        <w:ind w:firstLine="480"/>
        <w:rPr>
          <w:rFonts w:hint="eastAsia"/>
        </w:rPr>
      </w:pPr>
      <w:r>
        <w:rPr>
          <w:rFonts w:hint="eastAsia"/>
        </w:rPr>
        <w:t>目前，对于违章停车行为主要取证查处手段分为现场执法和非现场执法，但两种手段都存在一些实际的问题：</w:t>
      </w:r>
    </w:p>
    <w:p>
      <w:pPr>
        <w:pStyle w:val="63"/>
        <w:ind w:firstLine="480"/>
        <w:rPr>
          <w:rFonts w:hint="eastAsia"/>
        </w:rPr>
      </w:pPr>
      <w:r>
        <w:rPr>
          <w:rFonts w:hint="eastAsia"/>
        </w:rPr>
        <w:t>1)</w:t>
      </w:r>
      <w:r>
        <w:rPr>
          <w:rFonts w:hint="eastAsia"/>
        </w:rPr>
        <w:tab/>
      </w:r>
      <w:r>
        <w:rPr>
          <w:rFonts w:hint="eastAsia"/>
        </w:rPr>
        <w:t>现场执法。需要采用全人工的方式，执法效率低，警力资源耗费大，而且很难保证执法人员 24 小时在场，经常存在执法人员在场时秩序井然，执法人员离开后混乱依旧的现象，难以起到有效震慑效果。</w:t>
      </w:r>
    </w:p>
    <w:p>
      <w:pPr>
        <w:pStyle w:val="63"/>
        <w:ind w:firstLine="480"/>
        <w:rPr>
          <w:rFonts w:hint="eastAsia"/>
        </w:rPr>
      </w:pPr>
      <w:r>
        <w:rPr>
          <w:rFonts w:hint="eastAsia"/>
        </w:rPr>
        <w:t>2)</w:t>
      </w:r>
      <w:r>
        <w:rPr>
          <w:rFonts w:hint="eastAsia"/>
        </w:rPr>
        <w:tab/>
      </w:r>
      <w:r>
        <w:rPr>
          <w:rFonts w:hint="eastAsia"/>
        </w:rPr>
        <w:t>非现场执法。执法人员手动控制云台摄像机进行拉近、拍摄车辆，并予以人工识别车辆号牌，完成后需要手动恢复摄像机预置位置，过程复杂繁琐，人工成本高，管理复杂低效，取证不符合道路违法取证的公安行业标准。</w:t>
      </w:r>
    </w:p>
    <w:p>
      <w:pPr>
        <w:pStyle w:val="63"/>
        <w:ind w:firstLine="480"/>
        <w:rPr>
          <w:rFonts w:hint="eastAsia"/>
        </w:rPr>
      </w:pPr>
      <w:r>
        <w:rPr>
          <w:rFonts w:hint="eastAsia"/>
        </w:rPr>
        <w:t>利用先进的违章停车智能抓拍方案通过建设非现场自动取证系统，利用机器视觉代替人工视觉进行车辆目标提取、违法行为自动判断、自动跟踪放大、自动车牌识别，兼具机器连续工作优势和人工认知能力误差，准确、快速对机动车违法停车行为进行取证执法，最大程度上解放警力，有效治理城市违法停车行为，创建良好的城市环境，保证交通通畅安全。</w:t>
      </w:r>
    </w:p>
    <w:p>
      <w:pPr>
        <w:pStyle w:val="63"/>
        <w:ind w:firstLine="199" w:firstLineChars="83"/>
      </w:pPr>
      <w:r>
        <w:t>2</w:t>
      </w:r>
      <w:r>
        <w:rPr>
          <w:rFonts w:hint="eastAsia"/>
        </w:rPr>
        <w:t>、 建设</w:t>
      </w:r>
      <w:r>
        <w:t>目标</w:t>
      </w:r>
    </w:p>
    <w:p>
      <w:pPr>
        <w:pStyle w:val="63"/>
        <w:ind w:firstLine="480"/>
        <w:rPr>
          <w:rFonts w:hint="eastAsia"/>
        </w:rPr>
      </w:pPr>
      <w:r>
        <w:rPr>
          <w:rFonts w:hint="eastAsia"/>
        </w:rPr>
        <w:t>1)</w:t>
      </w:r>
      <w:r>
        <w:rPr>
          <w:rFonts w:hint="eastAsia"/>
        </w:rPr>
        <w:tab/>
      </w:r>
      <w:r>
        <w:rPr>
          <w:rFonts w:hint="eastAsia"/>
        </w:rPr>
        <w:t>保证道路通畅</w:t>
      </w:r>
    </w:p>
    <w:p>
      <w:pPr>
        <w:pStyle w:val="63"/>
        <w:ind w:firstLine="480"/>
        <w:rPr>
          <w:rFonts w:hint="eastAsia"/>
        </w:rPr>
      </w:pPr>
      <w:r>
        <w:rPr>
          <w:rFonts w:hint="eastAsia"/>
        </w:rPr>
        <w:t>通过违章停车智能抓拍系统的建设，加强交通管理，确保道路车辆各行其道，有效对交通进行疏导。</w:t>
      </w:r>
    </w:p>
    <w:p>
      <w:pPr>
        <w:pStyle w:val="63"/>
        <w:ind w:firstLine="480"/>
        <w:rPr>
          <w:rFonts w:hint="eastAsia"/>
        </w:rPr>
      </w:pPr>
      <w:r>
        <w:rPr>
          <w:rFonts w:hint="eastAsia"/>
        </w:rPr>
        <w:t>2)</w:t>
      </w:r>
      <w:r>
        <w:rPr>
          <w:rFonts w:hint="eastAsia"/>
        </w:rPr>
        <w:tab/>
      </w:r>
      <w:r>
        <w:rPr>
          <w:rFonts w:hint="eastAsia"/>
        </w:rPr>
        <w:t>解放警力</w:t>
      </w:r>
    </w:p>
    <w:p>
      <w:pPr>
        <w:pStyle w:val="63"/>
        <w:ind w:firstLine="480"/>
        <w:rPr>
          <w:rFonts w:hint="eastAsia"/>
        </w:rPr>
      </w:pPr>
      <w:r>
        <w:rPr>
          <w:rFonts w:hint="eastAsia"/>
        </w:rPr>
        <w:t>通过违章停车智能抓拍系统的建设，利用自动抓拍技术替代以前的人工现场取证和人工手动抓拍，系统能够全天候工作，在一定程度上消除交通管理在实践和空间上的盲点，可以缓解警力不足和现场执法取证难的问题，保证违法停车行为都能得到及时纠正查处，有效遏制。</w:t>
      </w:r>
    </w:p>
    <w:p>
      <w:pPr>
        <w:pStyle w:val="63"/>
        <w:ind w:firstLine="480"/>
        <w:rPr>
          <w:rFonts w:hint="eastAsia"/>
        </w:rPr>
      </w:pPr>
      <w:r>
        <w:rPr>
          <w:rFonts w:hint="eastAsia"/>
        </w:rPr>
        <w:t>3)</w:t>
      </w:r>
      <w:r>
        <w:rPr>
          <w:rFonts w:hint="eastAsia"/>
        </w:rPr>
        <w:tab/>
      </w:r>
      <w:r>
        <w:rPr>
          <w:rFonts w:hint="eastAsia"/>
        </w:rPr>
        <w:t>提高市民交通意识</w:t>
      </w:r>
    </w:p>
    <w:p>
      <w:pPr>
        <w:pStyle w:val="63"/>
        <w:ind w:firstLine="480"/>
        <w:rPr>
          <w:rFonts w:hint="eastAsia"/>
        </w:rPr>
      </w:pPr>
      <w:r>
        <w:rPr>
          <w:rFonts w:hint="eastAsia"/>
        </w:rPr>
        <w:t>通过违章停车智能抓拍系统的建设，有效规范城市道路车辆行驶规则，提高市民交通法制意识。</w:t>
      </w:r>
    </w:p>
    <w:p>
      <w:pPr>
        <w:pStyle w:val="63"/>
        <w:ind w:firstLine="480"/>
        <w:rPr>
          <w:rFonts w:hint="eastAsia"/>
        </w:rPr>
      </w:pPr>
      <w:r>
        <w:rPr>
          <w:rFonts w:hint="eastAsia"/>
        </w:rPr>
        <w:t>4)</w:t>
      </w:r>
      <w:r>
        <w:rPr>
          <w:rFonts w:hint="eastAsia"/>
        </w:rPr>
        <w:tab/>
      </w:r>
      <w:r>
        <w:rPr>
          <w:rFonts w:hint="eastAsia"/>
        </w:rPr>
        <w:t>规范执法</w:t>
      </w:r>
    </w:p>
    <w:p>
      <w:pPr>
        <w:pStyle w:val="63"/>
        <w:ind w:firstLine="480"/>
        <w:rPr>
          <w:rFonts w:hint="eastAsia"/>
        </w:rPr>
      </w:pPr>
      <w:r>
        <w:rPr>
          <w:rFonts w:hint="eastAsia"/>
        </w:rPr>
        <w:t>相比非现场手动抓拍取证方式，自动抓拍取证也是非现场取证，但是能够自动取证，摆脱了需要监控人员人工值守、手动操作和易受监控人员责任心、工作状态，身体精力状态等人为因素影响问题，可以不间断、高效工作。</w:t>
      </w:r>
    </w:p>
    <w:p>
      <w:pPr>
        <w:pStyle w:val="63"/>
        <w:ind w:firstLine="199" w:firstLineChars="83"/>
        <w:rPr>
          <w:rFonts w:hint="eastAsia"/>
        </w:rPr>
      </w:pPr>
      <w:r>
        <w:t>3</w:t>
      </w:r>
      <w:r>
        <w:rPr>
          <w:rFonts w:hint="eastAsia"/>
        </w:rPr>
        <w:t>、建设原则</w:t>
      </w:r>
    </w:p>
    <w:p>
      <w:pPr>
        <w:pStyle w:val="63"/>
        <w:ind w:firstLine="480"/>
        <w:rPr>
          <w:rFonts w:hint="eastAsia"/>
        </w:rPr>
      </w:pPr>
      <w:r>
        <w:rPr>
          <w:rFonts w:hint="eastAsia"/>
        </w:rPr>
        <w:t>设备的架设原则是为了便于系统有效工作，最大化发挥出系统特征，监控有效面积最大化而提供的建设规范。为此，需尽量按照如下要求：</w:t>
      </w:r>
    </w:p>
    <w:p>
      <w:pPr>
        <w:pStyle w:val="63"/>
        <w:ind w:firstLine="480"/>
        <w:rPr>
          <w:rFonts w:hint="eastAsia"/>
        </w:rPr>
      </w:pPr>
      <w:r>
        <w:rPr>
          <w:rFonts w:hint="eastAsia"/>
        </w:rPr>
        <w:t>1)</w:t>
      </w:r>
      <w:r>
        <w:rPr>
          <w:rFonts w:hint="eastAsia"/>
        </w:rPr>
        <w:tab/>
      </w:r>
      <w:r>
        <w:rPr>
          <w:rFonts w:hint="eastAsia"/>
        </w:rPr>
        <w:t>为了防止设备阻碍正常的道路畅通，或设备被人工破坏，机箱离地面的高度应高于 1.8米。</w:t>
      </w:r>
    </w:p>
    <w:p>
      <w:pPr>
        <w:pStyle w:val="63"/>
        <w:ind w:firstLine="480"/>
        <w:rPr>
          <w:rFonts w:hint="eastAsia"/>
        </w:rPr>
      </w:pPr>
      <w:r>
        <w:rPr>
          <w:rFonts w:hint="eastAsia"/>
        </w:rPr>
        <w:t>2)</w:t>
      </w:r>
      <w:r>
        <w:rPr>
          <w:rFonts w:hint="eastAsia"/>
        </w:rPr>
        <w:tab/>
      </w:r>
      <w:r>
        <w:rPr>
          <w:rFonts w:hint="eastAsia"/>
        </w:rPr>
        <w:t>系统安装选址时，应尽可能把球机布局在拟检测区域的中心位置，让前端球机有效视角内看见违法车辆的车头或者车尾部分居多。俯视车辆或者侧面监控违停车辆，因几何上的遮挡关系，较难获得有效的车牌。</w:t>
      </w:r>
    </w:p>
    <w:p>
      <w:pPr>
        <w:pStyle w:val="63"/>
        <w:ind w:firstLine="480"/>
        <w:rPr>
          <w:rFonts w:hint="eastAsia"/>
        </w:rPr>
      </w:pPr>
      <w:r>
        <w:rPr>
          <w:rFonts w:hint="eastAsia"/>
        </w:rPr>
        <w:t>3)</w:t>
      </w:r>
      <w:r>
        <w:rPr>
          <w:rFonts w:hint="eastAsia"/>
        </w:rPr>
        <w:tab/>
      </w:r>
      <w:r>
        <w:rPr>
          <w:rFonts w:hint="eastAsia"/>
        </w:rPr>
        <w:t>由于系统的物理约束，存在一定面积的监控盲区。该区域的大小与前端视频采集系统的安装高度有直接的联系，建议悬挂前端视频采集设备的立杆高度在 6 米－8 米之间。</w:t>
      </w:r>
    </w:p>
    <w:p>
      <w:pPr>
        <w:pStyle w:val="63"/>
        <w:spacing w:after="120"/>
        <w:ind w:firstLine="480"/>
        <w:rPr>
          <w:rFonts w:hint="eastAsia"/>
        </w:rPr>
      </w:pPr>
      <w:r>
        <w:rPr>
          <w:rFonts w:hint="eastAsia"/>
        </w:rPr>
        <w:t>4)</w:t>
      </w:r>
      <w:r>
        <w:rPr>
          <w:rFonts w:hint="eastAsia"/>
        </w:rPr>
        <w:tab/>
      </w:r>
      <w:r>
        <w:rPr>
          <w:rFonts w:hint="eastAsia"/>
        </w:rPr>
        <w:t>监控区域应尽可能开阔，避开高的建筑目标或树木，以免遮挡球机视线，削弱系统的有效视野；球机投影位置到最远抓拍位置的有效距离为 100 米。</w:t>
      </w:r>
    </w:p>
    <w:p>
      <w:pPr>
        <w:pStyle w:val="63"/>
        <w:ind w:firstLine="480"/>
        <w:rPr>
          <w:rFonts w:hint="eastAsia"/>
        </w:rPr>
      </w:pPr>
      <w:r>
        <w:t>4</w:t>
      </w:r>
      <w:r>
        <w:rPr>
          <w:rFonts w:hint="eastAsia"/>
        </w:rPr>
        <w:t>、点位</w:t>
      </w:r>
      <w:r>
        <w:t>分布</w:t>
      </w:r>
    </w:p>
    <w:p>
      <w:pPr>
        <w:pStyle w:val="63"/>
        <w:ind w:firstLine="436"/>
        <w:rPr>
          <w:rFonts w:hint="eastAsia"/>
          <w:spacing w:val="-7"/>
        </w:rPr>
      </w:pPr>
      <w:r>
        <w:rPr>
          <w:spacing w:val="-11"/>
        </w:rPr>
        <w:t>本次工程违停抓拍系统共新建</w:t>
      </w:r>
      <w:r>
        <w:rPr>
          <w:rFonts w:ascii="Times New Roman" w:eastAsia="Times New Roman"/>
        </w:rPr>
        <w:t>4</w:t>
      </w:r>
      <w:r>
        <w:t>处交通违法行为抓</w:t>
      </w:r>
      <w:r>
        <w:rPr>
          <w:spacing w:val="-7"/>
        </w:rPr>
        <w:t>拍点，具体清单</w:t>
      </w:r>
      <w:r>
        <w:rPr>
          <w:rFonts w:hint="eastAsia"/>
          <w:spacing w:val="-7"/>
        </w:rPr>
        <w:t>见下表</w:t>
      </w:r>
      <w:r>
        <w:rPr>
          <w:spacing w:val="-7"/>
        </w:rPr>
        <w:t>：</w:t>
      </w:r>
    </w:p>
    <w:tbl>
      <w:tblPr>
        <w:tblStyle w:val="42"/>
        <w:tblW w:w="0" w:type="auto"/>
        <w:tblInd w:w="108" w:type="dxa"/>
        <w:tblLayout w:type="fixed"/>
        <w:tblCellMar>
          <w:top w:w="0" w:type="dxa"/>
          <w:left w:w="108" w:type="dxa"/>
          <w:bottom w:w="0" w:type="dxa"/>
          <w:right w:w="108" w:type="dxa"/>
        </w:tblCellMar>
      </w:tblPr>
      <w:tblGrid>
        <w:gridCol w:w="1095"/>
        <w:gridCol w:w="5821"/>
        <w:gridCol w:w="1684"/>
      </w:tblGrid>
      <w:tr>
        <w:tblPrEx>
          <w:tblCellMar>
            <w:top w:w="0" w:type="dxa"/>
            <w:left w:w="108" w:type="dxa"/>
            <w:bottom w:w="0" w:type="dxa"/>
            <w:right w:w="108" w:type="dxa"/>
          </w:tblCellMar>
        </w:tblPrEx>
        <w:trPr>
          <w:wBefore w:w="0" w:type="dxa"/>
          <w:wAfter w:w="0" w:type="dxa"/>
          <w:trHeight w:val="426"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58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安装地点</w:t>
            </w:r>
          </w:p>
        </w:tc>
        <w:tc>
          <w:tcPr>
            <w:tcW w:w="1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抓拍区域</w:t>
            </w:r>
          </w:p>
        </w:tc>
      </w:tr>
      <w:tr>
        <w:tblPrEx>
          <w:tblCellMar>
            <w:top w:w="0" w:type="dxa"/>
            <w:left w:w="108" w:type="dxa"/>
            <w:bottom w:w="0" w:type="dxa"/>
            <w:right w:w="108" w:type="dxa"/>
          </w:tblCellMar>
        </w:tblPrEx>
        <w:trPr>
          <w:wBefore w:w="0" w:type="dxa"/>
          <w:wAfter w:w="0" w:type="dxa"/>
          <w:trHeight w:val="385"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8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西后街环翠公园门口（农业银行附近）</w:t>
            </w:r>
          </w:p>
        </w:tc>
        <w:tc>
          <w:tcPr>
            <w:tcW w:w="16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西后街东西向</w:t>
            </w:r>
          </w:p>
        </w:tc>
      </w:tr>
      <w:tr>
        <w:tblPrEx>
          <w:tblCellMar>
            <w:top w:w="0" w:type="dxa"/>
            <w:left w:w="108" w:type="dxa"/>
            <w:bottom w:w="0" w:type="dxa"/>
            <w:right w:w="108" w:type="dxa"/>
          </w:tblCellMar>
        </w:tblPrEx>
        <w:trPr>
          <w:wBefore w:w="0" w:type="dxa"/>
          <w:wAfter w:w="0" w:type="dxa"/>
          <w:trHeight w:val="42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58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西后街镇北路以东 </w:t>
            </w:r>
            <w:r>
              <w:rPr>
                <w:kern w:val="0"/>
                <w:sz w:val="24"/>
              </w:rPr>
              <w:t xml:space="preserve">50 </w:t>
            </w:r>
            <w:r>
              <w:rPr>
                <w:rFonts w:hint="eastAsia" w:ascii="宋体" w:hAnsi="宋体" w:cs="宋体"/>
                <w:kern w:val="0"/>
                <w:sz w:val="24"/>
              </w:rPr>
              <w:t>米（工商银行附近）</w:t>
            </w:r>
          </w:p>
        </w:tc>
        <w:tc>
          <w:tcPr>
            <w:tcW w:w="16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西后街东西向</w:t>
            </w:r>
          </w:p>
        </w:tc>
      </w:tr>
      <w:tr>
        <w:tblPrEx>
          <w:tblCellMar>
            <w:top w:w="0" w:type="dxa"/>
            <w:left w:w="108" w:type="dxa"/>
            <w:bottom w:w="0" w:type="dxa"/>
            <w:right w:w="108" w:type="dxa"/>
          </w:tblCellMar>
        </w:tblPrEx>
        <w:trPr>
          <w:wBefore w:w="0" w:type="dxa"/>
          <w:wAfter w:w="0" w:type="dxa"/>
          <w:trHeight w:val="42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58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镇北路中心路以南 </w:t>
            </w:r>
            <w:r>
              <w:rPr>
                <w:kern w:val="0"/>
                <w:sz w:val="24"/>
              </w:rPr>
              <w:t xml:space="preserve">20 </w:t>
            </w:r>
            <w:r>
              <w:rPr>
                <w:rFonts w:hint="eastAsia" w:ascii="宋体" w:hAnsi="宋体" w:cs="宋体"/>
                <w:kern w:val="0"/>
                <w:sz w:val="24"/>
              </w:rPr>
              <w:t>米（中国银行附近）</w:t>
            </w:r>
          </w:p>
        </w:tc>
        <w:tc>
          <w:tcPr>
            <w:tcW w:w="16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镇北路南北向</w:t>
            </w:r>
          </w:p>
        </w:tc>
      </w:tr>
      <w:tr>
        <w:tblPrEx>
          <w:tblCellMar>
            <w:top w:w="0" w:type="dxa"/>
            <w:left w:w="108" w:type="dxa"/>
            <w:bottom w:w="0" w:type="dxa"/>
            <w:right w:w="108" w:type="dxa"/>
          </w:tblCellMar>
        </w:tblPrEx>
        <w:trPr>
          <w:wBefore w:w="0" w:type="dxa"/>
          <w:wAfter w:w="0" w:type="dxa"/>
          <w:trHeight w:val="426" w:hRule="atLeast"/>
        </w:trPr>
        <w:tc>
          <w:tcPr>
            <w:tcW w:w="10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58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镇前路文化路以西</w:t>
            </w:r>
            <w:r>
              <w:rPr>
                <w:rFonts w:ascii="宋体" w:hAnsi="宋体" w:cs="宋体"/>
                <w:kern w:val="0"/>
                <w:sz w:val="24"/>
              </w:rPr>
              <w:t xml:space="preserve"> 180 </w:t>
            </w:r>
            <w:r>
              <w:rPr>
                <w:rFonts w:hint="eastAsia" w:ascii="宋体" w:hAnsi="宋体" w:cs="宋体"/>
                <w:kern w:val="0"/>
                <w:sz w:val="24"/>
              </w:rPr>
              <w:t>米（钱清人民医院附近）</w:t>
            </w:r>
          </w:p>
        </w:tc>
        <w:tc>
          <w:tcPr>
            <w:tcW w:w="168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镇前路东西向</w:t>
            </w:r>
          </w:p>
        </w:tc>
      </w:tr>
    </w:tbl>
    <w:p>
      <w:pPr>
        <w:pStyle w:val="4"/>
        <w:keepLines w:val="0"/>
        <w:widowControl/>
        <w:numPr>
          <w:ilvl w:val="2"/>
          <w:numId w:val="0"/>
        </w:numPr>
        <w:tabs>
          <w:tab w:val="left" w:pos="851"/>
        </w:tabs>
        <w:spacing w:before="0" w:after="0" w:line="360" w:lineRule="auto"/>
        <w:jc w:val="left"/>
        <w:rPr>
          <w:rFonts w:hint="eastAsia" w:ascii="宋体" w:hAnsi="宋体" w:cs="宋体"/>
          <w:sz w:val="24"/>
        </w:rPr>
      </w:pPr>
      <w:bookmarkStart w:id="84" w:name="_Toc521530782"/>
    </w:p>
    <w:p>
      <w:pPr>
        <w:pStyle w:val="4"/>
        <w:keepLines w:val="0"/>
        <w:widowControl/>
        <w:numPr>
          <w:ilvl w:val="2"/>
          <w:numId w:val="0"/>
        </w:numPr>
        <w:tabs>
          <w:tab w:val="left" w:pos="851"/>
        </w:tabs>
        <w:spacing w:before="0" w:after="0" w:line="360" w:lineRule="auto"/>
        <w:jc w:val="left"/>
        <w:rPr>
          <w:rFonts w:hint="eastAsia" w:ascii="宋体" w:hAnsi="宋体" w:cs="宋体"/>
          <w:sz w:val="24"/>
        </w:rPr>
      </w:pPr>
      <w:r>
        <w:rPr>
          <w:rFonts w:hint="eastAsia" w:ascii="宋体" w:hAnsi="宋体" w:cs="宋体"/>
          <w:sz w:val="24"/>
        </w:rPr>
        <w:t>12.2.4高位监控系统</w:t>
      </w:r>
      <w:bookmarkEnd w:id="84"/>
    </w:p>
    <w:p>
      <w:pPr>
        <w:pStyle w:val="4"/>
        <w:keepLines w:val="0"/>
        <w:widowControl/>
        <w:numPr>
          <w:ilvl w:val="2"/>
          <w:numId w:val="0"/>
        </w:numPr>
        <w:tabs>
          <w:tab w:val="left" w:pos="851"/>
        </w:tabs>
        <w:spacing w:before="0" w:after="0" w:line="360" w:lineRule="auto"/>
        <w:ind w:left="851" w:hanging="851"/>
        <w:jc w:val="left"/>
        <w:rPr>
          <w:rFonts w:ascii="宋体" w:hAnsi="宋体" w:cs="宋体"/>
          <w:sz w:val="24"/>
        </w:rPr>
      </w:pPr>
      <w:r>
        <w:rPr>
          <w:sz w:val="24"/>
        </w:rPr>
        <w:t>1</w:t>
      </w:r>
      <w:r>
        <w:rPr>
          <w:rFonts w:hint="eastAsia"/>
          <w:sz w:val="24"/>
        </w:rPr>
        <w:t>、系统</w:t>
      </w:r>
      <w:r>
        <w:rPr>
          <w:sz w:val="24"/>
        </w:rPr>
        <w:t>需求</w:t>
      </w:r>
    </w:p>
    <w:p>
      <w:pPr>
        <w:pStyle w:val="63"/>
        <w:ind w:firstLine="480"/>
        <w:rPr>
          <w:rFonts w:hint="eastAsia"/>
        </w:rPr>
      </w:pPr>
      <w:r>
        <w:rPr>
          <w:rFonts w:hint="eastAsia"/>
        </w:rPr>
        <w:t>随着钱清镇经济和道路交通基础建设的快速发展，目前监控点和监控范围位不能满足交通管理组织的需要，镇区焦点区域和主要干道存在一定的盲点区域。为了提高警力效率，充分洞察路面交通状况或事件情况，提高出警速度和反应能力，制高点监控着力于在较高的位置实现大范围的图像精确监控，是一种既兼顾大场面，又实现具体目标特写拍摄的视频监控手段，用于弥补传统视频监控系统的视频盲点。本次项目建设中增加制高点监控，满足全面监视全镇的主要路段和区域的交通状况的要求，点位设置主要考虑在主要干道上和需要重点监视的交通敏感区域。</w:t>
      </w:r>
    </w:p>
    <w:p>
      <w:pPr>
        <w:pStyle w:val="63"/>
        <w:ind w:firstLine="480"/>
      </w:pPr>
      <w:r>
        <w:t>2</w:t>
      </w:r>
      <w:r>
        <w:rPr>
          <w:rFonts w:hint="eastAsia"/>
        </w:rPr>
        <w:t>、 建设</w:t>
      </w:r>
      <w:r>
        <w:t>目标</w:t>
      </w:r>
    </w:p>
    <w:p>
      <w:pPr>
        <w:pStyle w:val="63"/>
        <w:numPr>
          <w:ilvl w:val="0"/>
          <w:numId w:val="12"/>
        </w:numPr>
        <w:spacing w:after="120"/>
        <w:ind w:firstLineChars="0"/>
      </w:pPr>
      <w:r>
        <w:t>城市主干路关键交叉路口，宏观把握城市动脉交通的运行情况；</w:t>
      </w:r>
    </w:p>
    <w:p>
      <w:pPr>
        <w:pStyle w:val="63"/>
        <w:numPr>
          <w:ilvl w:val="0"/>
          <w:numId w:val="12"/>
        </w:numPr>
        <w:ind w:firstLineChars="0"/>
        <w:rPr>
          <w:rFonts w:hint="eastAsia"/>
        </w:rPr>
      </w:pPr>
      <w:r>
        <w:t>城市综合体，如交通枢纽、体育中心、商业中心周边道路，用以掌握重点区域场所交通运行情况。</w:t>
      </w:r>
    </w:p>
    <w:p>
      <w:pPr>
        <w:pStyle w:val="63"/>
        <w:ind w:left="480" w:firstLine="0" w:firstLineChars="0"/>
        <w:rPr>
          <w:rFonts w:hint="eastAsia"/>
        </w:rPr>
      </w:pPr>
      <w:r>
        <w:t>3</w:t>
      </w:r>
      <w:r>
        <w:rPr>
          <w:rFonts w:hint="eastAsia"/>
        </w:rPr>
        <w:t>、建设原则</w:t>
      </w:r>
    </w:p>
    <w:p>
      <w:pPr>
        <w:pStyle w:val="18"/>
        <w:spacing w:before="26" w:line="360" w:lineRule="auto"/>
        <w:ind w:firstLine="720" w:firstLineChars="300"/>
        <w:jc w:val="left"/>
        <w:rPr>
          <w:rFonts w:ascii="宋体" w:hAnsi="宋体"/>
          <w:b w:val="0"/>
          <w:bCs w:val="0"/>
          <w:sz w:val="24"/>
        </w:rPr>
      </w:pPr>
      <w:r>
        <w:rPr>
          <w:rFonts w:ascii="宋体" w:hAnsi="宋体"/>
          <w:b w:val="0"/>
          <w:bCs w:val="0"/>
          <w:sz w:val="24"/>
        </w:rPr>
        <w:t>1) 道路交通视频监控布点原则</w:t>
      </w:r>
    </w:p>
    <w:p>
      <w:pPr>
        <w:pStyle w:val="63"/>
        <w:numPr>
          <w:ilvl w:val="0"/>
          <w:numId w:val="12"/>
        </w:numPr>
        <w:ind w:firstLineChars="0"/>
      </w:pPr>
      <w:r>
        <w:t>充分利用既有标清前端监控设备，进行高清监控布点整体规划；</w:t>
      </w:r>
    </w:p>
    <w:p>
      <w:pPr>
        <w:pStyle w:val="63"/>
        <w:numPr>
          <w:ilvl w:val="0"/>
          <w:numId w:val="12"/>
        </w:numPr>
        <w:ind w:firstLineChars="0"/>
      </w:pPr>
      <w:r>
        <w:t>城市主干路、次干路重要交叉口应至少设置一处，路段包含学校区域等情况的可视情设置；</w:t>
      </w:r>
    </w:p>
    <w:p>
      <w:pPr>
        <w:pStyle w:val="63"/>
        <w:numPr>
          <w:ilvl w:val="0"/>
          <w:numId w:val="12"/>
        </w:numPr>
        <w:ind w:firstLineChars="0"/>
      </w:pPr>
      <w:r>
        <w:t>摄像机视场应覆盖道路监测范围，重要点段的相邻摄像机设置应不出现监视盲区。</w:t>
      </w:r>
    </w:p>
    <w:p>
      <w:pPr>
        <w:pStyle w:val="63"/>
        <w:ind w:firstLine="480"/>
        <w:rPr>
          <w:rFonts w:hint="eastAsia"/>
        </w:rPr>
      </w:pPr>
      <w:r>
        <w:rPr>
          <w:rFonts w:ascii="Times New Roman" w:hAnsi="Times New Roman" w:eastAsia="Times New Roman"/>
        </w:rPr>
        <w:t xml:space="preserve">2) </w:t>
      </w:r>
      <w:r>
        <w:t xml:space="preserve">高空交通视频监控布点原则 </w:t>
      </w:r>
      <w:r>
        <w:rPr>
          <w:spacing w:val="-1"/>
        </w:rPr>
        <w:t>高空监控着力于在较高的位置实现大范围的图像精确监控，是一种既兼顾大场面，又实现具</w:t>
      </w:r>
      <w:r>
        <w:t>体目标特写拍摄的视频监控手段</w:t>
      </w:r>
      <w:r>
        <w:rPr>
          <w:spacing w:val="-34"/>
        </w:rPr>
        <w:t>。</w:t>
      </w:r>
      <w:r>
        <w:t xml:space="preserve">高空监控可以弥补普通道路图像监控手段无法避免环境物体阻 </w:t>
      </w:r>
      <w:r>
        <w:rPr>
          <w:spacing w:val="-1"/>
        </w:rPr>
        <w:t>挡、视野范围较小的缺点，从而实现基本无阻挡的大范围监控。而高空交通视频监控的主要作用是为交通管理者提供监视区域范围内整体、全局交通运行状况，可囊括实时交通状态信息、公共</w:t>
      </w:r>
      <w:r>
        <w:t>停车状态信息等。</w:t>
      </w:r>
    </w:p>
    <w:p>
      <w:pPr>
        <w:pStyle w:val="63"/>
        <w:ind w:firstLine="480"/>
        <w:rPr>
          <w:rFonts w:hint="eastAsia"/>
        </w:rPr>
      </w:pPr>
      <w:r>
        <w:t>4</w:t>
      </w:r>
      <w:r>
        <w:rPr>
          <w:rFonts w:hint="eastAsia"/>
        </w:rPr>
        <w:t>、点位</w:t>
      </w:r>
      <w:r>
        <w:t>分布</w:t>
      </w:r>
    </w:p>
    <w:p>
      <w:pPr>
        <w:pStyle w:val="63"/>
        <w:ind w:firstLine="452"/>
        <w:rPr>
          <w:rFonts w:hint="eastAsia"/>
          <w:spacing w:val="-7"/>
        </w:rPr>
      </w:pPr>
      <w:r>
        <w:rPr>
          <w:spacing w:val="-7"/>
        </w:rPr>
        <w:t>本次工程高位监控系统共新建 2 处监控点，具体清单</w:t>
      </w:r>
      <w:r>
        <w:rPr>
          <w:rFonts w:hint="eastAsia"/>
          <w:spacing w:val="-7"/>
        </w:rPr>
        <w:t>见下表</w:t>
      </w:r>
      <w:r>
        <w:rPr>
          <w:spacing w:val="-7"/>
        </w:rPr>
        <w:t>：</w:t>
      </w:r>
    </w:p>
    <w:tbl>
      <w:tblPr>
        <w:tblStyle w:val="42"/>
        <w:tblW w:w="0" w:type="auto"/>
        <w:tblInd w:w="108" w:type="dxa"/>
        <w:tblLayout w:type="fixed"/>
        <w:tblCellMar>
          <w:top w:w="0" w:type="dxa"/>
          <w:left w:w="108" w:type="dxa"/>
          <w:bottom w:w="0" w:type="dxa"/>
          <w:right w:w="108" w:type="dxa"/>
        </w:tblCellMar>
      </w:tblPr>
      <w:tblGrid>
        <w:gridCol w:w="1001"/>
        <w:gridCol w:w="5765"/>
        <w:gridCol w:w="1729"/>
      </w:tblGrid>
      <w:tr>
        <w:tblPrEx>
          <w:tblCellMar>
            <w:top w:w="0" w:type="dxa"/>
            <w:left w:w="108" w:type="dxa"/>
            <w:bottom w:w="0" w:type="dxa"/>
            <w:right w:w="108" w:type="dxa"/>
          </w:tblCellMar>
        </w:tblPrEx>
        <w:trPr>
          <w:wBefore w:w="0" w:type="dxa"/>
          <w:wAfter w:w="0" w:type="dxa"/>
          <w:trHeight w:val="637"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5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安装地点</w:t>
            </w:r>
          </w:p>
        </w:tc>
        <w:tc>
          <w:tcPr>
            <w:tcW w:w="17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监控范围</w:t>
            </w:r>
          </w:p>
        </w:tc>
      </w:tr>
      <w:tr>
        <w:tblPrEx>
          <w:tblCellMar>
            <w:top w:w="0" w:type="dxa"/>
            <w:left w:w="108" w:type="dxa"/>
            <w:bottom w:w="0" w:type="dxa"/>
            <w:right w:w="108" w:type="dxa"/>
          </w:tblCellMar>
        </w:tblPrEx>
        <w:trPr>
          <w:wBefore w:w="0" w:type="dxa"/>
          <w:wAfter w:w="0" w:type="dxa"/>
          <w:trHeight w:val="576" w:hRule="atLeast"/>
        </w:trPr>
        <w:tc>
          <w:tcPr>
            <w:tcW w:w="10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联合国贸中心</w:t>
            </w:r>
          </w:p>
        </w:tc>
        <w:tc>
          <w:tcPr>
            <w:tcW w:w="17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钱陶线</w:t>
            </w:r>
          </w:p>
        </w:tc>
      </w:tr>
      <w:tr>
        <w:tblPrEx>
          <w:tblCellMar>
            <w:top w:w="0" w:type="dxa"/>
            <w:left w:w="108" w:type="dxa"/>
            <w:bottom w:w="0" w:type="dxa"/>
            <w:right w:w="108" w:type="dxa"/>
          </w:tblCellMar>
        </w:tblPrEx>
        <w:trPr>
          <w:wBefore w:w="0" w:type="dxa"/>
          <w:wAfter w:w="0" w:type="dxa"/>
          <w:trHeight w:val="637" w:hRule="atLeast"/>
        </w:trPr>
        <w:tc>
          <w:tcPr>
            <w:tcW w:w="10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5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梅盛实业大厦（水岸名府对面）</w:t>
            </w:r>
          </w:p>
        </w:tc>
        <w:tc>
          <w:tcPr>
            <w:tcW w:w="17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钱陶线</w:t>
            </w:r>
          </w:p>
        </w:tc>
      </w:tr>
    </w:tbl>
    <w:p>
      <w:pPr>
        <w:pStyle w:val="4"/>
        <w:keepLines w:val="0"/>
        <w:widowControl/>
        <w:numPr>
          <w:ilvl w:val="2"/>
          <w:numId w:val="0"/>
        </w:numPr>
        <w:tabs>
          <w:tab w:val="left" w:pos="851"/>
        </w:tabs>
        <w:spacing w:before="0" w:after="0" w:line="360" w:lineRule="auto"/>
        <w:ind w:left="851" w:hanging="851"/>
        <w:jc w:val="left"/>
        <w:rPr>
          <w:rFonts w:hint="eastAsia"/>
          <w:spacing w:val="-1"/>
          <w:sz w:val="24"/>
        </w:rPr>
      </w:pPr>
      <w:bookmarkStart w:id="85" w:name="_Toc521530783"/>
    </w:p>
    <w:p>
      <w:pPr>
        <w:pStyle w:val="4"/>
        <w:keepLines w:val="0"/>
        <w:widowControl/>
        <w:numPr>
          <w:ilvl w:val="2"/>
          <w:numId w:val="0"/>
        </w:numPr>
        <w:tabs>
          <w:tab w:val="left" w:pos="851"/>
        </w:tabs>
        <w:spacing w:before="0" w:after="0" w:line="360" w:lineRule="auto"/>
        <w:ind w:left="851" w:hanging="851"/>
        <w:jc w:val="left"/>
        <w:rPr>
          <w:rFonts w:hint="eastAsia" w:ascii="宋体" w:hAnsi="宋体" w:cs="宋体"/>
          <w:sz w:val="24"/>
        </w:rPr>
      </w:pPr>
      <w:r>
        <w:rPr>
          <w:rFonts w:hint="eastAsia"/>
          <w:spacing w:val="-1"/>
          <w:sz w:val="24"/>
        </w:rPr>
        <w:t>12.2.5</w:t>
      </w:r>
      <w:r>
        <w:rPr>
          <w:spacing w:val="-1"/>
          <w:sz w:val="24"/>
        </w:rPr>
        <w:t>钱清镇交警中队</w:t>
      </w:r>
      <w:r>
        <w:rPr>
          <w:rFonts w:hint="eastAsia" w:ascii="宋体" w:hAnsi="宋体" w:cs="宋体"/>
          <w:sz w:val="24"/>
        </w:rPr>
        <w:t>分指挥中心设计</w:t>
      </w:r>
      <w:bookmarkEnd w:id="85"/>
    </w:p>
    <w:p>
      <w:pPr>
        <w:pStyle w:val="4"/>
        <w:keepLines w:val="0"/>
        <w:widowControl/>
        <w:numPr>
          <w:ilvl w:val="2"/>
          <w:numId w:val="0"/>
        </w:numPr>
        <w:tabs>
          <w:tab w:val="left" w:pos="851"/>
        </w:tabs>
        <w:spacing w:before="0" w:after="0" w:line="360" w:lineRule="auto"/>
        <w:ind w:left="851" w:hanging="851"/>
        <w:jc w:val="left"/>
        <w:rPr>
          <w:rFonts w:ascii="宋体" w:hAnsi="宋体" w:cs="宋体"/>
          <w:b w:val="0"/>
          <w:sz w:val="24"/>
        </w:rPr>
      </w:pPr>
      <w:r>
        <w:rPr>
          <w:rFonts w:hint="eastAsia"/>
          <w:b w:val="0"/>
          <w:sz w:val="24"/>
        </w:rPr>
        <w:t>1.系统</w:t>
      </w:r>
      <w:r>
        <w:rPr>
          <w:b w:val="0"/>
          <w:sz w:val="24"/>
        </w:rPr>
        <w:t>需求</w:t>
      </w:r>
    </w:p>
    <w:p>
      <w:pPr>
        <w:pStyle w:val="63"/>
        <w:ind w:firstLine="476"/>
        <w:rPr>
          <w:rFonts w:hint="eastAsia"/>
          <w:spacing w:val="-1"/>
        </w:rPr>
      </w:pPr>
      <w:r>
        <w:rPr>
          <w:spacing w:val="-1"/>
        </w:rPr>
        <w:t>钱清镇交警中队分指挥中心是集城市应急管理与智能交通管理与一体的综合指挥机构、所建 各个系统专门负责城市道路交通运行的组织、监控、指挥与管理，是应用电子、信息、指挥、控 制、通讯等技术的中心，按照系统工程和交通工程的理论与方法，结合当地道路交通实际情况及 其管理需求等条件，将应急管理系统、交通信号控制系统、交通监视系统、交通信息管理系统、 交通通信系统、视频会议系统、车辆卫星定位系统（GPS）和交通地理信息系统（GIS）等子系 统部分或全部有机地融合成为一个整体，具有信息采集、处理、组织、协调、决策和指挥能力的 城市应急暨道路交通监控与管理分中心。它使道路交通的信息采集、处理、监控与指挥等实现了 动态、实时、科学、高效的控制与管理。同时，充分利用现有交通资源，科学规范地组织交通， 提高现有道路通行能力，协调处置突发事件，缓解交通拥堵，减少交通事故，降低车辆尾气污染与能源消耗，增强交警队伍快速反应能力与战斗力，促进交通与环境、经济和社会的协调及可持 续发展等发挥了十分重要的作用。</w:t>
      </w:r>
    </w:p>
    <w:p>
      <w:pPr>
        <w:pStyle w:val="63"/>
        <w:ind w:firstLine="0" w:firstLineChars="0"/>
        <w:rPr>
          <w:spacing w:val="-1"/>
        </w:rPr>
      </w:pPr>
      <w:r>
        <w:t>2</w:t>
      </w:r>
      <w:r>
        <w:rPr>
          <w:rFonts w:hint="eastAsia"/>
        </w:rPr>
        <w:t>、 建设</w:t>
      </w:r>
      <w:r>
        <w:t>目标</w:t>
      </w:r>
    </w:p>
    <w:p>
      <w:pPr>
        <w:pStyle w:val="63"/>
        <w:ind w:firstLine="476"/>
        <w:rPr>
          <w:spacing w:val="-1"/>
        </w:rPr>
      </w:pPr>
      <w:r>
        <w:rPr>
          <w:spacing w:val="-1"/>
        </w:rPr>
        <w:t>1)发挥系统集成平台的功效，提升城市应急和交通管控水平。立足城市应急和核心交通业务，拓展现有交通指挥调度平台业务功能，有效提升城市应急中 心（暨交通分指挥中心）对交通流组织、勤务**调度和突发事件处置能力。提升系统间信息共 享和协调联动控制水平，建设集成统一、灵活高效、运转流畅的应急指挥与交通管控子系统。</w:t>
      </w:r>
    </w:p>
    <w:p>
      <w:pPr>
        <w:pStyle w:val="63"/>
        <w:ind w:firstLine="480"/>
        <w:rPr>
          <w:rFonts w:hint="eastAsia"/>
          <w:spacing w:val="-1"/>
        </w:rPr>
      </w:pPr>
      <w:r>
        <w:rPr>
          <w:rFonts w:ascii="Times New Roman" w:hAnsi="Times New Roman" w:eastAsia="Times New Roman"/>
        </w:rPr>
        <w:t xml:space="preserve">2) </w:t>
      </w:r>
      <w:r>
        <w:t>构建一个易于扩展的系统架构和系统接口标准 钱清镇交警中队分指挥中心</w:t>
      </w:r>
      <w:r>
        <w:rPr>
          <w:spacing w:val="-1"/>
        </w:rPr>
        <w:t>的设计和建设需要充分考虑今后的城市应急管理、智能交通系统的发展需要，满足建设一个易于扩展的系统架构，建立和实施相关系统的接口标准，为后续系统 建设和集成打下良好基础。</w:t>
      </w:r>
      <w:r>
        <w:t>3</w:t>
      </w:r>
      <w:r>
        <w:rPr>
          <w:rFonts w:hint="eastAsia"/>
        </w:rPr>
        <w:t>、建设原则</w:t>
      </w:r>
    </w:p>
    <w:p>
      <w:pPr>
        <w:spacing w:line="360" w:lineRule="auto"/>
        <w:ind w:firstLine="576" w:firstLineChars="240"/>
        <w:rPr>
          <w:rFonts w:ascii="宋体" w:hAnsi="宋体" w:cs="宋体"/>
          <w:sz w:val="24"/>
        </w:rPr>
      </w:pPr>
      <w:r>
        <w:rPr>
          <w:rFonts w:eastAsia="Times New Roman"/>
          <w:bCs/>
          <w:sz w:val="24"/>
        </w:rPr>
        <w:t>1)</w:t>
      </w:r>
      <w:r>
        <w:rPr>
          <w:rFonts w:ascii="宋体" w:hAnsi="宋体" w:cs="宋体"/>
          <w:bCs/>
          <w:sz w:val="24"/>
        </w:rPr>
        <w:t>可靠性原则</w:t>
      </w:r>
      <w:r>
        <w:rPr>
          <w:rFonts w:ascii="宋体" w:hAnsi="宋体" w:cs="宋体"/>
          <w:b/>
          <w:bCs/>
          <w:spacing w:val="24"/>
          <w:w w:val="99"/>
          <w:sz w:val="24"/>
        </w:rPr>
        <w:t xml:space="preserve"> </w:t>
      </w:r>
      <w:r>
        <w:rPr>
          <w:rFonts w:ascii="宋体" w:hAnsi="宋体" w:cs="宋体"/>
          <w:spacing w:val="4"/>
          <w:sz w:val="24"/>
        </w:rPr>
        <w:t>系统应主要以国内外业界较先进和成熟的主流技术为基础，首先确保系统的可靠性及实用性。从系统的结构、技术措施、设备性能、系统管理、厂商技术支持及维修能力等多方面着手， 确保系统能正常、稳定、可靠地连续运行，将系统发生故障的可能性降到最低。所有设备的平均无故障工作时间≥5000 小时。</w:t>
      </w:r>
    </w:p>
    <w:p>
      <w:pPr>
        <w:spacing w:line="360" w:lineRule="auto"/>
        <w:ind w:firstLine="576" w:firstLineChars="240"/>
        <w:rPr>
          <w:rFonts w:ascii="宋体" w:hAnsi="宋体" w:cs="宋体"/>
          <w:spacing w:val="4"/>
          <w:sz w:val="24"/>
        </w:rPr>
      </w:pPr>
      <w:r>
        <w:rPr>
          <w:rFonts w:eastAsia="Times New Roman"/>
          <w:bCs/>
          <w:sz w:val="24"/>
        </w:rPr>
        <w:t>2</w:t>
      </w:r>
      <w:r>
        <w:rPr>
          <w:rFonts w:ascii="宋体" w:hAnsi="宋体" w:cs="宋体"/>
          <w:bCs/>
          <w:sz w:val="24"/>
        </w:rPr>
        <w:t>)先进性原则</w:t>
      </w:r>
      <w:r>
        <w:rPr>
          <w:rFonts w:hint="eastAsia" w:ascii="宋体" w:hAnsi="宋体" w:cs="宋体"/>
          <w:bCs/>
          <w:sz w:val="24"/>
        </w:rPr>
        <w:t xml:space="preserve"> </w:t>
      </w:r>
      <w:r>
        <w:rPr>
          <w:rFonts w:ascii="宋体" w:hAnsi="宋体" w:cs="宋体"/>
          <w:spacing w:val="4"/>
          <w:sz w:val="24"/>
        </w:rPr>
        <w:t>系统充分考虑科学技术的迅速发展趋势，采用业界较为高端的先进技术来保证系统先进性。</w:t>
      </w:r>
    </w:p>
    <w:p>
      <w:pPr>
        <w:spacing w:line="360" w:lineRule="auto"/>
        <w:ind w:firstLine="595" w:firstLineChars="240"/>
        <w:rPr>
          <w:rFonts w:ascii="宋体" w:hAnsi="宋体" w:cs="宋体"/>
          <w:spacing w:val="4"/>
          <w:sz w:val="24"/>
        </w:rPr>
      </w:pPr>
      <w:r>
        <w:rPr>
          <w:rFonts w:ascii="宋体" w:hAnsi="宋体" w:cs="宋体"/>
          <w:spacing w:val="4"/>
          <w:sz w:val="24"/>
        </w:rPr>
        <w:t>对各功能采用模块化设计，保证系统可以方便灵活地在处理能力、系统容量、功能点等方面进行 扩充和升级换代，从而确保系统在未来一段时间内满足形势和业务发展的需要。</w:t>
      </w:r>
    </w:p>
    <w:p>
      <w:pPr>
        <w:spacing w:line="360" w:lineRule="auto"/>
        <w:ind w:firstLine="595" w:firstLineChars="240"/>
        <w:rPr>
          <w:rFonts w:hint="eastAsia" w:ascii="宋体" w:hAnsi="宋体" w:cs="宋体"/>
          <w:spacing w:val="4"/>
          <w:sz w:val="24"/>
        </w:rPr>
      </w:pPr>
      <w:r>
        <w:rPr>
          <w:rFonts w:ascii="宋体" w:hAnsi="宋体" w:cs="宋体"/>
          <w:spacing w:val="4"/>
          <w:sz w:val="24"/>
        </w:rPr>
        <w:t>3)安全性原则</w:t>
      </w:r>
      <w:r>
        <w:rPr>
          <w:rFonts w:hint="eastAsia" w:ascii="宋体" w:hAnsi="宋体" w:cs="宋体"/>
          <w:spacing w:val="4"/>
          <w:sz w:val="24"/>
        </w:rPr>
        <w:t xml:space="preserve">  </w:t>
      </w:r>
    </w:p>
    <w:p>
      <w:pPr>
        <w:spacing w:line="360" w:lineRule="auto"/>
        <w:ind w:firstLine="595" w:firstLineChars="240"/>
        <w:rPr>
          <w:rFonts w:hint="eastAsia"/>
          <w:b/>
          <w:bCs/>
          <w:sz w:val="24"/>
        </w:rPr>
      </w:pPr>
      <w:r>
        <w:rPr>
          <w:rFonts w:ascii="宋体" w:hAnsi="宋体" w:cs="宋体"/>
          <w:spacing w:val="4"/>
          <w:sz w:val="24"/>
        </w:rPr>
        <w:t>网络安全：设备专网与公安网必须逻辑隔离。若要建立连接必须采取符合公安部要求的 技术手段。</w:t>
      </w:r>
    </w:p>
    <w:p>
      <w:pPr>
        <w:spacing w:line="360" w:lineRule="auto"/>
        <w:ind w:firstLine="595" w:firstLineChars="240"/>
        <w:rPr>
          <w:rFonts w:eastAsia="Times New Roman"/>
          <w:b/>
          <w:bCs/>
          <w:sz w:val="24"/>
        </w:rPr>
      </w:pPr>
      <w:r>
        <w:rPr>
          <w:rFonts w:ascii="宋体" w:hAnsi="宋体" w:cs="宋体"/>
          <w:spacing w:val="4"/>
          <w:sz w:val="24"/>
        </w:rPr>
        <w:t>信息安全：必须严格设置用户使用权限及审批方式。各级用户只能调看本权限范围内的 信息。</w:t>
      </w:r>
    </w:p>
    <w:p>
      <w:pPr>
        <w:spacing w:line="360" w:lineRule="auto"/>
        <w:ind w:firstLine="595" w:firstLineChars="240"/>
        <w:rPr>
          <w:rFonts w:ascii="宋体" w:hAnsi="宋体" w:cs="宋体"/>
          <w:spacing w:val="4"/>
          <w:sz w:val="24"/>
        </w:rPr>
      </w:pPr>
      <w:r>
        <w:rPr>
          <w:rFonts w:ascii="宋体" w:hAnsi="宋体" w:cs="宋体"/>
          <w:spacing w:val="4"/>
          <w:sz w:val="24"/>
        </w:rPr>
        <w:t>传输安全：信息的传输必须注意防止各种非法提取或篡改。</w:t>
      </w:r>
    </w:p>
    <w:p>
      <w:pPr>
        <w:spacing w:line="360" w:lineRule="auto"/>
        <w:ind w:firstLine="595" w:firstLineChars="240"/>
        <w:rPr>
          <w:rFonts w:ascii="宋体" w:hAnsi="宋体" w:cs="宋体"/>
          <w:spacing w:val="4"/>
          <w:sz w:val="24"/>
        </w:rPr>
      </w:pPr>
      <w:r>
        <w:rPr>
          <w:rFonts w:ascii="宋体" w:hAnsi="宋体" w:cs="宋体"/>
          <w:spacing w:val="4"/>
          <w:sz w:val="24"/>
        </w:rPr>
        <w:t>存储安全：必须将重要数据和图片长期存储在专用数据存储磁盘阵列。</w:t>
      </w:r>
    </w:p>
    <w:p>
      <w:pPr>
        <w:spacing w:line="360" w:lineRule="auto"/>
        <w:ind w:firstLine="595" w:firstLineChars="240"/>
        <w:rPr>
          <w:rFonts w:ascii="宋体" w:hAnsi="宋体" w:cs="宋体"/>
          <w:spacing w:val="4"/>
          <w:sz w:val="24"/>
        </w:rPr>
      </w:pPr>
      <w:r>
        <w:rPr>
          <w:rFonts w:ascii="宋体" w:hAnsi="宋体" w:cs="宋体"/>
          <w:spacing w:val="4"/>
          <w:sz w:val="24"/>
        </w:rPr>
        <w:t>设备安全：设备选型应选先进成熟的市场主流产品，要求安全可靠，保证系统不间断运 行。对关键的设备、数据和接口应采用冗余设计，并具有故障检测、系统恢复等功能。</w:t>
      </w:r>
    </w:p>
    <w:p>
      <w:pPr>
        <w:spacing w:line="360" w:lineRule="auto"/>
        <w:ind w:firstLine="595" w:firstLineChars="240"/>
        <w:rPr>
          <w:rFonts w:ascii="宋体" w:hAnsi="宋体" w:cs="宋体"/>
          <w:spacing w:val="4"/>
          <w:sz w:val="24"/>
        </w:rPr>
      </w:pPr>
      <w:r>
        <w:rPr>
          <w:rFonts w:ascii="宋体" w:hAnsi="宋体" w:cs="宋体"/>
          <w:spacing w:val="4"/>
          <w:sz w:val="24"/>
        </w:rPr>
        <w:t>4)开放性和可扩展性</w:t>
      </w:r>
      <w:r>
        <w:rPr>
          <w:rFonts w:hint="eastAsia"/>
          <w:b/>
          <w:bCs/>
          <w:sz w:val="24"/>
        </w:rPr>
        <w:t xml:space="preserve"> </w:t>
      </w:r>
      <w:r>
        <w:rPr>
          <w:rFonts w:ascii="宋体" w:hAnsi="宋体" w:cs="宋体"/>
          <w:spacing w:val="4"/>
          <w:sz w:val="24"/>
        </w:rPr>
        <w:t>历史录像回放采用国际通用的流媒体协议，灵活控制快放、慢放、拖放等。具备符合国家标准的第三方业务接口，与第三方业务系统的对接不影响现网业务（如： 可平滑地与省厅视频监控实战平台、三台合一、交通违法处理、机动车信息等业务系统 对接）。系统支持平滑扩容模式，后续扩容不影响整体系统构架，不影响现网业务。</w:t>
      </w:r>
    </w:p>
    <w:p>
      <w:pPr>
        <w:spacing w:line="360" w:lineRule="auto"/>
        <w:ind w:left="580"/>
        <w:rPr>
          <w:rFonts w:ascii="宋体" w:hAnsi="宋体" w:cs="宋体"/>
          <w:b/>
          <w:bCs/>
          <w:sz w:val="24"/>
        </w:rPr>
      </w:pPr>
      <w:r>
        <w:rPr>
          <w:rFonts w:ascii="宋体" w:hAnsi="宋体" w:cs="宋体"/>
          <w:spacing w:val="4"/>
          <w:sz w:val="24"/>
        </w:rPr>
        <w:t>5)可管理性</w:t>
      </w:r>
      <w:r>
        <w:rPr>
          <w:rFonts w:hint="eastAsia" w:ascii="宋体" w:hAnsi="宋体" w:cs="宋体"/>
          <w:spacing w:val="4"/>
          <w:sz w:val="24"/>
        </w:rPr>
        <w:t xml:space="preserve"> </w:t>
      </w:r>
      <w:r>
        <w:rPr>
          <w:rFonts w:ascii="宋体" w:hAnsi="宋体" w:cs="宋体"/>
          <w:spacing w:val="4"/>
          <w:sz w:val="24"/>
        </w:rPr>
        <w:t>系统提供自动业务流程管理、完善的设备管理。远程设备状态检测、故障报警、升级、巡检等。丰富的业务运营统计、案例分析和运行状态等服务。部分业务应用需在大队指挥中心授权的前提下才能操作。</w:t>
      </w:r>
    </w:p>
    <w:p>
      <w:pPr>
        <w:spacing w:line="360" w:lineRule="auto"/>
        <w:ind w:left="580"/>
        <w:rPr>
          <w:rFonts w:hint="eastAsia" w:ascii="宋体" w:hAnsi="宋体" w:cs="宋体"/>
          <w:spacing w:val="4"/>
          <w:sz w:val="24"/>
        </w:rPr>
      </w:pPr>
      <w:r>
        <w:rPr>
          <w:rFonts w:ascii="宋体" w:hAnsi="宋体" w:cs="宋体"/>
          <w:spacing w:val="4"/>
          <w:sz w:val="24"/>
        </w:rPr>
        <w:t>6) 实用性</w:t>
      </w:r>
      <w:r>
        <w:rPr>
          <w:rFonts w:hint="eastAsia" w:ascii="宋体" w:hAnsi="宋体" w:cs="宋体"/>
          <w:spacing w:val="4"/>
          <w:sz w:val="24"/>
        </w:rPr>
        <w:t xml:space="preserve"> </w:t>
      </w:r>
      <w:r>
        <w:rPr>
          <w:rFonts w:ascii="宋体" w:hAnsi="宋体" w:cs="宋体"/>
          <w:spacing w:val="4"/>
          <w:sz w:val="24"/>
        </w:rPr>
        <w:t>界面清晰、操作简单，日常基础应用针对一线民警的知识层次及实战需求进行优化设计。多业务协同，一个入口，展示多个相关业务信息。整合业务流程，形成统一的数据库，后续提供统一的查询检索以及案件研判与事件倒查。提供视频和图像处理手段，供视频侦查使用。</w:t>
      </w:r>
    </w:p>
    <w:p>
      <w:pPr>
        <w:spacing w:line="360" w:lineRule="auto"/>
        <w:ind w:left="580"/>
        <w:rPr>
          <w:rFonts w:hint="eastAsia" w:ascii="宋体" w:hAnsi="宋体" w:cs="宋体"/>
          <w:sz w:val="24"/>
        </w:rPr>
      </w:pPr>
      <w:r>
        <w:rPr>
          <w:rFonts w:ascii="宋体" w:hAnsi="宋体" w:cs="宋体"/>
          <w:sz w:val="24"/>
        </w:rPr>
        <w:t>7) 经济性</w:t>
      </w:r>
      <w:r>
        <w:rPr>
          <w:rFonts w:hint="eastAsia" w:ascii="宋体" w:hAnsi="宋体" w:cs="宋体"/>
          <w:b/>
          <w:bCs/>
        </w:rPr>
        <w:t xml:space="preserve"> </w:t>
      </w:r>
      <w:r>
        <w:rPr>
          <w:rFonts w:ascii="宋体" w:hAnsi="宋体" w:cs="宋体"/>
          <w:sz w:val="24"/>
        </w:rPr>
        <w:t>工程系统的设计要充分利用现有的资源，既要有趋前意识，</w:t>
      </w:r>
      <w:r>
        <w:rPr>
          <w:rFonts w:hint="eastAsia" w:ascii="宋体" w:hAnsi="宋体" w:cs="宋体"/>
          <w:sz w:val="24"/>
        </w:rPr>
        <w:t xml:space="preserve">                        又</w:t>
      </w:r>
      <w:r>
        <w:rPr>
          <w:rFonts w:ascii="宋体" w:hAnsi="宋体" w:cs="宋体"/>
          <w:sz w:val="24"/>
        </w:rPr>
        <w:t>要适应现实需要，更要杜绝浪费。本着切合实际、实用高效的原则，在系统设计和设备配置上达到最大限度的优化组合，最佳 的性能价格比。</w:t>
      </w:r>
    </w:p>
    <w:p>
      <w:pPr>
        <w:spacing w:line="360" w:lineRule="auto"/>
        <w:rPr>
          <w:rFonts w:hint="eastAsia"/>
          <w:sz w:val="24"/>
        </w:rPr>
      </w:pPr>
      <w:r>
        <w:rPr>
          <w:sz w:val="24"/>
        </w:rPr>
        <w:t>4</w:t>
      </w:r>
      <w:r>
        <w:rPr>
          <w:rFonts w:hint="eastAsia"/>
          <w:sz w:val="24"/>
        </w:rPr>
        <w:t>、总体设计</w:t>
      </w:r>
    </w:p>
    <w:p>
      <w:pPr>
        <w:spacing w:line="360" w:lineRule="auto"/>
        <w:ind w:left="142" w:firstLine="436" w:firstLineChars="182"/>
        <w:rPr>
          <w:rFonts w:hint="eastAsia"/>
          <w:sz w:val="24"/>
        </w:rPr>
      </w:pPr>
      <w:r>
        <w:rPr>
          <w:sz w:val="24"/>
        </w:rPr>
        <w:t>钱清镇交警中队分指挥中心位于钱清镇交警中队大楼 2 楼。 分指挥中心的布局设计充分考虑房间大小以及各部分的空间尺寸，尽量做到科学、美观、实用，满足钱清镇交警中队各种业务的实际需求。整个分指挥中心分为：大屏显示装置和操作台。</w:t>
      </w:r>
    </w:p>
    <w:p>
      <w:pPr>
        <w:spacing w:line="360" w:lineRule="auto"/>
        <w:ind w:left="142" w:firstLine="436" w:firstLineChars="182"/>
        <w:rPr>
          <w:rFonts w:ascii="宋体" w:hAnsi="宋体" w:cs="宋体"/>
          <w:spacing w:val="4"/>
          <w:sz w:val="24"/>
        </w:rPr>
      </w:pPr>
      <w:r>
        <w:rPr>
          <w:sz w:val="24"/>
        </w:rPr>
        <w:t>分指挥中心的布置是根据房间的实用面积和有效空间、人体的生理视觉、操作台与监视屏的 间距、视角以及室内装饰风格等多种因素综合考虑。</w:t>
      </w:r>
    </w:p>
    <w:p>
      <w:pPr>
        <w:pStyle w:val="18"/>
        <w:spacing w:line="357" w:lineRule="auto"/>
        <w:ind w:firstLine="480"/>
        <w:rPr>
          <w:lang/>
        </w:rPr>
      </w:pPr>
      <w:r>
        <w:rPr>
          <w:lang/>
        </w:rPr>
        <w:drawing>
          <wp:inline distT="0" distB="0" distL="114300" distR="114300">
            <wp:extent cx="5212080" cy="3505835"/>
            <wp:effectExtent l="0" t="0" r="762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rcRect l="5150" t="7126" r="3987" b="5463"/>
                    <a:stretch>
                      <a:fillRect/>
                    </a:stretch>
                  </pic:blipFill>
                  <pic:spPr>
                    <a:xfrm>
                      <a:off x="0" y="0"/>
                      <a:ext cx="5212080" cy="3505835"/>
                    </a:xfrm>
                    <a:prstGeom prst="rect">
                      <a:avLst/>
                    </a:prstGeom>
                    <a:noFill/>
                    <a:ln>
                      <a:noFill/>
                    </a:ln>
                  </pic:spPr>
                </pic:pic>
              </a:graphicData>
            </a:graphic>
          </wp:inline>
        </w:drawing>
      </w:r>
    </w:p>
    <w:p>
      <w:pPr>
        <w:pStyle w:val="8"/>
        <w:spacing w:before="240" w:beforeLines="100" w:after="240" w:afterLines="100"/>
        <w:ind w:firstLine="0"/>
        <w:jc w:val="center"/>
        <w:rPr>
          <w:rFonts w:hint="eastAsia"/>
          <w:b/>
          <w:sz w:val="24"/>
        </w:rPr>
      </w:pPr>
      <w:r>
        <w:rPr>
          <w:rFonts w:hint="eastAsia"/>
          <w:b/>
          <w:sz w:val="24"/>
        </w:rPr>
        <w:t>指挥中心平面图</w:t>
      </w:r>
    </w:p>
    <w:p>
      <w:pPr>
        <w:pStyle w:val="8"/>
        <w:spacing w:before="240" w:beforeLines="100" w:after="240" w:afterLines="100" w:line="360" w:lineRule="auto"/>
        <w:ind w:firstLine="0"/>
        <w:rPr>
          <w:rFonts w:hint="eastAsia"/>
          <w:sz w:val="16"/>
        </w:rPr>
      </w:pPr>
      <w:r>
        <w:rPr>
          <w:rFonts w:hint="eastAsia"/>
          <w:sz w:val="24"/>
        </w:rPr>
        <w:t>5、</w:t>
      </w:r>
      <w:r>
        <w:rPr>
          <w:sz w:val="24"/>
        </w:rPr>
        <w:t>软件应用平台设计</w:t>
      </w:r>
    </w:p>
    <w:p>
      <w:pPr>
        <w:pStyle w:val="8"/>
        <w:spacing w:before="240" w:beforeLines="100" w:line="360" w:lineRule="auto"/>
        <w:ind w:firstLine="482"/>
        <w:rPr>
          <w:rFonts w:hint="eastAsia"/>
          <w:sz w:val="24"/>
        </w:rPr>
      </w:pPr>
      <w:r>
        <w:rPr>
          <w:sz w:val="24"/>
        </w:rPr>
        <w:t>从逻辑角度，系统由集成平台和各子系统构成。集成平台指中心操作平台（大厅、大屏、网络）、业务操作流程、GIS 集成软件、分系统操作终端等组成；各子系统是按照指挥中心业务需求 的已有或新建的物理子系统。分指挥中心分控平台通过公安骨干网络与区大队指挥调度平台相连，实现交通指挥分控中心的作用。</w:t>
      </w:r>
    </w:p>
    <w:p>
      <w:pPr>
        <w:pStyle w:val="8"/>
        <w:spacing w:line="360" w:lineRule="auto"/>
        <w:ind w:firstLine="482"/>
        <w:rPr>
          <w:rFonts w:hint="eastAsia"/>
          <w:sz w:val="24"/>
        </w:rPr>
      </w:pPr>
      <w:r>
        <w:rPr>
          <w:sz w:val="24"/>
        </w:rPr>
        <w:t>基于 GIS 的综合集成软件，把地理信息、交通信息、车辆信息及设备信息有机融合，在电子 地图基础上，集成卡口、信号机、视频 CCTV、警员车辆 GPS 等子系统的核心功能点，以展示、查询、报警、统计等方式为终端客户提供日常监控和应急指挥。</w:t>
      </w:r>
    </w:p>
    <w:p>
      <w:pPr>
        <w:pStyle w:val="8"/>
        <w:spacing w:line="360" w:lineRule="auto"/>
        <w:ind w:firstLine="482"/>
        <w:rPr>
          <w:rFonts w:hint="eastAsia"/>
          <w:sz w:val="24"/>
        </w:rPr>
      </w:pPr>
      <w:r>
        <w:rPr>
          <w:rFonts w:hint="eastAsia"/>
          <w:sz w:val="24"/>
        </w:rPr>
        <w:t>6、</w:t>
      </w:r>
      <w:r>
        <w:rPr>
          <w:sz w:val="24"/>
        </w:rPr>
        <w:t>大屏显示系统设计</w:t>
      </w:r>
    </w:p>
    <w:p>
      <w:pPr>
        <w:pStyle w:val="8"/>
        <w:spacing w:line="360" w:lineRule="auto"/>
        <w:ind w:firstLine="482"/>
        <w:rPr>
          <w:rFonts w:hint="eastAsia"/>
          <w:sz w:val="24"/>
        </w:rPr>
      </w:pPr>
      <w:r>
        <w:rPr>
          <w:sz w:val="24"/>
        </w:rPr>
        <w:t>分指挥中心由于涉及管理内容多，管理业务众多，监控、交通信息处理、交通控制等各业务 均需对其进行显示，通过大屏系统可直观显示城区各主要道路及监控点位置，以方便值班人员了 解实时情况。</w:t>
      </w:r>
    </w:p>
    <w:p>
      <w:pPr>
        <w:pStyle w:val="8"/>
        <w:spacing w:line="360" w:lineRule="auto"/>
        <w:ind w:firstLine="482"/>
        <w:rPr>
          <w:sz w:val="24"/>
        </w:rPr>
      </w:pPr>
      <w:r>
        <w:rPr>
          <w:sz w:val="24"/>
        </w:rPr>
        <w:t>本方案采用 1023.7mm(W) x 578.3mm(H) x 113.5mm(D) 超高亮度 LCD（9 块）拼接大屏显示系统，同时，设计在拼接大屏墙上部设置 1 块双基色 LED 显示屏。</w:t>
      </w:r>
    </w:p>
    <w:p>
      <w:pPr>
        <w:pStyle w:val="8"/>
        <w:spacing w:before="240" w:beforeLines="100" w:after="240" w:afterLines="100"/>
        <w:ind w:firstLine="482"/>
        <w:jc w:val="center"/>
        <w:rPr>
          <w:sz w:val="24"/>
        </w:rPr>
      </w:pPr>
      <w:r>
        <w:rPr>
          <w:sz w:val="24"/>
        </w:rPr>
        <w:drawing>
          <wp:inline distT="0" distB="0" distL="114300" distR="114300">
            <wp:extent cx="4057015" cy="4018915"/>
            <wp:effectExtent l="0" t="0" r="63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057015" cy="4018915"/>
                    </a:xfrm>
                    <a:prstGeom prst="rect">
                      <a:avLst/>
                    </a:prstGeom>
                    <a:noFill/>
                    <a:ln>
                      <a:noFill/>
                    </a:ln>
                  </pic:spPr>
                </pic:pic>
              </a:graphicData>
            </a:graphic>
          </wp:inline>
        </w:drawing>
      </w:r>
    </w:p>
    <w:p>
      <w:pPr>
        <w:pStyle w:val="8"/>
        <w:spacing w:before="240" w:beforeLines="100" w:after="240" w:afterLines="100"/>
        <w:ind w:firstLine="482"/>
        <w:jc w:val="center"/>
        <w:rPr>
          <w:b/>
          <w:sz w:val="24"/>
        </w:rPr>
      </w:pPr>
      <w:r>
        <w:rPr>
          <w:b/>
          <w:sz w:val="24"/>
        </w:rPr>
        <w:t>全拼屏接电视墙</w:t>
      </w:r>
    </w:p>
    <w:p>
      <w:pPr>
        <w:pStyle w:val="8"/>
        <w:spacing w:before="240" w:beforeLines="100" w:after="240" w:afterLines="100"/>
        <w:ind w:firstLine="482"/>
        <w:jc w:val="center"/>
        <w:rPr>
          <w:sz w:val="24"/>
        </w:rPr>
      </w:pPr>
      <w:r>
        <w:rPr>
          <w:sz w:val="24"/>
        </w:rPr>
        <w:drawing>
          <wp:inline distT="0" distB="0" distL="114300" distR="114300">
            <wp:extent cx="3355340" cy="3869690"/>
            <wp:effectExtent l="0" t="0" r="16510" b="16510"/>
            <wp:docPr id="4" name="image4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45.jpeg"/>
                    <pic:cNvPicPr>
                      <a:picLocks noChangeAspect="1"/>
                    </pic:cNvPicPr>
                  </pic:nvPicPr>
                  <pic:blipFill>
                    <a:blip r:embed="rId11"/>
                    <a:stretch>
                      <a:fillRect/>
                    </a:stretch>
                  </pic:blipFill>
                  <pic:spPr>
                    <a:xfrm>
                      <a:off x="0" y="0"/>
                      <a:ext cx="3355340" cy="3869690"/>
                    </a:xfrm>
                    <a:prstGeom prst="rect">
                      <a:avLst/>
                    </a:prstGeom>
                    <a:noFill/>
                    <a:ln>
                      <a:noFill/>
                    </a:ln>
                  </pic:spPr>
                </pic:pic>
              </a:graphicData>
            </a:graphic>
          </wp:inline>
        </w:drawing>
      </w:r>
    </w:p>
    <w:p>
      <w:pPr>
        <w:pStyle w:val="8"/>
        <w:spacing w:before="240" w:beforeLines="100" w:after="240" w:afterLines="100"/>
        <w:ind w:firstLine="482"/>
        <w:jc w:val="center"/>
        <w:rPr>
          <w:rFonts w:hint="eastAsia"/>
          <w:b/>
          <w:sz w:val="24"/>
        </w:rPr>
      </w:pPr>
      <w:r>
        <w:rPr>
          <w:b/>
          <w:sz w:val="24"/>
        </w:rPr>
        <w:t>大屏显示系统系统拓扑图</w:t>
      </w:r>
    </w:p>
    <w:p>
      <w:pPr>
        <w:pStyle w:val="8"/>
        <w:spacing w:line="360" w:lineRule="auto"/>
        <w:ind w:firstLine="0"/>
        <w:rPr>
          <w:rFonts w:hint="eastAsia"/>
          <w:sz w:val="24"/>
        </w:rPr>
      </w:pPr>
      <w:r>
        <w:rPr>
          <w:rFonts w:hint="eastAsia"/>
          <w:sz w:val="24"/>
        </w:rPr>
        <w:t>7、</w:t>
      </w:r>
      <w:r>
        <w:rPr>
          <w:sz w:val="24"/>
        </w:rPr>
        <w:t>其它基础配套设施</w:t>
      </w:r>
    </w:p>
    <w:p>
      <w:pPr>
        <w:pStyle w:val="8"/>
        <w:spacing w:line="360" w:lineRule="auto"/>
        <w:ind w:firstLine="482"/>
        <w:rPr>
          <w:rFonts w:hint="eastAsia"/>
          <w:sz w:val="24"/>
        </w:rPr>
      </w:pPr>
      <w:r>
        <w:rPr>
          <w:rFonts w:hint="eastAsia"/>
          <w:sz w:val="24"/>
        </w:rPr>
        <w:t>1）</w:t>
      </w:r>
      <w:r>
        <w:rPr>
          <w:sz w:val="24"/>
        </w:rPr>
        <w:t>装修工程</w:t>
      </w:r>
    </w:p>
    <w:p>
      <w:pPr>
        <w:pStyle w:val="8"/>
        <w:spacing w:line="360" w:lineRule="auto"/>
        <w:ind w:firstLine="482"/>
        <w:rPr>
          <w:rFonts w:hint="eastAsia"/>
          <w:sz w:val="24"/>
        </w:rPr>
      </w:pPr>
      <w:r>
        <w:rPr>
          <w:sz w:val="24"/>
        </w:rPr>
        <w:t>指挥中心室内装饰选用气密性好、不起尘、易清洁，并在温、湿度变化作用下变形小的材料， 并符合下列要求：</w:t>
      </w:r>
    </w:p>
    <w:p>
      <w:pPr>
        <w:pStyle w:val="8"/>
        <w:spacing w:line="360" w:lineRule="auto"/>
        <w:ind w:firstLine="482"/>
        <w:rPr>
          <w:rFonts w:hint="eastAsia"/>
          <w:sz w:val="24"/>
        </w:rPr>
      </w:pPr>
      <w:r>
        <w:rPr>
          <w:rFonts w:hint="eastAsia"/>
          <w:sz w:val="24"/>
        </w:rPr>
        <w:t>1.</w:t>
      </w:r>
      <w:r>
        <w:rPr>
          <w:sz w:val="24"/>
        </w:rPr>
        <w:t>各功能墙体要求采用防火墙隔断，周围均要进行防潮、保温处理。</w:t>
      </w:r>
    </w:p>
    <w:p>
      <w:pPr>
        <w:pStyle w:val="8"/>
        <w:spacing w:line="360" w:lineRule="auto"/>
        <w:ind w:firstLine="482"/>
        <w:rPr>
          <w:sz w:val="24"/>
        </w:rPr>
      </w:pPr>
      <w:r>
        <w:rPr>
          <w:rFonts w:hint="eastAsia"/>
          <w:sz w:val="24"/>
        </w:rPr>
        <w:t>2.</w:t>
      </w:r>
      <w:r>
        <w:rPr>
          <w:sz w:val="24"/>
        </w:rPr>
        <w:t>设备间应采取防尘措施。</w:t>
      </w:r>
    </w:p>
    <w:p>
      <w:pPr>
        <w:pStyle w:val="8"/>
        <w:spacing w:line="360" w:lineRule="auto"/>
        <w:ind w:firstLine="482"/>
        <w:rPr>
          <w:sz w:val="24"/>
        </w:rPr>
      </w:pPr>
      <w:r>
        <w:rPr>
          <w:rFonts w:hint="eastAsia"/>
          <w:sz w:val="24"/>
        </w:rPr>
        <w:t>3.</w:t>
      </w:r>
      <w:r>
        <w:rPr>
          <w:sz w:val="24"/>
        </w:rPr>
        <w:t>房内铺设电缆、设备较多，必须注意消防安全，严格控制建筑物耐火等级。所有材料的 防火等级都应选为 A 或 B1 级。</w:t>
      </w:r>
    </w:p>
    <w:p>
      <w:pPr>
        <w:pStyle w:val="8"/>
        <w:spacing w:line="360" w:lineRule="auto"/>
        <w:ind w:firstLine="482"/>
        <w:rPr>
          <w:sz w:val="24"/>
        </w:rPr>
      </w:pPr>
      <w:r>
        <w:rPr>
          <w:rFonts w:hint="eastAsia"/>
          <w:sz w:val="24"/>
        </w:rPr>
        <w:t>4.</w:t>
      </w:r>
      <w:r>
        <w:rPr>
          <w:sz w:val="24"/>
        </w:rPr>
        <w:t>装饰材料应选用不易积灰、不易起尘、防火保温的市面材料，同时注意该材料不应产生 眩光。</w:t>
      </w:r>
    </w:p>
    <w:p>
      <w:pPr>
        <w:pStyle w:val="8"/>
        <w:spacing w:line="360" w:lineRule="auto"/>
        <w:ind w:firstLine="482"/>
        <w:rPr>
          <w:sz w:val="24"/>
        </w:rPr>
      </w:pPr>
      <w:r>
        <w:rPr>
          <w:rFonts w:hint="eastAsia"/>
          <w:sz w:val="24"/>
        </w:rPr>
        <w:t>5.</w:t>
      </w:r>
      <w:r>
        <w:rPr>
          <w:sz w:val="24"/>
        </w:rPr>
        <w:t>地面最好采用质地硬、不易起尘、防静电的材料。</w:t>
      </w:r>
    </w:p>
    <w:p>
      <w:pPr>
        <w:pStyle w:val="8"/>
        <w:spacing w:line="360" w:lineRule="auto"/>
        <w:ind w:firstLine="482"/>
        <w:rPr>
          <w:sz w:val="24"/>
        </w:rPr>
      </w:pPr>
      <w:r>
        <w:rPr>
          <w:rFonts w:hint="eastAsia"/>
          <w:sz w:val="24"/>
        </w:rPr>
        <w:t>6.</w:t>
      </w:r>
      <w:r>
        <w:rPr>
          <w:sz w:val="24"/>
        </w:rPr>
        <w:t>指挥中心内铺设防静电电池板，地板平整度必须保证每米不大于 2mm。</w:t>
      </w:r>
    </w:p>
    <w:p>
      <w:pPr>
        <w:pStyle w:val="8"/>
        <w:spacing w:line="360" w:lineRule="auto"/>
        <w:ind w:firstLine="482"/>
        <w:rPr>
          <w:sz w:val="24"/>
        </w:rPr>
      </w:pPr>
      <w:r>
        <w:rPr>
          <w:rFonts w:hint="eastAsia"/>
          <w:sz w:val="24"/>
        </w:rPr>
        <w:t>7.</w:t>
      </w:r>
      <w:r>
        <w:rPr>
          <w:sz w:val="24"/>
        </w:rPr>
        <w:t>防静电地板下面空间不仅要铺设电缆，而且要兼作空调静压箱，其高度一般为 300mm。为了避免电缆移动时地面起尘或割破电缆，地面和四壁应平整而耐磨。</w:t>
      </w:r>
    </w:p>
    <w:p>
      <w:pPr>
        <w:pStyle w:val="8"/>
        <w:spacing w:line="360" w:lineRule="auto"/>
        <w:ind w:firstLine="480" w:firstLineChars="200"/>
        <w:rPr>
          <w:sz w:val="24"/>
        </w:rPr>
      </w:pPr>
      <w:r>
        <w:rPr>
          <w:rFonts w:hint="eastAsia"/>
          <w:sz w:val="24"/>
        </w:rPr>
        <w:t>8.</w:t>
      </w:r>
      <w:r>
        <w:rPr>
          <w:sz w:val="24"/>
        </w:rPr>
        <w:t>防静电地板的板厚公差±0.2mm 以内；常温常湿下地板绝缘电阻应大于 100KΩ，小于100MΩ；地板的分散载荷15000-35000N/m2；集中载荷 3000-7000N/m2。</w:t>
      </w:r>
    </w:p>
    <w:p>
      <w:pPr>
        <w:pStyle w:val="8"/>
        <w:spacing w:line="360" w:lineRule="auto"/>
        <w:ind w:firstLine="482"/>
        <w:rPr>
          <w:sz w:val="24"/>
        </w:rPr>
      </w:pPr>
      <w:r>
        <w:rPr>
          <w:rFonts w:hint="eastAsia"/>
          <w:sz w:val="24"/>
        </w:rPr>
        <w:t>9.</w:t>
      </w:r>
      <w:r>
        <w:rPr>
          <w:sz w:val="24"/>
        </w:rPr>
        <w:t>墙面、柱子采用彩钢板装饰，并在地面和顶面贴 10mm 的保温锡箔保温板，满足保温、 隔声要求。</w:t>
      </w:r>
    </w:p>
    <w:p>
      <w:pPr>
        <w:pStyle w:val="8"/>
        <w:spacing w:line="360" w:lineRule="auto"/>
        <w:ind w:firstLine="482"/>
        <w:rPr>
          <w:sz w:val="24"/>
        </w:rPr>
      </w:pPr>
      <w:r>
        <w:rPr>
          <w:rFonts w:hint="eastAsia"/>
          <w:sz w:val="24"/>
        </w:rPr>
        <w:t>10.</w:t>
      </w:r>
      <w:r>
        <w:rPr>
          <w:sz w:val="24"/>
        </w:rPr>
        <w:t>满足强度、安全要求。</w:t>
      </w:r>
    </w:p>
    <w:p>
      <w:pPr>
        <w:pStyle w:val="8"/>
        <w:spacing w:line="360" w:lineRule="auto"/>
        <w:ind w:firstLine="482"/>
        <w:rPr>
          <w:sz w:val="24"/>
        </w:rPr>
      </w:pPr>
      <w:r>
        <w:rPr>
          <w:rFonts w:hint="eastAsia"/>
          <w:sz w:val="24"/>
        </w:rPr>
        <w:t>11.</w:t>
      </w:r>
      <w:r>
        <w:rPr>
          <w:sz w:val="24"/>
        </w:rPr>
        <w:t>机房天花采用铝合金扣板天花，不会产生灰尘，耐用可靠且十分美观，顶棚上面应有300~500mm 的高度空间。顶棚上面作为空调回风静压箱时，要求静压箱内有较高清洁度，其内表面要光滑，平整度好，刷防静电漆并敷设保温材料，另铝合金平板天花板具有非 屏蔽、易清洁、自重轻、不燃烧、耐腐蚀、施工方便等优点，兼有防尘功能。指挥中心、值班室采用黑色铝格栅吊顶的区域喷黑处理。</w:t>
      </w:r>
    </w:p>
    <w:p>
      <w:pPr>
        <w:pStyle w:val="8"/>
        <w:spacing w:line="360" w:lineRule="auto"/>
        <w:ind w:firstLine="482"/>
        <w:rPr>
          <w:sz w:val="24"/>
        </w:rPr>
      </w:pPr>
      <w:r>
        <w:rPr>
          <w:rFonts w:hint="eastAsia"/>
          <w:sz w:val="24"/>
        </w:rPr>
        <w:t>12.</w:t>
      </w:r>
      <w:r>
        <w:rPr>
          <w:sz w:val="24"/>
        </w:rPr>
        <w:t>天花上部装饰：对天棚按抹灰工程质量验收标准和施工规范对天棚进行高级抹灰处理。</w:t>
      </w:r>
    </w:p>
    <w:p>
      <w:pPr>
        <w:pStyle w:val="8"/>
        <w:spacing w:line="360" w:lineRule="auto"/>
        <w:ind w:firstLine="482"/>
        <w:rPr>
          <w:sz w:val="24"/>
        </w:rPr>
      </w:pPr>
      <w:r>
        <w:rPr>
          <w:rFonts w:hint="eastAsia"/>
          <w:sz w:val="24"/>
        </w:rPr>
        <w:t>13.</w:t>
      </w:r>
      <w:r>
        <w:rPr>
          <w:sz w:val="24"/>
        </w:rPr>
        <w:t>抹灰要平整、光滑、无凸凹、无起伏、不能有大的空鼓或裂缝，整体要平。若预埋挂件，对吊挂件周围要认真处理，使其不因吊顶挂件的轻微活动而破坏周围结构。同时在吊顶安装前在天棚顶面用角钢类材料固定一层金属网，以防以后大面积抹灰层脱落损害吊顶。为了防止天棚抹灰面脱落灰尘或微细沙粒，表面必须刷两道清漆或乳胶。要求涂刷均匀，不能太后太薄或漏刷。</w:t>
      </w:r>
    </w:p>
    <w:p>
      <w:pPr>
        <w:pStyle w:val="8"/>
        <w:spacing w:line="360" w:lineRule="auto"/>
        <w:ind w:firstLine="482"/>
        <w:rPr>
          <w:sz w:val="24"/>
        </w:rPr>
      </w:pPr>
      <w:r>
        <w:rPr>
          <w:rFonts w:hint="eastAsia"/>
          <w:sz w:val="24"/>
        </w:rPr>
        <w:t>14.</w:t>
      </w:r>
      <w:r>
        <w:rPr>
          <w:sz w:val="24"/>
        </w:rPr>
        <w:t>门窗、框、扇表面不能有污垢、碰伤、扭曲现象。安装位置要规整、牢靠、不得翘曲、松动。门窗的空口尺寸要准确，所用的五金件要配套，门窗开关灵活。门窗与墙的接缝处采取密封措施，密封条应平整、粗细均匀，涂抹密封胶应平滑、无凸凹。面向自然环 境的玻璃应具有吸热、热反射、防紫外线等功能，使用中空玻璃。</w:t>
      </w:r>
    </w:p>
    <w:p>
      <w:pPr>
        <w:pStyle w:val="8"/>
        <w:spacing w:line="360" w:lineRule="auto"/>
        <w:ind w:firstLine="482"/>
        <w:rPr>
          <w:sz w:val="24"/>
        </w:rPr>
      </w:pPr>
      <w:r>
        <w:rPr>
          <w:rFonts w:hint="eastAsia"/>
          <w:sz w:val="24"/>
        </w:rPr>
        <w:t>15.</w:t>
      </w:r>
      <w:r>
        <w:rPr>
          <w:sz w:val="24"/>
        </w:rPr>
        <w:t>所有管道都应进行防锈处理，所有线缆都用钢制桥架、钢管或金属软管保护。</w:t>
      </w:r>
    </w:p>
    <w:p>
      <w:pPr>
        <w:pStyle w:val="8"/>
        <w:spacing w:line="360" w:lineRule="auto"/>
        <w:ind w:firstLine="482"/>
        <w:rPr>
          <w:sz w:val="24"/>
        </w:rPr>
      </w:pPr>
      <w:r>
        <w:rPr>
          <w:rFonts w:hint="eastAsia"/>
          <w:sz w:val="24"/>
        </w:rPr>
        <w:t>16.</w:t>
      </w:r>
      <w:r>
        <w:rPr>
          <w:sz w:val="24"/>
        </w:rPr>
        <w:t>所选用材料均是环保的。</w:t>
      </w:r>
    </w:p>
    <w:p>
      <w:pPr>
        <w:pStyle w:val="8"/>
        <w:spacing w:line="360" w:lineRule="auto"/>
        <w:ind w:firstLine="482"/>
        <w:rPr>
          <w:rFonts w:hint="eastAsia"/>
          <w:sz w:val="24"/>
        </w:rPr>
      </w:pPr>
      <w:r>
        <w:rPr>
          <w:rFonts w:hint="eastAsia"/>
          <w:sz w:val="24"/>
        </w:rPr>
        <w:t>17.</w:t>
      </w:r>
      <w:r>
        <w:rPr>
          <w:sz w:val="24"/>
        </w:rPr>
        <w:t>噪声、电磁干扰、震动及静电。在计算机系统停机条件下，在主操作员位置测量应小于 68dB（A）。机房内无线电干扰强度，在频率为 0.15~1000MHz 时，不应大于 126dB。机 房内磁场干扰环境场强不应大于 800A/m。在计算机系统停机条件下主机房地板表面垂直 及水平向的震动加速度值，不应大于 500mm/s2。机房地面及工作台面的静电泄漏电阻，应符合现行国家标准《计算机机房用活动地板技术条件》的规定。机房内绝缘体的经典点位不应大于 1kV。</w:t>
      </w:r>
    </w:p>
    <w:p>
      <w:pPr>
        <w:pStyle w:val="8"/>
        <w:spacing w:line="360" w:lineRule="auto"/>
        <w:ind w:firstLine="482"/>
        <w:rPr>
          <w:rFonts w:hint="eastAsia"/>
          <w:sz w:val="24"/>
        </w:rPr>
      </w:pPr>
    </w:p>
    <w:p>
      <w:pPr>
        <w:pStyle w:val="8"/>
        <w:spacing w:line="360" w:lineRule="auto"/>
        <w:ind w:firstLine="482"/>
        <w:rPr>
          <w:rFonts w:hint="eastAsia"/>
          <w:sz w:val="24"/>
        </w:rPr>
      </w:pPr>
    </w:p>
    <w:p>
      <w:pPr>
        <w:pStyle w:val="8"/>
        <w:spacing w:line="360" w:lineRule="auto"/>
        <w:ind w:firstLine="482"/>
        <w:rPr>
          <w:rFonts w:hint="eastAsia"/>
          <w:sz w:val="24"/>
        </w:rPr>
      </w:pPr>
      <w:r>
        <w:rPr>
          <w:rFonts w:hint="eastAsia"/>
          <w:sz w:val="24"/>
        </w:rPr>
        <w:t>2）</w:t>
      </w:r>
      <w:r>
        <w:rPr>
          <w:sz w:val="24"/>
        </w:rPr>
        <w:t>机房基础环境建设</w:t>
      </w:r>
    </w:p>
    <w:p>
      <w:pPr>
        <w:pStyle w:val="8"/>
        <w:spacing w:line="360" w:lineRule="auto"/>
        <w:ind w:firstLine="482"/>
        <w:rPr>
          <w:rFonts w:hint="eastAsia"/>
          <w:sz w:val="24"/>
        </w:rPr>
      </w:pPr>
      <w:r>
        <w:rPr>
          <w:sz w:val="24"/>
        </w:rPr>
        <w:t>为请确保指挥中心设备能够在良好的环境下 24 小时不间断工作，需分别配置 UPS 不间断电源、防雷设备、机密空调、防火设备等基础环境设施。其中，在指挥中心内安装大型 UPS 后备电源，保证设备在停电后的不间断运行，同时提高系统抗电源冲击性。指挥中心内防雷地网和防雷 的建设，将提高设备的防雷能力。空调设备的安装，可使核心设备能够在适当的温度下运行。</w:t>
      </w:r>
    </w:p>
    <w:p>
      <w:pPr>
        <w:pStyle w:val="8"/>
        <w:spacing w:line="360" w:lineRule="auto"/>
        <w:ind w:firstLine="482"/>
        <w:rPr>
          <w:rFonts w:hint="eastAsia"/>
          <w:sz w:val="24"/>
        </w:rPr>
      </w:pPr>
      <w:r>
        <w:rPr>
          <w:rFonts w:hint="eastAsia"/>
          <w:sz w:val="24"/>
        </w:rPr>
        <w:t>3）</w:t>
      </w:r>
      <w:r>
        <w:rPr>
          <w:sz w:val="24"/>
        </w:rPr>
        <w:t>供配电系统</w:t>
      </w:r>
    </w:p>
    <w:p>
      <w:pPr>
        <w:pStyle w:val="8"/>
        <w:spacing w:line="360" w:lineRule="auto"/>
        <w:ind w:firstLine="482"/>
        <w:rPr>
          <w:rFonts w:hint="eastAsia"/>
          <w:sz w:val="24"/>
        </w:rPr>
      </w:pPr>
      <w:r>
        <w:rPr>
          <w:sz w:val="24"/>
        </w:rPr>
        <w:t>供电需求 指挥中心用电负荷根据设备性质按计算机负荷及非计算机负荷设计。</w:t>
      </w:r>
    </w:p>
    <w:p>
      <w:pPr>
        <w:pStyle w:val="8"/>
        <w:spacing w:line="360" w:lineRule="auto"/>
        <w:ind w:firstLine="482"/>
        <w:rPr>
          <w:sz w:val="24"/>
        </w:rPr>
      </w:pPr>
      <w:r>
        <w:rPr>
          <w:sz w:val="24"/>
        </w:rPr>
        <w:t>计算机负荷由大楼内的供电电源经 UPS 稳频、稳压、调整电压波形后为服务器、网络设备等 供电，同时也为 UPS 后备电池充电；当遇到市电供电线路断电时，UPS 后备电池立即放电，经 UPS 逆变后给计算机设备不间断供电。</w:t>
      </w:r>
    </w:p>
    <w:p>
      <w:pPr>
        <w:pStyle w:val="8"/>
        <w:spacing w:line="360" w:lineRule="auto"/>
        <w:ind w:firstLine="482"/>
        <w:rPr>
          <w:rFonts w:hint="eastAsia"/>
          <w:sz w:val="24"/>
        </w:rPr>
      </w:pPr>
      <w:r>
        <w:rPr>
          <w:sz w:val="24"/>
        </w:rPr>
        <w:t>非计算机负荷包括机房内的空调、照明、大屏幕显示墙、UPS 主机等所有除计算机设备外的 用电负荷，由大楼总配电室提供独立的电源直接供电，对不同的相位分配均衡负载。</w:t>
      </w:r>
    </w:p>
    <w:p>
      <w:pPr>
        <w:pStyle w:val="8"/>
        <w:spacing w:line="360" w:lineRule="auto"/>
        <w:ind w:firstLine="482"/>
        <w:rPr>
          <w:rFonts w:hint="eastAsia"/>
          <w:sz w:val="24"/>
        </w:rPr>
      </w:pPr>
      <w:r>
        <w:rPr>
          <w:sz w:val="24"/>
        </w:rPr>
        <w:t>配电要求</w:t>
      </w:r>
    </w:p>
    <w:p>
      <w:pPr>
        <w:pStyle w:val="8"/>
        <w:spacing w:line="360" w:lineRule="auto"/>
        <w:ind w:firstLine="482"/>
        <w:rPr>
          <w:rFonts w:hint="eastAsia"/>
          <w:sz w:val="24"/>
        </w:rPr>
      </w:pPr>
      <w:r>
        <w:rPr>
          <w:sz w:val="24"/>
        </w:rPr>
        <w:t>a)  动力配电柜配电 包括工作照明电、主机电、插座电、动力电（风机、空调等）等部分。供电 380/220V 电压、50HZ 频率和三相五线制（即 TN-S 系统）的配线方式供电。设备供电按设备总用电量的 20%-30%进行预留。</w:t>
      </w:r>
    </w:p>
    <w:p>
      <w:pPr>
        <w:pStyle w:val="8"/>
        <w:spacing w:line="360" w:lineRule="auto"/>
        <w:ind w:firstLine="482"/>
        <w:rPr>
          <w:rFonts w:hint="eastAsia"/>
          <w:sz w:val="24"/>
        </w:rPr>
      </w:pPr>
      <w:r>
        <w:rPr>
          <w:sz w:val="24"/>
        </w:rPr>
        <w:t>UPS 配电</w:t>
      </w:r>
    </w:p>
    <w:p>
      <w:pPr>
        <w:pStyle w:val="8"/>
        <w:spacing w:line="360" w:lineRule="auto"/>
        <w:ind w:firstLine="482"/>
        <w:rPr>
          <w:rFonts w:hint="eastAsia"/>
          <w:sz w:val="24"/>
        </w:rPr>
      </w:pPr>
      <w:r>
        <w:rPr>
          <w:sz w:val="24"/>
        </w:rPr>
        <w:t>包括事故照明电、服务器、PC 机、网络交换机图像监控、有无线设备和其他系统核心主机供电等部分。设备电源的电压变化在 220V±5%之内，频率变化在 50HZ±0.5HZ 之内。</w:t>
      </w:r>
    </w:p>
    <w:p>
      <w:pPr>
        <w:pStyle w:val="8"/>
        <w:spacing w:line="360" w:lineRule="auto"/>
        <w:ind w:firstLine="482"/>
        <w:rPr>
          <w:rFonts w:hint="eastAsia"/>
          <w:sz w:val="24"/>
        </w:rPr>
      </w:pPr>
      <w:r>
        <w:rPr>
          <w:sz w:val="24"/>
        </w:rPr>
        <w:t xml:space="preserve">其他 </w:t>
      </w:r>
    </w:p>
    <w:p>
      <w:pPr>
        <w:pStyle w:val="8"/>
        <w:spacing w:line="360" w:lineRule="auto"/>
        <w:ind w:firstLine="482"/>
        <w:rPr>
          <w:rFonts w:hint="eastAsia"/>
          <w:sz w:val="24"/>
        </w:rPr>
      </w:pPr>
      <w:r>
        <w:rPr>
          <w:sz w:val="24"/>
        </w:rPr>
        <w:t>中心机房内的插座分三种，它们分别是：不间断电源（UPS）供电的专用插座（不间断电源（UPS）供电的设备用三孔标准插座），市电直接供电的设备用五孔标准插座，直流电源系统接线柱。</w:t>
      </w:r>
    </w:p>
    <w:p>
      <w:pPr>
        <w:pStyle w:val="8"/>
        <w:spacing w:line="360" w:lineRule="auto"/>
        <w:ind w:firstLine="482"/>
        <w:rPr>
          <w:rFonts w:hint="eastAsia"/>
          <w:sz w:val="24"/>
        </w:rPr>
      </w:pPr>
      <w:r>
        <w:rPr>
          <w:sz w:val="24"/>
        </w:rPr>
        <w:t>各功能房内照明装置宜采用无眩光灯盘，照明亮度大于 400lx，事故照明亮度大于 40lx。 配电系统考虑与急照明系统的自动切换和消防系统的联动。</w:t>
      </w:r>
    </w:p>
    <w:p>
      <w:pPr>
        <w:pStyle w:val="8"/>
        <w:spacing w:line="360" w:lineRule="auto"/>
        <w:ind w:firstLine="482"/>
        <w:rPr>
          <w:rFonts w:hint="eastAsia"/>
          <w:sz w:val="24"/>
        </w:rPr>
      </w:pPr>
      <w:r>
        <w:rPr>
          <w:sz w:val="24"/>
        </w:rPr>
        <w:t>UPS 电源不间断电源系统</w:t>
      </w:r>
    </w:p>
    <w:p>
      <w:pPr>
        <w:pStyle w:val="8"/>
        <w:spacing w:line="360" w:lineRule="auto"/>
        <w:ind w:firstLine="482"/>
        <w:rPr>
          <w:rFonts w:hint="eastAsia"/>
          <w:sz w:val="24"/>
        </w:rPr>
      </w:pPr>
      <w:r>
        <w:rPr>
          <w:sz w:val="24"/>
        </w:rPr>
        <w:t>UPS不间断电源，主要为指挥中心内的核心设备供电。根据现状计算，并考虑到 UPS 电源的冗余，需要安装 10KVA 的模块，提供电源功率输出。</w:t>
      </w:r>
    </w:p>
    <w:p>
      <w:pPr>
        <w:pStyle w:val="8"/>
        <w:spacing w:line="360" w:lineRule="auto"/>
        <w:ind w:firstLine="482"/>
        <w:rPr>
          <w:rFonts w:hint="eastAsia"/>
          <w:sz w:val="24"/>
        </w:rPr>
      </w:pPr>
      <w:r>
        <w:rPr>
          <w:rFonts w:hint="eastAsia"/>
          <w:sz w:val="24"/>
        </w:rPr>
        <w:t>4）</w:t>
      </w:r>
      <w:r>
        <w:rPr>
          <w:sz w:val="24"/>
        </w:rPr>
        <w:t>布线方式</w:t>
      </w:r>
    </w:p>
    <w:p>
      <w:pPr>
        <w:pStyle w:val="8"/>
        <w:spacing w:line="360" w:lineRule="auto"/>
        <w:ind w:firstLine="482"/>
        <w:rPr>
          <w:rFonts w:hint="eastAsia"/>
          <w:sz w:val="24"/>
        </w:rPr>
      </w:pPr>
      <w:r>
        <w:rPr>
          <w:sz w:val="24"/>
        </w:rPr>
        <w:t>根据公安消防部门规定，装修所采用的导线应符合消防安全，即通过消防局认证。所以室内 导线全部采用新型阻燃导线组。</w:t>
      </w:r>
    </w:p>
    <w:p>
      <w:pPr>
        <w:pStyle w:val="8"/>
        <w:spacing w:line="360" w:lineRule="auto"/>
        <w:ind w:firstLine="482"/>
        <w:rPr>
          <w:rFonts w:hint="eastAsia"/>
          <w:sz w:val="24"/>
        </w:rPr>
      </w:pPr>
      <w:r>
        <w:rPr>
          <w:sz w:val="24"/>
        </w:rPr>
        <w:t>供电线路全部采取走金属镀锌线槽/管的方式，金属线槽留有扩充的余量，具体走线方式详见 可参考所附配电系统图纸。 为了满足防湿措施，除了在地面上作一些处理外，同时为防止漏电危及人身安全和防电磁干扰，所有金属线槽、金属线管全部可靠连成一体并可靠接地，接地电阻 R≤4Ω。 导线的型式：市电电源负载线缆主要为：YJV、ZR-BV 系列，UPS 电源负载线缆全部采用新型难燃铜芯塑料绝缘导线（ZR-BVV 系列）。 导线的截面选择：是根据负荷的大小，允许的电压损失，导线长时间的允许温升及倒显得机械强度等因素而定。</w:t>
      </w:r>
    </w:p>
    <w:p>
      <w:pPr>
        <w:pStyle w:val="8"/>
        <w:spacing w:line="360" w:lineRule="auto"/>
        <w:ind w:firstLine="360" w:firstLineChars="150"/>
        <w:rPr>
          <w:rFonts w:hint="eastAsia"/>
          <w:sz w:val="24"/>
        </w:rPr>
      </w:pPr>
      <w:r>
        <w:rPr>
          <w:rFonts w:hint="eastAsia"/>
          <w:sz w:val="24"/>
        </w:rPr>
        <w:t>5）</w:t>
      </w:r>
      <w:r>
        <w:rPr>
          <w:sz w:val="24"/>
        </w:rPr>
        <w:t>照明系统</w:t>
      </w:r>
    </w:p>
    <w:p>
      <w:pPr>
        <w:pStyle w:val="8"/>
        <w:spacing w:line="360" w:lineRule="auto"/>
        <w:ind w:firstLine="482"/>
        <w:rPr>
          <w:rFonts w:hint="eastAsia"/>
          <w:sz w:val="24"/>
        </w:rPr>
      </w:pPr>
      <w:r>
        <w:rPr>
          <w:sz w:val="24"/>
        </w:rPr>
        <w:t>指挥中心内的照明系统是一个独立的系统，与大楼的照明系统分开，设有独立的照明配电箱。 灯具光线均匀，且能起到减小眩光对工作人员视力影响的作用。拼接屏幕前面四米内为暗区，安 装的卤素灯平行于拼接屏幕排列，单独可控开与关。灯光不直接照射到屏幕上。整个大厅的灯按 平行于屏幕方向分组进行控制，不选用较强光源。大厅前后两侧可能射入 λ 的光线（如窗户）， 设计有必要的遮挡（如窗帘等）。指挥大厅地面照度：≥200Lx，人员工作区地面照度：≥500Lx， 中心室内不允许直接阳光直射。</w:t>
      </w:r>
    </w:p>
    <w:p>
      <w:pPr>
        <w:pStyle w:val="8"/>
        <w:spacing w:line="360" w:lineRule="auto"/>
        <w:ind w:firstLine="482"/>
        <w:rPr>
          <w:rFonts w:hint="eastAsia"/>
          <w:sz w:val="24"/>
        </w:rPr>
      </w:pPr>
      <w:r>
        <w:rPr>
          <w:sz w:val="24"/>
        </w:rPr>
        <w:t>应急照明灯具采用冷光源射灯，采用与市电连锁自动控制的方式。即在正常情况下熄灭，一 旦市电停电时则立即自动投入。事故照明电源由 UPS 供给。指挥中心内的应急照明系统自成一体， 它仅作为市电停电及紧急事故情况时，工作人员应急工作照明用和安全撤离使用，因此对它的照 度要求较低，大于 10 lx。应急照明系统，包括应急照明灯和消防疏散指示灯。按照 GB/T 2887-2000《电子计算机场地通用规范》的要求，应急备用照明照度不小于 30 lx。应急照明与消防联动。</w:t>
      </w:r>
    </w:p>
    <w:p>
      <w:pPr>
        <w:pStyle w:val="8"/>
        <w:spacing w:line="360" w:lineRule="auto"/>
        <w:ind w:firstLine="600" w:firstLineChars="250"/>
        <w:rPr>
          <w:rFonts w:hint="eastAsia"/>
          <w:sz w:val="24"/>
        </w:rPr>
      </w:pPr>
      <w:r>
        <w:rPr>
          <w:rFonts w:hint="eastAsia"/>
          <w:sz w:val="24"/>
        </w:rPr>
        <w:t>6）</w:t>
      </w:r>
      <w:r>
        <w:rPr>
          <w:sz w:val="24"/>
        </w:rPr>
        <w:t>防雷接地系统</w:t>
      </w:r>
    </w:p>
    <w:p>
      <w:pPr>
        <w:pStyle w:val="8"/>
        <w:spacing w:line="360" w:lineRule="auto"/>
        <w:ind w:firstLine="600" w:firstLineChars="250"/>
        <w:rPr>
          <w:rFonts w:hint="eastAsia"/>
          <w:sz w:val="24"/>
        </w:rPr>
      </w:pPr>
      <w:r>
        <w:rPr>
          <w:sz w:val="24"/>
        </w:rPr>
        <w:t xml:space="preserve">防雷接地系统 </w:t>
      </w:r>
    </w:p>
    <w:p>
      <w:pPr>
        <w:pStyle w:val="8"/>
        <w:spacing w:line="360" w:lineRule="auto"/>
        <w:ind w:firstLine="600" w:firstLineChars="250"/>
        <w:rPr>
          <w:rFonts w:hint="eastAsia"/>
          <w:sz w:val="24"/>
        </w:rPr>
      </w:pPr>
      <w:r>
        <w:rPr>
          <w:rFonts w:hint="eastAsia"/>
          <w:sz w:val="24"/>
        </w:rPr>
        <w:t>中心采用两级电源防雷过压保护，即在楼层总电源进线处安装一级电源防雷和</w:t>
      </w:r>
      <w:r>
        <w:rPr>
          <w:sz w:val="24"/>
        </w:rPr>
        <w:t xml:space="preserve"> UPS</w:t>
      </w:r>
      <w:r>
        <w:rPr>
          <w:rFonts w:hint="eastAsia"/>
          <w:sz w:val="24"/>
        </w:rPr>
        <w:t>电源进线处安装二级电源防雷。两级防雷器之间有退耦措施。</w:t>
      </w:r>
    </w:p>
    <w:p>
      <w:pPr>
        <w:pStyle w:val="8"/>
        <w:spacing w:line="360" w:lineRule="auto"/>
        <w:ind w:firstLine="600" w:firstLineChars="250"/>
        <w:rPr>
          <w:rFonts w:hint="eastAsia"/>
          <w:sz w:val="24"/>
        </w:rPr>
      </w:pPr>
      <w:r>
        <w:rPr>
          <w:sz w:val="24"/>
        </w:rPr>
        <w:t>接地系统</w:t>
      </w:r>
    </w:p>
    <w:p>
      <w:pPr>
        <w:pStyle w:val="8"/>
        <w:spacing w:line="360" w:lineRule="auto"/>
        <w:ind w:firstLine="600" w:firstLineChars="250"/>
        <w:rPr>
          <w:rFonts w:hint="eastAsia"/>
          <w:sz w:val="32"/>
        </w:rPr>
      </w:pPr>
      <w:r>
        <w:rPr>
          <w:sz w:val="24"/>
        </w:rPr>
        <w:t>静电防护、安全接地符合 GB2887-2000《电子计算机场地通用规</w:t>
      </w:r>
      <w:r>
        <w:rPr>
          <w:rFonts w:ascii="宋体" w:hAnsi="宋体" w:cs="宋体"/>
          <w:spacing w:val="3"/>
        </w:rPr>
        <w:t>范》中的规定。 接地</w:t>
      </w:r>
      <w:r>
        <w:rPr>
          <w:rFonts w:ascii="宋体" w:hAnsi="宋体" w:cs="宋体"/>
          <w:spacing w:val="3"/>
          <w:sz w:val="24"/>
        </w:rPr>
        <w:t>装置的设置满足人身的安全及计算机正常运行和系统设备的安全要求。地线系统：直流</w:t>
      </w:r>
      <w:r>
        <w:rPr>
          <w:spacing w:val="3"/>
          <w:sz w:val="24"/>
        </w:rPr>
        <w:t>工作接地</w:t>
      </w:r>
      <w:r>
        <w:rPr>
          <w:rFonts w:eastAsia="Times New Roman"/>
          <w:spacing w:val="3"/>
          <w:sz w:val="24"/>
        </w:rPr>
        <w:t>≤1Ω</w:t>
      </w:r>
      <w:r>
        <w:rPr>
          <w:spacing w:val="3"/>
          <w:sz w:val="24"/>
        </w:rPr>
        <w:t>、交流工作接地</w:t>
      </w:r>
      <w:r>
        <w:rPr>
          <w:rFonts w:eastAsia="Times New Roman"/>
          <w:spacing w:val="3"/>
          <w:sz w:val="24"/>
        </w:rPr>
        <w:t>≤4Ω</w:t>
      </w:r>
      <w:r>
        <w:rPr>
          <w:spacing w:val="3"/>
          <w:sz w:val="24"/>
        </w:rPr>
        <w:t>、安全保护接地</w:t>
      </w:r>
      <w:r>
        <w:rPr>
          <w:rFonts w:eastAsia="Times New Roman"/>
          <w:spacing w:val="3"/>
          <w:sz w:val="24"/>
        </w:rPr>
        <w:t>≤2Ω</w:t>
      </w:r>
      <w:r>
        <w:rPr>
          <w:spacing w:val="3"/>
          <w:sz w:val="24"/>
        </w:rPr>
        <w:t>、防雷保护接地</w:t>
      </w:r>
      <w:r>
        <w:rPr>
          <w:rFonts w:eastAsia="Times New Roman"/>
          <w:spacing w:val="3"/>
          <w:sz w:val="24"/>
        </w:rPr>
        <w:t>≤2Ω</w:t>
      </w:r>
      <w:r>
        <w:rPr>
          <w:spacing w:val="3"/>
          <w:sz w:val="24"/>
        </w:rPr>
        <w:t>。具体技术要求参照</w:t>
      </w:r>
      <w:r>
        <w:rPr>
          <w:rFonts w:eastAsia="Times New Roman"/>
          <w:spacing w:val="-1"/>
          <w:sz w:val="24"/>
        </w:rPr>
        <w:t>GB50174-93</w:t>
      </w:r>
      <w:r>
        <w:rPr>
          <w:rFonts w:eastAsia="Times New Roman"/>
          <w:spacing w:val="21"/>
          <w:sz w:val="24"/>
        </w:rPr>
        <w:t xml:space="preserve"> </w:t>
      </w:r>
      <w:r>
        <w:rPr>
          <w:sz w:val="24"/>
        </w:rPr>
        <w:t>《</w:t>
      </w:r>
      <w:r>
        <w:rPr>
          <w:spacing w:val="-99"/>
          <w:sz w:val="24"/>
        </w:rPr>
        <w:t xml:space="preserve"> </w:t>
      </w:r>
      <w:r>
        <w:rPr>
          <w:spacing w:val="18"/>
          <w:sz w:val="24"/>
        </w:rPr>
        <w:t>电</w:t>
      </w:r>
      <w:r>
        <w:rPr>
          <w:spacing w:val="21"/>
          <w:sz w:val="24"/>
        </w:rPr>
        <w:t>子计</w:t>
      </w:r>
      <w:r>
        <w:rPr>
          <w:spacing w:val="18"/>
          <w:sz w:val="24"/>
        </w:rPr>
        <w:t>算机</w:t>
      </w:r>
      <w:r>
        <w:rPr>
          <w:spacing w:val="21"/>
          <w:sz w:val="24"/>
        </w:rPr>
        <w:t>机</w:t>
      </w:r>
      <w:r>
        <w:rPr>
          <w:spacing w:val="18"/>
          <w:sz w:val="24"/>
        </w:rPr>
        <w:t>房</w:t>
      </w:r>
      <w:r>
        <w:rPr>
          <w:spacing w:val="21"/>
          <w:sz w:val="24"/>
        </w:rPr>
        <w:t>设</w:t>
      </w:r>
      <w:r>
        <w:rPr>
          <w:spacing w:val="18"/>
          <w:sz w:val="24"/>
        </w:rPr>
        <w:t>计</w:t>
      </w:r>
      <w:r>
        <w:rPr>
          <w:spacing w:val="21"/>
          <w:sz w:val="24"/>
        </w:rPr>
        <w:t>规</w:t>
      </w:r>
      <w:r>
        <w:rPr>
          <w:spacing w:val="18"/>
          <w:sz w:val="24"/>
        </w:rPr>
        <w:t>范</w:t>
      </w:r>
      <w:r>
        <w:rPr>
          <w:spacing w:val="-99"/>
          <w:sz w:val="24"/>
        </w:rPr>
        <w:t>》</w:t>
      </w:r>
      <w:r>
        <w:rPr>
          <w:sz w:val="24"/>
        </w:rPr>
        <w:t>、</w:t>
      </w:r>
      <w:r>
        <w:rPr>
          <w:spacing w:val="-98"/>
          <w:sz w:val="24"/>
        </w:rPr>
        <w:t xml:space="preserve"> </w:t>
      </w:r>
      <w:r>
        <w:rPr>
          <w:rFonts w:eastAsia="Times New Roman"/>
          <w:spacing w:val="-1"/>
          <w:sz w:val="24"/>
        </w:rPr>
        <w:t>GB2887-2011</w:t>
      </w:r>
      <w:r>
        <w:rPr>
          <w:spacing w:val="17"/>
          <w:sz w:val="24"/>
        </w:rPr>
        <w:t>《电子计算机场地通用规范》和</w:t>
      </w:r>
      <w:r>
        <w:rPr>
          <w:rFonts w:eastAsia="Times New Roman"/>
          <w:spacing w:val="-1"/>
          <w:sz w:val="24"/>
        </w:rPr>
        <w:t>GB50343-2012</w:t>
      </w:r>
      <w:r>
        <w:rPr>
          <w:sz w:val="24"/>
        </w:rPr>
        <w:t>《建筑物电子信息系统防雷技术规范》的规定，符合技术指标中的有关要求，有特殊要求的设备进行特殊处理。</w:t>
      </w:r>
    </w:p>
    <w:p>
      <w:pPr>
        <w:pStyle w:val="8"/>
        <w:spacing w:line="360" w:lineRule="auto"/>
        <w:ind w:firstLine="480" w:firstLineChars="200"/>
        <w:rPr>
          <w:rFonts w:hint="eastAsia"/>
          <w:sz w:val="32"/>
        </w:rPr>
      </w:pPr>
      <w:r>
        <w:rPr>
          <w:sz w:val="24"/>
        </w:rPr>
        <w:t>按照要求，交流接地和安全工作接地合二为一，与直流接地，防雷接地分别用接地引线引至大楼的接地点，再将它们与避雷地桩接成综合接地网。</w:t>
      </w:r>
      <w:bookmarkStart w:id="86" w:name="_Toc495130011"/>
      <w:bookmarkStart w:id="87" w:name="_Toc495128077"/>
    </w:p>
    <w:p>
      <w:pPr>
        <w:pStyle w:val="8"/>
        <w:spacing w:line="360" w:lineRule="auto"/>
        <w:ind w:firstLine="480" w:firstLineChars="200"/>
        <w:rPr>
          <w:rFonts w:hint="eastAsia"/>
          <w:sz w:val="32"/>
        </w:rPr>
      </w:pPr>
      <w:r>
        <w:rPr>
          <w:rFonts w:hint="eastAsia"/>
          <w:sz w:val="24"/>
        </w:rPr>
        <w:t>网络通信系统</w:t>
      </w:r>
      <w:bookmarkEnd w:id="86"/>
      <w:bookmarkEnd w:id="87"/>
    </w:p>
    <w:p>
      <w:pPr>
        <w:pStyle w:val="8"/>
        <w:spacing w:line="360" w:lineRule="auto"/>
        <w:ind w:firstLine="480" w:firstLineChars="200"/>
        <w:rPr>
          <w:rFonts w:hint="eastAsia"/>
          <w:sz w:val="32"/>
        </w:rPr>
      </w:pPr>
      <w:r>
        <w:rPr>
          <w:rFonts w:hint="eastAsia"/>
          <w:sz w:val="24"/>
        </w:rPr>
        <w:t>本次工程拟采用 EPON 技术实现外场设备与中心联网。</w:t>
      </w:r>
    </w:p>
    <w:p>
      <w:pPr>
        <w:pStyle w:val="8"/>
        <w:spacing w:line="360" w:lineRule="auto"/>
        <w:ind w:firstLineChars="175"/>
        <w:rPr>
          <w:rFonts w:hint="eastAsia"/>
          <w:sz w:val="32"/>
        </w:rPr>
      </w:pPr>
      <w:r>
        <w:rPr>
          <w:rFonts w:hint="eastAsia"/>
          <w:sz w:val="24"/>
        </w:rPr>
        <w:t>★本项目所有网络均必须采用视频专网，必须承诺与运营商其他网络物理隔离。</w:t>
      </w:r>
    </w:p>
    <w:p>
      <w:pPr>
        <w:pStyle w:val="8"/>
        <w:spacing w:line="360" w:lineRule="auto"/>
        <w:ind w:firstLineChars="175"/>
        <w:rPr>
          <w:rFonts w:hint="eastAsia"/>
          <w:sz w:val="24"/>
        </w:rPr>
      </w:pPr>
      <w:r>
        <w:rPr>
          <w:rFonts w:hint="eastAsia"/>
          <w:sz w:val="24"/>
        </w:rPr>
        <w:t>由于交叉路口智能交通设备较多（电警、信号控制、视频监控、流量采集），运营商应提供1000M 光纤接入能力，路段单一智能交通设备提供 100M 光纤接入。前端视频</w:t>
      </w:r>
      <w:r>
        <w:rPr>
          <w:sz w:val="24"/>
        </w:rPr>
        <w:t>、图片等数据</w:t>
      </w:r>
      <w:r>
        <w:rPr>
          <w:rFonts w:hint="eastAsia"/>
          <w:sz w:val="24"/>
        </w:rPr>
        <w:t>以视频专网方式接入运营商数据中心机房，交警大队和中队通过 10GE 视频专网</w:t>
      </w:r>
      <w:r>
        <w:rPr>
          <w:sz w:val="24"/>
        </w:rPr>
        <w:t>链路与运营商数据中心互联</w:t>
      </w:r>
      <w:r>
        <w:rPr>
          <w:rFonts w:hint="eastAsia"/>
          <w:sz w:val="24"/>
        </w:rPr>
        <w:t>；通过运营商核心网络设备路由配置， 实现各路口监控点与大队的网络互联。</w:t>
      </w:r>
      <w:bookmarkStart w:id="88" w:name="_Toc495130012"/>
      <w:bookmarkStart w:id="89" w:name="_Toc495128078"/>
      <w:bookmarkStart w:id="90" w:name="_Toc521530784"/>
    </w:p>
    <w:p>
      <w:pPr>
        <w:pStyle w:val="8"/>
        <w:spacing w:line="360" w:lineRule="auto"/>
        <w:ind w:firstLine="120" w:firstLineChars="50"/>
        <w:rPr>
          <w:rFonts w:hint="eastAsia"/>
          <w:b/>
          <w:sz w:val="32"/>
        </w:rPr>
      </w:pPr>
      <w:r>
        <w:rPr>
          <w:rFonts w:hint="eastAsia" w:ascii="宋体" w:hAnsi="宋体" w:cs="宋体"/>
          <w:b/>
          <w:sz w:val="24"/>
        </w:rPr>
        <w:t>12.2.6数据信息存储设计</w:t>
      </w:r>
      <w:bookmarkEnd w:id="88"/>
      <w:bookmarkEnd w:id="89"/>
      <w:bookmarkEnd w:id="90"/>
    </w:p>
    <w:p>
      <w:pPr>
        <w:pStyle w:val="8"/>
        <w:spacing w:line="360" w:lineRule="auto"/>
        <w:ind w:firstLine="120" w:firstLineChars="50"/>
        <w:rPr>
          <w:rFonts w:hint="eastAsia"/>
          <w:b/>
          <w:sz w:val="32"/>
        </w:rPr>
      </w:pPr>
      <w:r>
        <w:rPr>
          <w:sz w:val="24"/>
        </w:rPr>
        <w:t>1</w:t>
      </w:r>
      <w:r>
        <w:rPr>
          <w:rFonts w:hint="eastAsia"/>
          <w:sz w:val="24"/>
        </w:rPr>
        <w:t>、视频</w:t>
      </w:r>
      <w:r>
        <w:rPr>
          <w:sz w:val="24"/>
        </w:rPr>
        <w:t>存储</w:t>
      </w:r>
      <w:r>
        <w:rPr>
          <w:rFonts w:hint="eastAsia"/>
          <w:sz w:val="24"/>
        </w:rPr>
        <w:t>要求</w:t>
      </w:r>
    </w:p>
    <w:p>
      <w:pPr>
        <w:pStyle w:val="63"/>
        <w:numPr>
          <w:ilvl w:val="0"/>
          <w:numId w:val="13"/>
        </w:numPr>
        <w:ind w:firstLineChars="0"/>
      </w:pPr>
      <w:r>
        <w:rPr>
          <w:rFonts w:hint="eastAsia"/>
        </w:rPr>
        <w:t>1 路 1080P 监视球机按照 4M 码流计算 ，</w:t>
      </w:r>
      <w:r>
        <w:t>存储时间</w:t>
      </w:r>
      <w:r>
        <w:rPr>
          <w:rFonts w:hint="eastAsia"/>
        </w:rPr>
        <w:t>30 天</w:t>
      </w:r>
    </w:p>
    <w:p>
      <w:pPr>
        <w:pStyle w:val="63"/>
        <w:numPr>
          <w:ilvl w:val="0"/>
          <w:numId w:val="14"/>
        </w:numPr>
        <w:ind w:firstLineChars="0"/>
        <w:rPr>
          <w:rFonts w:hint="eastAsia"/>
        </w:rPr>
      </w:pPr>
      <w:r>
        <w:rPr>
          <w:rFonts w:ascii="Times New Roman" w:hAnsi="Times New Roman" w:eastAsia="Times New Roman"/>
        </w:rPr>
        <w:t xml:space="preserve">1 </w:t>
      </w:r>
      <w:r>
        <w:rPr>
          <w:spacing w:val="-23"/>
        </w:rPr>
        <w:t>路</w:t>
      </w:r>
      <w:r>
        <w:rPr>
          <w:rFonts w:hint="eastAsia"/>
          <w:spacing w:val="-23"/>
        </w:rPr>
        <w:t>900</w:t>
      </w:r>
      <w:r>
        <w:rPr>
          <w:spacing w:val="-5"/>
        </w:rPr>
        <w:t>万像素高清摄像机按</w:t>
      </w:r>
      <w:r>
        <w:t>照 8M 码流计算</w:t>
      </w:r>
      <w:r>
        <w:rPr>
          <w:rFonts w:hint="eastAsia"/>
        </w:rPr>
        <w:t>， 存储</w:t>
      </w:r>
      <w:r>
        <w:t>时间</w:t>
      </w:r>
      <w:r>
        <w:rPr>
          <w:rFonts w:hint="eastAsia"/>
        </w:rPr>
        <w:t>30天</w:t>
      </w:r>
    </w:p>
    <w:p>
      <w:pPr>
        <w:pStyle w:val="63"/>
        <w:ind w:firstLineChars="0"/>
      </w:pPr>
      <w:r>
        <w:t>2</w:t>
      </w:r>
      <w:r>
        <w:rPr>
          <w:rFonts w:hint="eastAsia"/>
        </w:rPr>
        <w:t>、图片</w:t>
      </w:r>
      <w:r>
        <w:t>存储要求</w:t>
      </w:r>
    </w:p>
    <w:p>
      <w:pPr>
        <w:pStyle w:val="63"/>
        <w:ind w:firstLine="480"/>
        <w:rPr>
          <w:rFonts w:hint="eastAsia"/>
        </w:rPr>
      </w:pPr>
      <w:r>
        <w:rPr>
          <w:rFonts w:hint="eastAsia"/>
        </w:rPr>
        <w:t>车辆图片信息采用 JPEG 编码格式，符合 ISO/IEC1544∶2000 要求，压缩因子不高于 70；</w:t>
      </w:r>
    </w:p>
    <w:p>
      <w:pPr>
        <w:pStyle w:val="63"/>
        <w:ind w:firstLine="480"/>
      </w:pPr>
      <w:r>
        <w:t>9</w:t>
      </w:r>
      <w:r>
        <w:rPr>
          <w:rFonts w:hint="eastAsia"/>
        </w:rPr>
        <w:t>00万高清摄像机输出照片文件平均大小为 700KB，按单车道日均 2000 辆流量、</w:t>
      </w:r>
      <w:r>
        <w:t>机</w:t>
      </w:r>
      <w:r>
        <w:rPr>
          <w:rFonts w:hint="eastAsia"/>
        </w:rPr>
        <w:t>动</w:t>
      </w:r>
      <w:r>
        <w:t>车平均违法率按</w:t>
      </w:r>
      <w:r>
        <w:rPr>
          <w:rFonts w:hint="eastAsia"/>
        </w:rPr>
        <w:t>1</w:t>
      </w:r>
      <w:r>
        <w:t>%</w:t>
      </w:r>
      <w:r>
        <w:rPr>
          <w:rFonts w:hint="eastAsia"/>
        </w:rPr>
        <w:t>估算过车</w:t>
      </w:r>
      <w:r>
        <w:t>图片和违法图片的存储容量</w:t>
      </w:r>
      <w:r>
        <w:rPr>
          <w:rFonts w:hint="eastAsia"/>
        </w:rPr>
        <w:t>。</w:t>
      </w:r>
    </w:p>
    <w:p>
      <w:pPr>
        <w:pStyle w:val="63"/>
        <w:ind w:firstLine="480"/>
        <w:rPr>
          <w:rFonts w:hint="eastAsia"/>
        </w:rPr>
      </w:pPr>
      <w:r>
        <w:rPr>
          <w:rFonts w:hint="eastAsia"/>
        </w:rPr>
        <w:t>上述数据信息存储于柯桥区交警大队机房，本次招标中不需要配置。</w:t>
      </w:r>
      <w:bookmarkStart w:id="91" w:name="_Toc495128079"/>
      <w:bookmarkStart w:id="92" w:name="_Toc521530785"/>
      <w:bookmarkStart w:id="93" w:name="_Toc495130013"/>
    </w:p>
    <w:p>
      <w:pPr>
        <w:pStyle w:val="63"/>
        <w:ind w:firstLine="0" w:firstLineChars="0"/>
        <w:rPr>
          <w:rFonts w:hint="eastAsia"/>
          <w:b/>
        </w:rPr>
      </w:pPr>
      <w:r>
        <w:rPr>
          <w:rFonts w:hint="eastAsia" w:cs="宋体"/>
          <w:b/>
        </w:rPr>
        <w:t>12.2.7与柯桥区交警大队现有平台无缝对接</w:t>
      </w:r>
      <w:bookmarkEnd w:id="91"/>
      <w:bookmarkEnd w:id="92"/>
      <w:bookmarkEnd w:id="93"/>
    </w:p>
    <w:p>
      <w:pPr>
        <w:spacing w:line="360" w:lineRule="auto"/>
        <w:ind w:firstLine="480"/>
        <w:rPr>
          <w:rFonts w:ascii="宋体" w:hAnsi="宋体" w:cs="宋体"/>
          <w:sz w:val="24"/>
        </w:rPr>
      </w:pPr>
      <w:r>
        <w:rPr>
          <w:rFonts w:hint="eastAsia" w:ascii="宋体" w:hAnsi="宋体" w:cs="宋体"/>
          <w:sz w:val="24"/>
        </w:rPr>
        <w:t>基于柯桥区核心城区已经完成的智能交通建设，此次柯桥区钱清镇智能交通（设备、线路）租赁项目应与柯桥城区的统一并且所有建设内容需要无缝接入柯桥区交警大队现有的“交通信号控制系统intellific平台”，“智能交通综合管控平台”，“柯桥区公安交警指挥平台”。</w:t>
      </w:r>
    </w:p>
    <w:p>
      <w:pPr>
        <w:pStyle w:val="4"/>
        <w:keepLines w:val="0"/>
        <w:widowControl/>
        <w:numPr>
          <w:ilvl w:val="2"/>
          <w:numId w:val="0"/>
        </w:numPr>
        <w:tabs>
          <w:tab w:val="left" w:pos="851"/>
        </w:tabs>
        <w:spacing w:before="240" w:after="60" w:line="360" w:lineRule="auto"/>
        <w:ind w:left="851" w:hanging="851"/>
        <w:jc w:val="left"/>
        <w:rPr>
          <w:rFonts w:hint="eastAsia" w:ascii="宋体" w:hAnsi="宋体" w:cs="宋体"/>
          <w:sz w:val="24"/>
        </w:rPr>
      </w:pPr>
      <w:bookmarkStart w:id="94" w:name="_Toc495128080"/>
      <w:bookmarkStart w:id="95" w:name="_Toc521530786"/>
      <w:bookmarkStart w:id="96" w:name="_Toc495130014"/>
      <w:r>
        <w:rPr>
          <w:rFonts w:hint="eastAsia" w:ascii="宋体" w:hAnsi="宋体" w:cs="宋体"/>
          <w:sz w:val="24"/>
        </w:rPr>
        <w:t>12.2.8主要技术标准</w:t>
      </w:r>
      <w:bookmarkEnd w:id="94"/>
      <w:bookmarkEnd w:id="95"/>
      <w:bookmarkEnd w:id="96"/>
    </w:p>
    <w:p>
      <w:pPr>
        <w:spacing w:line="360" w:lineRule="auto"/>
        <w:ind w:firstLine="480"/>
        <w:rPr>
          <w:rFonts w:ascii="宋体" w:hAnsi="宋体" w:cs="宋体"/>
          <w:sz w:val="24"/>
        </w:rPr>
      </w:pPr>
      <w:r>
        <w:rPr>
          <w:rFonts w:hint="eastAsia" w:ascii="宋体" w:hAnsi="宋体" w:cs="宋体"/>
          <w:sz w:val="24"/>
        </w:rPr>
        <w:t>1）</w:t>
      </w:r>
      <w:r>
        <w:rPr>
          <w:rFonts w:ascii="宋体" w:hAnsi="宋体" w:cs="宋体"/>
          <w:sz w:val="24"/>
        </w:rPr>
        <w:t>交通信号控制系统</w:t>
      </w:r>
    </w:p>
    <w:p>
      <w:pPr>
        <w:spacing w:line="360" w:lineRule="auto"/>
        <w:ind w:firstLine="480"/>
        <w:rPr>
          <w:rFonts w:ascii="宋体" w:hAnsi="宋体" w:cs="宋体"/>
          <w:sz w:val="24"/>
        </w:rPr>
      </w:pPr>
      <w:r>
        <w:rPr>
          <w:rFonts w:ascii="宋体" w:hAnsi="宋体" w:cs="宋体"/>
          <w:sz w:val="24"/>
        </w:rPr>
        <w:t>《道路交通信号灯设置与安装规范》（GB14886-2006）</w:t>
      </w:r>
    </w:p>
    <w:p>
      <w:pPr>
        <w:spacing w:line="360" w:lineRule="auto"/>
        <w:ind w:firstLine="480"/>
        <w:rPr>
          <w:rFonts w:ascii="宋体" w:hAnsi="宋体" w:cs="宋体"/>
          <w:sz w:val="24"/>
        </w:rPr>
      </w:pPr>
      <w:r>
        <w:rPr>
          <w:rFonts w:ascii="宋体" w:hAnsi="宋体" w:cs="宋体"/>
          <w:sz w:val="24"/>
        </w:rPr>
        <w:t>《道路交通信息监测记录设备设置规范》（GA/T 1047-2013）</w:t>
      </w:r>
    </w:p>
    <w:p>
      <w:pPr>
        <w:spacing w:line="360" w:lineRule="auto"/>
        <w:ind w:firstLine="480"/>
        <w:rPr>
          <w:rFonts w:ascii="宋体" w:hAnsi="宋体" w:cs="宋体"/>
          <w:sz w:val="24"/>
        </w:rPr>
      </w:pPr>
      <w:r>
        <w:rPr>
          <w:rFonts w:ascii="宋体" w:hAnsi="宋体" w:cs="宋体"/>
          <w:sz w:val="24"/>
        </w:rPr>
        <w:t>《城市道路交通信号控制方式适用规范》（GA/T527-2005）</w:t>
      </w:r>
    </w:p>
    <w:p>
      <w:pPr>
        <w:spacing w:line="360" w:lineRule="auto"/>
        <w:ind w:firstLine="480"/>
        <w:rPr>
          <w:rFonts w:ascii="宋体" w:hAnsi="宋体" w:cs="宋体"/>
          <w:sz w:val="24"/>
        </w:rPr>
      </w:pPr>
      <w:r>
        <w:rPr>
          <w:rFonts w:ascii="宋体" w:hAnsi="宋体" w:cs="宋体"/>
          <w:sz w:val="24"/>
        </w:rPr>
        <w:t>《城市道路交通设施设计规范》（GB50688-2011）</w:t>
      </w:r>
    </w:p>
    <w:p>
      <w:pPr>
        <w:spacing w:line="360" w:lineRule="auto"/>
        <w:ind w:firstLine="480"/>
        <w:rPr>
          <w:rFonts w:ascii="宋体" w:hAnsi="宋体" w:cs="宋体"/>
          <w:sz w:val="24"/>
        </w:rPr>
      </w:pPr>
      <w:r>
        <w:rPr>
          <w:rFonts w:ascii="宋体" w:hAnsi="宋体" w:cs="宋体"/>
          <w:sz w:val="24"/>
        </w:rPr>
        <w:t>《人行横道信号灯控制设置规范》（GAT 851-2009）</w:t>
      </w:r>
    </w:p>
    <w:p>
      <w:pPr>
        <w:spacing w:line="360" w:lineRule="auto"/>
        <w:ind w:firstLine="480"/>
        <w:rPr>
          <w:rFonts w:ascii="宋体" w:hAnsi="宋体" w:cs="宋体"/>
          <w:sz w:val="24"/>
        </w:rPr>
      </w:pPr>
      <w:r>
        <w:rPr>
          <w:rFonts w:ascii="宋体" w:hAnsi="宋体" w:cs="宋体"/>
          <w:sz w:val="24"/>
        </w:rPr>
        <w:t>《道路交通信号灯》（GB14887-2011）</w:t>
      </w:r>
    </w:p>
    <w:p>
      <w:pPr>
        <w:spacing w:line="360" w:lineRule="auto"/>
        <w:ind w:firstLine="480"/>
        <w:rPr>
          <w:rFonts w:ascii="宋体" w:hAnsi="宋体" w:cs="宋体"/>
          <w:sz w:val="24"/>
        </w:rPr>
      </w:pPr>
      <w:r>
        <w:rPr>
          <w:rFonts w:ascii="宋体" w:hAnsi="宋体" w:cs="宋体"/>
          <w:sz w:val="24"/>
        </w:rPr>
        <w:t>《道路交通信号控制机安装规范》（GA/T489-2004）</w:t>
      </w:r>
    </w:p>
    <w:p>
      <w:pPr>
        <w:spacing w:line="360" w:lineRule="auto"/>
        <w:ind w:firstLine="480"/>
        <w:rPr>
          <w:rFonts w:ascii="宋体" w:hAnsi="宋体" w:cs="宋体"/>
          <w:sz w:val="24"/>
        </w:rPr>
      </w:pPr>
      <w:r>
        <w:rPr>
          <w:rFonts w:ascii="宋体" w:hAnsi="宋体" w:cs="宋体"/>
          <w:sz w:val="24"/>
        </w:rPr>
        <w:t>《道路交通信号倒计时显示器》（GA508-2004）</w:t>
      </w:r>
    </w:p>
    <w:p>
      <w:pPr>
        <w:spacing w:line="360" w:lineRule="auto"/>
        <w:ind w:firstLine="480"/>
        <w:rPr>
          <w:rFonts w:ascii="宋体" w:hAnsi="宋体" w:cs="宋体"/>
          <w:sz w:val="24"/>
        </w:rPr>
      </w:pPr>
      <w:r>
        <w:rPr>
          <w:rFonts w:ascii="宋体" w:hAnsi="宋体" w:cs="宋体"/>
          <w:sz w:val="24"/>
        </w:rPr>
        <w:t>《城市交通信号控制系统术语》（GA/T509-2004）</w:t>
      </w:r>
    </w:p>
    <w:p>
      <w:pPr>
        <w:spacing w:line="360" w:lineRule="auto"/>
        <w:ind w:firstLine="480"/>
        <w:rPr>
          <w:rFonts w:ascii="宋体" w:hAnsi="宋体" w:cs="宋体"/>
          <w:sz w:val="24"/>
        </w:rPr>
      </w:pPr>
      <w:r>
        <w:rPr>
          <w:rFonts w:hint="eastAsia" w:ascii="宋体" w:hAnsi="宋体" w:cs="宋体"/>
          <w:sz w:val="24"/>
        </w:rPr>
        <w:t>2）</w:t>
      </w:r>
      <w:r>
        <w:rPr>
          <w:rFonts w:ascii="宋体" w:hAnsi="宋体" w:cs="宋体"/>
          <w:sz w:val="24"/>
        </w:rPr>
        <w:t>交通视频监控系统</w:t>
      </w:r>
    </w:p>
    <w:p>
      <w:pPr>
        <w:spacing w:line="360" w:lineRule="auto"/>
        <w:ind w:firstLine="480"/>
        <w:rPr>
          <w:rFonts w:ascii="宋体" w:hAnsi="宋体" w:cs="宋体"/>
          <w:sz w:val="24"/>
        </w:rPr>
      </w:pPr>
      <w:r>
        <w:rPr>
          <w:rFonts w:ascii="宋体" w:hAnsi="宋体" w:cs="宋体"/>
          <w:sz w:val="24"/>
        </w:rPr>
        <w:t>《道路交通信息监测记录设备设置规范》（GA/T 1047-2013）</w:t>
      </w:r>
    </w:p>
    <w:p>
      <w:pPr>
        <w:spacing w:line="360" w:lineRule="auto"/>
        <w:ind w:firstLine="480"/>
        <w:rPr>
          <w:rFonts w:ascii="宋体" w:hAnsi="宋体" w:cs="宋体"/>
          <w:sz w:val="24"/>
        </w:rPr>
      </w:pPr>
      <w:r>
        <w:rPr>
          <w:rFonts w:ascii="宋体" w:hAnsi="宋体" w:cs="宋体"/>
          <w:sz w:val="24"/>
        </w:rPr>
        <w:t>《视频安防监控系统工程设计规范》（GB50395-2007）</w:t>
      </w:r>
    </w:p>
    <w:p>
      <w:pPr>
        <w:spacing w:line="360" w:lineRule="auto"/>
        <w:ind w:firstLine="480"/>
        <w:rPr>
          <w:rFonts w:ascii="宋体" w:hAnsi="宋体" w:cs="宋体"/>
          <w:sz w:val="24"/>
        </w:rPr>
      </w:pPr>
      <w:r>
        <w:rPr>
          <w:rFonts w:ascii="宋体" w:hAnsi="宋体" w:cs="宋体"/>
          <w:sz w:val="24"/>
        </w:rPr>
        <w:t>《民用闭路监视电视系统工程技术规范》（GB50198-2011）</w:t>
      </w:r>
    </w:p>
    <w:p>
      <w:pPr>
        <w:spacing w:line="360" w:lineRule="auto"/>
        <w:ind w:firstLine="480"/>
        <w:rPr>
          <w:rFonts w:ascii="宋体" w:hAnsi="宋体" w:cs="宋体"/>
          <w:sz w:val="24"/>
        </w:rPr>
      </w:pPr>
      <w:r>
        <w:rPr>
          <w:rFonts w:ascii="宋体" w:hAnsi="宋体" w:cs="宋体"/>
          <w:sz w:val="24"/>
        </w:rPr>
        <w:t>《交通电视监控系统验收规范》（GA/T514-2004）</w:t>
      </w:r>
    </w:p>
    <w:p>
      <w:pPr>
        <w:spacing w:line="360" w:lineRule="auto"/>
        <w:ind w:firstLine="480"/>
        <w:rPr>
          <w:rFonts w:ascii="宋体" w:hAnsi="宋体" w:cs="宋体"/>
          <w:sz w:val="24"/>
        </w:rPr>
      </w:pPr>
      <w:r>
        <w:rPr>
          <w:rFonts w:ascii="宋体" w:hAnsi="宋体" w:cs="宋体"/>
          <w:sz w:val="24"/>
        </w:rPr>
        <w:t>《交通电视监控系统设备用图形符号及图例》(GB/T28424-2012)</w:t>
      </w:r>
    </w:p>
    <w:p>
      <w:pPr>
        <w:spacing w:line="360" w:lineRule="auto"/>
        <w:ind w:firstLine="480"/>
        <w:rPr>
          <w:rFonts w:ascii="宋体" w:hAnsi="宋体" w:cs="宋体"/>
          <w:sz w:val="24"/>
        </w:rPr>
      </w:pPr>
      <w:r>
        <w:rPr>
          <w:rFonts w:ascii="宋体" w:hAnsi="宋体" w:cs="宋体"/>
          <w:sz w:val="24"/>
        </w:rPr>
        <w:t>《安全防范监控数字音视频编码技术要求》（GB/T 25724-2010）</w:t>
      </w:r>
    </w:p>
    <w:p>
      <w:pPr>
        <w:spacing w:line="360" w:lineRule="auto"/>
        <w:ind w:firstLine="480"/>
        <w:rPr>
          <w:rFonts w:ascii="宋体" w:hAnsi="宋体" w:cs="宋体"/>
          <w:sz w:val="24"/>
        </w:rPr>
      </w:pPr>
      <w:r>
        <w:rPr>
          <w:rFonts w:ascii="宋体" w:hAnsi="宋体" w:cs="宋体"/>
          <w:sz w:val="24"/>
        </w:rPr>
        <w:t>《安全防范视频监控联网系统信息传输、交换、控制技术要求》（GBT 28181-2011）</w:t>
      </w:r>
    </w:p>
    <w:p>
      <w:pPr>
        <w:spacing w:line="360" w:lineRule="auto"/>
        <w:ind w:firstLine="480"/>
        <w:rPr>
          <w:rFonts w:ascii="宋体" w:hAnsi="宋体" w:cs="宋体"/>
          <w:sz w:val="24"/>
        </w:rPr>
      </w:pPr>
      <w:r>
        <w:rPr>
          <w:rFonts w:ascii="宋体" w:hAnsi="宋体" w:cs="宋体"/>
          <w:sz w:val="24"/>
        </w:rPr>
        <w:t>《跨区域视频监控联网共享技术规范》（DB33/T629-2011）</w:t>
      </w:r>
    </w:p>
    <w:p>
      <w:pPr>
        <w:spacing w:line="360" w:lineRule="auto"/>
        <w:ind w:firstLine="480"/>
        <w:rPr>
          <w:rFonts w:ascii="宋体" w:hAnsi="宋体" w:cs="宋体"/>
          <w:sz w:val="24"/>
        </w:rPr>
      </w:pPr>
      <w:r>
        <w:rPr>
          <w:rFonts w:ascii="宋体" w:hAnsi="宋体" w:cs="宋体"/>
          <w:sz w:val="24"/>
        </w:rPr>
        <w:t>《城市监控报警联网系统》（GA/T669-2008）</w:t>
      </w:r>
    </w:p>
    <w:p>
      <w:pPr>
        <w:spacing w:line="360" w:lineRule="auto"/>
        <w:ind w:firstLine="480"/>
        <w:rPr>
          <w:rFonts w:ascii="宋体" w:hAnsi="宋体" w:cs="宋体"/>
          <w:sz w:val="24"/>
        </w:rPr>
      </w:pPr>
      <w:r>
        <w:rPr>
          <w:rFonts w:hint="eastAsia" w:ascii="宋体" w:hAnsi="宋体" w:cs="宋体"/>
          <w:sz w:val="24"/>
        </w:rPr>
        <w:t>3）</w:t>
      </w:r>
      <w:r>
        <w:rPr>
          <w:rFonts w:ascii="宋体" w:hAnsi="宋体" w:cs="宋体"/>
          <w:sz w:val="24"/>
        </w:rPr>
        <w:t>交通违法行为监测系统、违停抓拍系统</w:t>
      </w:r>
    </w:p>
    <w:p>
      <w:pPr>
        <w:spacing w:line="360" w:lineRule="auto"/>
        <w:ind w:firstLine="480"/>
        <w:rPr>
          <w:rFonts w:ascii="宋体" w:hAnsi="宋体" w:cs="宋体"/>
          <w:sz w:val="24"/>
        </w:rPr>
      </w:pPr>
      <w:r>
        <w:rPr>
          <w:rFonts w:ascii="宋体" w:hAnsi="宋体" w:cs="宋体"/>
          <w:sz w:val="24"/>
        </w:rPr>
        <w:t>《道路交通信息监测记录设备设置规范》（GA/T 1047-2013）</w:t>
      </w:r>
    </w:p>
    <w:p>
      <w:pPr>
        <w:spacing w:line="360" w:lineRule="auto"/>
        <w:ind w:firstLine="480"/>
        <w:rPr>
          <w:rFonts w:ascii="宋体" w:hAnsi="宋体" w:cs="宋体"/>
          <w:sz w:val="24"/>
        </w:rPr>
      </w:pPr>
      <w:r>
        <w:rPr>
          <w:rFonts w:ascii="宋体" w:hAnsi="宋体" w:cs="宋体"/>
          <w:sz w:val="24"/>
        </w:rPr>
        <w:t>《闯红灯自动记录系统通用技术条件》（GA/T496-2009）</w:t>
      </w:r>
    </w:p>
    <w:p>
      <w:pPr>
        <w:spacing w:line="360" w:lineRule="auto"/>
        <w:ind w:firstLine="480"/>
        <w:rPr>
          <w:rFonts w:ascii="宋体" w:hAnsi="宋体" w:cs="宋体"/>
          <w:sz w:val="24"/>
        </w:rPr>
      </w:pPr>
      <w:r>
        <w:rPr>
          <w:rFonts w:ascii="宋体" w:hAnsi="宋体" w:cs="宋体"/>
          <w:sz w:val="24"/>
        </w:rPr>
        <w:t>《闯红灯自动记录系统验收技术规范》（GA/T870-2010）</w:t>
      </w:r>
    </w:p>
    <w:p>
      <w:pPr>
        <w:spacing w:line="360" w:lineRule="auto"/>
        <w:ind w:firstLine="480"/>
        <w:rPr>
          <w:rFonts w:ascii="宋体" w:hAnsi="宋体" w:cs="宋体"/>
          <w:sz w:val="24"/>
        </w:rPr>
      </w:pPr>
      <w:r>
        <w:rPr>
          <w:rFonts w:ascii="宋体" w:hAnsi="宋体" w:cs="宋体"/>
          <w:sz w:val="24"/>
        </w:rPr>
        <w:t>《公路车辆智能监测记录系统通用技术条件》（GA/T497-2009）</w:t>
      </w:r>
    </w:p>
    <w:p>
      <w:pPr>
        <w:spacing w:line="360" w:lineRule="auto"/>
        <w:ind w:firstLine="480"/>
        <w:rPr>
          <w:rFonts w:ascii="宋体" w:hAnsi="宋体" w:cs="宋体"/>
          <w:sz w:val="24"/>
        </w:rPr>
      </w:pPr>
      <w:r>
        <w:rPr>
          <w:rFonts w:ascii="宋体" w:hAnsi="宋体" w:cs="宋体"/>
          <w:sz w:val="24"/>
        </w:rPr>
        <w:t>《机动车测速仪》（GB/T21255-2007）</w:t>
      </w:r>
    </w:p>
    <w:p>
      <w:pPr>
        <w:spacing w:line="360" w:lineRule="auto"/>
        <w:ind w:firstLine="480"/>
        <w:rPr>
          <w:rFonts w:ascii="宋体" w:hAnsi="宋体" w:cs="宋体"/>
          <w:sz w:val="24"/>
        </w:rPr>
      </w:pPr>
      <w:r>
        <w:rPr>
          <w:rFonts w:ascii="宋体" w:hAnsi="宋体" w:cs="宋体"/>
          <w:sz w:val="24"/>
        </w:rPr>
        <w:t>《道路交通安全违法行为视频取证设备技术规范》(GA/T 995-2012)</w:t>
      </w:r>
    </w:p>
    <w:p>
      <w:pPr>
        <w:spacing w:line="360" w:lineRule="auto"/>
        <w:ind w:firstLine="480"/>
        <w:rPr>
          <w:rFonts w:ascii="宋体" w:hAnsi="宋体" w:cs="宋体"/>
          <w:sz w:val="24"/>
        </w:rPr>
      </w:pPr>
      <w:r>
        <w:rPr>
          <w:rFonts w:ascii="宋体" w:hAnsi="宋体" w:cs="宋体"/>
          <w:sz w:val="24"/>
        </w:rPr>
        <w:t>《道路交通安全违法行为图像取证技术规范》(GA/T 832-2009)</w:t>
      </w:r>
    </w:p>
    <w:p>
      <w:pPr>
        <w:spacing w:line="360" w:lineRule="auto"/>
        <w:ind w:firstLine="480"/>
        <w:rPr>
          <w:rFonts w:ascii="宋体" w:hAnsi="宋体" w:cs="宋体"/>
          <w:sz w:val="24"/>
        </w:rPr>
      </w:pPr>
      <w:r>
        <w:rPr>
          <w:rFonts w:ascii="宋体" w:hAnsi="宋体" w:cs="宋体"/>
          <w:sz w:val="24"/>
        </w:rPr>
        <w:t>《机动车号牌图像自动识别技术规范》（GAT 833-2009）</w:t>
      </w:r>
    </w:p>
    <w:p>
      <w:pPr>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交通信息采集系统</w:t>
      </w:r>
    </w:p>
    <w:p>
      <w:pPr>
        <w:spacing w:line="360" w:lineRule="auto"/>
        <w:ind w:firstLine="480"/>
        <w:rPr>
          <w:rFonts w:ascii="宋体" w:hAnsi="宋体" w:cs="宋体"/>
          <w:sz w:val="24"/>
        </w:rPr>
      </w:pPr>
      <w:r>
        <w:rPr>
          <w:rFonts w:ascii="宋体" w:hAnsi="宋体" w:cs="宋体"/>
          <w:sz w:val="24"/>
        </w:rPr>
        <w:t>《道路交通信息监测记录设备设置规范》（GA/T 1047-2013）</w:t>
      </w:r>
    </w:p>
    <w:p>
      <w:pPr>
        <w:spacing w:line="360" w:lineRule="auto"/>
        <w:ind w:firstLine="480"/>
        <w:rPr>
          <w:rFonts w:ascii="宋体" w:hAnsi="宋体" w:cs="宋体"/>
          <w:sz w:val="24"/>
        </w:rPr>
      </w:pPr>
      <w:r>
        <w:rPr>
          <w:rFonts w:ascii="宋体" w:hAnsi="宋体" w:cs="宋体"/>
          <w:sz w:val="24"/>
        </w:rPr>
        <w:t>《道路交通流量调查》（GA299-2001）</w:t>
      </w:r>
    </w:p>
    <w:p>
      <w:pPr>
        <w:spacing w:line="360" w:lineRule="auto"/>
        <w:ind w:firstLine="480"/>
        <w:rPr>
          <w:rFonts w:ascii="宋体" w:hAnsi="宋体" w:cs="宋体"/>
          <w:sz w:val="24"/>
        </w:rPr>
      </w:pPr>
      <w:r>
        <w:rPr>
          <w:rFonts w:ascii="宋体" w:hAnsi="宋体" w:cs="宋体"/>
          <w:sz w:val="24"/>
        </w:rPr>
        <w:t>《道路交通信息采集 信息分类与编码》（GBT 20133-2006）</w:t>
      </w:r>
    </w:p>
    <w:p>
      <w:pPr>
        <w:spacing w:line="360" w:lineRule="auto"/>
        <w:ind w:firstLine="480"/>
        <w:rPr>
          <w:rFonts w:ascii="宋体" w:hAnsi="宋体" w:cs="宋体"/>
          <w:sz w:val="24"/>
        </w:rPr>
      </w:pPr>
      <w:r>
        <w:rPr>
          <w:rFonts w:ascii="宋体" w:hAnsi="宋体" w:cs="宋体"/>
          <w:sz w:val="24"/>
        </w:rPr>
        <w:t>《道路交通信息采集 事件信息集》（GBT 20134-2006）</w:t>
      </w:r>
    </w:p>
    <w:p>
      <w:pPr>
        <w:spacing w:line="360" w:lineRule="auto"/>
        <w:ind w:firstLine="480"/>
        <w:rPr>
          <w:rFonts w:ascii="宋体" w:hAnsi="宋体" w:cs="宋体"/>
          <w:sz w:val="24"/>
        </w:rPr>
      </w:pPr>
      <w:r>
        <w:rPr>
          <w:rFonts w:ascii="宋体" w:hAnsi="宋体" w:cs="宋体"/>
          <w:sz w:val="24"/>
        </w:rPr>
        <w:t>《道路交通信息服务 信息分类与编码》（GBT 21394-2008 ）</w:t>
      </w:r>
    </w:p>
    <w:p>
      <w:pPr>
        <w:spacing w:line="360" w:lineRule="auto"/>
        <w:ind w:firstLine="480"/>
        <w:rPr>
          <w:rFonts w:ascii="宋体" w:hAnsi="宋体" w:cs="宋体"/>
          <w:sz w:val="24"/>
        </w:rPr>
      </w:pPr>
      <w:r>
        <w:rPr>
          <w:rFonts w:ascii="宋体" w:hAnsi="宋体" w:cs="宋体"/>
          <w:sz w:val="24"/>
        </w:rPr>
        <w:t>《机动车号牌自动识别系统》(GB/T 28649-2012)</w:t>
      </w:r>
    </w:p>
    <w:p>
      <w:pPr>
        <w:spacing w:line="360" w:lineRule="auto"/>
        <w:ind w:firstLine="480"/>
        <w:rPr>
          <w:rFonts w:ascii="宋体" w:hAnsi="宋体" w:cs="宋体"/>
          <w:sz w:val="24"/>
        </w:rPr>
      </w:pPr>
      <w:r>
        <w:rPr>
          <w:rFonts w:hint="eastAsia" w:ascii="宋体" w:hAnsi="宋体" w:cs="宋体"/>
          <w:sz w:val="24"/>
        </w:rPr>
        <w:t>5）</w:t>
      </w:r>
      <w:r>
        <w:rPr>
          <w:rFonts w:ascii="宋体" w:hAnsi="宋体" w:cs="宋体"/>
          <w:sz w:val="24"/>
        </w:rPr>
        <w:t>智能交通指挥管控平台、智能交通违法监控平台</w:t>
      </w:r>
    </w:p>
    <w:p>
      <w:pPr>
        <w:spacing w:line="360" w:lineRule="auto"/>
        <w:ind w:firstLine="480"/>
        <w:rPr>
          <w:rFonts w:ascii="宋体" w:hAnsi="宋体" w:cs="宋体"/>
          <w:sz w:val="24"/>
        </w:rPr>
      </w:pPr>
      <w:r>
        <w:rPr>
          <w:rFonts w:ascii="宋体" w:hAnsi="宋体" w:cs="宋体"/>
          <w:sz w:val="24"/>
        </w:rPr>
        <w:t>《公安交通指挥系统建设技术规范》（GA/T445-2010）</w:t>
      </w:r>
    </w:p>
    <w:p>
      <w:pPr>
        <w:spacing w:line="360" w:lineRule="auto"/>
        <w:ind w:firstLine="480"/>
        <w:rPr>
          <w:rFonts w:ascii="宋体" w:hAnsi="宋体" w:cs="宋体"/>
          <w:sz w:val="24"/>
        </w:rPr>
      </w:pPr>
      <w:r>
        <w:rPr>
          <w:rFonts w:ascii="宋体" w:hAnsi="宋体" w:cs="宋体"/>
          <w:sz w:val="24"/>
        </w:rPr>
        <w:t>《城市警用地理信息系统分类与代码》（GA/T491-2004）</w:t>
      </w:r>
    </w:p>
    <w:p>
      <w:pPr>
        <w:spacing w:line="360" w:lineRule="auto"/>
        <w:ind w:firstLine="480"/>
        <w:rPr>
          <w:rFonts w:ascii="宋体" w:hAnsi="宋体" w:cs="宋体"/>
          <w:sz w:val="24"/>
        </w:rPr>
      </w:pPr>
      <w:r>
        <w:rPr>
          <w:rFonts w:ascii="宋体" w:hAnsi="宋体" w:cs="宋体"/>
          <w:sz w:val="24"/>
        </w:rPr>
        <w:t>《城市警用地理信息系统图形符号》（GA/T492-2004）</w:t>
      </w:r>
    </w:p>
    <w:p>
      <w:pPr>
        <w:spacing w:line="360" w:lineRule="auto"/>
        <w:ind w:firstLine="480"/>
        <w:rPr>
          <w:rFonts w:ascii="宋体" w:hAnsi="宋体" w:cs="宋体"/>
          <w:sz w:val="24"/>
        </w:rPr>
      </w:pPr>
      <w:r>
        <w:rPr>
          <w:rFonts w:ascii="宋体" w:hAnsi="宋体" w:cs="宋体"/>
          <w:sz w:val="24"/>
        </w:rPr>
        <w:t>《城市警用地理信息系统建设规范》（GA/T493-2004）</w:t>
      </w:r>
    </w:p>
    <w:p>
      <w:pPr>
        <w:spacing w:line="360" w:lineRule="auto"/>
        <w:ind w:firstLine="480"/>
        <w:rPr>
          <w:rFonts w:ascii="宋体" w:hAnsi="宋体" w:cs="宋体"/>
          <w:sz w:val="24"/>
        </w:rPr>
      </w:pPr>
      <w:r>
        <w:rPr>
          <w:rFonts w:ascii="宋体" w:hAnsi="宋体" w:cs="宋体"/>
          <w:sz w:val="24"/>
        </w:rPr>
        <w:t>《电子信息系统机房设计规范》（GB50174-2008）</w:t>
      </w:r>
    </w:p>
    <w:p>
      <w:pPr>
        <w:spacing w:line="360" w:lineRule="auto"/>
        <w:ind w:firstLine="480"/>
        <w:rPr>
          <w:rFonts w:ascii="宋体" w:hAnsi="宋体" w:cs="宋体"/>
          <w:sz w:val="24"/>
        </w:rPr>
      </w:pPr>
      <w:r>
        <w:rPr>
          <w:rFonts w:ascii="宋体" w:hAnsi="宋体" w:cs="宋体"/>
          <w:sz w:val="24"/>
        </w:rPr>
        <w:t>《公安交通指挥系统工程设计制图规范》（GA/T515-2011）</w:t>
      </w:r>
    </w:p>
    <w:p>
      <w:pPr>
        <w:spacing w:line="360" w:lineRule="auto"/>
        <w:ind w:firstLine="480"/>
        <w:rPr>
          <w:rFonts w:ascii="宋体" w:hAnsi="宋体" w:cs="宋体"/>
          <w:sz w:val="24"/>
        </w:rPr>
      </w:pPr>
      <w:r>
        <w:rPr>
          <w:rFonts w:ascii="宋体" w:hAnsi="宋体" w:cs="宋体"/>
          <w:sz w:val="24"/>
        </w:rPr>
        <w:t>《公安交通指挥系统工程建设程序与要求》（GA/T651-2006）</w:t>
      </w:r>
    </w:p>
    <w:p>
      <w:pPr>
        <w:spacing w:line="360" w:lineRule="auto"/>
        <w:ind w:firstLine="480"/>
        <w:rPr>
          <w:rFonts w:ascii="宋体" w:hAnsi="宋体" w:cs="宋体"/>
          <w:sz w:val="24"/>
        </w:rPr>
      </w:pPr>
      <w:r>
        <w:rPr>
          <w:rFonts w:ascii="宋体" w:hAnsi="宋体" w:cs="宋体"/>
          <w:sz w:val="24"/>
        </w:rPr>
        <w:t>《道路交通技术监控设备运行维护规范》(GA/T 1043-2013)</w:t>
      </w:r>
    </w:p>
    <w:p>
      <w:pPr>
        <w:spacing w:line="360" w:lineRule="auto"/>
        <w:ind w:firstLine="480"/>
        <w:rPr>
          <w:rFonts w:ascii="宋体" w:hAnsi="宋体" w:cs="宋体"/>
          <w:sz w:val="24"/>
        </w:rPr>
      </w:pPr>
      <w:r>
        <w:rPr>
          <w:rFonts w:ascii="宋体" w:hAnsi="宋体" w:cs="宋体"/>
          <w:sz w:val="24"/>
        </w:rPr>
        <w:t>《公安交通管理移动执法**系统通用技术条件》(GAT1014-2013)</w:t>
      </w:r>
    </w:p>
    <w:p>
      <w:pPr>
        <w:spacing w:line="360" w:lineRule="auto"/>
        <w:ind w:firstLine="480"/>
        <w:rPr>
          <w:rFonts w:ascii="宋体" w:hAnsi="宋体" w:cs="宋体"/>
          <w:sz w:val="24"/>
        </w:rPr>
      </w:pPr>
      <w:r>
        <w:rPr>
          <w:rFonts w:ascii="宋体" w:hAnsi="宋体" w:cs="宋体"/>
          <w:sz w:val="24"/>
        </w:rPr>
        <w:t>《公安交通集成指挥平台通信协议第 1 部分》(GA/T1049-1-2013)</w:t>
      </w:r>
    </w:p>
    <w:p>
      <w:pPr>
        <w:spacing w:line="360" w:lineRule="auto"/>
        <w:ind w:firstLine="480"/>
        <w:rPr>
          <w:rFonts w:ascii="宋体" w:hAnsi="宋体" w:cs="宋体"/>
          <w:sz w:val="24"/>
        </w:rPr>
      </w:pPr>
      <w:r>
        <w:rPr>
          <w:rFonts w:ascii="宋体" w:hAnsi="宋体" w:cs="宋体"/>
          <w:sz w:val="24"/>
        </w:rPr>
        <w:t>《公安交通集成指挥平台通信协议第 2 部分》(GA/T1049-2-2013)</w:t>
      </w:r>
    </w:p>
    <w:p>
      <w:pPr>
        <w:spacing w:line="360" w:lineRule="auto"/>
        <w:ind w:firstLine="480"/>
        <w:rPr>
          <w:rFonts w:ascii="宋体" w:hAnsi="宋体" w:cs="宋体"/>
          <w:sz w:val="24"/>
        </w:rPr>
      </w:pPr>
      <w:r>
        <w:rPr>
          <w:rFonts w:ascii="宋体" w:hAnsi="宋体" w:cs="宋体"/>
          <w:sz w:val="24"/>
        </w:rPr>
        <w:t>《计算机软件开发规范》（GB 8566-2007）</w:t>
      </w:r>
    </w:p>
    <w:p>
      <w:pPr>
        <w:spacing w:line="360" w:lineRule="auto"/>
        <w:ind w:firstLine="480"/>
        <w:rPr>
          <w:rFonts w:ascii="宋体" w:hAnsi="宋体" w:cs="宋体"/>
          <w:sz w:val="24"/>
        </w:rPr>
      </w:pPr>
      <w:r>
        <w:rPr>
          <w:rFonts w:ascii="宋体" w:hAnsi="宋体" w:cs="宋体"/>
          <w:sz w:val="24"/>
        </w:rPr>
        <w:t>《安全防范系统验收规范》（GA 308-2001）</w:t>
      </w:r>
    </w:p>
    <w:p>
      <w:pPr>
        <w:spacing w:line="360" w:lineRule="auto"/>
        <w:ind w:firstLine="480"/>
        <w:rPr>
          <w:rFonts w:ascii="宋体" w:hAnsi="宋体" w:cs="宋体"/>
          <w:sz w:val="24"/>
        </w:rPr>
      </w:pPr>
      <w:r>
        <w:rPr>
          <w:rFonts w:ascii="宋体" w:hAnsi="宋体" w:cs="宋体"/>
          <w:sz w:val="24"/>
        </w:rPr>
        <w:t>《城市监控报警联网系统》（GA/T669-2008）</w:t>
      </w:r>
    </w:p>
    <w:p>
      <w:pPr>
        <w:spacing w:line="360" w:lineRule="auto"/>
        <w:ind w:firstLine="480"/>
        <w:rPr>
          <w:rFonts w:ascii="宋体" w:hAnsi="宋体" w:cs="宋体"/>
          <w:sz w:val="24"/>
        </w:rPr>
      </w:pPr>
      <w:r>
        <w:rPr>
          <w:rFonts w:ascii="宋体" w:hAnsi="宋体" w:cs="宋体"/>
          <w:sz w:val="24"/>
        </w:rPr>
        <w:t>《安全防范视频监控联网系统信息传输、交换、控制技术要求》（GBT 28181-2011）</w:t>
      </w:r>
    </w:p>
    <w:p>
      <w:pPr>
        <w:spacing w:line="360" w:lineRule="auto"/>
        <w:ind w:firstLine="480"/>
        <w:rPr>
          <w:rFonts w:ascii="宋体" w:hAnsi="宋体" w:cs="宋体"/>
          <w:sz w:val="24"/>
        </w:rPr>
      </w:pPr>
      <w:r>
        <w:rPr>
          <w:rFonts w:ascii="宋体" w:hAnsi="宋体" w:cs="宋体"/>
          <w:sz w:val="24"/>
        </w:rPr>
        <w:t>《跨区域视频监控联网共享技术规范》（DB33/T629-2011）</w:t>
      </w:r>
    </w:p>
    <w:p>
      <w:pPr>
        <w:spacing w:line="360" w:lineRule="auto"/>
        <w:ind w:firstLine="480"/>
        <w:rPr>
          <w:rFonts w:ascii="宋体" w:hAnsi="宋体" w:cs="宋体"/>
          <w:sz w:val="24"/>
        </w:rPr>
      </w:pPr>
      <w:r>
        <w:rPr>
          <w:rFonts w:ascii="宋体" w:hAnsi="宋体" w:cs="宋体"/>
          <w:sz w:val="24"/>
        </w:rPr>
        <w:t>《视频图像信息联网系统总体技术架构》（浙江省公安厅）</w:t>
      </w:r>
    </w:p>
    <w:p>
      <w:pPr>
        <w:spacing w:line="360" w:lineRule="auto"/>
        <w:ind w:firstLine="480"/>
        <w:rPr>
          <w:rFonts w:ascii="宋体" w:hAnsi="宋体" w:cs="宋体"/>
          <w:sz w:val="24"/>
        </w:rPr>
      </w:pPr>
      <w:r>
        <w:rPr>
          <w:rFonts w:hint="eastAsia" w:ascii="宋体" w:hAnsi="宋体" w:cs="宋体"/>
          <w:sz w:val="24"/>
        </w:rPr>
        <w:t>6）</w:t>
      </w:r>
      <w:r>
        <w:rPr>
          <w:rFonts w:ascii="宋体" w:hAnsi="宋体" w:cs="宋体"/>
          <w:sz w:val="24"/>
        </w:rPr>
        <w:t>辅助工程（供电、通信、管道、机房）</w:t>
      </w:r>
    </w:p>
    <w:p>
      <w:pPr>
        <w:spacing w:line="360" w:lineRule="auto"/>
        <w:ind w:firstLine="480"/>
        <w:rPr>
          <w:rFonts w:ascii="宋体" w:hAnsi="宋体" w:cs="宋体"/>
          <w:sz w:val="24"/>
        </w:rPr>
      </w:pPr>
      <w:r>
        <w:rPr>
          <w:rFonts w:ascii="宋体" w:hAnsi="宋体" w:cs="宋体"/>
          <w:sz w:val="24"/>
        </w:rPr>
        <w:t>《建筑物防雷设计规范》（GB50057-2010）</w:t>
      </w:r>
    </w:p>
    <w:p>
      <w:pPr>
        <w:spacing w:line="360" w:lineRule="auto"/>
        <w:ind w:firstLine="480"/>
        <w:rPr>
          <w:rFonts w:ascii="宋体" w:hAnsi="宋体" w:cs="宋体"/>
          <w:sz w:val="24"/>
        </w:rPr>
      </w:pPr>
      <w:r>
        <w:rPr>
          <w:rFonts w:ascii="宋体" w:hAnsi="宋体" w:cs="宋体"/>
          <w:sz w:val="24"/>
        </w:rPr>
        <w:t>《建筑物电子信息系统防雷技术规范》（GB50343-2012）</w:t>
      </w:r>
    </w:p>
    <w:p>
      <w:pPr>
        <w:spacing w:line="360" w:lineRule="auto"/>
        <w:ind w:firstLine="480"/>
        <w:rPr>
          <w:rFonts w:ascii="宋体" w:hAnsi="宋体" w:cs="宋体"/>
          <w:sz w:val="24"/>
        </w:rPr>
      </w:pPr>
      <w:r>
        <w:rPr>
          <w:rFonts w:ascii="宋体" w:hAnsi="宋体" w:cs="宋体"/>
          <w:sz w:val="24"/>
        </w:rPr>
        <w:t>《通信管道与通道工程设计规范》（GB 50373-2006）</w:t>
      </w:r>
    </w:p>
    <w:p>
      <w:pPr>
        <w:spacing w:line="360" w:lineRule="auto"/>
        <w:ind w:firstLine="480"/>
        <w:rPr>
          <w:rFonts w:ascii="宋体" w:hAnsi="宋体" w:cs="宋体"/>
          <w:sz w:val="24"/>
        </w:rPr>
      </w:pPr>
      <w:r>
        <w:rPr>
          <w:rFonts w:ascii="宋体" w:hAnsi="宋体" w:cs="宋体"/>
          <w:sz w:val="24"/>
        </w:rPr>
        <w:t>《电子信息系统机房设计规范》（GB 50174-2008）</w:t>
      </w:r>
    </w:p>
    <w:p>
      <w:pPr>
        <w:spacing w:line="360" w:lineRule="auto"/>
        <w:ind w:firstLine="480"/>
        <w:rPr>
          <w:rFonts w:ascii="宋体" w:hAnsi="宋体" w:cs="宋体"/>
          <w:sz w:val="24"/>
        </w:rPr>
      </w:pPr>
      <w:r>
        <w:rPr>
          <w:rFonts w:ascii="宋体" w:hAnsi="宋体" w:cs="宋体"/>
          <w:sz w:val="24"/>
        </w:rPr>
        <w:t>《供配电系统设计规范》（GB 50052-2009）</w:t>
      </w:r>
    </w:p>
    <w:p>
      <w:pPr>
        <w:spacing w:line="360" w:lineRule="auto"/>
        <w:ind w:firstLine="480"/>
        <w:rPr>
          <w:rFonts w:hint="eastAsia" w:ascii="宋体" w:hAnsi="宋体" w:cs="宋体"/>
          <w:sz w:val="24"/>
        </w:rPr>
      </w:pPr>
      <w:r>
        <w:rPr>
          <w:rFonts w:ascii="宋体" w:hAnsi="宋体" w:cs="宋体"/>
          <w:sz w:val="24"/>
        </w:rPr>
        <w:t>《混凝土结构设计规范》（GB 50010-2010）</w:t>
      </w:r>
      <w:bookmarkStart w:id="97" w:name="_Toc495130015"/>
      <w:bookmarkStart w:id="98" w:name="_Toc521530787"/>
    </w:p>
    <w:p>
      <w:pPr>
        <w:spacing w:line="360" w:lineRule="auto"/>
        <w:ind w:firstLine="480"/>
        <w:rPr>
          <w:rFonts w:hint="eastAsia" w:ascii="宋体" w:hAnsi="宋体" w:cs="宋体"/>
          <w:b/>
          <w:sz w:val="24"/>
        </w:rPr>
      </w:pPr>
      <w:r>
        <w:rPr>
          <w:rFonts w:hint="eastAsia" w:ascii="宋体" w:hAnsi="宋体" w:cs="宋体"/>
          <w:b/>
          <w:sz w:val="24"/>
        </w:rPr>
        <w:t>12.3招标设备材料明细清单</w:t>
      </w:r>
      <w:bookmarkEnd w:id="97"/>
      <w:bookmarkEnd w:id="98"/>
    </w:p>
    <w:tbl>
      <w:tblPr>
        <w:tblStyle w:val="42"/>
        <w:tblW w:w="0" w:type="auto"/>
        <w:jc w:val="center"/>
        <w:tblLayout w:type="fixed"/>
        <w:tblCellMar>
          <w:top w:w="15" w:type="dxa"/>
          <w:left w:w="15" w:type="dxa"/>
          <w:bottom w:w="15" w:type="dxa"/>
          <w:right w:w="15" w:type="dxa"/>
        </w:tblCellMar>
      </w:tblPr>
      <w:tblGrid>
        <w:gridCol w:w="980"/>
        <w:gridCol w:w="1134"/>
        <w:gridCol w:w="6288"/>
        <w:gridCol w:w="567"/>
        <w:gridCol w:w="622"/>
      </w:tblGrid>
      <w:tr>
        <w:tblPrEx>
          <w:tblCellMar>
            <w:top w:w="15" w:type="dxa"/>
            <w:left w:w="15" w:type="dxa"/>
            <w:bottom w:w="15" w:type="dxa"/>
            <w:right w:w="15" w:type="dxa"/>
          </w:tblCellMar>
        </w:tblPrEx>
        <w:trPr>
          <w:wBefore w:w="0" w:type="dxa"/>
          <w:wAfter w:w="0" w:type="dxa"/>
          <w:trHeight w:val="28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设备名称</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设备参数</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数量</w:t>
            </w:r>
          </w:p>
        </w:tc>
      </w:tr>
      <w:tr>
        <w:tblPrEx>
          <w:tblCellMar>
            <w:top w:w="15" w:type="dxa"/>
            <w:left w:w="15" w:type="dxa"/>
            <w:bottom w:w="15" w:type="dxa"/>
            <w:right w:w="15" w:type="dxa"/>
          </w:tblCellMar>
        </w:tblPrEx>
        <w:trPr>
          <w:wBefore w:w="0" w:type="dxa"/>
          <w:wAfter w:w="0" w:type="dxa"/>
          <w:trHeight w:val="285"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（一）交通信号控制系统</w:t>
            </w:r>
          </w:p>
        </w:tc>
      </w:tr>
      <w:tr>
        <w:tblPrEx>
          <w:tblCellMar>
            <w:top w:w="15" w:type="dxa"/>
            <w:left w:w="15" w:type="dxa"/>
            <w:bottom w:w="15" w:type="dxa"/>
            <w:right w:w="15" w:type="dxa"/>
          </w:tblCellMar>
        </w:tblPrEx>
        <w:trPr>
          <w:wBefore w:w="0" w:type="dxa"/>
          <w:wAfter w:w="0" w:type="dxa"/>
          <w:trHeight w:val="968"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kern w:val="0"/>
                <w:sz w:val="18"/>
                <w:szCs w:val="18"/>
                <w:lang w:bidi="ar"/>
              </w:rPr>
              <w:t>信号机及机箱（含预埋件基础）</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kern w:val="0"/>
                <w:sz w:val="18"/>
                <w:szCs w:val="18"/>
                <w:lang w:bidi="ar"/>
              </w:rPr>
            </w:pPr>
            <w:r>
              <w:rPr>
                <w:rFonts w:hint="eastAsia"/>
                <w:kern w:val="0"/>
                <w:sz w:val="18"/>
                <w:szCs w:val="18"/>
                <w:lang w:bidi="ar"/>
              </w:rPr>
              <w:t xml:space="preserve">1）能无缝接入大队现有平台；            </w:t>
            </w:r>
          </w:p>
          <w:p>
            <w:pPr>
              <w:widowControl/>
              <w:jc w:val="left"/>
              <w:textAlignment w:val="center"/>
              <w:rPr>
                <w:rFonts w:hint="eastAsia"/>
                <w:kern w:val="0"/>
                <w:sz w:val="18"/>
                <w:szCs w:val="18"/>
                <w:lang w:bidi="ar"/>
              </w:rPr>
            </w:pPr>
            <w:r>
              <w:rPr>
                <w:rFonts w:hint="eastAsia"/>
                <w:kern w:val="0"/>
                <w:sz w:val="18"/>
                <w:szCs w:val="18"/>
                <w:lang w:bidi="ar"/>
              </w:rPr>
              <w:t xml:space="preserve">2）前端机为协调式控制信号灯；          </w:t>
            </w:r>
          </w:p>
          <w:p>
            <w:pPr>
              <w:widowControl/>
              <w:jc w:val="left"/>
              <w:textAlignment w:val="center"/>
              <w:rPr>
                <w:rFonts w:hint="eastAsia"/>
                <w:kern w:val="0"/>
                <w:sz w:val="18"/>
                <w:szCs w:val="18"/>
                <w:lang w:bidi="ar"/>
              </w:rPr>
            </w:pPr>
            <w:r>
              <w:rPr>
                <w:rFonts w:hint="eastAsia"/>
                <w:kern w:val="0"/>
                <w:sz w:val="18"/>
                <w:szCs w:val="18"/>
                <w:lang w:bidi="ar"/>
              </w:rPr>
              <w:t xml:space="preserve">3）信号机具有启动时序检查，黄闪（持续时间不短于10s）---＞ 全红（持续时间不短于5s）--＞ 预设置方式；                       </w:t>
            </w:r>
          </w:p>
          <w:p>
            <w:pPr>
              <w:widowControl/>
              <w:jc w:val="left"/>
              <w:textAlignment w:val="center"/>
              <w:rPr>
                <w:rFonts w:hint="eastAsia"/>
                <w:kern w:val="0"/>
                <w:sz w:val="18"/>
                <w:szCs w:val="18"/>
                <w:lang w:bidi="ar"/>
              </w:rPr>
            </w:pPr>
            <w:r>
              <w:rPr>
                <w:rFonts w:hint="eastAsia"/>
                <w:kern w:val="0"/>
                <w:sz w:val="18"/>
                <w:szCs w:val="18"/>
                <w:lang w:bidi="ar"/>
              </w:rPr>
              <w:t xml:space="preserve">4）信号机应能实现不少于6个相位控制，提供至少6个独立信号组输出；                 </w:t>
            </w:r>
          </w:p>
          <w:p>
            <w:pPr>
              <w:widowControl/>
              <w:jc w:val="left"/>
              <w:textAlignment w:val="center"/>
              <w:rPr>
                <w:rFonts w:hint="eastAsia"/>
                <w:kern w:val="0"/>
                <w:sz w:val="18"/>
                <w:szCs w:val="18"/>
                <w:lang w:bidi="ar"/>
              </w:rPr>
            </w:pPr>
            <w:r>
              <w:rPr>
                <w:rFonts w:hint="eastAsia"/>
                <w:kern w:val="0"/>
                <w:sz w:val="18"/>
                <w:szCs w:val="18"/>
                <w:lang w:bidi="ar"/>
              </w:rPr>
              <w:t xml:space="preserve">5）信号机支持48路（16组）科独立控制的信号灯输出；                             6）且具有至少16路绿信号冲突监测功能，保证信号灯运行安全；                      </w:t>
            </w:r>
          </w:p>
          <w:p>
            <w:pPr>
              <w:widowControl/>
              <w:jc w:val="left"/>
              <w:textAlignment w:val="center"/>
              <w:rPr>
                <w:rFonts w:hint="eastAsia"/>
                <w:kern w:val="0"/>
                <w:sz w:val="18"/>
                <w:szCs w:val="18"/>
                <w:lang w:bidi="ar"/>
              </w:rPr>
            </w:pPr>
            <w:r>
              <w:rPr>
                <w:rFonts w:hint="eastAsia"/>
                <w:kern w:val="0"/>
                <w:sz w:val="18"/>
                <w:szCs w:val="18"/>
                <w:lang w:bidi="ar"/>
              </w:rPr>
              <w:t xml:space="preserve">7）信号机应能设置10种以上控制方案；    </w:t>
            </w:r>
          </w:p>
          <w:p>
            <w:pPr>
              <w:widowControl/>
              <w:jc w:val="left"/>
              <w:textAlignment w:val="center"/>
              <w:rPr>
                <w:rFonts w:hint="eastAsia"/>
                <w:kern w:val="0"/>
                <w:sz w:val="18"/>
                <w:szCs w:val="18"/>
                <w:lang w:bidi="ar"/>
              </w:rPr>
            </w:pPr>
            <w:r>
              <w:rPr>
                <w:rFonts w:hint="eastAsia"/>
                <w:kern w:val="0"/>
                <w:sz w:val="18"/>
                <w:szCs w:val="18"/>
                <w:lang w:bidi="ar"/>
              </w:rPr>
              <w:t xml:space="preserve">8）信号机支持交通检测器的接入功能，能接入视频、线圈、地磁、红外等检测器，接入的检测器数量不少于32个；                   </w:t>
            </w:r>
          </w:p>
          <w:p>
            <w:pPr>
              <w:widowControl/>
              <w:jc w:val="left"/>
              <w:textAlignment w:val="center"/>
              <w:rPr>
                <w:rFonts w:hint="eastAsia"/>
                <w:kern w:val="0"/>
                <w:sz w:val="18"/>
                <w:szCs w:val="18"/>
                <w:lang w:bidi="ar"/>
              </w:rPr>
            </w:pPr>
            <w:r>
              <w:rPr>
                <w:rFonts w:hint="eastAsia"/>
                <w:kern w:val="0"/>
                <w:sz w:val="18"/>
                <w:szCs w:val="18"/>
                <w:lang w:bidi="ar"/>
              </w:rPr>
              <w:t xml:space="preserve">9）信号机应能设置最小绿灯时间、最大绿灯时间，应能根据检测器的信号自动延长绿灯时间、直至达到最大绿灯时间；               </w:t>
            </w:r>
          </w:p>
          <w:p>
            <w:pPr>
              <w:widowControl/>
              <w:jc w:val="left"/>
              <w:textAlignment w:val="center"/>
              <w:rPr>
                <w:rFonts w:hint="eastAsia"/>
                <w:kern w:val="0"/>
                <w:sz w:val="18"/>
                <w:szCs w:val="18"/>
                <w:lang w:bidi="ar"/>
              </w:rPr>
            </w:pPr>
            <w:r>
              <w:rPr>
                <w:rFonts w:hint="eastAsia"/>
                <w:kern w:val="0"/>
                <w:sz w:val="18"/>
                <w:szCs w:val="18"/>
                <w:lang w:bidi="ar"/>
              </w:rPr>
              <w:t xml:space="preserve">10）信号机提供≥2个EIARS-232C(DB-9)和≥1个10/100以太网通信接口（RJ45），并支持同时通信；                            </w:t>
            </w:r>
          </w:p>
          <w:p>
            <w:pPr>
              <w:widowControl/>
              <w:jc w:val="left"/>
              <w:textAlignment w:val="center"/>
              <w:rPr>
                <w:rFonts w:hint="eastAsia"/>
                <w:kern w:val="0"/>
                <w:sz w:val="18"/>
                <w:szCs w:val="18"/>
                <w:lang w:bidi="ar"/>
              </w:rPr>
            </w:pPr>
            <w:r>
              <w:rPr>
                <w:rFonts w:hint="eastAsia"/>
                <w:kern w:val="0"/>
                <w:sz w:val="18"/>
                <w:szCs w:val="18"/>
                <w:lang w:bidi="ar"/>
              </w:rPr>
              <w:t xml:space="preserve">11）信号机支持倒计时功能，支持学习式全程倒计时及任意指定时间的脉冲式半程倒计时；                       </w:t>
            </w:r>
          </w:p>
          <w:p>
            <w:pPr>
              <w:widowControl/>
              <w:jc w:val="left"/>
              <w:textAlignment w:val="center"/>
              <w:rPr>
                <w:rFonts w:hint="eastAsia"/>
                <w:kern w:val="0"/>
                <w:sz w:val="18"/>
                <w:szCs w:val="18"/>
                <w:lang w:bidi="ar"/>
              </w:rPr>
            </w:pPr>
            <w:r>
              <w:rPr>
                <w:rFonts w:hint="eastAsia"/>
                <w:kern w:val="0"/>
                <w:sz w:val="18"/>
                <w:szCs w:val="18"/>
                <w:lang w:bidi="ar"/>
              </w:rPr>
              <w:t xml:space="preserve">12）信号机需具备对路口信息提示板的控制功能；                                13）信号机在配合检测器的条件下，可实现与人行闯红灯告警系统的对接；              </w:t>
            </w:r>
          </w:p>
          <w:p>
            <w:pPr>
              <w:widowControl/>
              <w:jc w:val="left"/>
              <w:textAlignment w:val="center"/>
              <w:rPr>
                <w:rFonts w:hint="eastAsia"/>
                <w:kern w:val="0"/>
                <w:sz w:val="18"/>
                <w:szCs w:val="18"/>
                <w:lang w:bidi="ar"/>
              </w:rPr>
            </w:pPr>
            <w:r>
              <w:rPr>
                <w:rFonts w:hint="eastAsia"/>
                <w:kern w:val="0"/>
                <w:sz w:val="18"/>
                <w:szCs w:val="18"/>
                <w:lang w:bidi="ar"/>
              </w:rPr>
              <w:t xml:space="preserve">14）信号机至少应能连续记录3000条故障信息，记录采用循环覆盖的方式，应能对故障记录信息进行人工清除，能支持不小于15天的流量数据存储，且具备带有断电数据保持功能。 </w:t>
            </w:r>
          </w:p>
          <w:p>
            <w:pPr>
              <w:widowControl/>
              <w:jc w:val="left"/>
              <w:textAlignment w:val="center"/>
              <w:rPr>
                <w:rFonts w:hint="eastAsia"/>
                <w:kern w:val="0"/>
                <w:sz w:val="18"/>
                <w:szCs w:val="18"/>
                <w:lang w:bidi="ar"/>
              </w:rPr>
            </w:pPr>
            <w:r>
              <w:rPr>
                <w:rFonts w:hint="eastAsia"/>
                <w:kern w:val="0"/>
                <w:sz w:val="18"/>
                <w:szCs w:val="18"/>
                <w:lang w:bidi="ar"/>
              </w:rPr>
              <w:t>▲信号机采用国标GB/T 20999-2007《交通信号控制机与上位机间的数据通信协议》，提供符合标准的协议接口，能够无缝接入Intelliffic交通信号控制系统软件平台。</w:t>
            </w:r>
          </w:p>
          <w:p>
            <w:pPr>
              <w:widowControl/>
              <w:jc w:val="left"/>
              <w:textAlignment w:val="center"/>
              <w:rPr>
                <w:rFonts w:hint="eastAsia"/>
                <w:kern w:val="0"/>
                <w:sz w:val="18"/>
                <w:szCs w:val="18"/>
                <w:lang w:bidi="ar"/>
              </w:rPr>
            </w:pPr>
            <w:r>
              <w:rPr>
                <w:rFonts w:hint="eastAsia"/>
                <w:kern w:val="0"/>
                <w:sz w:val="18"/>
                <w:szCs w:val="18"/>
                <w:lang w:bidi="ar"/>
              </w:rPr>
              <w:t>▲信号机软件符合GB/T20999-2007《交通信号控制机与上位机间的数据通信协议》国家标准、支持NTCIP协议，符合度99%以上，提供中国软件评测中心出具的检测报告复印件加盖投标供应商公章；</w:t>
            </w:r>
          </w:p>
          <w:p>
            <w:pPr>
              <w:rPr>
                <w:kern w:val="0"/>
                <w:sz w:val="18"/>
                <w:szCs w:val="18"/>
                <w:lang w:bidi="ar"/>
              </w:rPr>
            </w:pPr>
            <w:r>
              <w:rPr>
                <w:rFonts w:hint="eastAsia"/>
                <w:kern w:val="0"/>
                <w:sz w:val="18"/>
                <w:szCs w:val="18"/>
                <w:lang w:bidi="ar"/>
              </w:rPr>
              <w:t>▲信号机通过CCC认证，提供证书复印件加盖投标供应商公章；</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12</w:t>
            </w:r>
          </w:p>
        </w:tc>
      </w:tr>
      <w:tr>
        <w:tblPrEx>
          <w:tblCellMar>
            <w:top w:w="15" w:type="dxa"/>
            <w:left w:w="15" w:type="dxa"/>
            <w:bottom w:w="15" w:type="dxa"/>
            <w:right w:w="15" w:type="dxa"/>
          </w:tblCellMar>
        </w:tblPrEx>
        <w:trPr>
          <w:wBefore w:w="0" w:type="dxa"/>
          <w:wAfter w:w="0" w:type="dxa"/>
          <w:trHeight w:val="28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圆盘灯（含支架）</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 xml:space="preserve">1）400mm圆盘灯，带倒计时；            </w:t>
            </w:r>
          </w:p>
          <w:p>
            <w:pPr>
              <w:widowControl/>
              <w:jc w:val="left"/>
              <w:textAlignment w:val="center"/>
              <w:rPr>
                <w:rFonts w:hint="eastAsia" w:ascii="宋体" w:hAnsi="宋体" w:cs="宋体"/>
                <w:sz w:val="18"/>
                <w:szCs w:val="18"/>
              </w:rPr>
            </w:pPr>
            <w:r>
              <w:rPr>
                <w:rFonts w:hint="eastAsia" w:ascii="宋体" w:hAnsi="宋体" w:cs="宋体"/>
                <w:sz w:val="18"/>
                <w:szCs w:val="18"/>
              </w:rPr>
              <w:t>2）产品尺寸1380*455*130mm（灯体部分）；</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3）面罩规格ф400mm面罩材质PC；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4）外壳材质 铝压铸 表面处理 黑色喷塑哑光；                                 5）工作电压 220VAC，50HZ 功率≤20W；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6）绝缘电阻 ≥500MΩ 介电强度≥1440V;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7)中心光强 400cd～1000cd；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8）LED数量 信号灯：红216，黄170，绿216；倒计时：红140，绿140；                9）LED直径 ф5mm 单管电流＜18mA；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10）LED寿命≥70000小时；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11）LED波长 红：625nm 黄：590nm 绿：505nm；                             12）可视距离＞450m 可视角度＞30°；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13）倒计时 黄灯嵌入双8倒计时；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14）计时方式 学习/触发/RS485通信（需定制）；                              15）环境温度 -20～+85°C；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16）环境湿度 ≤93%RH；                </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17）防护等级 IP53 重量≤20KG；         </w:t>
            </w:r>
          </w:p>
          <w:p>
            <w:pPr>
              <w:widowControl/>
              <w:jc w:val="left"/>
              <w:textAlignment w:val="center"/>
              <w:rPr>
                <w:rFonts w:ascii="宋体" w:hAnsi="宋体" w:cs="宋体"/>
                <w:sz w:val="18"/>
                <w:szCs w:val="18"/>
              </w:rPr>
            </w:pPr>
            <w:r>
              <w:rPr>
                <w:rFonts w:hint="eastAsia" w:ascii="宋体" w:hAnsi="宋体" w:cs="宋体"/>
                <w:sz w:val="18"/>
                <w:szCs w:val="18"/>
              </w:rPr>
              <w:t>18）执行标准 信号灯GB14887-2011 倒计时GAT508-2004</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44</w:t>
            </w:r>
          </w:p>
        </w:tc>
      </w:tr>
      <w:tr>
        <w:tblPrEx>
          <w:tblCellMar>
            <w:top w:w="15" w:type="dxa"/>
            <w:left w:w="15" w:type="dxa"/>
            <w:bottom w:w="15" w:type="dxa"/>
            <w:right w:w="15" w:type="dxa"/>
          </w:tblCellMar>
        </w:tblPrEx>
        <w:trPr>
          <w:wBefore w:w="0" w:type="dxa"/>
          <w:wAfter w:w="0" w:type="dxa"/>
          <w:trHeight w:val="28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左转箭头灯（含支架）</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sz w:val="18"/>
                <w:szCs w:val="18"/>
              </w:rPr>
            </w:pPr>
            <w:r>
              <w:rPr>
                <w:rFonts w:hint="eastAsia"/>
                <w:sz w:val="18"/>
                <w:szCs w:val="18"/>
              </w:rPr>
              <w:t>1) 箭头灯，带倒计时</w:t>
            </w:r>
          </w:p>
          <w:p>
            <w:pPr>
              <w:rPr>
                <w:rFonts w:hint="eastAsia"/>
                <w:sz w:val="18"/>
                <w:szCs w:val="18"/>
              </w:rPr>
            </w:pPr>
            <w:r>
              <w:rPr>
                <w:rFonts w:hint="eastAsia"/>
                <w:sz w:val="18"/>
                <w:szCs w:val="18"/>
              </w:rPr>
              <w:t>2) 产品尺寸 1380×455×130 mm（灯体部分）</w:t>
            </w:r>
          </w:p>
          <w:p>
            <w:pPr>
              <w:rPr>
                <w:rFonts w:hint="eastAsia"/>
                <w:sz w:val="18"/>
                <w:szCs w:val="18"/>
              </w:rPr>
            </w:pPr>
            <w:r>
              <w:rPr>
                <w:rFonts w:hint="eastAsia"/>
                <w:sz w:val="18"/>
                <w:szCs w:val="18"/>
              </w:rPr>
              <w:t xml:space="preserve">3) 面罩规格 Φ400mm 面罩材质 PC </w:t>
            </w:r>
          </w:p>
          <w:p>
            <w:pPr>
              <w:rPr>
                <w:rFonts w:hint="eastAsia"/>
                <w:sz w:val="18"/>
                <w:szCs w:val="18"/>
              </w:rPr>
            </w:pPr>
            <w:r>
              <w:rPr>
                <w:rFonts w:hint="eastAsia"/>
                <w:sz w:val="18"/>
                <w:szCs w:val="18"/>
              </w:rPr>
              <w:t>4) 外壳材质 铝压铸  表面处理 黑色喷塑哑光</w:t>
            </w:r>
          </w:p>
          <w:p>
            <w:pPr>
              <w:rPr>
                <w:rFonts w:hint="eastAsia"/>
                <w:sz w:val="18"/>
                <w:szCs w:val="18"/>
              </w:rPr>
            </w:pPr>
            <w:r>
              <w:rPr>
                <w:rFonts w:hint="eastAsia"/>
                <w:sz w:val="18"/>
                <w:szCs w:val="18"/>
              </w:rPr>
              <w:t>5) 工作电压 220VAC，50HZ   功率≤20W</w:t>
            </w:r>
          </w:p>
          <w:p>
            <w:pPr>
              <w:rPr>
                <w:rFonts w:hint="eastAsia"/>
                <w:sz w:val="18"/>
                <w:szCs w:val="18"/>
              </w:rPr>
            </w:pPr>
            <w:r>
              <w:rPr>
                <w:rFonts w:hint="eastAsia"/>
                <w:sz w:val="18"/>
                <w:szCs w:val="18"/>
              </w:rPr>
              <w:t>6) 绝缘电阻    ≥500MΩ  介电强度    ≥1440V</w:t>
            </w:r>
          </w:p>
          <w:p>
            <w:pPr>
              <w:rPr>
                <w:rFonts w:hint="eastAsia"/>
                <w:sz w:val="18"/>
                <w:szCs w:val="18"/>
              </w:rPr>
            </w:pPr>
            <w:r>
              <w:rPr>
                <w:rFonts w:hint="eastAsia"/>
                <w:sz w:val="18"/>
                <w:szCs w:val="18"/>
              </w:rPr>
              <w:t>7) 中心亮度    5000 ~10000 cd/m2</w:t>
            </w:r>
          </w:p>
          <w:p>
            <w:pPr>
              <w:rPr>
                <w:rFonts w:hint="eastAsia"/>
                <w:sz w:val="18"/>
                <w:szCs w:val="18"/>
              </w:rPr>
            </w:pPr>
            <w:r>
              <w:rPr>
                <w:rFonts w:hint="eastAsia"/>
                <w:sz w:val="18"/>
                <w:szCs w:val="18"/>
              </w:rPr>
              <w:t>8) LED 数量   信号灯：红90，黄90，绿90；倒计时：红140，绿140；</w:t>
            </w:r>
          </w:p>
          <w:p>
            <w:pPr>
              <w:rPr>
                <w:rFonts w:hint="eastAsia"/>
                <w:sz w:val="18"/>
                <w:szCs w:val="18"/>
              </w:rPr>
            </w:pPr>
            <w:r>
              <w:rPr>
                <w:rFonts w:hint="eastAsia"/>
                <w:sz w:val="18"/>
                <w:szCs w:val="18"/>
              </w:rPr>
              <w:t>9) LED 直径 Φ5mm 单管电流 &lt; 18mA</w:t>
            </w:r>
          </w:p>
          <w:p>
            <w:pPr>
              <w:rPr>
                <w:rFonts w:hint="eastAsia"/>
                <w:sz w:val="18"/>
                <w:szCs w:val="18"/>
              </w:rPr>
            </w:pPr>
            <w:r>
              <w:rPr>
                <w:rFonts w:hint="eastAsia"/>
                <w:sz w:val="18"/>
                <w:szCs w:val="18"/>
              </w:rPr>
              <w:t>10) LED 寿命 ≥70000小时</w:t>
            </w:r>
          </w:p>
          <w:p>
            <w:pPr>
              <w:rPr>
                <w:rFonts w:hint="eastAsia"/>
                <w:sz w:val="18"/>
                <w:szCs w:val="18"/>
              </w:rPr>
            </w:pPr>
            <w:r>
              <w:rPr>
                <w:rFonts w:hint="eastAsia"/>
                <w:sz w:val="18"/>
                <w:szCs w:val="18"/>
              </w:rPr>
              <w:t>11) LED 波长 红：625 nm黄：590 nm绿：505 nm</w:t>
            </w:r>
          </w:p>
          <w:p>
            <w:pPr>
              <w:rPr>
                <w:rFonts w:hint="eastAsia"/>
                <w:sz w:val="18"/>
                <w:szCs w:val="18"/>
              </w:rPr>
            </w:pPr>
            <w:r>
              <w:rPr>
                <w:rFonts w:hint="eastAsia"/>
                <w:sz w:val="18"/>
                <w:szCs w:val="18"/>
              </w:rPr>
              <w:t>12) 可视距离 &gt;450m 可视角度 &gt;30°</w:t>
            </w:r>
          </w:p>
          <w:p>
            <w:pPr>
              <w:rPr>
                <w:rFonts w:hint="eastAsia"/>
                <w:sz w:val="18"/>
                <w:szCs w:val="18"/>
              </w:rPr>
            </w:pPr>
            <w:r>
              <w:rPr>
                <w:rFonts w:hint="eastAsia"/>
                <w:sz w:val="18"/>
                <w:szCs w:val="18"/>
              </w:rPr>
              <w:t>13) 倒计时      黄灯嵌入双8倒计时</w:t>
            </w:r>
          </w:p>
          <w:p>
            <w:pPr>
              <w:rPr>
                <w:rFonts w:hint="eastAsia"/>
                <w:sz w:val="18"/>
                <w:szCs w:val="18"/>
              </w:rPr>
            </w:pPr>
            <w:r>
              <w:rPr>
                <w:rFonts w:hint="eastAsia"/>
                <w:sz w:val="18"/>
                <w:szCs w:val="18"/>
              </w:rPr>
              <w:t>14) 计时方式    学习/触发/RS485通信（需定制）</w:t>
            </w:r>
          </w:p>
          <w:p>
            <w:pPr>
              <w:rPr>
                <w:rFonts w:hint="eastAsia"/>
                <w:sz w:val="18"/>
                <w:szCs w:val="18"/>
              </w:rPr>
            </w:pPr>
            <w:r>
              <w:rPr>
                <w:rFonts w:hint="eastAsia"/>
                <w:sz w:val="18"/>
                <w:szCs w:val="18"/>
              </w:rPr>
              <w:t xml:space="preserve">15) 环境温度 -20 ~ +85 ℃ </w:t>
            </w:r>
          </w:p>
          <w:p>
            <w:pPr>
              <w:rPr>
                <w:rFonts w:hint="eastAsia"/>
                <w:sz w:val="18"/>
                <w:szCs w:val="18"/>
              </w:rPr>
            </w:pPr>
            <w:r>
              <w:rPr>
                <w:rFonts w:hint="eastAsia"/>
                <w:sz w:val="18"/>
                <w:szCs w:val="18"/>
              </w:rPr>
              <w:t>16) 环境湿度 ≤93%RH</w:t>
            </w:r>
          </w:p>
          <w:p>
            <w:pPr>
              <w:rPr>
                <w:rFonts w:hint="eastAsia"/>
                <w:sz w:val="18"/>
                <w:szCs w:val="18"/>
              </w:rPr>
            </w:pPr>
            <w:r>
              <w:rPr>
                <w:rFonts w:hint="eastAsia"/>
                <w:sz w:val="18"/>
                <w:szCs w:val="18"/>
              </w:rPr>
              <w:t>17) 防护等级 IP53     重量 ≤20KG</w:t>
            </w:r>
          </w:p>
          <w:p>
            <w:pPr>
              <w:rPr>
                <w:sz w:val="18"/>
                <w:szCs w:val="18"/>
              </w:rPr>
            </w:pPr>
            <w:r>
              <w:rPr>
                <w:rFonts w:hint="eastAsia"/>
                <w:sz w:val="18"/>
                <w:szCs w:val="18"/>
              </w:rPr>
              <w:t>18) 执行标准 信号灯GB14887-2011    倒计时GAT508-2004</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4</w:t>
            </w:r>
          </w:p>
        </w:tc>
      </w:tr>
      <w:tr>
        <w:tblPrEx>
          <w:tblCellMar>
            <w:top w:w="15" w:type="dxa"/>
            <w:left w:w="15" w:type="dxa"/>
            <w:bottom w:w="15" w:type="dxa"/>
            <w:right w:w="15" w:type="dxa"/>
          </w:tblCellMar>
        </w:tblPrEx>
        <w:trPr>
          <w:wBefore w:w="0" w:type="dxa"/>
          <w:wAfter w:w="0" w:type="dxa"/>
          <w:trHeight w:val="28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一体化人行灯（含基础预埋件）</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sz w:val="18"/>
                <w:szCs w:val="18"/>
              </w:rPr>
            </w:pPr>
            <w:r>
              <w:rPr>
                <w:rFonts w:hint="eastAsia"/>
                <w:sz w:val="18"/>
                <w:szCs w:val="18"/>
              </w:rPr>
              <w:t>1) 300mm,红绿动态人+红绿双色倒计时（2位数字）</w:t>
            </w:r>
          </w:p>
          <w:p>
            <w:pPr>
              <w:rPr>
                <w:rFonts w:hint="eastAsia"/>
                <w:sz w:val="18"/>
                <w:szCs w:val="18"/>
              </w:rPr>
            </w:pPr>
            <w:r>
              <w:rPr>
                <w:rFonts w:hint="eastAsia"/>
                <w:sz w:val="18"/>
                <w:szCs w:val="18"/>
              </w:rPr>
              <w:t>2) 产品尺寸 710×350×120 mm（灯体部分）</w:t>
            </w:r>
          </w:p>
          <w:p>
            <w:pPr>
              <w:rPr>
                <w:rFonts w:hint="eastAsia"/>
                <w:sz w:val="18"/>
                <w:szCs w:val="18"/>
              </w:rPr>
            </w:pPr>
            <w:r>
              <w:rPr>
                <w:rFonts w:hint="eastAsia"/>
                <w:sz w:val="18"/>
                <w:szCs w:val="18"/>
              </w:rPr>
              <w:t xml:space="preserve">3) 面罩规格 Φ300mm 面罩材质 PC </w:t>
            </w:r>
          </w:p>
          <w:p>
            <w:pPr>
              <w:rPr>
                <w:rFonts w:hint="eastAsia"/>
                <w:sz w:val="18"/>
                <w:szCs w:val="18"/>
              </w:rPr>
            </w:pPr>
            <w:r>
              <w:rPr>
                <w:rFonts w:hint="eastAsia"/>
                <w:sz w:val="18"/>
                <w:szCs w:val="18"/>
              </w:rPr>
              <w:t>4) 外壳材质 铝型材、不锈钢板  表面处理 驼黄喷塑哑光</w:t>
            </w:r>
          </w:p>
          <w:p>
            <w:pPr>
              <w:rPr>
                <w:rFonts w:hint="eastAsia"/>
                <w:sz w:val="18"/>
                <w:szCs w:val="18"/>
              </w:rPr>
            </w:pPr>
            <w:r>
              <w:rPr>
                <w:rFonts w:hint="eastAsia"/>
                <w:sz w:val="18"/>
                <w:szCs w:val="18"/>
              </w:rPr>
              <w:t>5) 工作电压 220VAC，50HZ   功率≤15W</w:t>
            </w:r>
          </w:p>
          <w:p>
            <w:pPr>
              <w:rPr>
                <w:rFonts w:hint="eastAsia"/>
                <w:sz w:val="18"/>
                <w:szCs w:val="18"/>
              </w:rPr>
            </w:pPr>
            <w:r>
              <w:rPr>
                <w:rFonts w:hint="eastAsia"/>
                <w:sz w:val="18"/>
                <w:szCs w:val="18"/>
              </w:rPr>
              <w:t>6) 绝缘电阻    ≥500MΩ  介电强度    ≥1440V</w:t>
            </w:r>
          </w:p>
          <w:p>
            <w:pPr>
              <w:rPr>
                <w:rFonts w:hint="eastAsia"/>
                <w:sz w:val="18"/>
                <w:szCs w:val="18"/>
              </w:rPr>
            </w:pPr>
            <w:r>
              <w:rPr>
                <w:rFonts w:hint="eastAsia"/>
                <w:sz w:val="18"/>
                <w:szCs w:val="18"/>
              </w:rPr>
              <w:t>7) 中心光强    150 ~400 cd</w:t>
            </w:r>
          </w:p>
          <w:p>
            <w:pPr>
              <w:rPr>
                <w:rFonts w:hint="eastAsia"/>
                <w:sz w:val="18"/>
                <w:szCs w:val="18"/>
              </w:rPr>
            </w:pPr>
            <w:r>
              <w:rPr>
                <w:rFonts w:hint="eastAsia"/>
                <w:sz w:val="18"/>
                <w:szCs w:val="18"/>
              </w:rPr>
              <w:t>8) LED 数量    信号灯：红60；绿65；倒计时：红140；绿140；</w:t>
            </w:r>
          </w:p>
          <w:p>
            <w:pPr>
              <w:rPr>
                <w:rFonts w:hint="eastAsia"/>
                <w:sz w:val="18"/>
                <w:szCs w:val="18"/>
              </w:rPr>
            </w:pPr>
            <w:r>
              <w:rPr>
                <w:rFonts w:hint="eastAsia"/>
                <w:sz w:val="18"/>
                <w:szCs w:val="18"/>
              </w:rPr>
              <w:t>9) LED 直径 Φ5mm 单管电流 &lt; 18mA</w:t>
            </w:r>
          </w:p>
          <w:p>
            <w:pPr>
              <w:rPr>
                <w:rFonts w:hint="eastAsia"/>
                <w:sz w:val="18"/>
                <w:szCs w:val="18"/>
              </w:rPr>
            </w:pPr>
            <w:r>
              <w:rPr>
                <w:rFonts w:hint="eastAsia"/>
                <w:sz w:val="18"/>
                <w:szCs w:val="18"/>
              </w:rPr>
              <w:t>10) LED 寿命 ≥70000小时</w:t>
            </w:r>
          </w:p>
          <w:p>
            <w:pPr>
              <w:rPr>
                <w:rFonts w:hint="eastAsia"/>
                <w:sz w:val="18"/>
                <w:szCs w:val="18"/>
              </w:rPr>
            </w:pPr>
            <w:r>
              <w:rPr>
                <w:rFonts w:hint="eastAsia"/>
                <w:sz w:val="18"/>
                <w:szCs w:val="18"/>
              </w:rPr>
              <w:t>11) LED 波长 红：625 nm 绿：505 nm</w:t>
            </w:r>
          </w:p>
          <w:p>
            <w:pPr>
              <w:rPr>
                <w:rFonts w:hint="eastAsia"/>
                <w:sz w:val="18"/>
                <w:szCs w:val="18"/>
              </w:rPr>
            </w:pPr>
            <w:r>
              <w:rPr>
                <w:rFonts w:hint="eastAsia"/>
                <w:sz w:val="18"/>
                <w:szCs w:val="18"/>
              </w:rPr>
              <w:t>12) 可视距离 &gt;300m 可视角度 &gt;30°</w:t>
            </w:r>
          </w:p>
          <w:p>
            <w:pPr>
              <w:rPr>
                <w:rFonts w:hint="eastAsia"/>
                <w:sz w:val="18"/>
                <w:szCs w:val="18"/>
              </w:rPr>
            </w:pPr>
            <w:r>
              <w:rPr>
                <w:rFonts w:hint="eastAsia"/>
                <w:sz w:val="18"/>
                <w:szCs w:val="18"/>
              </w:rPr>
              <w:t>13) 倒计时      双8倒计时</w:t>
            </w:r>
          </w:p>
          <w:p>
            <w:pPr>
              <w:rPr>
                <w:rFonts w:hint="eastAsia"/>
                <w:sz w:val="18"/>
                <w:szCs w:val="18"/>
              </w:rPr>
            </w:pPr>
            <w:r>
              <w:rPr>
                <w:rFonts w:hint="eastAsia"/>
                <w:sz w:val="18"/>
                <w:szCs w:val="18"/>
              </w:rPr>
              <w:t>14) 计时方式    学习/触发/RS485通信（需定制）</w:t>
            </w:r>
          </w:p>
          <w:p>
            <w:pPr>
              <w:rPr>
                <w:rFonts w:hint="eastAsia"/>
                <w:sz w:val="18"/>
                <w:szCs w:val="18"/>
              </w:rPr>
            </w:pPr>
            <w:r>
              <w:rPr>
                <w:rFonts w:hint="eastAsia"/>
                <w:sz w:val="18"/>
                <w:szCs w:val="18"/>
              </w:rPr>
              <w:t xml:space="preserve">15) 环境温度 -20 ~ +85 ℃ </w:t>
            </w:r>
          </w:p>
          <w:p>
            <w:pPr>
              <w:rPr>
                <w:rFonts w:hint="eastAsia"/>
                <w:sz w:val="18"/>
                <w:szCs w:val="18"/>
              </w:rPr>
            </w:pPr>
            <w:r>
              <w:rPr>
                <w:rFonts w:hint="eastAsia"/>
                <w:sz w:val="18"/>
                <w:szCs w:val="18"/>
              </w:rPr>
              <w:t>16) 环境湿度 ≤93%RH</w:t>
            </w:r>
          </w:p>
          <w:p>
            <w:pPr>
              <w:rPr>
                <w:rFonts w:hint="eastAsia"/>
                <w:sz w:val="18"/>
                <w:szCs w:val="18"/>
              </w:rPr>
            </w:pPr>
            <w:r>
              <w:rPr>
                <w:rFonts w:hint="eastAsia"/>
                <w:sz w:val="18"/>
                <w:szCs w:val="18"/>
              </w:rPr>
              <w:t>17) 防护等级 IP53     重量 ≤10KG</w:t>
            </w:r>
          </w:p>
          <w:p>
            <w:pPr>
              <w:rPr>
                <w:sz w:val="18"/>
                <w:szCs w:val="18"/>
              </w:rPr>
            </w:pPr>
            <w:r>
              <w:rPr>
                <w:rFonts w:hint="eastAsia"/>
                <w:sz w:val="18"/>
                <w:szCs w:val="18"/>
              </w:rPr>
              <w:t>18) 执行标准 信号灯GB14887-2011 倒计时GAT508-2004</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90</w:t>
            </w:r>
          </w:p>
        </w:tc>
      </w:tr>
      <w:tr>
        <w:tblPrEx>
          <w:tblCellMar>
            <w:top w:w="15" w:type="dxa"/>
            <w:left w:w="15" w:type="dxa"/>
            <w:bottom w:w="15" w:type="dxa"/>
            <w:right w:w="15" w:type="dxa"/>
          </w:tblCellMar>
        </w:tblPrEx>
        <w:trPr>
          <w:wBefore w:w="0" w:type="dxa"/>
          <w:wAfter w:w="0" w:type="dxa"/>
          <w:trHeight w:val="28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L型杆（杆高7米），挑臂长度≤5m（含基础预埋件、安装）</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1) 立柱高7m，悬臂长≤5m，八角形；</w:t>
            </w:r>
          </w:p>
          <w:p>
            <w:pPr>
              <w:widowControl/>
              <w:jc w:val="left"/>
              <w:textAlignment w:val="center"/>
              <w:rPr>
                <w:rFonts w:hint="eastAsia" w:ascii="宋体" w:hAnsi="宋体" w:cs="宋体"/>
                <w:sz w:val="18"/>
                <w:szCs w:val="18"/>
              </w:rPr>
            </w:pPr>
            <w:r>
              <w:rPr>
                <w:rFonts w:hint="eastAsia" w:ascii="宋体" w:hAnsi="宋体" w:cs="宋体"/>
                <w:sz w:val="18"/>
                <w:szCs w:val="18"/>
              </w:rPr>
              <w:t>2) 采用无焊缝钢管且进行浸锌喷塑防腐处理；</w:t>
            </w:r>
          </w:p>
          <w:p>
            <w:pPr>
              <w:widowControl/>
              <w:jc w:val="left"/>
              <w:textAlignment w:val="center"/>
              <w:rPr>
                <w:rFonts w:hint="eastAsia" w:ascii="宋体" w:hAnsi="宋体" w:cs="宋体"/>
                <w:sz w:val="18"/>
                <w:szCs w:val="18"/>
              </w:rPr>
            </w:pPr>
            <w:r>
              <w:rPr>
                <w:rFonts w:hint="eastAsia" w:ascii="宋体" w:hAnsi="宋体" w:cs="宋体"/>
                <w:sz w:val="18"/>
                <w:szCs w:val="18"/>
              </w:rPr>
              <w:t>3) 悬臂长度根据安装点的实际宽度决定，上方应加置避雷钗，横挑臂钢板壁厚≥4mm，立柱钢板壁厚≥6mm；</w:t>
            </w:r>
          </w:p>
          <w:p>
            <w:pPr>
              <w:widowControl/>
              <w:jc w:val="left"/>
              <w:textAlignment w:val="center"/>
              <w:rPr>
                <w:rFonts w:hint="eastAsia" w:ascii="宋体" w:hAnsi="宋体" w:cs="宋体"/>
                <w:sz w:val="18"/>
                <w:szCs w:val="18"/>
              </w:rPr>
            </w:pPr>
            <w:r>
              <w:rPr>
                <w:rFonts w:hint="eastAsia" w:ascii="宋体" w:hAnsi="宋体" w:cs="宋体"/>
                <w:sz w:val="18"/>
                <w:szCs w:val="18"/>
              </w:rPr>
              <w:t>4) 立柱及横挑臂截面为正八边形，立柱与横挑臂采用法兰联接；</w:t>
            </w:r>
          </w:p>
          <w:p>
            <w:pPr>
              <w:widowControl/>
              <w:jc w:val="left"/>
              <w:textAlignment w:val="center"/>
              <w:rPr>
                <w:rFonts w:ascii="宋体" w:hAnsi="宋体" w:cs="宋体"/>
                <w:sz w:val="18"/>
                <w:szCs w:val="18"/>
              </w:rPr>
            </w:pPr>
            <w:r>
              <w:rPr>
                <w:rFonts w:hint="eastAsia" w:ascii="宋体" w:hAnsi="宋体" w:cs="宋体"/>
                <w:sz w:val="18"/>
                <w:szCs w:val="18"/>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2</w:t>
            </w:r>
          </w:p>
        </w:tc>
      </w:tr>
      <w:tr>
        <w:tblPrEx>
          <w:tblCellMar>
            <w:top w:w="15" w:type="dxa"/>
            <w:left w:w="15" w:type="dxa"/>
            <w:bottom w:w="15" w:type="dxa"/>
            <w:right w:w="15" w:type="dxa"/>
          </w:tblCellMar>
        </w:tblPrEx>
        <w:trPr>
          <w:wBefore w:w="0" w:type="dxa"/>
          <w:wAfter w:w="0" w:type="dxa"/>
          <w:trHeight w:val="495"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L型杆（杆高7米），挑臂长度6m-8m（含基础预埋件、安装）</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1) 立柱高7m，悬臂长6m-8m，八角形；</w:t>
            </w:r>
          </w:p>
          <w:p>
            <w:pPr>
              <w:widowControl/>
              <w:jc w:val="left"/>
              <w:textAlignment w:val="center"/>
              <w:rPr>
                <w:rFonts w:hint="eastAsia" w:ascii="宋体" w:hAnsi="宋体" w:cs="宋体"/>
                <w:sz w:val="18"/>
                <w:szCs w:val="18"/>
              </w:rPr>
            </w:pPr>
            <w:r>
              <w:rPr>
                <w:rFonts w:hint="eastAsia" w:ascii="宋体" w:hAnsi="宋体" w:cs="宋体"/>
                <w:sz w:val="18"/>
                <w:szCs w:val="18"/>
              </w:rPr>
              <w:t>2) 采用无焊缝钢管且进行浸锌喷塑防腐处理；</w:t>
            </w:r>
          </w:p>
          <w:p>
            <w:pPr>
              <w:widowControl/>
              <w:jc w:val="left"/>
              <w:textAlignment w:val="center"/>
              <w:rPr>
                <w:rFonts w:hint="eastAsia" w:ascii="宋体" w:hAnsi="宋体" w:cs="宋体"/>
                <w:sz w:val="18"/>
                <w:szCs w:val="18"/>
              </w:rPr>
            </w:pPr>
            <w:r>
              <w:rPr>
                <w:rFonts w:hint="eastAsia" w:ascii="宋体" w:hAnsi="宋体" w:cs="宋体"/>
                <w:sz w:val="18"/>
                <w:szCs w:val="18"/>
              </w:rPr>
              <w:t>3) 悬臂长度根据安装点的实际宽度决定，上方应加置避雷钗，横挑臂钢板壁厚≥4mm，立柱钢板壁厚≥6mm；</w:t>
            </w:r>
          </w:p>
          <w:p>
            <w:pPr>
              <w:widowControl/>
              <w:jc w:val="left"/>
              <w:textAlignment w:val="center"/>
              <w:rPr>
                <w:rFonts w:hint="eastAsia" w:ascii="宋体" w:hAnsi="宋体" w:cs="宋体"/>
                <w:sz w:val="18"/>
                <w:szCs w:val="18"/>
              </w:rPr>
            </w:pPr>
            <w:r>
              <w:rPr>
                <w:rFonts w:hint="eastAsia" w:ascii="宋体" w:hAnsi="宋体" w:cs="宋体"/>
                <w:sz w:val="18"/>
                <w:szCs w:val="18"/>
              </w:rPr>
              <w:t>4) 立柱及横挑臂截面为正八边形，立柱与横挑臂采用法兰联接；</w:t>
            </w:r>
          </w:p>
          <w:p>
            <w:pPr>
              <w:widowControl/>
              <w:jc w:val="left"/>
              <w:textAlignment w:val="center"/>
              <w:rPr>
                <w:rFonts w:ascii="宋体" w:hAnsi="宋体" w:cs="宋体"/>
                <w:sz w:val="18"/>
                <w:szCs w:val="18"/>
              </w:rPr>
            </w:pPr>
            <w:r>
              <w:rPr>
                <w:rFonts w:hint="eastAsia" w:ascii="宋体" w:hAnsi="宋体" w:cs="宋体"/>
                <w:sz w:val="18"/>
                <w:szCs w:val="18"/>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13</w:t>
            </w:r>
          </w:p>
        </w:tc>
      </w:tr>
      <w:tr>
        <w:tblPrEx>
          <w:tblCellMar>
            <w:top w:w="15" w:type="dxa"/>
            <w:left w:w="15" w:type="dxa"/>
            <w:bottom w:w="15" w:type="dxa"/>
            <w:right w:w="15" w:type="dxa"/>
          </w:tblCellMar>
        </w:tblPrEx>
        <w:trPr>
          <w:wBefore w:w="0" w:type="dxa"/>
          <w:wAfter w:w="0" w:type="dxa"/>
          <w:trHeight w:val="510"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L型杆（杆高7米），挑臂长度9m-11m（含基础预埋件、安装）</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1) 立柱高7m，悬臂长9m-11m，八角形；</w:t>
            </w:r>
          </w:p>
          <w:p>
            <w:pPr>
              <w:widowControl/>
              <w:jc w:val="left"/>
              <w:textAlignment w:val="center"/>
              <w:rPr>
                <w:rFonts w:hint="eastAsia" w:ascii="宋体" w:hAnsi="宋体" w:cs="宋体"/>
                <w:sz w:val="18"/>
                <w:szCs w:val="18"/>
              </w:rPr>
            </w:pPr>
            <w:r>
              <w:rPr>
                <w:rFonts w:hint="eastAsia" w:ascii="宋体" w:hAnsi="宋体" w:cs="宋体"/>
                <w:sz w:val="18"/>
                <w:szCs w:val="18"/>
              </w:rPr>
              <w:t>2) 采用无焊缝钢管且进行浸锌喷塑防腐处理；</w:t>
            </w:r>
          </w:p>
          <w:p>
            <w:pPr>
              <w:widowControl/>
              <w:jc w:val="left"/>
              <w:textAlignment w:val="center"/>
              <w:rPr>
                <w:rFonts w:hint="eastAsia" w:ascii="宋体" w:hAnsi="宋体" w:cs="宋体"/>
                <w:sz w:val="18"/>
                <w:szCs w:val="18"/>
              </w:rPr>
            </w:pPr>
            <w:r>
              <w:rPr>
                <w:rFonts w:hint="eastAsia" w:ascii="宋体" w:hAnsi="宋体" w:cs="宋体"/>
                <w:sz w:val="18"/>
                <w:szCs w:val="18"/>
              </w:rPr>
              <w:t>3) 悬臂长度根据安装点的实际宽度决定，上方应加置避雷钗，横挑臂钢板壁厚≥4mm，立柱钢板壁厚≥6mm；</w:t>
            </w:r>
          </w:p>
          <w:p>
            <w:pPr>
              <w:widowControl/>
              <w:jc w:val="left"/>
              <w:textAlignment w:val="center"/>
              <w:rPr>
                <w:rFonts w:hint="eastAsia" w:ascii="宋体" w:hAnsi="宋体" w:cs="宋体"/>
                <w:sz w:val="18"/>
                <w:szCs w:val="18"/>
              </w:rPr>
            </w:pPr>
            <w:r>
              <w:rPr>
                <w:rFonts w:hint="eastAsia" w:ascii="宋体" w:hAnsi="宋体" w:cs="宋体"/>
                <w:sz w:val="18"/>
                <w:szCs w:val="18"/>
              </w:rPr>
              <w:t>4) 立柱及横挑臂截面为正八边形，立柱与横挑臂采用法兰联接；</w:t>
            </w:r>
          </w:p>
          <w:p>
            <w:pPr>
              <w:widowControl/>
              <w:jc w:val="left"/>
              <w:textAlignment w:val="center"/>
              <w:rPr>
                <w:rFonts w:ascii="宋体" w:hAnsi="宋体" w:cs="宋体"/>
                <w:sz w:val="18"/>
                <w:szCs w:val="18"/>
              </w:rPr>
            </w:pPr>
            <w:r>
              <w:rPr>
                <w:rFonts w:hint="eastAsia" w:ascii="宋体" w:hAnsi="宋体" w:cs="宋体"/>
                <w:sz w:val="18"/>
                <w:szCs w:val="18"/>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4</w:t>
            </w:r>
          </w:p>
        </w:tc>
      </w:tr>
      <w:tr>
        <w:tblPrEx>
          <w:tblCellMar>
            <w:top w:w="15" w:type="dxa"/>
            <w:left w:w="15" w:type="dxa"/>
            <w:bottom w:w="15" w:type="dxa"/>
            <w:right w:w="15" w:type="dxa"/>
          </w:tblCellMar>
        </w:tblPrEx>
        <w:trPr>
          <w:wBefore w:w="0" w:type="dxa"/>
          <w:wAfter w:w="0" w:type="dxa"/>
          <w:trHeight w:val="850"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18"/>
                <w:szCs w:val="18"/>
                <w:lang w:bidi="ar"/>
              </w:rPr>
            </w:pPr>
            <w:r>
              <w:rPr>
                <w:rFonts w:hint="eastAsia"/>
                <w:kern w:val="0"/>
                <w:sz w:val="18"/>
                <w:szCs w:val="18"/>
                <w:lang w:bidi="ar"/>
              </w:rPr>
              <w:t>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信号灯、人行灯电源线</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1) 信号灯电源线必须大于等于KVV4*1.5；</w:t>
            </w:r>
          </w:p>
          <w:p>
            <w:pPr>
              <w:widowControl/>
              <w:jc w:val="left"/>
              <w:textAlignment w:val="center"/>
              <w:rPr>
                <w:rFonts w:ascii="宋体" w:hAnsi="宋体" w:cs="宋体"/>
                <w:sz w:val="18"/>
                <w:szCs w:val="18"/>
              </w:rPr>
            </w:pPr>
            <w:r>
              <w:rPr>
                <w:rFonts w:hint="eastAsia" w:ascii="宋体" w:hAnsi="宋体" w:cs="宋体"/>
                <w:sz w:val="18"/>
                <w:szCs w:val="18"/>
              </w:rPr>
              <w:t>2) 人行灯电源线必须大于等于KVV3*1.5；</w:t>
            </w:r>
          </w:p>
          <w:p>
            <w:pPr>
              <w:widowControl/>
              <w:jc w:val="left"/>
              <w:textAlignment w:val="center"/>
              <w:rPr>
                <w:rFonts w:ascii="宋体" w:hAnsi="宋体" w:cs="宋体"/>
                <w:sz w:val="18"/>
                <w:szCs w:val="18"/>
              </w:rPr>
            </w:pPr>
            <w:r>
              <w:rPr>
                <w:rFonts w:hint="eastAsia" w:ascii="宋体" w:hAnsi="宋体" w:cs="宋体"/>
                <w:sz w:val="18"/>
                <w:szCs w:val="18"/>
              </w:rPr>
              <w:t>3) 信号灯及人行灯必须单独采用1路线，不允许并线。</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850"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18"/>
                <w:szCs w:val="18"/>
                <w:lang w:bidi="ar"/>
              </w:rPr>
            </w:pPr>
            <w:r>
              <w:rPr>
                <w:rFonts w:hint="eastAsia"/>
                <w:kern w:val="0"/>
                <w:sz w:val="18"/>
                <w:szCs w:val="18"/>
                <w:lang w:bidi="ar"/>
              </w:rPr>
              <w:t>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旧管路疏通（含窨井等）</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旧管路疏通，一个路口四个方向为一项。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7</w:t>
            </w:r>
          </w:p>
        </w:tc>
      </w:tr>
      <w:tr>
        <w:tblPrEx>
          <w:tblCellMar>
            <w:top w:w="15" w:type="dxa"/>
            <w:left w:w="15" w:type="dxa"/>
            <w:bottom w:w="15" w:type="dxa"/>
            <w:right w:w="15" w:type="dxa"/>
          </w:tblCellMar>
        </w:tblPrEx>
        <w:trPr>
          <w:wBefore w:w="0" w:type="dxa"/>
          <w:wAfter w:w="0" w:type="dxa"/>
          <w:trHeight w:val="542"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18"/>
                <w:szCs w:val="18"/>
                <w:lang w:bidi="ar"/>
              </w:rPr>
            </w:pPr>
            <w:r>
              <w:rPr>
                <w:rFonts w:hint="eastAsia"/>
                <w:kern w:val="0"/>
                <w:sz w:val="18"/>
                <w:szCs w:val="18"/>
                <w:lang w:bidi="ar"/>
              </w:rPr>
              <w:t>1</w:t>
            </w:r>
            <w:r>
              <w:rPr>
                <w:kern w:val="0"/>
                <w:sz w:val="18"/>
                <w:szCs w:val="18"/>
                <w:lang w:bidi="ar"/>
              </w:rPr>
              <w:t>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旧设备拆除</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旧杆件等设备拆除。</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1</w:t>
            </w:r>
          </w:p>
        </w:tc>
      </w:tr>
      <w:tr>
        <w:tblPrEx>
          <w:tblCellMar>
            <w:top w:w="15" w:type="dxa"/>
            <w:left w:w="15" w:type="dxa"/>
            <w:bottom w:w="15" w:type="dxa"/>
            <w:right w:w="15" w:type="dxa"/>
          </w:tblCellMar>
        </w:tblPrEx>
        <w:trPr>
          <w:wBefore w:w="0" w:type="dxa"/>
          <w:wAfter w:w="0" w:type="dxa"/>
          <w:trHeight w:val="523"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11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ascii="宋体" w:hAnsi="宋体" w:cs="宋体"/>
                <w:sz w:val="18"/>
                <w:szCs w:val="18"/>
              </w:rPr>
            </w:pPr>
            <w:r>
              <w:rPr>
                <w:rFonts w:hint="eastAsia" w:ascii="宋体" w:hAnsi="宋体" w:cs="宋体"/>
                <w:sz w:val="18"/>
                <w:szCs w:val="18"/>
              </w:rPr>
              <w:t>旧杆件喷漆</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ascii="宋体" w:hAnsi="宋体" w:cs="宋体"/>
                <w:sz w:val="20"/>
                <w:szCs w:val="20"/>
              </w:rPr>
              <w:t>利旧杆件重新漆面。</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kern w:val="0"/>
                <w:sz w:val="18"/>
                <w:szCs w:val="18"/>
                <w:lang w:bidi="ar"/>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sz w:val="18"/>
                <w:szCs w:val="18"/>
              </w:rPr>
            </w:pPr>
            <w:r>
              <w:rPr>
                <w:sz w:val="18"/>
                <w:szCs w:val="18"/>
              </w:rPr>
              <w:t>26</w:t>
            </w:r>
          </w:p>
        </w:tc>
      </w:tr>
      <w:tr>
        <w:tblPrEx>
          <w:tblCellMar>
            <w:top w:w="15" w:type="dxa"/>
            <w:left w:w="15" w:type="dxa"/>
            <w:bottom w:w="15" w:type="dxa"/>
            <w:right w:w="15" w:type="dxa"/>
          </w:tblCellMar>
        </w:tblPrEx>
        <w:trPr>
          <w:wBefore w:w="0" w:type="dxa"/>
          <w:wAfter w:w="0" w:type="dxa"/>
          <w:trHeight w:val="401"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kern w:val="0"/>
                <w:sz w:val="18"/>
                <w:szCs w:val="18"/>
                <w:lang w:bidi="ar"/>
              </w:rPr>
              <w:t>12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管路敷设，窨井等</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1) 管道宽度不小于0.5米，深度人行车道下不小于0.7米、车行道下不小于0.8米；</w:t>
            </w:r>
          </w:p>
          <w:p>
            <w:pPr>
              <w:widowControl/>
              <w:jc w:val="left"/>
              <w:textAlignment w:val="center"/>
              <w:rPr>
                <w:sz w:val="18"/>
                <w:szCs w:val="18"/>
              </w:rPr>
            </w:pPr>
            <w:r>
              <w:rPr>
                <w:rFonts w:hint="eastAsia"/>
                <w:sz w:val="18"/>
                <w:szCs w:val="18"/>
              </w:rPr>
              <w:t>2) 敷设管道后应进行管道混凝土包封，土方回填，并按绍兴市城市管理部门相关规定恢复人行道、车行道、绿化带；</w:t>
            </w:r>
          </w:p>
          <w:p>
            <w:pPr>
              <w:widowControl/>
              <w:jc w:val="left"/>
              <w:textAlignment w:val="center"/>
              <w:rPr>
                <w:sz w:val="18"/>
                <w:szCs w:val="18"/>
              </w:rPr>
            </w:pPr>
            <w:r>
              <w:rPr>
                <w:rFonts w:hint="eastAsia"/>
                <w:sz w:val="18"/>
                <w:szCs w:val="18"/>
              </w:rPr>
              <w:t>3) 窨井深度不小于1米；</w:t>
            </w:r>
          </w:p>
          <w:p>
            <w:pPr>
              <w:widowControl/>
              <w:jc w:val="left"/>
              <w:textAlignment w:val="center"/>
              <w:rPr>
                <w:sz w:val="18"/>
                <w:szCs w:val="18"/>
              </w:rPr>
            </w:pPr>
            <w:r>
              <w:rPr>
                <w:rFonts w:hint="eastAsia"/>
                <w:sz w:val="18"/>
                <w:szCs w:val="18"/>
              </w:rPr>
              <w:t>4) 窨井底部应设有渗水孔，井中管道到井底的距离不低于20cm，井口应与地面持平；</w:t>
            </w:r>
          </w:p>
          <w:p>
            <w:pPr>
              <w:widowControl/>
              <w:jc w:val="left"/>
              <w:textAlignment w:val="center"/>
              <w:rPr>
                <w:sz w:val="18"/>
                <w:szCs w:val="18"/>
              </w:rPr>
            </w:pPr>
            <w:r>
              <w:rPr>
                <w:rFonts w:hint="eastAsia"/>
                <w:sz w:val="18"/>
                <w:szCs w:val="18"/>
              </w:rPr>
              <w:t>5) 窨井井盖及井壁应设置有公安交通设施专用标记，井盖材质应采用复合材料；</w:t>
            </w:r>
          </w:p>
          <w:p>
            <w:pPr>
              <w:widowControl/>
              <w:jc w:val="left"/>
              <w:textAlignment w:val="center"/>
              <w:rPr>
                <w:sz w:val="18"/>
                <w:szCs w:val="18"/>
              </w:rPr>
            </w:pPr>
            <w:r>
              <w:rPr>
                <w:rFonts w:hint="eastAsia"/>
                <w:sz w:val="18"/>
                <w:szCs w:val="18"/>
              </w:rPr>
              <w:t>6) 窨井应用砖砌，做好防水处理，并加防护盖板，并做好管道口的封堵；</w:t>
            </w:r>
          </w:p>
          <w:p>
            <w:pPr>
              <w:widowControl/>
              <w:jc w:val="left"/>
              <w:textAlignment w:val="center"/>
              <w:rPr>
                <w:sz w:val="18"/>
                <w:szCs w:val="18"/>
              </w:rPr>
            </w:pPr>
            <w:r>
              <w:rPr>
                <w:rFonts w:hint="eastAsia"/>
                <w:sz w:val="18"/>
                <w:szCs w:val="18"/>
              </w:rPr>
              <w:t>7)窨井宽度采用ф500或ф300mm。</w:t>
            </w:r>
          </w:p>
          <w:p>
            <w:pPr>
              <w:widowControl/>
              <w:jc w:val="left"/>
              <w:textAlignment w:val="center"/>
              <w:rPr>
                <w:sz w:val="18"/>
                <w:szCs w:val="18"/>
              </w:rPr>
            </w:pPr>
            <w:r>
              <w:rPr>
                <w:rFonts w:hint="eastAsia"/>
                <w:sz w:val="18"/>
                <w:szCs w:val="18"/>
              </w:rPr>
              <w:t>8)一个路口四个方向为一项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5</w:t>
            </w:r>
          </w:p>
        </w:tc>
      </w:tr>
      <w:tr>
        <w:tblPrEx>
          <w:tblCellMar>
            <w:top w:w="15" w:type="dxa"/>
            <w:left w:w="15" w:type="dxa"/>
            <w:bottom w:w="15" w:type="dxa"/>
            <w:right w:w="15" w:type="dxa"/>
          </w:tblCellMar>
        </w:tblPrEx>
        <w:trPr>
          <w:wBefore w:w="0" w:type="dxa"/>
          <w:wAfter w:w="0" w:type="dxa"/>
          <w:trHeight w:val="430" w:hRule="atLeast"/>
          <w:jc w:val="center"/>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18"/>
                <w:szCs w:val="18"/>
                <w:lang w:bidi="ar"/>
              </w:rPr>
            </w:pPr>
            <w:r>
              <w:rPr>
                <w:rFonts w:hint="eastAsia"/>
                <w:kern w:val="0"/>
                <w:sz w:val="18"/>
                <w:szCs w:val="18"/>
                <w:lang w:bidi="ar"/>
              </w:rPr>
              <w:t>1</w:t>
            </w:r>
            <w:r>
              <w:rPr>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顶管</w:t>
            </w:r>
          </w:p>
        </w:tc>
        <w:tc>
          <w:tcPr>
            <w:tcW w:w="6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顶管（PEφ100*1)，单管，（按实结算）。</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rFonts w:hint="eastAsia"/>
                <w:sz w:val="18"/>
                <w:szCs w:val="18"/>
              </w:rPr>
              <w:t>米</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18"/>
                <w:szCs w:val="18"/>
              </w:rPr>
            </w:pPr>
            <w:r>
              <w:rPr>
                <w:sz w:val="18"/>
                <w:szCs w:val="18"/>
              </w:rPr>
              <w:t>85</w:t>
            </w:r>
            <w:r>
              <w:rPr>
                <w:rFonts w:hint="eastAsia"/>
                <w:sz w:val="18"/>
                <w:szCs w:val="18"/>
              </w:rPr>
              <w:t>0</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w:t>
            </w:r>
            <w:r>
              <w:rPr>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路口设备安装调试</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sz w:val="18"/>
                <w:szCs w:val="18"/>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（二）电子警察（交通信息采集）系统</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一体化电警抓拍单元</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能无缝接入大队现有平台</w:t>
            </w:r>
            <w:r>
              <w:rPr>
                <w:rFonts w:hint="eastAsia" w:ascii="宋体" w:hAnsi="宋体" w:cs="宋体"/>
                <w:kern w:val="0"/>
                <w:sz w:val="18"/>
                <w:szCs w:val="18"/>
                <w:lang w:bidi="ar"/>
              </w:rPr>
              <w:br w:type="textWrapping"/>
            </w:r>
            <w:r>
              <w:rPr>
                <w:rFonts w:hint="eastAsia" w:ascii="宋体" w:hAnsi="宋体" w:cs="宋体"/>
                <w:kern w:val="0"/>
                <w:sz w:val="18"/>
                <w:szCs w:val="18"/>
                <w:lang w:bidi="ar"/>
              </w:rPr>
              <w:t>1</w:t>
            </w:r>
            <w:r>
              <w:rPr>
                <w:rFonts w:hint="eastAsia" w:ascii="宋体" w:hAnsi="宋体" w:cs="宋体"/>
                <w:kern w:val="0"/>
                <w:sz w:val="18"/>
                <w:szCs w:val="18"/>
                <w:lang w:bidi="ar"/>
              </w:rPr>
              <w:tab/>
            </w:r>
            <w:r>
              <w:rPr>
                <w:rFonts w:hint="eastAsia" w:ascii="宋体" w:hAnsi="宋体" w:cs="宋体"/>
                <w:kern w:val="0"/>
                <w:sz w:val="18"/>
                <w:szCs w:val="18"/>
                <w:lang w:bidi="ar"/>
              </w:rPr>
              <w:t>包含高清一体化嵌入式摄像机、高清镜头、室外防护罩、相机内置网络信号防雷器、电源适配器等</w:t>
            </w:r>
            <w:r>
              <w:rPr>
                <w:rFonts w:hint="eastAsia" w:ascii="宋体" w:hAnsi="宋体" w:cs="宋体"/>
                <w:kern w:val="0"/>
                <w:sz w:val="18"/>
                <w:szCs w:val="18"/>
                <w:lang w:bidi="ar"/>
              </w:rPr>
              <w:tab/>
            </w:r>
            <w:r>
              <w:rPr>
                <w:rFonts w:hint="eastAsia" w:ascii="宋体" w:hAnsi="宋体" w:cs="宋体"/>
                <w:kern w:val="0"/>
                <w:sz w:val="18"/>
                <w:szCs w:val="18"/>
                <w:lang w:bidi="ar"/>
              </w:rPr>
              <w:t>参数表体现</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w:t>
            </w:r>
            <w:r>
              <w:rPr>
                <w:rFonts w:hint="eastAsia" w:ascii="宋体" w:hAnsi="宋体" w:cs="宋体"/>
                <w:kern w:val="0"/>
                <w:sz w:val="18"/>
                <w:szCs w:val="18"/>
                <w:lang w:bidi="ar"/>
              </w:rPr>
              <w:tab/>
            </w:r>
            <w:r>
              <w:rPr>
                <w:rFonts w:hint="eastAsia" w:ascii="宋体" w:hAnsi="宋体" w:cs="宋体"/>
                <w:kern w:val="0"/>
                <w:sz w:val="18"/>
                <w:szCs w:val="18"/>
                <w:lang w:bidi="ar"/>
              </w:rPr>
              <w:t>图像传感器：采用1英寸GMOS（（以公安部检验报告为准））</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r>
              <w:rPr>
                <w:rFonts w:hint="eastAsia" w:ascii="宋体" w:hAnsi="宋体" w:cs="宋体"/>
                <w:kern w:val="0"/>
                <w:sz w:val="18"/>
                <w:szCs w:val="18"/>
                <w:lang w:bidi="ar"/>
              </w:rPr>
              <w:tab/>
            </w:r>
            <w:r>
              <w:rPr>
                <w:rFonts w:hint="eastAsia" w:ascii="宋体" w:hAnsi="宋体" w:cs="宋体"/>
                <w:kern w:val="0"/>
                <w:sz w:val="18"/>
                <w:szCs w:val="18"/>
                <w:lang w:bidi="ar"/>
              </w:rPr>
              <w:t>最大图像尺寸：≥4096×2160像素；字符叠加时最大可支持4096×2800（以公安部检验报告为准）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w:t>
            </w:r>
            <w:r>
              <w:rPr>
                <w:rFonts w:hint="eastAsia" w:ascii="宋体" w:hAnsi="宋体" w:cs="宋体"/>
                <w:kern w:val="0"/>
                <w:sz w:val="18"/>
                <w:szCs w:val="18"/>
                <w:lang w:bidi="ar"/>
              </w:rPr>
              <w:tab/>
            </w:r>
            <w:r>
              <w:rPr>
                <w:rFonts w:hint="eastAsia" w:ascii="宋体" w:hAnsi="宋体" w:cs="宋体"/>
                <w:kern w:val="0"/>
                <w:sz w:val="18"/>
                <w:szCs w:val="18"/>
                <w:lang w:bidi="ar"/>
              </w:rPr>
              <w:t>视频帧率：在1～25fps可调</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r>
              <w:rPr>
                <w:rFonts w:hint="eastAsia" w:ascii="宋体" w:hAnsi="宋体" w:cs="宋体"/>
                <w:kern w:val="0"/>
                <w:sz w:val="18"/>
                <w:szCs w:val="18"/>
                <w:lang w:bidi="ar"/>
              </w:rPr>
              <w:tab/>
            </w:r>
            <w:r>
              <w:rPr>
                <w:rFonts w:hint="eastAsia" w:ascii="宋体" w:hAnsi="宋体" w:cs="宋体"/>
                <w:kern w:val="0"/>
                <w:sz w:val="18"/>
                <w:szCs w:val="18"/>
                <w:lang w:bidi="ar"/>
              </w:rPr>
              <w:t>视频压缩支持H.265、H.264、M-JPEG</w:t>
            </w:r>
            <w:r>
              <w:rPr>
                <w:rFonts w:hint="eastAsia" w:ascii="宋体" w:hAnsi="宋体" w:cs="宋体"/>
                <w:kern w:val="0"/>
                <w:sz w:val="18"/>
                <w:szCs w:val="18"/>
                <w:lang w:bidi="ar"/>
              </w:rPr>
              <w:tab/>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w:t>
            </w:r>
            <w:r>
              <w:rPr>
                <w:rFonts w:hint="eastAsia" w:ascii="宋体" w:hAnsi="宋体" w:cs="宋体"/>
                <w:kern w:val="0"/>
                <w:sz w:val="18"/>
                <w:szCs w:val="18"/>
                <w:lang w:bidi="ar"/>
              </w:rPr>
              <w:tab/>
            </w:r>
            <w:r>
              <w:rPr>
                <w:rFonts w:hint="eastAsia" w:ascii="宋体" w:hAnsi="宋体" w:cs="宋体"/>
                <w:kern w:val="0"/>
                <w:sz w:val="18"/>
                <w:szCs w:val="18"/>
                <w:lang w:bidi="ar"/>
              </w:rPr>
              <w:t>支持后备箱状态开启识别功能（以第三方出具检验报告为准）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w:t>
            </w:r>
            <w:r>
              <w:rPr>
                <w:rFonts w:hint="eastAsia" w:ascii="宋体" w:hAnsi="宋体" w:cs="宋体"/>
                <w:kern w:val="0"/>
                <w:sz w:val="18"/>
                <w:szCs w:val="18"/>
                <w:lang w:bidi="ar"/>
              </w:rPr>
              <w:tab/>
            </w:r>
            <w:r>
              <w:rPr>
                <w:rFonts w:hint="eastAsia" w:ascii="宋体" w:hAnsi="宋体" w:cs="宋体"/>
                <w:kern w:val="0"/>
                <w:sz w:val="18"/>
                <w:szCs w:val="18"/>
                <w:lang w:bidi="ar"/>
              </w:rPr>
              <w:t>支持对污损车牌进行判断和识别，并支持污损车牌还原功能（以第三方出具检验报告为准）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w:t>
            </w:r>
            <w:r>
              <w:rPr>
                <w:rFonts w:hint="eastAsia" w:ascii="宋体" w:hAnsi="宋体" w:cs="宋体"/>
                <w:kern w:val="0"/>
                <w:sz w:val="18"/>
                <w:szCs w:val="18"/>
                <w:lang w:bidi="ar"/>
              </w:rPr>
              <w:tab/>
            </w:r>
            <w:r>
              <w:rPr>
                <w:rFonts w:hint="eastAsia" w:ascii="宋体" w:hAnsi="宋体" w:cs="宋体"/>
                <w:kern w:val="0"/>
                <w:sz w:val="18"/>
                <w:szCs w:val="18"/>
                <w:lang w:bidi="ar"/>
              </w:rPr>
              <w:t>支持视场倾斜情况下的车辆号牌识别</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9</w:t>
            </w:r>
            <w:r>
              <w:rPr>
                <w:rFonts w:hint="eastAsia" w:ascii="宋体" w:hAnsi="宋体" w:cs="宋体"/>
                <w:kern w:val="0"/>
                <w:sz w:val="18"/>
                <w:szCs w:val="18"/>
                <w:lang w:bidi="ar"/>
              </w:rPr>
              <w:tab/>
            </w:r>
            <w:r>
              <w:rPr>
                <w:rFonts w:hint="eastAsia" w:ascii="宋体" w:hAnsi="宋体" w:cs="宋体"/>
                <w:kern w:val="0"/>
                <w:sz w:val="18"/>
                <w:szCs w:val="18"/>
                <w:lang w:bidi="ar"/>
              </w:rPr>
              <w:t>支持异常车牌检测功能，可对故意遮挡及污损车牌进行判断和识别</w:t>
            </w:r>
            <w:r>
              <w:rPr>
                <w:rFonts w:hint="eastAsia" w:ascii="宋体" w:hAnsi="宋体" w:cs="宋体"/>
                <w:kern w:val="0"/>
                <w:sz w:val="18"/>
                <w:szCs w:val="18"/>
                <w:lang w:bidi="ar"/>
              </w:rPr>
              <w:tab/>
            </w:r>
            <w:r>
              <w:rPr>
                <w:rFonts w:hint="eastAsia" w:ascii="宋体" w:hAnsi="宋体" w:cs="宋体"/>
                <w:kern w:val="0"/>
                <w:sz w:val="18"/>
                <w:szCs w:val="18"/>
                <w:lang w:bidi="ar"/>
              </w:rPr>
              <w:t>（以第三方出具检验报告为准）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r>
              <w:rPr>
                <w:rFonts w:hint="eastAsia" w:ascii="宋体" w:hAnsi="宋体" w:cs="宋体"/>
                <w:kern w:val="0"/>
                <w:sz w:val="18"/>
                <w:szCs w:val="18"/>
                <w:lang w:bidi="ar"/>
              </w:rPr>
              <w:tab/>
            </w:r>
            <w:r>
              <w:rPr>
                <w:rFonts w:hint="eastAsia" w:ascii="宋体" w:hAnsi="宋体" w:cs="宋体"/>
                <w:kern w:val="0"/>
                <w:sz w:val="18"/>
                <w:szCs w:val="18"/>
                <w:lang w:bidi="ar"/>
              </w:rPr>
              <w:t>可支持视频、线圈、雷达、激光、微波、红外对射、地磁、RFID等车辆检测联动功能（以第三方出具检验报告为准）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11</w:t>
            </w:r>
            <w:r>
              <w:rPr>
                <w:rFonts w:hint="eastAsia" w:ascii="宋体" w:hAnsi="宋体" w:cs="宋体"/>
                <w:kern w:val="0"/>
                <w:sz w:val="18"/>
                <w:szCs w:val="18"/>
                <w:lang w:bidi="ar"/>
              </w:rPr>
              <w:tab/>
            </w:r>
            <w:r>
              <w:rPr>
                <w:rFonts w:hint="eastAsia" w:ascii="宋体" w:hAnsi="宋体" w:cs="宋体"/>
                <w:kern w:val="0"/>
                <w:sz w:val="18"/>
                <w:szCs w:val="18"/>
                <w:lang w:bidi="ar"/>
              </w:rPr>
              <w:t>在处于拥堵车道，可对强行变道加塞的车辆进行检测捕获，图片模式应符合《GA/T832-2014道路交通安全违法行为图像取证技术规范》的相关规定</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12</w:t>
            </w:r>
            <w:r>
              <w:rPr>
                <w:rFonts w:hint="eastAsia" w:ascii="宋体" w:hAnsi="宋体" w:cs="宋体"/>
                <w:kern w:val="0"/>
                <w:sz w:val="18"/>
                <w:szCs w:val="18"/>
                <w:lang w:bidi="ar"/>
              </w:rPr>
              <w:tab/>
            </w:r>
            <w:r>
              <w:rPr>
                <w:rFonts w:hint="eastAsia" w:ascii="宋体" w:hAnsi="宋体" w:cs="宋体"/>
                <w:kern w:val="0"/>
                <w:sz w:val="18"/>
                <w:szCs w:val="18"/>
                <w:lang w:bidi="ar"/>
              </w:rPr>
              <w:t>护罩玻璃透光率≥99%</w:t>
            </w:r>
            <w:r>
              <w:rPr>
                <w:rFonts w:hint="eastAsia" w:ascii="宋体" w:hAnsi="宋体" w:cs="宋体"/>
                <w:kern w:val="0"/>
                <w:sz w:val="18"/>
                <w:szCs w:val="18"/>
                <w:lang w:bidi="ar"/>
              </w:rPr>
              <w:tab/>
            </w:r>
            <w:r>
              <w:rPr>
                <w:rFonts w:hint="eastAsia" w:ascii="宋体" w:hAnsi="宋体" w:cs="宋体"/>
                <w:kern w:val="0"/>
                <w:sz w:val="18"/>
                <w:szCs w:val="18"/>
                <w:lang w:bidi="ar"/>
              </w:rPr>
              <w:t xml:space="preserve">（以公安部检验报告为准）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13</w:t>
            </w:r>
            <w:r>
              <w:rPr>
                <w:rFonts w:hint="eastAsia" w:ascii="宋体" w:hAnsi="宋体" w:cs="宋体"/>
                <w:kern w:val="0"/>
                <w:sz w:val="18"/>
                <w:szCs w:val="18"/>
                <w:lang w:bidi="ar"/>
              </w:rPr>
              <w:tab/>
            </w:r>
            <w:r>
              <w:rPr>
                <w:rFonts w:hint="eastAsia" w:ascii="宋体" w:hAnsi="宋体" w:cs="宋体"/>
                <w:kern w:val="0"/>
                <w:sz w:val="18"/>
                <w:szCs w:val="18"/>
                <w:lang w:bidi="ar"/>
              </w:rPr>
              <w:t>支持21种车型识别，SUV、MPV、轿车、小型轿车、微型轿车、面包车、皮卡车、小型货车（包括微卡、轻卡及中卡）、大型货车、小型客车、大型客车、非机动车、集装箱卡车、微卡（栏板卡）、渣土车、吊车（工程车）、油罐车、混凝土搅拌车、两厢轿车、三厢轿车、轿跑识别准确率白天≥97%，晚上≥95%（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14</w:t>
            </w:r>
            <w:r>
              <w:rPr>
                <w:rFonts w:hint="eastAsia" w:ascii="宋体" w:hAnsi="宋体" w:cs="宋体"/>
                <w:kern w:val="0"/>
                <w:sz w:val="18"/>
                <w:szCs w:val="18"/>
                <w:lang w:bidi="ar"/>
              </w:rPr>
              <w:tab/>
            </w:r>
            <w:r>
              <w:rPr>
                <w:rFonts w:hint="eastAsia" w:ascii="宋体" w:hAnsi="宋体" w:cs="宋体"/>
                <w:kern w:val="0"/>
                <w:sz w:val="18"/>
                <w:szCs w:val="18"/>
                <w:lang w:bidi="ar"/>
              </w:rPr>
              <w:t>支持黄标车检测功能，识别准确率≥50%</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15</w:t>
            </w:r>
            <w:r>
              <w:rPr>
                <w:rFonts w:hint="eastAsia" w:ascii="宋体" w:hAnsi="宋体" w:cs="宋体"/>
                <w:kern w:val="0"/>
                <w:sz w:val="18"/>
                <w:szCs w:val="18"/>
                <w:lang w:bidi="ar"/>
              </w:rPr>
              <w:tab/>
            </w:r>
            <w:r>
              <w:rPr>
                <w:rFonts w:hint="eastAsia" w:ascii="宋体" w:hAnsi="宋体" w:cs="宋体"/>
                <w:kern w:val="0"/>
                <w:sz w:val="18"/>
                <w:szCs w:val="18"/>
                <w:lang w:bidi="ar"/>
              </w:rPr>
              <w:t>支持危险品车检测功能，识别准确率≥90%</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16</w:t>
            </w:r>
            <w:r>
              <w:rPr>
                <w:rFonts w:hint="eastAsia" w:ascii="宋体" w:hAnsi="宋体" w:cs="宋体"/>
                <w:kern w:val="0"/>
                <w:sz w:val="18"/>
                <w:szCs w:val="18"/>
                <w:lang w:bidi="ar"/>
              </w:rPr>
              <w:tab/>
            </w:r>
            <w:r>
              <w:rPr>
                <w:rFonts w:hint="eastAsia" w:ascii="宋体" w:hAnsi="宋体" w:cs="宋体"/>
                <w:kern w:val="0"/>
                <w:sz w:val="18"/>
                <w:szCs w:val="18"/>
                <w:lang w:bidi="ar"/>
              </w:rPr>
              <w:t>当网络断开时，可将抓拍图片和录像文件存储于设备SD/TF卡或USB外接存储中，网络恢复时，可继续上传抓拍图片到客户端，并支持图片检索，自动覆盖自动上传功能。存储卡最大可支持256G。</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17</w:t>
            </w:r>
            <w:r>
              <w:rPr>
                <w:rFonts w:hint="eastAsia" w:ascii="宋体" w:hAnsi="宋体" w:cs="宋体"/>
                <w:kern w:val="0"/>
                <w:sz w:val="18"/>
                <w:szCs w:val="18"/>
                <w:lang w:bidi="ar"/>
              </w:rPr>
              <w:tab/>
            </w:r>
            <w:r>
              <w:rPr>
                <w:rFonts w:hint="eastAsia" w:ascii="宋体" w:hAnsi="宋体" w:cs="宋体"/>
                <w:kern w:val="0"/>
                <w:sz w:val="18"/>
                <w:szCs w:val="18"/>
                <w:lang w:bidi="ar"/>
              </w:rPr>
              <w:t>支持按车道属性设置，判定车辆行驶方向，车辆行驶方向包含：东、西、南、北、东南、西南、东北、西北；可判断来向、去向、左转、右转等</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18</w:t>
            </w:r>
            <w:r>
              <w:rPr>
                <w:rFonts w:hint="eastAsia" w:ascii="宋体" w:hAnsi="宋体" w:cs="宋体"/>
                <w:kern w:val="0"/>
                <w:sz w:val="18"/>
                <w:szCs w:val="18"/>
                <w:lang w:bidi="ar"/>
              </w:rPr>
              <w:tab/>
            </w:r>
            <w:r>
              <w:rPr>
                <w:rFonts w:hint="eastAsia" w:ascii="宋体" w:hAnsi="宋体" w:cs="宋体"/>
                <w:kern w:val="0"/>
                <w:sz w:val="18"/>
                <w:szCs w:val="18"/>
                <w:lang w:bidi="ar"/>
              </w:rPr>
              <w:t>支持13种车身颜色识别，包括：黑、白、灰、红、绿、蓝、黄、粉、紫、棕、青、金、橙；在天气晴朗无雾，号牌无遮挡，无污损的条件进行测试，白天测试时的环境光照度不低于200lx，晚上测试时辅助照明光照度不高于30lx。白天车身颜色识别准确率≥99%;晚上车身颜色识别准确率≥97%;（以第三方出具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19</w:t>
            </w:r>
            <w:r>
              <w:rPr>
                <w:rFonts w:hint="eastAsia" w:ascii="宋体" w:hAnsi="宋体" w:cs="宋体"/>
                <w:kern w:val="0"/>
                <w:sz w:val="18"/>
                <w:szCs w:val="18"/>
                <w:lang w:bidi="ar"/>
              </w:rPr>
              <w:t>设备可识别250种车标，白天准确率≥97%，晚上准确率≥87%</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20</w:t>
            </w:r>
            <w:r>
              <w:rPr>
                <w:rFonts w:hint="eastAsia" w:ascii="宋体" w:hAnsi="宋体" w:cs="宋体"/>
                <w:kern w:val="0"/>
                <w:sz w:val="18"/>
                <w:szCs w:val="18"/>
                <w:lang w:bidi="ar"/>
              </w:rPr>
              <w:t>支持占用应急车道违章检测，白天捕获率≥95%，晚上捕获率≥90%</w:t>
            </w:r>
            <w:r>
              <w:rPr>
                <w:rFonts w:hint="eastAsia" w:ascii="宋体" w:hAnsi="宋体" w:cs="宋体"/>
                <w:kern w:val="0"/>
                <w:sz w:val="18"/>
                <w:szCs w:val="18"/>
                <w:lang w:bidi="ar"/>
              </w:rPr>
              <w:tab/>
            </w:r>
            <w:r>
              <w:rPr>
                <w:rFonts w:hint="eastAsia" w:ascii="宋体" w:hAnsi="宋体" w:cs="宋体"/>
                <w:kern w:val="0"/>
                <w:sz w:val="18"/>
                <w:szCs w:val="18"/>
                <w:lang w:bidi="ar"/>
              </w:rPr>
              <w:t>（以第三方出具检验报告为准）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21</w:t>
            </w:r>
            <w:r>
              <w:rPr>
                <w:rFonts w:hint="eastAsia" w:ascii="宋体" w:hAnsi="宋体" w:cs="宋体"/>
                <w:kern w:val="0"/>
                <w:sz w:val="18"/>
                <w:szCs w:val="18"/>
                <w:lang w:bidi="ar"/>
              </w:rPr>
              <w:tab/>
            </w:r>
            <w:r>
              <w:rPr>
                <w:rFonts w:hint="eastAsia" w:ascii="宋体" w:hAnsi="宋体" w:cs="宋体"/>
                <w:kern w:val="0"/>
                <w:sz w:val="18"/>
                <w:szCs w:val="18"/>
                <w:lang w:bidi="ar"/>
              </w:rPr>
              <w:t>支持车辆子品牌识别检测功能，可识别常见的</w:t>
            </w:r>
            <w:r>
              <w:rPr>
                <w:rFonts w:ascii="宋体" w:hAnsi="宋体" w:cs="宋体"/>
                <w:kern w:val="0"/>
                <w:sz w:val="18"/>
                <w:szCs w:val="18"/>
                <w:lang w:bidi="ar"/>
              </w:rPr>
              <w:t>47</w:t>
            </w:r>
            <w:r>
              <w:rPr>
                <w:rFonts w:hint="eastAsia" w:ascii="宋体" w:hAnsi="宋体" w:cs="宋体"/>
                <w:kern w:val="0"/>
                <w:sz w:val="18"/>
                <w:szCs w:val="18"/>
                <w:lang w:bidi="ar"/>
              </w:rPr>
              <w:t>00种车辆子品牌，识别准确率白天≥97%，晚上≥90%（以第三方出具检验报告为准）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22</w:t>
            </w:r>
            <w:r>
              <w:rPr>
                <w:rFonts w:hint="eastAsia" w:ascii="宋体" w:hAnsi="宋体" w:cs="宋体"/>
                <w:kern w:val="0"/>
                <w:sz w:val="18"/>
                <w:szCs w:val="18"/>
                <w:lang w:bidi="ar"/>
              </w:rPr>
              <w:tab/>
            </w:r>
            <w:r>
              <w:rPr>
                <w:rFonts w:hint="eastAsia" w:ascii="宋体" w:hAnsi="宋体" w:cs="宋体"/>
                <w:kern w:val="0"/>
                <w:sz w:val="18"/>
                <w:szCs w:val="18"/>
                <w:lang w:bidi="ar"/>
              </w:rPr>
              <w:t>▲支持车牌黑名单设置，最大可设置4200条黑名单</w:t>
            </w:r>
            <w:r>
              <w:rPr>
                <w:rFonts w:hint="eastAsia" w:ascii="宋体" w:hAnsi="宋体" w:cs="宋体"/>
                <w:kern w:val="0"/>
                <w:sz w:val="18"/>
                <w:szCs w:val="18"/>
                <w:lang w:bidi="ar"/>
              </w:rPr>
              <w:tab/>
            </w:r>
            <w:r>
              <w:rPr>
                <w:rFonts w:hint="eastAsia" w:ascii="宋体" w:hAnsi="宋体" w:cs="宋体"/>
                <w:kern w:val="0"/>
                <w:sz w:val="18"/>
                <w:szCs w:val="18"/>
                <w:lang w:bidi="ar"/>
              </w:rPr>
              <w:t>（以公安部检验报告为准）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23</w:t>
            </w:r>
            <w:r>
              <w:rPr>
                <w:rFonts w:hint="eastAsia" w:ascii="宋体" w:hAnsi="宋体" w:cs="宋体"/>
                <w:kern w:val="0"/>
                <w:sz w:val="18"/>
                <w:szCs w:val="18"/>
                <w:lang w:bidi="ar"/>
              </w:rPr>
              <w:t>▲支持检测抓拍车辆不按规定使用转向灯违法功能（以第三方出具检验报告为准）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24</w:t>
            </w:r>
            <w:r>
              <w:rPr>
                <w:rFonts w:hint="eastAsia" w:ascii="宋体" w:hAnsi="宋体" w:cs="宋体"/>
                <w:kern w:val="0"/>
                <w:sz w:val="18"/>
                <w:szCs w:val="18"/>
                <w:lang w:bidi="ar"/>
              </w:rPr>
              <w:tab/>
            </w:r>
            <w:r>
              <w:rPr>
                <w:rFonts w:hint="eastAsia" w:ascii="宋体" w:hAnsi="宋体" w:cs="宋体"/>
                <w:kern w:val="0"/>
                <w:sz w:val="18"/>
                <w:szCs w:val="18"/>
                <w:lang w:bidi="ar"/>
              </w:rPr>
              <w:t>▲系统应支持行人方向识别，系统所抓拍的违法图片按要求进行组合，组合的图片能体现行人前进方向</w:t>
            </w:r>
            <w:r>
              <w:rPr>
                <w:rFonts w:hint="eastAsia" w:ascii="宋体" w:hAnsi="宋体" w:cs="宋体"/>
                <w:kern w:val="0"/>
                <w:sz w:val="18"/>
                <w:szCs w:val="18"/>
                <w:lang w:bidi="ar"/>
              </w:rPr>
              <w:tab/>
            </w:r>
            <w:r>
              <w:rPr>
                <w:rFonts w:hint="eastAsia" w:ascii="宋体" w:hAnsi="宋体" w:cs="宋体"/>
                <w:kern w:val="0"/>
                <w:sz w:val="18"/>
                <w:szCs w:val="18"/>
                <w:lang w:bidi="ar"/>
              </w:rPr>
              <w:t>（以第三方出具检验报告为准）</w:t>
            </w:r>
          </w:p>
          <w:p>
            <w:pPr>
              <w:widowControl/>
              <w:jc w:val="left"/>
              <w:textAlignment w:val="center"/>
              <w:rPr>
                <w:rFonts w:ascii="宋体" w:hAnsi="宋体" w:cs="宋体"/>
                <w:kern w:val="0"/>
                <w:sz w:val="18"/>
                <w:szCs w:val="18"/>
                <w:lang w:bidi="ar"/>
              </w:rPr>
            </w:pPr>
            <w:r>
              <w:rPr>
                <w:rFonts w:ascii="宋体" w:hAnsi="宋体" w:cs="宋体"/>
                <w:kern w:val="0"/>
                <w:sz w:val="18"/>
                <w:szCs w:val="18"/>
                <w:lang w:bidi="ar"/>
              </w:rPr>
              <w:t>25</w:t>
            </w:r>
            <w:r>
              <w:rPr>
                <w:rFonts w:hint="eastAsia" w:ascii="宋体" w:hAnsi="宋体" w:cs="宋体"/>
                <w:kern w:val="0"/>
                <w:sz w:val="18"/>
                <w:szCs w:val="18"/>
                <w:lang w:bidi="ar"/>
              </w:rPr>
              <w:t>▲支持非机动车占用机动车道违法抓拍，非机动车闯红灯违法抓拍（以公安部检验报告为准）</w:t>
            </w:r>
          </w:p>
          <w:p>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26</w:t>
            </w:r>
            <w:r>
              <w:rPr>
                <w:rFonts w:hint="eastAsia" w:ascii="宋体" w:hAnsi="宋体" w:cs="宋体"/>
                <w:kern w:val="0"/>
                <w:sz w:val="18"/>
                <w:szCs w:val="18"/>
                <w:lang w:bidi="ar"/>
              </w:rPr>
              <w:tab/>
            </w:r>
            <w:r>
              <w:rPr>
                <w:rFonts w:hint="eastAsia" w:ascii="宋体" w:hAnsi="宋体" w:cs="宋体"/>
                <w:kern w:val="0"/>
                <w:sz w:val="18"/>
                <w:szCs w:val="18"/>
                <w:lang w:bidi="ar"/>
              </w:rPr>
              <w:t>▲支持事故检测功能</w:t>
            </w:r>
            <w:r>
              <w:rPr>
                <w:rFonts w:hint="eastAsia" w:ascii="宋体" w:hAnsi="宋体" w:cs="宋体"/>
                <w:kern w:val="0"/>
                <w:sz w:val="18"/>
                <w:szCs w:val="18"/>
                <w:lang w:bidi="ar"/>
              </w:rPr>
              <w:tab/>
            </w:r>
            <w:r>
              <w:rPr>
                <w:rFonts w:hint="eastAsia" w:ascii="宋体" w:hAnsi="宋体" w:cs="宋体"/>
                <w:kern w:val="0"/>
                <w:sz w:val="18"/>
                <w:szCs w:val="18"/>
                <w:lang w:bidi="ar"/>
              </w:rPr>
              <w:t>（以第三方出具检验报告为准）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45</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车道灯</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16颗大功率白光LED频闪灯，单车道环境补光灯；最佳补光距离16m～25m；支持5V电平量触发(可选开关量)，最大功率3</w:t>
            </w:r>
            <w:r>
              <w:rPr>
                <w:rFonts w:ascii="宋体" w:hAnsi="宋体" w:cs="宋体"/>
                <w:kern w:val="0"/>
                <w:sz w:val="18"/>
                <w:szCs w:val="18"/>
                <w:lang w:bidi="ar"/>
              </w:rPr>
              <w:t>6</w:t>
            </w:r>
            <w:r>
              <w:rPr>
                <w:rFonts w:hint="eastAsia" w:ascii="宋体" w:hAnsi="宋体" w:cs="宋体"/>
                <w:kern w:val="0"/>
                <w:sz w:val="18"/>
                <w:szCs w:val="18"/>
                <w:lang w:bidi="ar"/>
              </w:rPr>
              <w:t>W</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65</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环境补光灯</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16颗大功率白光LED频闪灯，色温5000K~7000K，三车道车牌补光灯；最佳补光距离16m～25m；支持5V电平量触发(可选开关量)，最大功率30W</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45</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红灯信号检测器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交通灯信号检测器，支持8路AC220V信号接入；4路RS485接口；一个5位拨码开关，用于设置设备地址、数据上传模式及波特率；DC12V供电。</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终端服务器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高性能ARM Cortex A9数字媒体处理器；内置1块3.5寸2T硬盘；支持12路IPC接入；双网卡，内置16个100M以太网接口及2个1000M网络接口、1个1000M独立SFP光纤接口；支持2路HD-TVI输入；支持VGA输出、HDMI输出、CVBS输出；4个RS485、2个RS232、2个USB2.0、4路报警输入\报警输出、1个eSATA接口；电源:DC12V；</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L型杆（杆高6.5米），挑臂长度≤5m（含基础预埋件、安装）</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立柱高6.5m，悬臂长≤5m，八角形；</w:t>
            </w:r>
            <w:r>
              <w:rPr>
                <w:rFonts w:hint="eastAsia" w:ascii="宋体" w:hAnsi="宋体" w:cs="宋体"/>
                <w:kern w:val="0"/>
                <w:sz w:val="18"/>
                <w:szCs w:val="18"/>
                <w:lang w:bidi="ar"/>
              </w:rPr>
              <w:br w:type="textWrapping"/>
            </w:r>
            <w:r>
              <w:rPr>
                <w:rFonts w:hint="eastAsia" w:ascii="宋体" w:hAnsi="宋体" w:cs="宋体"/>
                <w:kern w:val="0"/>
                <w:sz w:val="18"/>
                <w:szCs w:val="18"/>
                <w:lang w:bidi="ar"/>
              </w:rPr>
              <w:t>2) 采用无焊缝钢管且进行浸锌喷塑防腐处理；</w:t>
            </w:r>
            <w:r>
              <w:rPr>
                <w:rFonts w:hint="eastAsia" w:ascii="宋体" w:hAnsi="宋体" w:cs="宋体"/>
                <w:kern w:val="0"/>
                <w:sz w:val="18"/>
                <w:szCs w:val="18"/>
                <w:lang w:bidi="ar"/>
              </w:rPr>
              <w:br w:type="textWrapping"/>
            </w:r>
            <w:r>
              <w:rPr>
                <w:rFonts w:hint="eastAsia" w:ascii="宋体" w:hAnsi="宋体" w:cs="宋体"/>
                <w:kern w:val="0"/>
                <w:sz w:val="18"/>
                <w:szCs w:val="18"/>
                <w:lang w:bidi="ar"/>
              </w:rPr>
              <w:t>3) 悬臂长度根据安装点的实际宽度决定，上方应加置避雷钗，横挑臂钢板壁厚≥4mm，立柱钢板壁厚≥6mm；</w:t>
            </w:r>
            <w:r>
              <w:rPr>
                <w:rFonts w:hint="eastAsia" w:ascii="宋体" w:hAnsi="宋体" w:cs="宋体"/>
                <w:kern w:val="0"/>
                <w:sz w:val="18"/>
                <w:szCs w:val="18"/>
                <w:lang w:bidi="ar"/>
              </w:rPr>
              <w:br w:type="textWrapping"/>
            </w:r>
            <w:r>
              <w:rPr>
                <w:rFonts w:hint="eastAsia" w:ascii="宋体" w:hAnsi="宋体" w:cs="宋体"/>
                <w:kern w:val="0"/>
                <w:sz w:val="18"/>
                <w:szCs w:val="18"/>
                <w:lang w:bidi="ar"/>
              </w:rPr>
              <w:t>4) 立柱及横挑臂截面为正八边形，立柱与横挑臂采用法兰联接；</w:t>
            </w:r>
            <w:r>
              <w:rPr>
                <w:rFonts w:hint="eastAsia" w:ascii="宋体" w:hAnsi="宋体" w:cs="宋体"/>
                <w:kern w:val="0"/>
                <w:sz w:val="18"/>
                <w:szCs w:val="18"/>
                <w:lang w:bidi="ar"/>
              </w:rPr>
              <w:br w:type="textWrapping"/>
            </w:r>
            <w:r>
              <w:rPr>
                <w:rFonts w:hint="eastAsia" w:ascii="宋体" w:hAnsi="宋体" w:cs="宋体"/>
                <w:kern w:val="0"/>
                <w:sz w:val="18"/>
                <w:szCs w:val="18"/>
                <w:lang w:bidi="ar"/>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9</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L型杆（杆高6.5米），挑臂长度6m-8m（含基础预埋件、安装）</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立柱高6.5m，悬臂长6m-8m，八角形；</w:t>
            </w:r>
            <w:r>
              <w:rPr>
                <w:rFonts w:hint="eastAsia" w:ascii="宋体" w:hAnsi="宋体" w:cs="宋体"/>
                <w:kern w:val="0"/>
                <w:sz w:val="18"/>
                <w:szCs w:val="18"/>
                <w:lang w:bidi="ar"/>
              </w:rPr>
              <w:br w:type="textWrapping"/>
            </w:r>
            <w:r>
              <w:rPr>
                <w:rFonts w:hint="eastAsia" w:ascii="宋体" w:hAnsi="宋体" w:cs="宋体"/>
                <w:kern w:val="0"/>
                <w:sz w:val="18"/>
                <w:szCs w:val="18"/>
                <w:lang w:bidi="ar"/>
              </w:rPr>
              <w:t>2) 采用无焊缝钢管且进行浸锌喷塑防腐处理；</w:t>
            </w:r>
            <w:r>
              <w:rPr>
                <w:rFonts w:hint="eastAsia" w:ascii="宋体" w:hAnsi="宋体" w:cs="宋体"/>
                <w:kern w:val="0"/>
                <w:sz w:val="18"/>
                <w:szCs w:val="18"/>
                <w:lang w:bidi="ar"/>
              </w:rPr>
              <w:br w:type="textWrapping"/>
            </w:r>
            <w:r>
              <w:rPr>
                <w:rFonts w:hint="eastAsia" w:ascii="宋体" w:hAnsi="宋体" w:cs="宋体"/>
                <w:kern w:val="0"/>
                <w:sz w:val="18"/>
                <w:szCs w:val="18"/>
                <w:lang w:bidi="ar"/>
              </w:rPr>
              <w:t>3) 悬臂长度根据安装点的实际宽度决定，上方应加置避雷钗，横挑臂钢板壁厚≥4mm，立柱钢板壁厚≥6mm；</w:t>
            </w:r>
            <w:r>
              <w:rPr>
                <w:rFonts w:hint="eastAsia" w:ascii="宋体" w:hAnsi="宋体" w:cs="宋体"/>
                <w:kern w:val="0"/>
                <w:sz w:val="18"/>
                <w:szCs w:val="18"/>
                <w:lang w:bidi="ar"/>
              </w:rPr>
              <w:br w:type="textWrapping"/>
            </w:r>
            <w:r>
              <w:rPr>
                <w:rFonts w:hint="eastAsia" w:ascii="宋体" w:hAnsi="宋体" w:cs="宋体"/>
                <w:kern w:val="0"/>
                <w:sz w:val="18"/>
                <w:szCs w:val="18"/>
                <w:lang w:bidi="ar"/>
              </w:rPr>
              <w:t>4) 立柱及横挑臂截面为正八边形，立柱与横挑臂采用法兰联接；</w:t>
            </w:r>
            <w:r>
              <w:rPr>
                <w:rFonts w:hint="eastAsia" w:ascii="宋体" w:hAnsi="宋体" w:cs="宋体"/>
                <w:kern w:val="0"/>
                <w:sz w:val="18"/>
                <w:szCs w:val="18"/>
                <w:lang w:bidi="ar"/>
              </w:rPr>
              <w:br w:type="textWrapping"/>
            </w:r>
            <w:r>
              <w:rPr>
                <w:rFonts w:hint="eastAsia" w:ascii="宋体" w:hAnsi="宋体" w:cs="宋体"/>
                <w:kern w:val="0"/>
                <w:sz w:val="18"/>
                <w:szCs w:val="18"/>
                <w:lang w:bidi="ar"/>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23</w:t>
            </w:r>
          </w:p>
        </w:tc>
      </w:tr>
      <w:tr>
        <w:tblPrEx>
          <w:tblCellMar>
            <w:top w:w="15" w:type="dxa"/>
            <w:left w:w="15" w:type="dxa"/>
            <w:bottom w:w="15" w:type="dxa"/>
            <w:right w:w="15" w:type="dxa"/>
          </w:tblCellMar>
        </w:tblPrEx>
        <w:trPr>
          <w:wBefore w:w="0" w:type="dxa"/>
          <w:wAfter w:w="0" w:type="dxa"/>
          <w:trHeight w:val="2098"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L型杆（杆高6.5米），挑臂长度9m-11m（含基础预埋件、安装）</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立柱高6.5m，悬臂长9m-11m，八角形；</w:t>
            </w:r>
            <w:r>
              <w:rPr>
                <w:rFonts w:hint="eastAsia" w:ascii="宋体" w:hAnsi="宋体" w:cs="宋体"/>
                <w:kern w:val="0"/>
                <w:sz w:val="18"/>
                <w:szCs w:val="18"/>
                <w:lang w:bidi="ar"/>
              </w:rPr>
              <w:br w:type="textWrapping"/>
            </w:r>
            <w:r>
              <w:rPr>
                <w:rFonts w:hint="eastAsia" w:ascii="宋体" w:hAnsi="宋体" w:cs="宋体"/>
                <w:kern w:val="0"/>
                <w:sz w:val="18"/>
                <w:szCs w:val="18"/>
                <w:lang w:bidi="ar"/>
              </w:rPr>
              <w:t>2) 采用无焊缝钢管且进行浸锌喷塑防腐处理；</w:t>
            </w:r>
            <w:r>
              <w:rPr>
                <w:rFonts w:hint="eastAsia" w:ascii="宋体" w:hAnsi="宋体" w:cs="宋体"/>
                <w:kern w:val="0"/>
                <w:sz w:val="18"/>
                <w:szCs w:val="18"/>
                <w:lang w:bidi="ar"/>
              </w:rPr>
              <w:br w:type="textWrapping"/>
            </w:r>
            <w:r>
              <w:rPr>
                <w:rFonts w:hint="eastAsia" w:ascii="宋体" w:hAnsi="宋体" w:cs="宋体"/>
                <w:kern w:val="0"/>
                <w:sz w:val="18"/>
                <w:szCs w:val="18"/>
                <w:lang w:bidi="ar"/>
              </w:rPr>
              <w:t>3) 悬臂长度根据安装点的实际宽度决定，上方应加置避雷钗，横挑臂钢板壁厚≥4mm，立柱钢板壁厚≥6mm；</w:t>
            </w:r>
            <w:r>
              <w:rPr>
                <w:rFonts w:hint="eastAsia" w:ascii="宋体" w:hAnsi="宋体" w:cs="宋体"/>
                <w:kern w:val="0"/>
                <w:sz w:val="18"/>
                <w:szCs w:val="18"/>
                <w:lang w:bidi="ar"/>
              </w:rPr>
              <w:br w:type="textWrapping"/>
            </w:r>
            <w:r>
              <w:rPr>
                <w:rFonts w:hint="eastAsia" w:ascii="宋体" w:hAnsi="宋体" w:cs="宋体"/>
                <w:kern w:val="0"/>
                <w:sz w:val="18"/>
                <w:szCs w:val="18"/>
                <w:lang w:bidi="ar"/>
              </w:rPr>
              <w:t>4) 立柱及横挑臂截面为正八边形，立柱与横挑臂采用法兰联接；</w:t>
            </w:r>
            <w:r>
              <w:rPr>
                <w:rFonts w:hint="eastAsia" w:ascii="宋体" w:hAnsi="宋体" w:cs="宋体"/>
                <w:kern w:val="0"/>
                <w:sz w:val="18"/>
                <w:szCs w:val="18"/>
                <w:lang w:bidi="ar"/>
              </w:rPr>
              <w:br w:type="textWrapping"/>
            </w:r>
            <w:r>
              <w:rPr>
                <w:rFonts w:hint="eastAsia" w:ascii="宋体" w:hAnsi="宋体" w:cs="宋体"/>
                <w:kern w:val="0"/>
                <w:sz w:val="18"/>
                <w:szCs w:val="18"/>
                <w:lang w:bidi="ar"/>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2242"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L型杆（杆高6.5米），挑臂长度12m-14m（含基础预埋件、安装）</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立柱高6.5m，悬臂长12m-14m，八角形；</w:t>
            </w:r>
            <w:r>
              <w:rPr>
                <w:rFonts w:hint="eastAsia" w:ascii="宋体" w:hAnsi="宋体" w:cs="宋体"/>
                <w:kern w:val="0"/>
                <w:sz w:val="18"/>
                <w:szCs w:val="18"/>
                <w:lang w:bidi="ar"/>
              </w:rPr>
              <w:br w:type="textWrapping"/>
            </w:r>
            <w:r>
              <w:rPr>
                <w:rFonts w:hint="eastAsia" w:ascii="宋体" w:hAnsi="宋体" w:cs="宋体"/>
                <w:kern w:val="0"/>
                <w:sz w:val="18"/>
                <w:szCs w:val="18"/>
                <w:lang w:bidi="ar"/>
              </w:rPr>
              <w:t>2) 采用无焊缝钢管且进行浸锌喷塑防腐处理；</w:t>
            </w:r>
            <w:r>
              <w:rPr>
                <w:rFonts w:hint="eastAsia" w:ascii="宋体" w:hAnsi="宋体" w:cs="宋体"/>
                <w:kern w:val="0"/>
                <w:sz w:val="18"/>
                <w:szCs w:val="18"/>
                <w:lang w:bidi="ar"/>
              </w:rPr>
              <w:br w:type="textWrapping"/>
            </w:r>
            <w:r>
              <w:rPr>
                <w:rFonts w:hint="eastAsia" w:ascii="宋体" w:hAnsi="宋体" w:cs="宋体"/>
                <w:kern w:val="0"/>
                <w:sz w:val="18"/>
                <w:szCs w:val="18"/>
                <w:lang w:bidi="ar"/>
              </w:rPr>
              <w:t>3) 悬臂长度根据安装点的实际宽度决定，上方应加置避雷钗，横挑臂钢板壁厚≥4mm，立柱钢板壁厚≥6mm；</w:t>
            </w:r>
            <w:r>
              <w:rPr>
                <w:rFonts w:hint="eastAsia" w:ascii="宋体" w:hAnsi="宋体" w:cs="宋体"/>
                <w:kern w:val="0"/>
                <w:sz w:val="18"/>
                <w:szCs w:val="18"/>
                <w:lang w:bidi="ar"/>
              </w:rPr>
              <w:br w:type="textWrapping"/>
            </w:r>
            <w:r>
              <w:rPr>
                <w:rFonts w:hint="eastAsia" w:ascii="宋体" w:hAnsi="宋体" w:cs="宋体"/>
                <w:kern w:val="0"/>
                <w:sz w:val="18"/>
                <w:szCs w:val="18"/>
                <w:lang w:bidi="ar"/>
              </w:rPr>
              <w:t>4) 立柱及横挑臂截面为正八边形，立柱与横挑臂采用法兰联接；</w:t>
            </w:r>
            <w:r>
              <w:rPr>
                <w:rFonts w:hint="eastAsia" w:ascii="宋体" w:hAnsi="宋体" w:cs="宋体"/>
                <w:kern w:val="0"/>
                <w:sz w:val="18"/>
                <w:szCs w:val="18"/>
                <w:lang w:bidi="ar"/>
              </w:rPr>
              <w:br w:type="textWrapping"/>
            </w:r>
            <w:r>
              <w:rPr>
                <w:rFonts w:hint="eastAsia" w:ascii="宋体" w:hAnsi="宋体" w:cs="宋体"/>
                <w:kern w:val="0"/>
                <w:sz w:val="18"/>
                <w:szCs w:val="18"/>
                <w:lang w:bidi="ar"/>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w:t>
            </w:r>
          </w:p>
        </w:tc>
      </w:tr>
      <w:tr>
        <w:tblPrEx>
          <w:tblCellMar>
            <w:top w:w="15" w:type="dxa"/>
            <w:left w:w="15" w:type="dxa"/>
            <w:bottom w:w="15" w:type="dxa"/>
            <w:right w:w="15" w:type="dxa"/>
          </w:tblCellMar>
        </w:tblPrEx>
        <w:trPr>
          <w:wBefore w:w="0" w:type="dxa"/>
          <w:wAfter w:w="0" w:type="dxa"/>
          <w:trHeight w:val="1109"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机柜（含基础、预埋件）</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机箱材料选用冷扎钢板，机箱表面镀锌后喷飞机灰平光塑，壁厚1.5mm；</w:t>
            </w:r>
            <w:r>
              <w:rPr>
                <w:rFonts w:hint="eastAsia" w:ascii="宋体" w:hAnsi="宋体" w:cs="宋体"/>
                <w:kern w:val="0"/>
                <w:sz w:val="18"/>
                <w:szCs w:val="18"/>
                <w:lang w:bidi="ar"/>
              </w:rPr>
              <w:br w:type="textWrapping"/>
            </w:r>
            <w:r>
              <w:rPr>
                <w:rFonts w:hint="eastAsia" w:ascii="宋体" w:hAnsi="宋体" w:cs="宋体"/>
                <w:kern w:val="0"/>
                <w:sz w:val="18"/>
                <w:szCs w:val="18"/>
                <w:lang w:bidi="ar"/>
              </w:rPr>
              <w:t>2) 机箱成型时严格控制焊接变形；</w:t>
            </w:r>
            <w:r>
              <w:rPr>
                <w:rFonts w:hint="eastAsia" w:ascii="宋体" w:hAnsi="宋体" w:cs="宋体"/>
                <w:kern w:val="0"/>
                <w:sz w:val="18"/>
                <w:szCs w:val="18"/>
                <w:lang w:bidi="ar"/>
              </w:rPr>
              <w:br w:type="textWrapping"/>
            </w:r>
            <w:r>
              <w:rPr>
                <w:rFonts w:hint="eastAsia" w:ascii="宋体" w:hAnsi="宋体" w:cs="宋体"/>
                <w:kern w:val="0"/>
                <w:sz w:val="18"/>
                <w:szCs w:val="18"/>
                <w:lang w:bidi="ar"/>
              </w:rPr>
              <w:t>3) 机箱顶部必须满焊,不应有漏水和渗水现象出现，机箱防护等级必须达到IP65。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光纤收发器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1光4电，带485接口</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33</w:t>
            </w:r>
          </w:p>
        </w:tc>
      </w:tr>
      <w:tr>
        <w:tblPrEx>
          <w:tblCellMar>
            <w:top w:w="15" w:type="dxa"/>
            <w:left w:w="15" w:type="dxa"/>
            <w:bottom w:w="15" w:type="dxa"/>
            <w:right w:w="15" w:type="dxa"/>
          </w:tblCellMar>
        </w:tblPrEx>
        <w:trPr>
          <w:wBefore w:w="0" w:type="dxa"/>
          <w:wAfter w:w="0" w:type="dxa"/>
          <w:trHeight w:val="1234"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工业交换机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网络端口：100BaseT端口不少于8个；</w:t>
            </w:r>
            <w:r>
              <w:rPr>
                <w:rFonts w:hint="eastAsia" w:ascii="宋体" w:hAnsi="宋体" w:cs="宋体"/>
                <w:kern w:val="0"/>
                <w:sz w:val="18"/>
                <w:szCs w:val="18"/>
                <w:lang w:bidi="ar"/>
              </w:rPr>
              <w:br w:type="textWrapping"/>
            </w:r>
            <w:r>
              <w:rPr>
                <w:rFonts w:hint="eastAsia" w:ascii="宋体" w:hAnsi="宋体" w:cs="宋体"/>
                <w:kern w:val="0"/>
                <w:sz w:val="18"/>
                <w:szCs w:val="18"/>
                <w:lang w:bidi="ar"/>
              </w:rPr>
              <w:t>2) 支持STP、RSTP、TurboRing等多种冗余机制；</w:t>
            </w:r>
            <w:r>
              <w:rPr>
                <w:rFonts w:hint="eastAsia" w:ascii="宋体" w:hAnsi="宋体" w:cs="宋体"/>
                <w:kern w:val="0"/>
                <w:sz w:val="18"/>
                <w:szCs w:val="18"/>
                <w:lang w:bidi="ar"/>
              </w:rPr>
              <w:br w:type="textWrapping"/>
            </w:r>
            <w:r>
              <w:rPr>
                <w:rFonts w:hint="eastAsia" w:ascii="宋体" w:hAnsi="宋体" w:cs="宋体"/>
                <w:kern w:val="0"/>
                <w:sz w:val="18"/>
                <w:szCs w:val="18"/>
                <w:lang w:bidi="ar"/>
              </w:rPr>
              <w:t>3) 支持卡轨式安装、壁挂式安装；</w:t>
            </w:r>
            <w:r>
              <w:rPr>
                <w:rFonts w:hint="eastAsia" w:ascii="宋体" w:hAnsi="宋体" w:cs="宋体"/>
                <w:kern w:val="0"/>
                <w:sz w:val="18"/>
                <w:szCs w:val="18"/>
                <w:lang w:bidi="ar"/>
              </w:rPr>
              <w:br w:type="textWrapping"/>
            </w:r>
            <w:r>
              <w:rPr>
                <w:rFonts w:hint="eastAsia" w:ascii="宋体" w:hAnsi="宋体" w:cs="宋体"/>
                <w:kern w:val="0"/>
                <w:sz w:val="18"/>
                <w:szCs w:val="18"/>
                <w:lang w:bidi="ar"/>
              </w:rPr>
              <w:t>4) 提供5年质保期。</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电源线，屏蔽线，网线等</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符合相关标准要求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IO解析盒</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单台支持16路高低电平接入。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抱杆机箱</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机箱材料选用冷扎钢板，机箱表面镀锌后喷飞机灰平光塑，壁厚1.5mm；</w:t>
            </w:r>
            <w:r>
              <w:rPr>
                <w:rFonts w:hint="eastAsia" w:ascii="宋体" w:hAnsi="宋体" w:cs="宋体"/>
                <w:kern w:val="0"/>
                <w:sz w:val="18"/>
                <w:szCs w:val="18"/>
                <w:lang w:bidi="ar"/>
              </w:rPr>
              <w:br w:type="textWrapping"/>
            </w:r>
            <w:r>
              <w:rPr>
                <w:rFonts w:hint="eastAsia" w:ascii="宋体" w:hAnsi="宋体" w:cs="宋体"/>
                <w:kern w:val="0"/>
                <w:sz w:val="18"/>
                <w:szCs w:val="18"/>
                <w:lang w:bidi="ar"/>
              </w:rPr>
              <w:t>2) 机箱成型时严格控制焊接变形；</w:t>
            </w:r>
            <w:r>
              <w:rPr>
                <w:rFonts w:hint="eastAsia" w:ascii="宋体" w:hAnsi="宋体" w:cs="宋体"/>
                <w:kern w:val="0"/>
                <w:sz w:val="18"/>
                <w:szCs w:val="18"/>
                <w:lang w:bidi="ar"/>
              </w:rPr>
              <w:br w:type="textWrapping"/>
            </w:r>
            <w:r>
              <w:rPr>
                <w:rFonts w:hint="eastAsia" w:ascii="宋体" w:hAnsi="宋体" w:cs="宋体"/>
                <w:kern w:val="0"/>
                <w:sz w:val="18"/>
                <w:szCs w:val="18"/>
                <w:lang w:bidi="ar"/>
              </w:rPr>
              <w:t>3) 机箱顶部必须满焊,不应有漏水和渗水现象出现，机箱防护等级必须达到IP65。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33</w:t>
            </w:r>
          </w:p>
        </w:tc>
      </w:tr>
      <w:tr>
        <w:tblPrEx>
          <w:tblCellMar>
            <w:top w:w="15" w:type="dxa"/>
            <w:left w:w="15" w:type="dxa"/>
            <w:bottom w:w="15" w:type="dxa"/>
            <w:right w:w="15" w:type="dxa"/>
          </w:tblCellMar>
        </w:tblPrEx>
        <w:trPr>
          <w:wBefore w:w="0" w:type="dxa"/>
          <w:wAfter w:w="0" w:type="dxa"/>
          <w:trHeight w:val="80" w:hRule="atLeast"/>
          <w:jc w:val="center"/>
        </w:trPr>
        <w:tc>
          <w:tcPr>
            <w:tcW w:w="9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16</w:t>
            </w:r>
          </w:p>
        </w:tc>
        <w:tc>
          <w:tcPr>
            <w:tcW w:w="113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管路敷设，窨井等</w:t>
            </w:r>
          </w:p>
        </w:tc>
        <w:tc>
          <w:tcPr>
            <w:tcW w:w="628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sz w:val="18"/>
                <w:szCs w:val="18"/>
              </w:rPr>
              <w:t>1) 管道宽度不小于0.5米，深度人行车道下不小于0.7米、车行道下不小于0.8米；</w:t>
            </w:r>
          </w:p>
          <w:p>
            <w:pPr>
              <w:widowControl/>
              <w:jc w:val="left"/>
              <w:textAlignment w:val="center"/>
              <w:rPr>
                <w:sz w:val="18"/>
                <w:szCs w:val="18"/>
              </w:rPr>
            </w:pPr>
            <w:r>
              <w:rPr>
                <w:rFonts w:hint="eastAsia"/>
                <w:sz w:val="18"/>
                <w:szCs w:val="18"/>
              </w:rPr>
              <w:t>2) 敷设管道后应进行管道混凝土包封，土方回填，并按绍兴市城市管理部门相关规定恢复人行道、车行道、绿化带；</w:t>
            </w:r>
          </w:p>
          <w:p>
            <w:pPr>
              <w:widowControl/>
              <w:jc w:val="left"/>
              <w:textAlignment w:val="center"/>
              <w:rPr>
                <w:sz w:val="18"/>
                <w:szCs w:val="18"/>
              </w:rPr>
            </w:pPr>
            <w:r>
              <w:rPr>
                <w:rFonts w:hint="eastAsia"/>
                <w:sz w:val="18"/>
                <w:szCs w:val="18"/>
              </w:rPr>
              <w:t>3) 窨井深度不小于1米；</w:t>
            </w:r>
          </w:p>
          <w:p>
            <w:pPr>
              <w:widowControl/>
              <w:jc w:val="left"/>
              <w:textAlignment w:val="center"/>
              <w:rPr>
                <w:sz w:val="18"/>
                <w:szCs w:val="18"/>
              </w:rPr>
            </w:pPr>
            <w:r>
              <w:rPr>
                <w:rFonts w:hint="eastAsia"/>
                <w:sz w:val="18"/>
                <w:szCs w:val="18"/>
              </w:rPr>
              <w:t>4) 窨井底部应设有渗水孔，井中管道到井底的距离不低于20cm，井口应与地面持平；</w:t>
            </w:r>
          </w:p>
          <w:p>
            <w:pPr>
              <w:widowControl/>
              <w:jc w:val="left"/>
              <w:textAlignment w:val="center"/>
              <w:rPr>
                <w:sz w:val="18"/>
                <w:szCs w:val="18"/>
              </w:rPr>
            </w:pPr>
            <w:r>
              <w:rPr>
                <w:rFonts w:hint="eastAsia"/>
                <w:sz w:val="18"/>
                <w:szCs w:val="18"/>
              </w:rPr>
              <w:t>5) 窨井井盖及井壁应设置有公安交通设施专用标记，井盖材质应采用复合材料；</w:t>
            </w:r>
          </w:p>
          <w:p>
            <w:pPr>
              <w:widowControl/>
              <w:jc w:val="left"/>
              <w:textAlignment w:val="center"/>
              <w:rPr>
                <w:sz w:val="18"/>
                <w:szCs w:val="18"/>
              </w:rPr>
            </w:pPr>
            <w:r>
              <w:rPr>
                <w:rFonts w:hint="eastAsia"/>
                <w:sz w:val="18"/>
                <w:szCs w:val="18"/>
              </w:rPr>
              <w:t>6) 窨井应用砖砌，做好防水处理，并加防护盖板，并做好管道口的封堵；</w:t>
            </w:r>
          </w:p>
          <w:p>
            <w:pPr>
              <w:widowControl/>
              <w:jc w:val="left"/>
              <w:textAlignment w:val="center"/>
              <w:rPr>
                <w:sz w:val="18"/>
                <w:szCs w:val="18"/>
              </w:rPr>
            </w:pPr>
            <w:r>
              <w:rPr>
                <w:rFonts w:hint="eastAsia"/>
                <w:sz w:val="18"/>
                <w:szCs w:val="18"/>
              </w:rPr>
              <w:t>7)窨井宽度采用ф500或ф300mm。</w:t>
            </w:r>
          </w:p>
          <w:p>
            <w:pPr>
              <w:widowControl/>
              <w:jc w:val="left"/>
              <w:textAlignment w:val="center"/>
              <w:rPr>
                <w:sz w:val="18"/>
                <w:szCs w:val="18"/>
              </w:rPr>
            </w:pPr>
            <w:r>
              <w:rPr>
                <w:rFonts w:hint="eastAsia"/>
                <w:sz w:val="18"/>
                <w:szCs w:val="18"/>
              </w:rPr>
              <w:t>8)一个路口四个方向为一项</w:t>
            </w:r>
          </w:p>
        </w:tc>
        <w:tc>
          <w:tcPr>
            <w:tcW w:w="56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13</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设备安装调试</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12</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rPr>
                <w:sz w:val="18"/>
                <w:szCs w:val="18"/>
              </w:rPr>
            </w:pPr>
            <w:r>
              <w:rPr>
                <w:rFonts w:hint="eastAsia"/>
                <w:sz w:val="18"/>
                <w:szCs w:val="18"/>
              </w:rPr>
              <w:t>（三）违停抓拍系统</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智能违停球机（含支架）</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能无缝接入大队现有平台</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摄像机靶面尺寸不小于1/1.8英寸（以公安部检验报告为准）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▲摄像机内置镜头，支持37倍光学变倍，镜头最大焦距不小于208mm（以公安部检验报告为准）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视频输出支持1920×1080@60fps，1280×720@60fps，分辨力不小1100TVL</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红外距离不小于450米</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▲支持最低照度可达彩色0.0003Lux，黑白0.0001Lux（以公安部检验报告为准）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具有三种滤光片，在白天、夜晚及有雾情况下可自动切换不同的滤光片进行成像。滤光片透过率不小于95%（以公安部检验报告为准）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具有自动、关闭、开启光学透雾设置选项，透雾等级0-100可调。</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信噪比≥60dB，网络延时不大于90ms</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▲网络传输能力满足设备距离客户端之间用100m五类非屏蔽网线直接连接，发送2000个数据包，重复三次，每次丢包数不大于1个（以公安部检验报告为准）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支持7路报警输入接口，2路报警输出接口，支持1路音频输入和输出接口；支持雨刷功能，可通过手动或自动方式开启雨刷</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水平旋转范围为360°连续旋转，垂直旋转范围为-20°~90°，支持水平手控最大速度不小于700°/S,</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可将视频图像存储至SD卡或客户端，支持SD卡热插拔，最大支持256GBSD卡</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支持采用H.264、MJPEG、H.265视频编码标准，可将H.265、H.264格式设置为Baseline/Main/HighProfile，音频编码支持MP2L2、G.711ulaw、G.711alaw、G.726、G.722.1</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支持车牌识别功能，白天和夜晚识别准确率不低于99%</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支持违法停车、掉头、压线抓拍、违法变道、逆行抓拍、道路拥堵、机动车占用非机动车、违法占用公交车道、违法左转抓拍等功能</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▲违法停车检测范围，白天有效检测距离不小于260m，且白天和晚上违法停车捕获率、捕获有效率均大于99%</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▲可识别不低于170种车辆品牌。</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▲设备可识别通过监控画面中的新能源汽车专用号牌信息</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▲支持违法停车抓拍间隔功能设置，使得对识别为违法停车行为的同一辆车，在设定的时间间隔内不会重复抓拍。支持机动车检测，在白天可最多同时检测出监视画面中40辆机动车辆（以公安部检验报告为准）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▲室外球机应具备较好防护性能，支持IP67、10KV防浪涌（以公安部检验报告为准），具备较好的环境适应性，电压在AC24V±47%范围内变化时，设备可正常工作（以公安部检验报告为准）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▲内置GPU芯片（以公安部检验报告为准）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▲设备可响应平台下发的获取可视域信息指令，上报设备视场角、可视距离、安装位置、镜头指向方位。其中设备视场角、可视距离能够随着倍率变化（以公安部型式检验报告为准）</w:t>
            </w:r>
          </w:p>
          <w:p>
            <w:pPr>
              <w:widowControl/>
              <w:jc w:val="left"/>
              <w:textAlignment w:val="center"/>
              <w:rPr>
                <w:sz w:val="18"/>
                <w:szCs w:val="18"/>
              </w:rPr>
            </w:pPr>
            <w:r>
              <w:rPr>
                <w:rFonts w:hint="eastAsia" w:ascii="宋体" w:hAnsi="宋体" w:cs="宋体"/>
                <w:kern w:val="0"/>
                <w:sz w:val="18"/>
                <w:szCs w:val="18"/>
                <w:lang w:bidi="ar"/>
              </w:rPr>
              <w:t>具备较好的环境适应性，工作温度范围可达-45℃-70℃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4</w:t>
            </w:r>
          </w:p>
        </w:tc>
      </w:tr>
      <w:tr>
        <w:tblPrEx>
          <w:tblCellMar>
            <w:top w:w="15" w:type="dxa"/>
            <w:left w:w="15" w:type="dxa"/>
            <w:bottom w:w="15" w:type="dxa"/>
            <w:right w:w="15" w:type="dxa"/>
          </w:tblCellMar>
        </w:tblPrEx>
        <w:trPr>
          <w:wBefore w:w="0" w:type="dxa"/>
          <w:wAfter w:w="0" w:type="dxa"/>
          <w:trHeight w:val="2043"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L型杆（杆高6.5米），挑臂长度6m-8m（含基础预埋件、安装）</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立柱高6.5m，悬臂长6m-8m，八角形；</w:t>
            </w:r>
            <w:r>
              <w:rPr>
                <w:rFonts w:hint="eastAsia" w:ascii="宋体" w:hAnsi="宋体" w:cs="宋体"/>
                <w:kern w:val="0"/>
                <w:sz w:val="18"/>
                <w:szCs w:val="18"/>
                <w:lang w:bidi="ar"/>
              </w:rPr>
              <w:br w:type="textWrapping"/>
            </w:r>
            <w:r>
              <w:rPr>
                <w:rFonts w:hint="eastAsia" w:ascii="宋体" w:hAnsi="宋体" w:cs="宋体"/>
                <w:kern w:val="0"/>
                <w:sz w:val="18"/>
                <w:szCs w:val="18"/>
                <w:lang w:bidi="ar"/>
              </w:rPr>
              <w:t>2) 采用无焊缝钢管且进行浸锌喷塑防腐处理；</w:t>
            </w:r>
            <w:r>
              <w:rPr>
                <w:rFonts w:hint="eastAsia" w:ascii="宋体" w:hAnsi="宋体" w:cs="宋体"/>
                <w:kern w:val="0"/>
                <w:sz w:val="18"/>
                <w:szCs w:val="18"/>
                <w:lang w:bidi="ar"/>
              </w:rPr>
              <w:br w:type="textWrapping"/>
            </w:r>
            <w:r>
              <w:rPr>
                <w:rFonts w:hint="eastAsia" w:ascii="宋体" w:hAnsi="宋体" w:cs="宋体"/>
                <w:kern w:val="0"/>
                <w:sz w:val="18"/>
                <w:szCs w:val="18"/>
                <w:lang w:bidi="ar"/>
              </w:rPr>
              <w:t>3) 悬臂长度根据安装点的实际宽度决定，上方应加置避雷钗，横挑臂钢板壁厚≥4mm，立柱钢板壁厚≥6mm；</w:t>
            </w:r>
            <w:r>
              <w:rPr>
                <w:rFonts w:hint="eastAsia" w:ascii="宋体" w:hAnsi="宋体" w:cs="宋体"/>
                <w:kern w:val="0"/>
                <w:sz w:val="18"/>
                <w:szCs w:val="18"/>
                <w:lang w:bidi="ar"/>
              </w:rPr>
              <w:br w:type="textWrapping"/>
            </w:r>
            <w:r>
              <w:rPr>
                <w:rFonts w:hint="eastAsia" w:ascii="宋体" w:hAnsi="宋体" w:cs="宋体"/>
                <w:kern w:val="0"/>
                <w:sz w:val="18"/>
                <w:szCs w:val="18"/>
                <w:lang w:bidi="ar"/>
              </w:rPr>
              <w:t>4) 立柱及横挑臂截面为正八边形，立柱与横挑臂采用法兰联接；</w:t>
            </w:r>
            <w:r>
              <w:rPr>
                <w:rFonts w:hint="eastAsia" w:ascii="宋体" w:hAnsi="宋体" w:cs="宋体"/>
                <w:kern w:val="0"/>
                <w:sz w:val="18"/>
                <w:szCs w:val="18"/>
                <w:lang w:bidi="ar"/>
              </w:rPr>
              <w:br w:type="textWrapping"/>
            </w:r>
            <w:r>
              <w:rPr>
                <w:rFonts w:hint="eastAsia" w:ascii="宋体" w:hAnsi="宋体" w:cs="宋体"/>
                <w:kern w:val="0"/>
                <w:sz w:val="18"/>
                <w:szCs w:val="18"/>
                <w:lang w:bidi="ar"/>
              </w:rPr>
              <w:t>5) 杆体需设计美观大方，表面应光洁、平整、不应有凹痕、划伤、裂缝，横臂上所有灯具及附件安装后，横臂小端与路面平行。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4</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抱杆机箱</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sz w:val="18"/>
                <w:szCs w:val="18"/>
              </w:rPr>
            </w:pPr>
            <w:r>
              <w:rPr>
                <w:rFonts w:hint="eastAsia" w:ascii="宋体" w:hAnsi="宋体" w:cs="宋体"/>
                <w:kern w:val="0"/>
                <w:sz w:val="18"/>
                <w:szCs w:val="18"/>
                <w:lang w:bidi="ar"/>
              </w:rPr>
              <w:t>1) 机箱材料选用冷扎钢板，机箱表面镀锌后喷飞机灰平光塑，壁厚1.5mm；</w:t>
            </w:r>
            <w:r>
              <w:rPr>
                <w:rFonts w:hint="eastAsia" w:ascii="宋体" w:hAnsi="宋体" w:cs="宋体"/>
                <w:kern w:val="0"/>
                <w:sz w:val="18"/>
                <w:szCs w:val="18"/>
                <w:lang w:bidi="ar"/>
              </w:rPr>
              <w:br w:type="textWrapping"/>
            </w:r>
            <w:r>
              <w:rPr>
                <w:rFonts w:hint="eastAsia" w:ascii="宋体" w:hAnsi="宋体" w:cs="宋体"/>
                <w:kern w:val="0"/>
                <w:sz w:val="18"/>
                <w:szCs w:val="18"/>
                <w:lang w:bidi="ar"/>
              </w:rPr>
              <w:t>2) 机箱成型时严格控制焊接变形；</w:t>
            </w:r>
            <w:r>
              <w:rPr>
                <w:rFonts w:hint="eastAsia" w:ascii="宋体" w:hAnsi="宋体" w:cs="宋体"/>
                <w:kern w:val="0"/>
                <w:sz w:val="18"/>
                <w:szCs w:val="18"/>
                <w:lang w:bidi="ar"/>
              </w:rPr>
              <w:br w:type="textWrapping"/>
            </w:r>
            <w:r>
              <w:rPr>
                <w:rFonts w:hint="eastAsia" w:ascii="宋体" w:hAnsi="宋体" w:cs="宋体"/>
                <w:kern w:val="0"/>
                <w:sz w:val="18"/>
                <w:szCs w:val="18"/>
                <w:lang w:bidi="ar"/>
              </w:rPr>
              <w:t>3) 机箱顶部必须满焊,不应有漏水和渗水现象出现，机箱防护等级必须达到IP65。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4</w:t>
            </w:r>
          </w:p>
        </w:tc>
      </w:tr>
      <w:tr>
        <w:tblPrEx>
          <w:tblCellMar>
            <w:top w:w="15" w:type="dxa"/>
            <w:left w:w="15" w:type="dxa"/>
            <w:bottom w:w="15" w:type="dxa"/>
            <w:right w:w="15" w:type="dxa"/>
          </w:tblCellMar>
        </w:tblPrEx>
        <w:trPr>
          <w:wBefore w:w="0" w:type="dxa"/>
          <w:wAfter w:w="0" w:type="dxa"/>
          <w:trHeight w:val="747"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终端服务器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sz w:val="18"/>
                <w:szCs w:val="18"/>
              </w:rPr>
            </w:pPr>
            <w:r>
              <w:rPr>
                <w:rFonts w:hint="eastAsia"/>
                <w:sz w:val="18"/>
                <w:szCs w:val="18"/>
              </w:rPr>
              <w:t>1)处理器：高性能ARM A9双核数字媒体处理器；</w:t>
            </w:r>
          </w:p>
          <w:p>
            <w:pPr>
              <w:jc w:val="left"/>
              <w:rPr>
                <w:rFonts w:hint="eastAsia"/>
                <w:sz w:val="18"/>
                <w:szCs w:val="18"/>
              </w:rPr>
            </w:pPr>
            <w:r>
              <w:rPr>
                <w:rFonts w:hint="eastAsia"/>
                <w:sz w:val="18"/>
                <w:szCs w:val="18"/>
              </w:rPr>
              <w:t>2)操作系统：嵌入式Linux操作系统；</w:t>
            </w:r>
          </w:p>
          <w:p>
            <w:pPr>
              <w:jc w:val="left"/>
              <w:rPr>
                <w:rFonts w:hint="eastAsia"/>
                <w:sz w:val="18"/>
                <w:szCs w:val="18"/>
              </w:rPr>
            </w:pPr>
            <w:r>
              <w:rPr>
                <w:rFonts w:hint="eastAsia"/>
                <w:sz w:val="18"/>
                <w:szCs w:val="18"/>
              </w:rPr>
              <w:t>3)操作界面：WEB、VGA、HDMI；</w:t>
            </w:r>
          </w:p>
          <w:p>
            <w:pPr>
              <w:jc w:val="left"/>
              <w:rPr>
                <w:rFonts w:hint="eastAsia"/>
                <w:sz w:val="18"/>
                <w:szCs w:val="18"/>
              </w:rPr>
            </w:pPr>
            <w:r>
              <w:rPr>
                <w:rFonts w:hint="eastAsia"/>
                <w:sz w:val="18"/>
                <w:szCs w:val="18"/>
              </w:rPr>
              <w:t>4)模拟视频接口：2个标准BNC输入接口，支持2路HD-TVI（或HD-SDI）视频输入；2个标准BNC环通输出接口，支持2路HD-TVI环通输出；</w:t>
            </w:r>
          </w:p>
          <w:p>
            <w:pPr>
              <w:jc w:val="left"/>
              <w:rPr>
                <w:rFonts w:hint="eastAsia"/>
                <w:sz w:val="18"/>
                <w:szCs w:val="18"/>
              </w:rPr>
            </w:pPr>
            <w:r>
              <w:rPr>
                <w:rFonts w:hint="eastAsia"/>
                <w:sz w:val="18"/>
                <w:szCs w:val="18"/>
              </w:rPr>
              <w:t>5)数字视频接入：可接入12路高清录像；</w:t>
            </w:r>
          </w:p>
          <w:p>
            <w:pPr>
              <w:jc w:val="left"/>
              <w:rPr>
                <w:rFonts w:hint="eastAsia"/>
                <w:sz w:val="18"/>
                <w:szCs w:val="18"/>
              </w:rPr>
            </w:pPr>
            <w:r>
              <w:rPr>
                <w:rFonts w:hint="eastAsia"/>
                <w:sz w:val="18"/>
                <w:szCs w:val="18"/>
              </w:rPr>
              <w:t>6)数据存储：支持对通行车辆的信息（记录和图片）存储：</w:t>
            </w:r>
          </w:p>
          <w:p>
            <w:pPr>
              <w:jc w:val="left"/>
              <w:rPr>
                <w:rFonts w:hint="eastAsia"/>
                <w:sz w:val="18"/>
                <w:szCs w:val="18"/>
              </w:rPr>
            </w:pPr>
            <w:r>
              <w:rPr>
                <w:rFonts w:hint="eastAsia"/>
                <w:sz w:val="18"/>
                <w:szCs w:val="18"/>
              </w:rPr>
              <w:t>7)视频录像：支持录像存储功能，存储时长根据设定的码流大小和配置的硬盘容量确定；</w:t>
            </w:r>
          </w:p>
          <w:p>
            <w:pPr>
              <w:jc w:val="left"/>
              <w:rPr>
                <w:rFonts w:hint="eastAsia"/>
                <w:sz w:val="18"/>
                <w:szCs w:val="18"/>
              </w:rPr>
            </w:pPr>
            <w:r>
              <w:rPr>
                <w:rFonts w:hint="eastAsia"/>
                <w:sz w:val="18"/>
                <w:szCs w:val="18"/>
              </w:rPr>
              <w:t>8)硬盘存储：支持4个3.5"SATA硬盘，最大支持16TB前端数据存储；</w:t>
            </w:r>
          </w:p>
          <w:p>
            <w:pPr>
              <w:jc w:val="left"/>
              <w:rPr>
                <w:rFonts w:hint="eastAsia"/>
                <w:sz w:val="18"/>
                <w:szCs w:val="18"/>
              </w:rPr>
            </w:pPr>
            <w:r>
              <w:rPr>
                <w:rFonts w:hint="eastAsia"/>
                <w:sz w:val="18"/>
                <w:szCs w:val="18"/>
              </w:rPr>
              <w:t>9)外部硬盘存储扩展：1个eSATA接口：</w:t>
            </w:r>
          </w:p>
          <w:p>
            <w:pPr>
              <w:jc w:val="left"/>
              <w:rPr>
                <w:rFonts w:hint="eastAsia"/>
                <w:sz w:val="18"/>
                <w:szCs w:val="18"/>
              </w:rPr>
            </w:pPr>
            <w:r>
              <w:rPr>
                <w:rFonts w:hint="eastAsia"/>
                <w:sz w:val="18"/>
                <w:szCs w:val="18"/>
              </w:rPr>
              <w:t>10)网络接口：16个100M以太网接口及2个10/100/1000M自适应网络接口，其中1个为千兆可光电转换网络接口（需选配光模块）；</w:t>
            </w:r>
          </w:p>
          <w:p>
            <w:pPr>
              <w:jc w:val="left"/>
              <w:rPr>
                <w:rFonts w:hint="eastAsia"/>
                <w:sz w:val="18"/>
                <w:szCs w:val="18"/>
              </w:rPr>
            </w:pPr>
            <w:r>
              <w:rPr>
                <w:rFonts w:hint="eastAsia"/>
                <w:sz w:val="18"/>
                <w:szCs w:val="18"/>
              </w:rPr>
              <w:t>11)其他接口：4路报警输入，4路报警输出；2个RS232接口，4个RS485接口； 2个外置USB接口；1个VGA接口；1个HDMI接口；1个CVBS输出接口；12)音频扩展功能：1路音频输入，1路音频输出：</w:t>
            </w:r>
          </w:p>
          <w:p>
            <w:pPr>
              <w:jc w:val="left"/>
              <w:rPr>
                <w:rFonts w:hint="eastAsia"/>
                <w:sz w:val="18"/>
                <w:szCs w:val="18"/>
              </w:rPr>
            </w:pPr>
            <w:r>
              <w:rPr>
                <w:rFonts w:hint="eastAsia"/>
                <w:sz w:val="18"/>
                <w:szCs w:val="18"/>
              </w:rPr>
              <w:t>13)电源输入：DC12V/12.5A适配器；</w:t>
            </w:r>
          </w:p>
          <w:p>
            <w:pPr>
              <w:jc w:val="left"/>
              <w:rPr>
                <w:rFonts w:hint="eastAsia"/>
                <w:sz w:val="18"/>
                <w:szCs w:val="18"/>
              </w:rPr>
            </w:pPr>
            <w:r>
              <w:rPr>
                <w:rFonts w:hint="eastAsia"/>
                <w:sz w:val="18"/>
                <w:szCs w:val="18"/>
              </w:rPr>
              <w:t>14)电源输出：1个12V电源输出接口，1个5V电源输出接口；</w:t>
            </w:r>
          </w:p>
          <w:p>
            <w:pPr>
              <w:jc w:val="left"/>
              <w:rPr>
                <w:sz w:val="18"/>
                <w:szCs w:val="18"/>
              </w:rPr>
            </w:pPr>
            <w:r>
              <w:rPr>
                <w:rFonts w:hint="eastAsia"/>
                <w:sz w:val="18"/>
                <w:szCs w:val="18"/>
              </w:rPr>
              <w:t>15)工作环境：工作温度-40℃~70 ℃、工作湿度10%～90%（无冷凝）。</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18"/>
                <w:szCs w:val="18"/>
              </w:rPr>
            </w:pPr>
            <w:r>
              <w:rPr>
                <w:sz w:val="18"/>
                <w:szCs w:val="18"/>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电源线，屏蔽线，网线等</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sz w:val="18"/>
                <w:szCs w:val="18"/>
              </w:rPr>
            </w:pPr>
            <w:r>
              <w:rPr>
                <w:rFonts w:hint="eastAsia"/>
                <w:sz w:val="18"/>
                <w:szCs w:val="18"/>
              </w:rPr>
              <w:t>符合相关标准要求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4</w:t>
            </w:r>
          </w:p>
        </w:tc>
      </w:tr>
      <w:tr>
        <w:tblPrEx>
          <w:tblCellMar>
            <w:top w:w="15" w:type="dxa"/>
            <w:left w:w="15" w:type="dxa"/>
            <w:bottom w:w="15" w:type="dxa"/>
            <w:right w:w="15" w:type="dxa"/>
          </w:tblCellMar>
        </w:tblPrEx>
        <w:trPr>
          <w:wBefore w:w="0" w:type="dxa"/>
          <w:wAfter w:w="0" w:type="dxa"/>
          <w:trHeight w:val="259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6</w:t>
            </w:r>
            <w:r>
              <w:rPr>
                <w:rFonts w:hint="eastAsia"/>
                <w:kern w:val="0"/>
                <w:sz w:val="18"/>
                <w:szCs w:val="18"/>
                <w:lang w:bidi="ar"/>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管路</w:t>
            </w:r>
            <w:r>
              <w:rPr>
                <w:rFonts w:ascii="宋体" w:hAnsi="宋体" w:cs="宋体"/>
                <w:sz w:val="18"/>
                <w:szCs w:val="18"/>
              </w:rPr>
              <w:t>敷设</w:t>
            </w:r>
            <w:r>
              <w:rPr>
                <w:rFonts w:hint="eastAsia" w:ascii="宋体" w:hAnsi="宋体" w:cs="宋体"/>
                <w:sz w:val="18"/>
                <w:szCs w:val="18"/>
              </w:rPr>
              <w:t>，</w:t>
            </w:r>
            <w:r>
              <w:rPr>
                <w:rFonts w:ascii="宋体" w:hAnsi="宋体" w:cs="宋体"/>
                <w:sz w:val="18"/>
                <w:szCs w:val="18"/>
              </w:rPr>
              <w:t>窨井</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sz w:val="18"/>
                <w:szCs w:val="18"/>
              </w:rPr>
            </w:pPr>
            <w:r>
              <w:rPr>
                <w:rFonts w:hint="eastAsia"/>
                <w:sz w:val="18"/>
                <w:szCs w:val="18"/>
              </w:rPr>
              <w:t>1) 管道宽度不小于 0.5 米，深度人行车道下不小于 0.7米、车行道下不小于 0.8 米；</w:t>
            </w:r>
          </w:p>
          <w:p>
            <w:pPr>
              <w:jc w:val="left"/>
              <w:rPr>
                <w:sz w:val="18"/>
                <w:szCs w:val="18"/>
              </w:rPr>
            </w:pPr>
            <w:r>
              <w:rPr>
                <w:rFonts w:hint="eastAsia"/>
                <w:sz w:val="18"/>
                <w:szCs w:val="18"/>
              </w:rPr>
              <w:t>2) 敷设管道后应进行管道混凝土包封，土方回填，并按绍兴市城市管理部门相关规定恢复人行道、车行道、绿化带；</w:t>
            </w:r>
          </w:p>
          <w:p>
            <w:pPr>
              <w:jc w:val="left"/>
              <w:rPr>
                <w:sz w:val="18"/>
                <w:szCs w:val="18"/>
              </w:rPr>
            </w:pPr>
            <w:r>
              <w:rPr>
                <w:rFonts w:hint="eastAsia"/>
                <w:sz w:val="18"/>
                <w:szCs w:val="18"/>
              </w:rPr>
              <w:t>3) 窨井深度不小于 1 米；</w:t>
            </w:r>
          </w:p>
          <w:p>
            <w:pPr>
              <w:jc w:val="left"/>
              <w:rPr>
                <w:sz w:val="18"/>
                <w:szCs w:val="18"/>
              </w:rPr>
            </w:pPr>
            <w:r>
              <w:rPr>
                <w:rFonts w:hint="eastAsia"/>
                <w:sz w:val="18"/>
                <w:szCs w:val="18"/>
              </w:rPr>
              <w:t>4) 窨井底部应设有渗水孔，井中管道到井底的距离不低于 20cm，井口应与地面持平；</w:t>
            </w:r>
          </w:p>
          <w:p>
            <w:pPr>
              <w:jc w:val="left"/>
              <w:rPr>
                <w:sz w:val="18"/>
                <w:szCs w:val="18"/>
              </w:rPr>
            </w:pPr>
            <w:r>
              <w:rPr>
                <w:rFonts w:hint="eastAsia"/>
                <w:sz w:val="18"/>
                <w:szCs w:val="18"/>
              </w:rPr>
              <w:t>5) 窨井井盖及井壁应设置有公安交通设施专用标记，井盖材质应采用复合材料；</w:t>
            </w:r>
          </w:p>
          <w:p>
            <w:pPr>
              <w:jc w:val="left"/>
              <w:rPr>
                <w:sz w:val="18"/>
                <w:szCs w:val="18"/>
              </w:rPr>
            </w:pPr>
            <w:r>
              <w:rPr>
                <w:rFonts w:hint="eastAsia"/>
                <w:sz w:val="18"/>
                <w:szCs w:val="18"/>
              </w:rPr>
              <w:t>6) 窨井应用砖砌，做好防水处理，并加防护盖板，并做好管道口的封堵；</w:t>
            </w:r>
          </w:p>
          <w:p>
            <w:pPr>
              <w:jc w:val="left"/>
              <w:rPr>
                <w:sz w:val="18"/>
                <w:szCs w:val="18"/>
              </w:rPr>
            </w:pPr>
            <w:r>
              <w:rPr>
                <w:rFonts w:hint="eastAsia"/>
                <w:sz w:val="18"/>
                <w:szCs w:val="18"/>
              </w:rPr>
              <w:t>7) 顶管（PEφ100*1)，单管。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4</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kern w:val="0"/>
                <w:sz w:val="18"/>
                <w:szCs w:val="18"/>
                <w:lang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设备安装调试</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4</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sz w:val="18"/>
                <w:szCs w:val="18"/>
              </w:rPr>
            </w:pPr>
            <w:r>
              <w:rPr>
                <w:rFonts w:hint="eastAsia"/>
                <w:sz w:val="18"/>
                <w:szCs w:val="18"/>
              </w:rPr>
              <w:t>（四）高位监控系统</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68"/>
              <w:jc w:val="center"/>
              <w:rPr>
                <w:rFonts w:ascii="Times New Roman" w:cs="Times New Roman"/>
                <w:color w:val="auto"/>
                <w:sz w:val="18"/>
                <w:szCs w:val="18"/>
                <w:lang w:bidi="ar"/>
              </w:rPr>
            </w:pPr>
            <w:r>
              <w:rPr>
                <w:rFonts w:hint="eastAsia" w:ascii="Times New Roman" w:cs="Times New Roman"/>
                <w:color w:val="auto"/>
                <w:sz w:val="18"/>
                <w:szCs w:val="18"/>
                <w:lang w:bidi="ar"/>
              </w:rPr>
              <w:t>高清高速智能球机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68"/>
              <w:rPr>
                <w:rFonts w:ascii="Times New Roman" w:cs="Times New Roman"/>
                <w:color w:val="auto"/>
                <w:sz w:val="18"/>
                <w:szCs w:val="18"/>
                <w:lang w:bidi="ar"/>
              </w:rPr>
            </w:pPr>
            <w:r>
              <w:rPr>
                <w:rFonts w:hint="eastAsia" w:ascii="Times New Roman" w:cs="Times New Roman"/>
                <w:color w:val="auto"/>
                <w:sz w:val="18"/>
                <w:szCs w:val="18"/>
                <w:lang w:bidi="ar"/>
              </w:rPr>
              <w:t>能无缝接入大队现有平台。</w:t>
            </w:r>
            <w:r>
              <w:rPr>
                <w:rFonts w:ascii="Times New Roman" w:cs="Times New Roman"/>
                <w:color w:val="auto"/>
                <w:sz w:val="18"/>
                <w:szCs w:val="18"/>
                <w:lang w:bidi="ar"/>
              </w:rPr>
              <w:t>1/1.9” Progressive Scan CMOS</w:t>
            </w:r>
            <w:r>
              <w:rPr>
                <w:rFonts w:hint="eastAsia" w:ascii="Times New Roman" w:cs="Times New Roman"/>
                <w:color w:val="auto"/>
                <w:sz w:val="18"/>
                <w:szCs w:val="18"/>
                <w:lang w:bidi="ar"/>
              </w:rPr>
              <w:t>，约</w:t>
            </w:r>
            <w:r>
              <w:rPr>
                <w:rFonts w:ascii="Times New Roman" w:cs="Times New Roman"/>
                <w:color w:val="auto"/>
                <w:sz w:val="18"/>
                <w:szCs w:val="18"/>
                <w:lang w:bidi="ar"/>
              </w:rPr>
              <w:t>240</w:t>
            </w:r>
            <w:r>
              <w:rPr>
                <w:rFonts w:hint="eastAsia" w:ascii="Times New Roman" w:cs="Times New Roman"/>
                <w:color w:val="auto"/>
                <w:sz w:val="18"/>
                <w:szCs w:val="18"/>
                <w:lang w:bidi="ar"/>
              </w:rPr>
              <w:t>万像素，焦距</w:t>
            </w:r>
            <w:r>
              <w:rPr>
                <w:rFonts w:ascii="Times New Roman" w:cs="Times New Roman"/>
                <w:color w:val="auto"/>
                <w:sz w:val="18"/>
                <w:szCs w:val="18"/>
                <w:lang w:bidi="ar"/>
              </w:rPr>
              <w:t xml:space="preserve"> 5.6-208mm</w:t>
            </w:r>
            <w:r>
              <w:rPr>
                <w:rFonts w:hint="eastAsia" w:ascii="Times New Roman" w:cs="Times New Roman"/>
                <w:color w:val="auto"/>
                <w:sz w:val="18"/>
                <w:szCs w:val="18"/>
                <w:lang w:bidi="ar"/>
              </w:rPr>
              <w:t>，</w:t>
            </w:r>
            <w:r>
              <w:rPr>
                <w:rFonts w:ascii="Times New Roman" w:cs="Times New Roman"/>
                <w:color w:val="auto"/>
                <w:sz w:val="18"/>
                <w:szCs w:val="18"/>
                <w:lang w:bidi="ar"/>
              </w:rPr>
              <w:t>37</w:t>
            </w:r>
            <w:r>
              <w:rPr>
                <w:rFonts w:hint="eastAsia" w:ascii="Times New Roman" w:cs="Times New Roman"/>
                <w:color w:val="auto"/>
                <w:sz w:val="18"/>
                <w:szCs w:val="18"/>
                <w:lang w:bidi="ar"/>
              </w:rPr>
              <w:t>倍光学变倍，最大图像尺寸</w:t>
            </w:r>
            <w:r>
              <w:rPr>
                <w:rFonts w:ascii="Times New Roman" w:cs="Times New Roman"/>
                <w:color w:val="auto"/>
                <w:sz w:val="18"/>
                <w:szCs w:val="18"/>
                <w:lang w:bidi="ar"/>
              </w:rPr>
              <w:t xml:space="preserve"> 1920</w:t>
            </w:r>
            <w:r>
              <w:rPr>
                <w:rFonts w:hint="eastAsia" w:ascii="Times New Roman" w:cs="Times New Roman"/>
                <w:color w:val="auto"/>
                <w:sz w:val="18"/>
                <w:szCs w:val="18"/>
                <w:lang w:bidi="ar"/>
              </w:rPr>
              <w:t>×</w:t>
            </w:r>
            <w:r>
              <w:rPr>
                <w:rFonts w:ascii="Times New Roman" w:cs="Times New Roman"/>
                <w:color w:val="auto"/>
                <w:sz w:val="18"/>
                <w:szCs w:val="18"/>
                <w:lang w:bidi="ar"/>
              </w:rPr>
              <w:t>1080</w:t>
            </w:r>
            <w:r>
              <w:rPr>
                <w:rFonts w:hint="eastAsia" w:ascii="Times New Roman" w:cs="Times New Roman"/>
                <w:color w:val="auto"/>
                <w:sz w:val="18"/>
                <w:szCs w:val="18"/>
                <w:lang w:bidi="ar"/>
              </w:rPr>
              <w:t>，尺寸Φ</w:t>
            </w:r>
            <w:r>
              <w:rPr>
                <w:rFonts w:ascii="Times New Roman" w:cs="Times New Roman"/>
                <w:color w:val="auto"/>
                <w:sz w:val="18"/>
                <w:szCs w:val="18"/>
                <w:lang w:bidi="ar"/>
              </w:rPr>
              <w:t>266.6(mm)</w:t>
            </w:r>
            <w:r>
              <w:rPr>
                <w:rFonts w:hint="eastAsia" w:ascii="Times New Roman" w:cs="Times New Roman"/>
                <w:color w:val="auto"/>
                <w:sz w:val="18"/>
                <w:szCs w:val="18"/>
                <w:lang w:bidi="ar"/>
              </w:rPr>
              <w:t>×</w:t>
            </w:r>
            <w:r>
              <w:rPr>
                <w:rFonts w:ascii="Times New Roman" w:cs="Times New Roman"/>
                <w:color w:val="auto"/>
                <w:sz w:val="18"/>
                <w:szCs w:val="18"/>
                <w:lang w:bidi="ar"/>
              </w:rPr>
              <w:t>435(mm)</w:t>
            </w:r>
            <w:r>
              <w:rPr>
                <w:rFonts w:hint="eastAsia" w:ascii="Times New Roman" w:cs="Times New Roman"/>
                <w:color w:val="auto"/>
                <w:sz w:val="18"/>
                <w:szCs w:val="18"/>
                <w:lang w:bidi="ar"/>
              </w:rPr>
              <w:t>。</w:t>
            </w:r>
            <w:r>
              <w:rPr>
                <w:rFonts w:ascii="Times New Roman" w:cs="Times New Roman"/>
                <w:color w:val="auto"/>
                <w:sz w:val="18"/>
                <w:szCs w:val="18"/>
                <w:lang w:bidi="ar"/>
              </w:rPr>
              <w:t xml:space="preserve"> </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设备机箱</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68"/>
              <w:jc w:val="center"/>
              <w:rPr>
                <w:rFonts w:ascii="Times New Roman" w:cs="Times New Roman"/>
                <w:color w:val="auto"/>
                <w:sz w:val="18"/>
                <w:szCs w:val="18"/>
                <w:lang w:bidi="ar"/>
              </w:rPr>
            </w:pPr>
            <w:r>
              <w:rPr>
                <w:rFonts w:hint="eastAsia" w:ascii="Times New Roman" w:cs="Times New Roman"/>
                <w:color w:val="auto"/>
                <w:sz w:val="18"/>
                <w:szCs w:val="18"/>
                <w:lang w:bidi="ar"/>
              </w:rPr>
              <w:t>电源线，屏蔽线，网线等</w:t>
            </w:r>
            <w:r>
              <w:rPr>
                <w:rFonts w:ascii="Times New Roman" w:cs="Times New Roman"/>
                <w:color w:val="auto"/>
                <w:sz w:val="18"/>
                <w:szCs w:val="18"/>
                <w:lang w:bidi="ar"/>
              </w:rPr>
              <w:t xml:space="preserve"> </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kern w:val="0"/>
                <w:sz w:val="18"/>
                <w:szCs w:val="18"/>
                <w:lang w:bidi="ar"/>
              </w:rPr>
            </w:pPr>
            <w:r>
              <w:rPr>
                <w:rFonts w:hint="eastAsia" w:ascii="宋体" w:hAnsi="宋体" w:cs="宋体"/>
                <w:sz w:val="20"/>
                <w:szCs w:val="20"/>
              </w:rPr>
              <w:t>符合相关标准要求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68"/>
              <w:jc w:val="center"/>
              <w:rPr>
                <w:rFonts w:ascii="Times New Roman" w:cs="Times New Roman"/>
                <w:color w:val="auto"/>
                <w:sz w:val="18"/>
                <w:szCs w:val="18"/>
                <w:lang w:bidi="ar"/>
              </w:rPr>
            </w:pPr>
            <w:r>
              <w:rPr>
                <w:rFonts w:hint="eastAsia" w:ascii="Times New Roman" w:cs="Times New Roman"/>
                <w:color w:val="auto"/>
                <w:sz w:val="18"/>
                <w:szCs w:val="18"/>
                <w:lang w:bidi="ar"/>
              </w:rPr>
              <w:t>锚固杆件</w:t>
            </w:r>
            <w:r>
              <w:rPr>
                <w:rFonts w:ascii="Times New Roman" w:cs="Times New Roman"/>
                <w:color w:val="auto"/>
                <w:sz w:val="18"/>
                <w:szCs w:val="18"/>
                <w:lang w:bidi="ar"/>
              </w:rPr>
              <w:t xml:space="preserve"> </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kern w:val="0"/>
                <w:sz w:val="18"/>
                <w:szCs w:val="18"/>
                <w:lang w:bidi="ar"/>
              </w:rPr>
            </w:pPr>
            <w:r>
              <w:rPr>
                <w:rFonts w:hint="eastAsia"/>
                <w:kern w:val="0"/>
                <w:sz w:val="18"/>
                <w:szCs w:val="18"/>
                <w:lang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68"/>
              <w:jc w:val="center"/>
              <w:rPr>
                <w:rFonts w:ascii="Times New Roman" w:cs="Times New Roman"/>
                <w:color w:val="auto"/>
                <w:sz w:val="18"/>
                <w:szCs w:val="18"/>
                <w:lang w:bidi="ar"/>
              </w:rPr>
            </w:pPr>
            <w:r>
              <w:rPr>
                <w:rFonts w:hint="eastAsia" w:ascii="Times New Roman" w:cs="Times New Roman"/>
                <w:color w:val="auto"/>
                <w:sz w:val="18"/>
                <w:szCs w:val="18"/>
                <w:lang w:bidi="ar"/>
              </w:rPr>
              <w:t>设备安装调试</w:t>
            </w:r>
            <w:r>
              <w:rPr>
                <w:rFonts w:ascii="Times New Roman" w:cs="Times New Roman"/>
                <w:color w:val="auto"/>
                <w:sz w:val="18"/>
                <w:szCs w:val="18"/>
                <w:lang w:bidi="ar"/>
              </w:rPr>
              <w:t xml:space="preserve"> </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kern w:val="0"/>
                <w:sz w:val="18"/>
                <w:szCs w:val="18"/>
                <w:lang w:bidi="ar"/>
              </w:rPr>
            </w:pPr>
            <w:r>
              <w:rPr>
                <w:rFonts w:hint="eastAsia"/>
                <w:sz w:val="18"/>
                <w:szCs w:val="18"/>
              </w:rPr>
              <w:t>（五）中队分指挥中心</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品牌计算机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eastAsia="Times New Roman"/>
                <w:sz w:val="18"/>
                <w:szCs w:val="18"/>
              </w:rPr>
              <w:t xml:space="preserve">i5-6400/Windows 10  </w:t>
            </w:r>
            <w:r>
              <w:rPr>
                <w:rFonts w:ascii="宋体" w:hAnsi="宋体" w:cs="宋体"/>
                <w:spacing w:val="-1"/>
                <w:sz w:val="18"/>
                <w:szCs w:val="18"/>
              </w:rPr>
              <w:t>专业版</w:t>
            </w:r>
            <w:r>
              <w:rPr>
                <w:rFonts w:eastAsia="Times New Roman"/>
                <w:spacing w:val="-1"/>
                <w:sz w:val="18"/>
                <w:szCs w:val="18"/>
              </w:rPr>
              <w:t>/8GB/500GB/2G</w:t>
            </w:r>
            <w:r>
              <w:rPr>
                <w:rFonts w:eastAsia="Times New Roman"/>
                <w:sz w:val="18"/>
                <w:szCs w:val="18"/>
              </w:rPr>
              <w:t xml:space="preserve"> </w:t>
            </w:r>
            <w:r>
              <w:rPr>
                <w:rFonts w:ascii="宋体" w:hAnsi="宋体" w:cs="宋体"/>
                <w:sz w:val="18"/>
                <w:szCs w:val="18"/>
              </w:rPr>
              <w:t>独立显卡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kern w:val="0"/>
                <w:sz w:val="18"/>
                <w:szCs w:val="18"/>
                <w:lang w:bidi="ar"/>
              </w:rPr>
              <w:t>3</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液晶显示器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eastAsia="Times New Roman"/>
                <w:sz w:val="18"/>
                <w:szCs w:val="18"/>
              </w:rPr>
              <w:t xml:space="preserve">19 </w:t>
            </w:r>
            <w:r>
              <w:rPr>
                <w:rFonts w:ascii="宋体" w:hAnsi="宋体" w:cs="宋体"/>
                <w:sz w:val="18"/>
                <w:szCs w:val="18"/>
              </w:rPr>
              <w:t>寸，与计算机同品牌</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kern w:val="0"/>
                <w:sz w:val="18"/>
                <w:szCs w:val="18"/>
                <w:lang w:bidi="ar"/>
              </w:rPr>
              <w:t>6</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操作台</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满足</w:t>
            </w:r>
            <w:r>
              <w:rPr>
                <w:rFonts w:ascii="宋体" w:hAnsi="宋体" w:cs="宋体"/>
                <w:spacing w:val="-60"/>
                <w:sz w:val="18"/>
                <w:szCs w:val="18"/>
              </w:rPr>
              <w:t xml:space="preserve"> </w:t>
            </w:r>
            <w:r>
              <w:rPr>
                <w:rFonts w:eastAsia="Times New Roman"/>
                <w:sz w:val="18"/>
                <w:szCs w:val="18"/>
              </w:rPr>
              <w:t xml:space="preserve">3 </w:t>
            </w:r>
            <w:r>
              <w:rPr>
                <w:rFonts w:ascii="宋体" w:hAnsi="宋体" w:cs="宋体"/>
                <w:sz w:val="18"/>
                <w:szCs w:val="18"/>
              </w:rPr>
              <w:t>工位办公</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交换机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至少具备</w:t>
            </w:r>
            <w:r>
              <w:rPr>
                <w:rFonts w:ascii="宋体" w:hAnsi="宋体" w:cs="宋体"/>
                <w:spacing w:val="-60"/>
                <w:sz w:val="18"/>
                <w:szCs w:val="18"/>
              </w:rPr>
              <w:t xml:space="preserve"> </w:t>
            </w:r>
            <w:r>
              <w:rPr>
                <w:rFonts w:eastAsia="Times New Roman"/>
                <w:sz w:val="18"/>
                <w:szCs w:val="18"/>
              </w:rPr>
              <w:t xml:space="preserve">24 </w:t>
            </w:r>
            <w:r>
              <w:rPr>
                <w:rFonts w:ascii="宋体" w:hAnsi="宋体" w:cs="宋体"/>
                <w:sz w:val="18"/>
                <w:szCs w:val="18"/>
              </w:rPr>
              <w:t>个千兆电口及</w:t>
            </w:r>
            <w:r>
              <w:rPr>
                <w:rFonts w:ascii="宋体" w:hAnsi="宋体" w:cs="宋体"/>
                <w:spacing w:val="-60"/>
                <w:sz w:val="18"/>
                <w:szCs w:val="18"/>
              </w:rPr>
              <w:t xml:space="preserve"> </w:t>
            </w:r>
            <w:r>
              <w:rPr>
                <w:rFonts w:eastAsia="Times New Roman"/>
                <w:sz w:val="18"/>
                <w:szCs w:val="18"/>
              </w:rPr>
              <w:t xml:space="preserve">2 </w:t>
            </w:r>
            <w:r>
              <w:rPr>
                <w:rFonts w:ascii="宋体" w:hAnsi="宋体" w:cs="宋体"/>
                <w:sz w:val="18"/>
                <w:szCs w:val="18"/>
              </w:rPr>
              <w:t>个千兆光口；</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光纤收发器</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千兆收发器</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网络键盘</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系统控制键盘，三维操纵杆，液晶屏</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59"/>
              <w:jc w:val="center"/>
              <w:rPr>
                <w:rFonts w:eastAsia="Times New Roman"/>
                <w:sz w:val="18"/>
                <w:szCs w:val="18"/>
              </w:rPr>
            </w:pPr>
            <w:r>
              <w:rPr>
                <w:sz w:val="18"/>
                <w:szCs w:val="18"/>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46"/>
              <w:ind w:left="102" w:right="275"/>
              <w:jc w:val="center"/>
              <w:rPr>
                <w:rFonts w:ascii="宋体" w:hAnsi="宋体" w:cs="宋体"/>
                <w:sz w:val="18"/>
                <w:szCs w:val="18"/>
              </w:rPr>
            </w:pPr>
            <w:r>
              <w:rPr>
                <w:rFonts w:ascii="宋体" w:hAnsi="宋体" w:cs="宋体"/>
                <w:sz w:val="18"/>
                <w:szCs w:val="18"/>
              </w:rPr>
              <w:t>视频综合平台</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before="27"/>
              <w:rPr>
                <w:rFonts w:ascii="宋体" w:hAnsi="宋体" w:cs="宋体"/>
                <w:sz w:val="18"/>
                <w:szCs w:val="18"/>
              </w:rPr>
            </w:pPr>
            <w:r>
              <w:rPr>
                <w:rFonts w:hint="eastAsia" w:ascii="宋体" w:hAnsi="宋体" w:cs="宋体"/>
                <w:sz w:val="18"/>
                <w:szCs w:val="18"/>
              </w:rPr>
              <w:t>投标产品为框架式结构，采用无源背板，机箱不小于13个板卡插槽，系统稳定可靠。</w:t>
            </w:r>
          </w:p>
          <w:p>
            <w:pPr>
              <w:spacing w:before="27"/>
              <w:ind w:left="102"/>
              <w:rPr>
                <w:rFonts w:ascii="宋体" w:hAnsi="宋体" w:cs="宋体"/>
                <w:sz w:val="18"/>
                <w:szCs w:val="18"/>
              </w:rPr>
            </w:pPr>
            <w:r>
              <w:rPr>
                <w:rFonts w:hint="eastAsia" w:ascii="宋体" w:hAnsi="宋体" w:cs="宋体"/>
                <w:sz w:val="18"/>
                <w:szCs w:val="18"/>
              </w:rPr>
              <w:t>投标产品支持在输出通道叠加图片LOGO，图片位置可调</w:t>
            </w:r>
          </w:p>
          <w:p>
            <w:pPr>
              <w:spacing w:before="27"/>
              <w:ind w:left="102"/>
              <w:rPr>
                <w:rFonts w:ascii="宋体" w:hAnsi="宋体" w:cs="宋体"/>
                <w:sz w:val="18"/>
                <w:szCs w:val="18"/>
              </w:rPr>
            </w:pPr>
            <w:r>
              <w:rPr>
                <w:rFonts w:hint="eastAsia" w:ascii="宋体" w:hAnsi="宋体" w:cs="宋体"/>
                <w:sz w:val="18"/>
                <w:szCs w:val="18"/>
              </w:rPr>
              <w:t>投标产品主控板具有4个串口，每个串口挂载8个RS485控制设备，可将IP数据发送给串口。</w:t>
            </w:r>
          </w:p>
          <w:p>
            <w:pPr>
              <w:spacing w:before="27"/>
              <w:ind w:left="102"/>
              <w:rPr>
                <w:rFonts w:ascii="宋体" w:hAnsi="宋体" w:cs="宋体"/>
                <w:sz w:val="18"/>
                <w:szCs w:val="18"/>
              </w:rPr>
            </w:pPr>
            <w:r>
              <w:rPr>
                <w:rFonts w:hint="eastAsia" w:ascii="宋体" w:hAnsi="宋体" w:cs="宋体"/>
                <w:sz w:val="18"/>
                <w:szCs w:val="18"/>
              </w:rPr>
              <w:t>投标产品支持视频输入通道参数设置功能，可对单个视频输入通道进行分辨率、帧率、码率、亮度、对比度、饱和度、色调、去噪等参数设置，图像显示模式可设定标准、室内、室外、弱光等显示模式进行设置。</w:t>
            </w:r>
          </w:p>
          <w:p>
            <w:pPr>
              <w:spacing w:before="27"/>
              <w:ind w:left="102"/>
              <w:rPr>
                <w:rFonts w:ascii="宋体" w:hAnsi="宋体" w:cs="宋体"/>
                <w:sz w:val="18"/>
                <w:szCs w:val="18"/>
              </w:rPr>
            </w:pPr>
            <w:r>
              <w:rPr>
                <w:rFonts w:hint="eastAsia" w:ascii="宋体" w:hAnsi="宋体" w:cs="宋体"/>
                <w:sz w:val="18"/>
                <w:szCs w:val="18"/>
              </w:rPr>
              <w:t>投标产品支持虚拟云台控制功能，具备虚拟云台控制按键，可调整球机和云台的运行速度和方向，并且支持多用户云台抢占、云台控制锁定功能。</w:t>
            </w:r>
          </w:p>
          <w:p>
            <w:pPr>
              <w:spacing w:before="27"/>
              <w:ind w:left="102"/>
              <w:rPr>
                <w:rFonts w:ascii="宋体" w:hAnsi="宋体" w:cs="宋体"/>
                <w:sz w:val="18"/>
                <w:szCs w:val="18"/>
              </w:rPr>
            </w:pPr>
            <w:r>
              <w:rPr>
                <w:rFonts w:hint="eastAsia" w:ascii="宋体" w:hAnsi="宋体" w:cs="宋体"/>
                <w:sz w:val="18"/>
                <w:szCs w:val="18"/>
              </w:rPr>
              <w:t>投标产品支持走廊模式显示功能。</w:t>
            </w:r>
          </w:p>
          <w:p>
            <w:pPr>
              <w:spacing w:before="27"/>
              <w:ind w:left="102"/>
              <w:rPr>
                <w:rFonts w:ascii="宋体" w:hAnsi="宋体" w:cs="宋体"/>
                <w:sz w:val="18"/>
                <w:szCs w:val="18"/>
              </w:rPr>
            </w:pPr>
            <w:r>
              <w:rPr>
                <w:rFonts w:hint="eastAsia" w:ascii="宋体" w:hAnsi="宋体" w:cs="宋体"/>
                <w:sz w:val="18"/>
                <w:szCs w:val="18"/>
              </w:rPr>
              <w:t>8路DVI输入（支持转VGA）+12路DVI输出+单主控板+单电源；整机支持解码96路1080P、192路720P或4CIF；</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97"/>
              <w:ind w:left="102"/>
              <w:jc w:val="center"/>
              <w:rPr>
                <w:rFonts w:ascii="宋体" w:hAnsi="宋体" w:cs="宋体"/>
                <w:sz w:val="18"/>
                <w:szCs w:val="18"/>
              </w:rPr>
            </w:pPr>
            <w:r>
              <w:rPr>
                <w:rFonts w:eastAsia="Times New Roman"/>
                <w:spacing w:val="-1"/>
                <w:sz w:val="18"/>
                <w:szCs w:val="18"/>
              </w:rPr>
              <w:t xml:space="preserve">LCD </w:t>
            </w:r>
            <w:r>
              <w:rPr>
                <w:rFonts w:ascii="宋体" w:hAnsi="宋体" w:cs="宋体"/>
                <w:sz w:val="18"/>
                <w:szCs w:val="18"/>
              </w:rPr>
              <w:t>显示屏</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对角线尺寸(inch)：46"</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分辨率：1920x1080（向下兼容）</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屏幕活动域：1018.08mm(H) x 572.67mm(V)</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点距：0.53mm</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背光形式：LED 直下式背光源</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色彩：：10bit(8bit+FRC)，1073.7M</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色彩饱和度：92%</w:t>
            </w:r>
          </w:p>
          <w:p>
            <w:pPr>
              <w:rPr>
                <w:rFonts w:ascii="宋体" w:hAnsi="宋体"/>
                <w:sz w:val="18"/>
                <w:szCs w:val="18"/>
              </w:rPr>
            </w:pPr>
            <w:r>
              <w:rPr>
                <w:rFonts w:ascii="宋体" w:hAnsi="宋体"/>
                <w:sz w:val="18"/>
                <w:szCs w:val="18"/>
              </w:rPr>
              <w:t>8)</w:t>
            </w:r>
            <w:r>
              <w:rPr>
                <w:rFonts w:ascii="宋体" w:hAnsi="宋体"/>
                <w:sz w:val="18"/>
                <w:szCs w:val="18"/>
              </w:rPr>
              <w:tab/>
            </w:r>
            <w:r>
              <w:rPr>
                <w:rFonts w:ascii="宋体" w:hAnsi="宋体"/>
                <w:sz w:val="18"/>
                <w:szCs w:val="18"/>
              </w:rPr>
              <w:t>对比度：≥4000:1</w:t>
            </w:r>
          </w:p>
          <w:p>
            <w:pPr>
              <w:rPr>
                <w:rFonts w:ascii="宋体" w:hAnsi="宋体"/>
                <w:sz w:val="18"/>
                <w:szCs w:val="18"/>
              </w:rPr>
            </w:pPr>
            <w:r>
              <w:rPr>
                <w:rFonts w:ascii="宋体" w:hAnsi="宋体"/>
                <w:sz w:val="18"/>
                <w:szCs w:val="18"/>
              </w:rPr>
              <w:t>9)</w:t>
            </w:r>
            <w:r>
              <w:rPr>
                <w:rFonts w:ascii="宋体" w:hAnsi="宋体"/>
                <w:sz w:val="18"/>
                <w:szCs w:val="18"/>
              </w:rPr>
              <w:tab/>
            </w:r>
            <w:r>
              <w:rPr>
                <w:rFonts w:ascii="宋体" w:hAnsi="宋体"/>
                <w:sz w:val="18"/>
                <w:szCs w:val="18"/>
              </w:rPr>
              <w:t>亮度：≥700 cd/m2</w:t>
            </w:r>
          </w:p>
          <w:p>
            <w:pPr>
              <w:rPr>
                <w:rFonts w:ascii="宋体" w:hAnsi="宋体"/>
                <w:sz w:val="18"/>
                <w:szCs w:val="18"/>
              </w:rPr>
            </w:pPr>
            <w:r>
              <w:rPr>
                <w:rFonts w:ascii="宋体" w:hAnsi="宋体"/>
                <w:sz w:val="18"/>
                <w:szCs w:val="18"/>
              </w:rPr>
              <w:t>10) 视角：178°(水平)/ 178°(垂直)</w:t>
            </w:r>
          </w:p>
          <w:p>
            <w:pPr>
              <w:rPr>
                <w:rFonts w:ascii="宋体" w:hAnsi="宋体"/>
                <w:sz w:val="18"/>
                <w:szCs w:val="18"/>
              </w:rPr>
            </w:pPr>
            <w:r>
              <w:rPr>
                <w:rFonts w:ascii="宋体" w:hAnsi="宋体"/>
                <w:sz w:val="18"/>
                <w:szCs w:val="18"/>
              </w:rPr>
              <w:t>11) 响应时间(平均) ：6.5ms(G to G)</w:t>
            </w:r>
          </w:p>
          <w:p>
            <w:pPr>
              <w:rPr>
                <w:rFonts w:ascii="宋体" w:hAnsi="宋体"/>
                <w:sz w:val="18"/>
                <w:szCs w:val="18"/>
              </w:rPr>
            </w:pPr>
            <w:r>
              <w:rPr>
                <w:rFonts w:ascii="宋体" w:hAnsi="宋体"/>
                <w:sz w:val="18"/>
                <w:szCs w:val="18"/>
              </w:rPr>
              <w:t>12) 输入接口：VGA×1，DVI×1，BNC×1，YPbPr×1,USB×1</w:t>
            </w:r>
          </w:p>
          <w:p>
            <w:pPr>
              <w:rPr>
                <w:rFonts w:ascii="宋体" w:hAnsi="宋体"/>
                <w:sz w:val="18"/>
                <w:szCs w:val="18"/>
              </w:rPr>
            </w:pPr>
            <w:r>
              <w:rPr>
                <w:rFonts w:ascii="宋体" w:hAnsi="宋体"/>
                <w:sz w:val="18"/>
                <w:szCs w:val="18"/>
              </w:rPr>
              <w:t>13) 控制接口：RJ45 for RS-232（输入×1，输出×1）</w:t>
            </w:r>
          </w:p>
          <w:p>
            <w:pPr>
              <w:rPr>
                <w:rFonts w:ascii="宋体" w:hAnsi="宋体"/>
                <w:sz w:val="18"/>
                <w:szCs w:val="18"/>
              </w:rPr>
            </w:pPr>
            <w:r>
              <w:rPr>
                <w:rFonts w:ascii="宋体" w:hAnsi="宋体"/>
                <w:sz w:val="18"/>
                <w:szCs w:val="18"/>
              </w:rPr>
              <w:t>14) 输入电压：AC 100-240V～, 50/60HZ</w:t>
            </w:r>
          </w:p>
          <w:p>
            <w:pPr>
              <w:rPr>
                <w:rFonts w:ascii="宋体" w:hAnsi="宋体"/>
                <w:sz w:val="18"/>
                <w:szCs w:val="18"/>
              </w:rPr>
            </w:pPr>
            <w:r>
              <w:rPr>
                <w:rFonts w:ascii="宋体" w:hAnsi="宋体"/>
                <w:sz w:val="18"/>
                <w:szCs w:val="18"/>
              </w:rPr>
              <w:t>15) 功耗：≤139W</w:t>
            </w:r>
          </w:p>
          <w:p>
            <w:pPr>
              <w:rPr>
                <w:rFonts w:ascii="宋体" w:hAnsi="宋体"/>
                <w:sz w:val="18"/>
                <w:szCs w:val="18"/>
              </w:rPr>
            </w:pPr>
            <w:r>
              <w:rPr>
                <w:rFonts w:ascii="宋体" w:hAnsi="宋体"/>
                <w:sz w:val="18"/>
                <w:szCs w:val="18"/>
              </w:rPr>
              <w:t>16) 待机功耗：≤1W</w:t>
            </w:r>
          </w:p>
          <w:p>
            <w:pPr>
              <w:rPr>
                <w:rFonts w:ascii="宋体" w:hAnsi="宋体"/>
                <w:sz w:val="18"/>
                <w:szCs w:val="18"/>
              </w:rPr>
            </w:pPr>
            <w:r>
              <w:rPr>
                <w:rFonts w:ascii="宋体" w:hAnsi="宋体"/>
                <w:sz w:val="18"/>
                <w:szCs w:val="18"/>
              </w:rPr>
              <w:t>17) 工作温度：0℃--50℃</w:t>
            </w:r>
          </w:p>
          <w:p>
            <w:pPr>
              <w:rPr>
                <w:rFonts w:ascii="宋体" w:hAnsi="宋体"/>
                <w:sz w:val="18"/>
                <w:szCs w:val="18"/>
              </w:rPr>
            </w:pPr>
            <w:r>
              <w:rPr>
                <w:rFonts w:ascii="宋体" w:hAnsi="宋体"/>
                <w:sz w:val="18"/>
                <w:szCs w:val="18"/>
              </w:rPr>
              <w:t>18) 工作湿度：10%--90%</w:t>
            </w:r>
          </w:p>
          <w:p>
            <w:pPr>
              <w:rPr>
                <w:rFonts w:ascii="宋体" w:hAnsi="宋体"/>
                <w:sz w:val="18"/>
                <w:szCs w:val="18"/>
              </w:rPr>
            </w:pPr>
            <w:r>
              <w:rPr>
                <w:rFonts w:ascii="宋体" w:hAnsi="宋体"/>
                <w:sz w:val="18"/>
                <w:szCs w:val="18"/>
              </w:rPr>
              <w:t>19) 寿命：≥60000 小时</w:t>
            </w:r>
          </w:p>
          <w:p>
            <w:pPr>
              <w:rPr>
                <w:rFonts w:ascii="宋体" w:hAnsi="宋体"/>
                <w:sz w:val="18"/>
                <w:szCs w:val="18"/>
              </w:rPr>
            </w:pPr>
            <w:r>
              <w:rPr>
                <w:rFonts w:ascii="宋体" w:hAnsi="宋体"/>
                <w:sz w:val="18"/>
                <w:szCs w:val="18"/>
              </w:rPr>
              <w:t>20) 物理拼接：≤5.4mm</w:t>
            </w:r>
          </w:p>
          <w:p>
            <w:pPr>
              <w:rPr>
                <w:rFonts w:ascii="宋体" w:hAnsi="宋体"/>
                <w:sz w:val="18"/>
                <w:szCs w:val="18"/>
              </w:rPr>
            </w:pPr>
            <w:r>
              <w:rPr>
                <w:rFonts w:ascii="宋体" w:hAnsi="宋体"/>
                <w:sz w:val="18"/>
                <w:szCs w:val="18"/>
              </w:rPr>
              <w:t>21) 边框宽度：3.4mm（左/上）, 2.0mm（右/下）</w:t>
            </w:r>
          </w:p>
          <w:p>
            <w:pPr>
              <w:rPr>
                <w:rFonts w:ascii="宋体" w:hAnsi="宋体"/>
                <w:sz w:val="18"/>
                <w:szCs w:val="18"/>
              </w:rPr>
            </w:pPr>
            <w:r>
              <w:rPr>
                <w:rFonts w:ascii="宋体" w:hAnsi="宋体"/>
                <w:sz w:val="18"/>
                <w:szCs w:val="18"/>
              </w:rPr>
              <w:t>22) 外形尺寸：1023.7mm(W) x 578.3mm(H)  x 113.5 mm(D)</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9</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64"/>
              <w:jc w:val="center"/>
              <w:rPr>
                <w:rFonts w:eastAsia="Times New Roman"/>
                <w:sz w:val="18"/>
                <w:szCs w:val="18"/>
              </w:rPr>
            </w:pPr>
            <w:r>
              <w:rPr>
                <w:sz w:val="18"/>
                <w:szCs w:val="18"/>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35"/>
              <w:ind w:left="102"/>
              <w:jc w:val="center"/>
              <w:rPr>
                <w:rFonts w:ascii="宋体" w:hAnsi="宋体" w:cs="宋体"/>
                <w:sz w:val="18"/>
                <w:szCs w:val="18"/>
              </w:rPr>
            </w:pPr>
            <w:r>
              <w:rPr>
                <w:rFonts w:ascii="宋体" w:hAnsi="宋体" w:cs="宋体"/>
                <w:sz w:val="18"/>
                <w:szCs w:val="18"/>
              </w:rPr>
              <w:t>LED显示屏</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基色数：双基色</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像素点：φ3.75，1R1G</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像素中心距：4.75mm</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像素解析度：44321 点/平方米</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单元板规格：64 点*32 点，306mm*153mm</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封装形式：8*8 模块</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驱动器件：表面贴装</w:t>
            </w:r>
          </w:p>
          <w:p>
            <w:pPr>
              <w:rPr>
                <w:rFonts w:ascii="宋体" w:hAnsi="宋体"/>
                <w:sz w:val="18"/>
                <w:szCs w:val="18"/>
              </w:rPr>
            </w:pPr>
            <w:r>
              <w:rPr>
                <w:rFonts w:ascii="宋体" w:hAnsi="宋体"/>
                <w:sz w:val="18"/>
                <w:szCs w:val="18"/>
              </w:rPr>
              <w:t>8)</w:t>
            </w:r>
            <w:r>
              <w:rPr>
                <w:rFonts w:ascii="宋体" w:hAnsi="宋体"/>
                <w:sz w:val="18"/>
                <w:szCs w:val="18"/>
              </w:rPr>
              <w:tab/>
            </w:r>
            <w:r>
              <w:rPr>
                <w:rFonts w:ascii="宋体" w:hAnsi="宋体"/>
                <w:sz w:val="18"/>
                <w:szCs w:val="18"/>
              </w:rPr>
              <w:t>灰度级别：256 级</w:t>
            </w:r>
          </w:p>
          <w:p>
            <w:pPr>
              <w:rPr>
                <w:rFonts w:ascii="宋体" w:hAnsi="宋体"/>
                <w:sz w:val="18"/>
                <w:szCs w:val="18"/>
              </w:rPr>
            </w:pPr>
            <w:r>
              <w:rPr>
                <w:rFonts w:ascii="宋体" w:hAnsi="宋体"/>
                <w:sz w:val="18"/>
                <w:szCs w:val="18"/>
              </w:rPr>
              <w:t>9)</w:t>
            </w:r>
            <w:r>
              <w:rPr>
                <w:rFonts w:ascii="宋体" w:hAnsi="宋体"/>
                <w:sz w:val="18"/>
                <w:szCs w:val="18"/>
              </w:rPr>
              <w:tab/>
            </w:r>
            <w:r>
              <w:rPr>
                <w:rFonts w:ascii="宋体" w:hAnsi="宋体"/>
                <w:sz w:val="18"/>
                <w:szCs w:val="18"/>
              </w:rPr>
              <w:t>显示颜色：红色、绿色</w:t>
            </w:r>
          </w:p>
          <w:p>
            <w:pPr>
              <w:rPr>
                <w:rFonts w:ascii="宋体" w:hAnsi="宋体"/>
                <w:sz w:val="18"/>
                <w:szCs w:val="18"/>
              </w:rPr>
            </w:pPr>
            <w:r>
              <w:rPr>
                <w:rFonts w:ascii="宋体" w:hAnsi="宋体"/>
                <w:sz w:val="18"/>
                <w:szCs w:val="18"/>
              </w:rPr>
              <w:t>10) 最佳可视距离：3 米-50 米</w:t>
            </w:r>
          </w:p>
          <w:p>
            <w:pPr>
              <w:rPr>
                <w:rFonts w:ascii="宋体" w:hAnsi="宋体"/>
                <w:sz w:val="18"/>
                <w:szCs w:val="18"/>
              </w:rPr>
            </w:pPr>
            <w:r>
              <w:rPr>
                <w:rFonts w:ascii="宋体" w:hAnsi="宋体"/>
                <w:sz w:val="18"/>
                <w:szCs w:val="18"/>
              </w:rPr>
              <w:t>11) 水平视角：160 度</w:t>
            </w:r>
          </w:p>
          <w:p>
            <w:pPr>
              <w:rPr>
                <w:rFonts w:ascii="宋体" w:hAnsi="宋体"/>
                <w:sz w:val="18"/>
                <w:szCs w:val="18"/>
              </w:rPr>
            </w:pPr>
            <w:r>
              <w:rPr>
                <w:rFonts w:ascii="宋体" w:hAnsi="宋体"/>
                <w:sz w:val="18"/>
                <w:szCs w:val="18"/>
              </w:rPr>
              <w:t>12) 最大功耗：700 瓦/平方米</w:t>
            </w:r>
          </w:p>
          <w:p>
            <w:pPr>
              <w:rPr>
                <w:rFonts w:ascii="宋体" w:hAnsi="宋体"/>
                <w:sz w:val="18"/>
                <w:szCs w:val="18"/>
              </w:rPr>
            </w:pPr>
            <w:r>
              <w:rPr>
                <w:rFonts w:ascii="宋体" w:hAnsi="宋体"/>
                <w:sz w:val="18"/>
                <w:szCs w:val="18"/>
              </w:rPr>
              <w:t>13) 屏体重量：20 千克/平方米</w:t>
            </w:r>
          </w:p>
          <w:p>
            <w:pPr>
              <w:rPr>
                <w:rFonts w:ascii="宋体" w:hAnsi="宋体"/>
                <w:sz w:val="18"/>
                <w:szCs w:val="18"/>
              </w:rPr>
            </w:pPr>
            <w:r>
              <w:rPr>
                <w:rFonts w:ascii="宋体" w:hAnsi="宋体"/>
                <w:sz w:val="18"/>
                <w:szCs w:val="18"/>
              </w:rPr>
              <w:t>14) 屏体厚度：100mm</w:t>
            </w:r>
          </w:p>
          <w:p>
            <w:pPr>
              <w:rPr>
                <w:rFonts w:ascii="宋体" w:hAnsi="宋体"/>
                <w:sz w:val="18"/>
                <w:szCs w:val="18"/>
              </w:rPr>
            </w:pPr>
            <w:r>
              <w:rPr>
                <w:rFonts w:ascii="宋体" w:hAnsi="宋体"/>
                <w:sz w:val="18"/>
                <w:szCs w:val="18"/>
              </w:rPr>
              <w:t>15) 屏体亮度：600CD/平方米</w:t>
            </w:r>
          </w:p>
          <w:p>
            <w:pPr>
              <w:rPr>
                <w:rFonts w:ascii="宋体" w:hAnsi="宋体"/>
                <w:sz w:val="18"/>
                <w:szCs w:val="18"/>
              </w:rPr>
            </w:pPr>
            <w:r>
              <w:rPr>
                <w:rFonts w:ascii="宋体" w:hAnsi="宋体"/>
                <w:sz w:val="18"/>
                <w:szCs w:val="18"/>
              </w:rPr>
              <w:t>16) 使用寿命：10 万小时</w:t>
            </w:r>
          </w:p>
          <w:p>
            <w:pPr>
              <w:rPr>
                <w:rFonts w:ascii="宋体" w:hAnsi="宋体"/>
                <w:sz w:val="18"/>
                <w:szCs w:val="18"/>
              </w:rPr>
            </w:pPr>
            <w:r>
              <w:rPr>
                <w:rFonts w:ascii="宋体" w:hAnsi="宋体"/>
                <w:sz w:val="18"/>
                <w:szCs w:val="18"/>
              </w:rPr>
              <w:t>17) 文字显示效果：单字最小为 16*16，显示清晰</w:t>
            </w:r>
          </w:p>
          <w:p>
            <w:pPr>
              <w:rPr>
                <w:rFonts w:ascii="宋体" w:hAnsi="宋体"/>
                <w:sz w:val="18"/>
                <w:szCs w:val="18"/>
              </w:rPr>
            </w:pPr>
            <w:r>
              <w:rPr>
                <w:rFonts w:ascii="宋体" w:hAnsi="宋体"/>
                <w:sz w:val="18"/>
                <w:szCs w:val="18"/>
              </w:rPr>
              <w:t>18) 单字最小尺寸：中文：76mm*76mm；英文：38mm*38mm</w:t>
            </w:r>
          </w:p>
          <w:p>
            <w:pPr>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）控制方式：异步/同步控制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支架</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优质钢材</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9</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40"/>
              <w:ind w:left="102" w:right="270"/>
              <w:jc w:val="center"/>
              <w:rPr>
                <w:rFonts w:ascii="宋体" w:hAnsi="宋体" w:cs="宋体"/>
                <w:sz w:val="18"/>
                <w:szCs w:val="18"/>
              </w:rPr>
            </w:pPr>
            <w:r>
              <w:rPr>
                <w:rFonts w:eastAsia="Times New Roman"/>
                <w:sz w:val="18"/>
                <w:szCs w:val="18"/>
              </w:rPr>
              <w:t>DVI</w:t>
            </w:r>
            <w:r>
              <w:rPr>
                <w:rFonts w:eastAsia="Times New Roman"/>
                <w:spacing w:val="-3"/>
                <w:sz w:val="18"/>
                <w:szCs w:val="18"/>
              </w:rPr>
              <w:t xml:space="preserve"> </w:t>
            </w:r>
            <w:r>
              <w:rPr>
                <w:rFonts w:ascii="宋体" w:hAnsi="宋体" w:cs="宋体"/>
                <w:sz w:val="18"/>
                <w:szCs w:val="18"/>
              </w:rPr>
              <w:t>与大屏拼接专用线 缆线缆</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符合相关标准要求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9</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80"/>
              <w:jc w:val="center"/>
              <w:rPr>
                <w:rFonts w:eastAsia="Times New Roman"/>
                <w:sz w:val="18"/>
                <w:szCs w:val="18"/>
              </w:rPr>
            </w:pPr>
            <w:r>
              <w:rPr>
                <w:sz w:val="18"/>
                <w:szCs w:val="18"/>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机柜</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规格符合 19 英寸安装规范，容量不少于 42U</w:t>
            </w:r>
            <w:r>
              <w:rPr>
                <w:rFonts w:hint="eastAsia" w:ascii="宋体" w:hAnsi="宋体"/>
                <w:sz w:val="18"/>
                <w:szCs w:val="18"/>
              </w:rPr>
              <w:t>；</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网络机柜规格（宽×深）：600×800mm</w:t>
            </w:r>
            <w:r>
              <w:rPr>
                <w:rFonts w:hint="eastAsia" w:ascii="宋体" w:hAnsi="宋体"/>
                <w:sz w:val="18"/>
                <w:szCs w:val="18"/>
              </w:rPr>
              <w:t>；</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门板通孔率：不小于 75%通孔率，满足服务器高 热密度的散热需求；</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材料与喷涂：钢结构框架；高级镀锌钢板；柜体 表面采用粉末喷涂处理；</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前门单开门，后门双开门；</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静态负载：</w:t>
            </w:r>
            <w:r>
              <w:rPr>
                <w:rFonts w:hint="eastAsia" w:ascii="宋体" w:hAnsi="宋体" w:cs="宋体"/>
                <w:sz w:val="18"/>
                <w:szCs w:val="18"/>
              </w:rPr>
              <w:t>≧</w:t>
            </w:r>
            <w:r>
              <w:rPr>
                <w:rFonts w:ascii="宋体" w:hAnsi="宋体"/>
                <w:sz w:val="18"/>
                <w:szCs w:val="18"/>
              </w:rPr>
              <w:t>1300 公斤。动态承重：</w:t>
            </w:r>
            <w:r>
              <w:rPr>
                <w:rFonts w:hint="eastAsia" w:ascii="宋体" w:hAnsi="宋体" w:cs="宋体"/>
                <w:sz w:val="18"/>
                <w:szCs w:val="18"/>
              </w:rPr>
              <w:t>≧</w:t>
            </w:r>
            <w:r>
              <w:rPr>
                <w:rFonts w:ascii="宋体" w:hAnsi="宋体"/>
                <w:sz w:val="18"/>
                <w:szCs w:val="18"/>
              </w:rPr>
              <w:t>1000kg；</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柜内走线：柜内垂直走线，强弱电分开走线，线 槽布置于机柜后部；</w:t>
            </w:r>
          </w:p>
          <w:p>
            <w:pPr>
              <w:rPr>
                <w:rFonts w:ascii="宋体" w:hAnsi="宋体"/>
                <w:sz w:val="18"/>
                <w:szCs w:val="18"/>
              </w:rPr>
            </w:pPr>
            <w:r>
              <w:rPr>
                <w:rFonts w:ascii="宋体" w:hAnsi="宋体"/>
                <w:sz w:val="18"/>
                <w:szCs w:val="18"/>
              </w:rPr>
              <w:t>8)</w:t>
            </w:r>
            <w:r>
              <w:rPr>
                <w:rFonts w:ascii="宋体" w:hAnsi="宋体"/>
                <w:sz w:val="18"/>
                <w:szCs w:val="18"/>
              </w:rPr>
              <w:tab/>
            </w:r>
            <w:r>
              <w:rPr>
                <w:rFonts w:ascii="宋体" w:hAnsi="宋体"/>
                <w:sz w:val="18"/>
                <w:szCs w:val="18"/>
              </w:rPr>
              <w:t>柜外走线：同时支持上下双向走线；</w:t>
            </w:r>
          </w:p>
          <w:p>
            <w:r>
              <w:rPr>
                <w:rFonts w:ascii="宋体" w:hAnsi="宋体"/>
                <w:sz w:val="18"/>
                <w:szCs w:val="18"/>
              </w:rPr>
              <w:t>9)</w:t>
            </w:r>
            <w:r>
              <w:rPr>
                <w:rFonts w:ascii="宋体" w:hAnsi="宋体"/>
                <w:sz w:val="18"/>
                <w:szCs w:val="18"/>
              </w:rPr>
              <w:tab/>
            </w:r>
            <w:r>
              <w:rPr>
                <w:rFonts w:ascii="宋体" w:hAnsi="宋体"/>
                <w:sz w:val="18"/>
                <w:szCs w:val="18"/>
              </w:rPr>
              <w:t>PDU 要求：1 个 6 口 PDU。</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高清摄像头</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最高分辨率可达 1920×1080 @ 30 fps，并可在此分 辨率下输出 30fps 实时图像</w:t>
            </w:r>
            <w:r>
              <w:rPr>
                <w:rFonts w:hint="eastAsia" w:ascii="宋体" w:hAnsi="宋体"/>
                <w:sz w:val="18"/>
                <w:szCs w:val="18"/>
              </w:rPr>
              <w:t>；</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采用 Sony 高性能逐行扫描 CCD,捕捉运动图像无 锯齿</w:t>
            </w:r>
            <w:r>
              <w:rPr>
                <w:rFonts w:hint="eastAsia" w:ascii="宋体" w:hAnsi="宋体"/>
                <w:sz w:val="18"/>
                <w:szCs w:val="18"/>
              </w:rPr>
              <w:t>；</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支持 3D 数字降噪,背光补偿</w:t>
            </w:r>
            <w:r>
              <w:rPr>
                <w:rFonts w:hint="eastAsia" w:ascii="宋体" w:hAnsi="宋体"/>
                <w:sz w:val="18"/>
                <w:szCs w:val="18"/>
              </w:rPr>
              <w:t>；</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ICR 红外滤片式自动切换,实现真正的日夜监控</w:t>
            </w:r>
            <w:r>
              <w:rPr>
                <w:rFonts w:hint="eastAsia" w:ascii="宋体" w:hAnsi="宋体"/>
                <w:sz w:val="18"/>
                <w:szCs w:val="18"/>
              </w:rPr>
              <w:t>；</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支持自动光圈,自动电子快门功能,适应不同监控 环境</w:t>
            </w:r>
            <w:r>
              <w:rPr>
                <w:rFonts w:hint="eastAsia" w:ascii="宋体" w:hAnsi="宋体"/>
                <w:sz w:val="18"/>
                <w:szCs w:val="18"/>
              </w:rPr>
              <w:t>；</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采用先进的电路设计,具有高画质、低噪声等特性</w:t>
            </w:r>
            <w:r>
              <w:rPr>
                <w:rFonts w:hint="eastAsia" w:ascii="宋体" w:hAnsi="宋体"/>
                <w:sz w:val="18"/>
                <w:szCs w:val="18"/>
              </w:rPr>
              <w:t>；</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采用 SDI 接口高清数字输出，图像传输高保真、 低延时</w:t>
            </w:r>
            <w:r>
              <w:rPr>
                <w:rFonts w:hint="eastAsia" w:ascii="宋体" w:hAnsi="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3</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硬盘录像机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HDMI 与 VGA 输出分辨率最高均可达1920x1080p；</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支持 HDMI、VGA、CVBS 同时输出；</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支持 SDI 高清数字摄像机，所有通道可支持 1080p实时编码；</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支持预览图像与回放图像的电子放大；</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支持计划抓图、手动抓图、报警抓图以及图片的 回放、备份；</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支持冗余录像、抓图设置；</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支持多画面分割下不同通道并行预览与回放；</w:t>
            </w:r>
          </w:p>
          <w:p>
            <w:pPr>
              <w:rPr>
                <w:rFonts w:ascii="宋体" w:hAnsi="宋体"/>
                <w:sz w:val="18"/>
                <w:szCs w:val="18"/>
              </w:rPr>
            </w:pPr>
            <w:r>
              <w:rPr>
                <w:rFonts w:ascii="宋体" w:hAnsi="宋体"/>
                <w:sz w:val="18"/>
                <w:szCs w:val="18"/>
              </w:rPr>
              <w:t>8)</w:t>
            </w:r>
            <w:r>
              <w:rPr>
                <w:rFonts w:ascii="宋体" w:hAnsi="宋体"/>
                <w:sz w:val="18"/>
                <w:szCs w:val="18"/>
              </w:rPr>
              <w:tab/>
            </w:r>
            <w:r>
              <w:rPr>
                <w:rFonts w:ascii="宋体" w:hAnsi="宋体"/>
                <w:sz w:val="18"/>
                <w:szCs w:val="18"/>
              </w:rPr>
              <w:t>支持 4 路/8 路 1080p 录像实时同步回放；</w:t>
            </w:r>
          </w:p>
          <w:p>
            <w:pPr>
              <w:rPr>
                <w:rFonts w:ascii="宋体" w:hAnsi="宋体"/>
                <w:sz w:val="18"/>
                <w:szCs w:val="18"/>
              </w:rPr>
            </w:pPr>
            <w:r>
              <w:rPr>
                <w:rFonts w:ascii="宋体" w:hAnsi="宋体"/>
                <w:sz w:val="18"/>
                <w:szCs w:val="18"/>
              </w:rPr>
              <w:t>9)</w:t>
            </w:r>
            <w:r>
              <w:rPr>
                <w:rFonts w:ascii="宋体" w:hAnsi="宋体"/>
                <w:sz w:val="18"/>
                <w:szCs w:val="18"/>
              </w:rPr>
              <w:tab/>
            </w:r>
            <w:r>
              <w:rPr>
                <w:rFonts w:ascii="宋体" w:hAnsi="宋体"/>
                <w:sz w:val="18"/>
                <w:szCs w:val="18"/>
              </w:rPr>
              <w:t>支持标签定义、查询、回放录像文件；</w:t>
            </w:r>
          </w:p>
          <w:p>
            <w:pPr>
              <w:rPr>
                <w:rFonts w:ascii="宋体" w:hAnsi="宋体"/>
                <w:sz w:val="18"/>
                <w:szCs w:val="18"/>
              </w:rPr>
            </w:pPr>
            <w:r>
              <w:rPr>
                <w:rFonts w:ascii="宋体" w:hAnsi="宋体"/>
                <w:sz w:val="18"/>
                <w:szCs w:val="18"/>
              </w:rPr>
              <w:t>10) 支持回放时对录像场景的自定义区域进行智能搜索；</w:t>
            </w:r>
          </w:p>
          <w:p>
            <w:pPr>
              <w:rPr>
                <w:rFonts w:ascii="宋体" w:hAnsi="宋体"/>
                <w:sz w:val="18"/>
                <w:szCs w:val="18"/>
              </w:rPr>
            </w:pPr>
            <w:r>
              <w:rPr>
                <w:rFonts w:ascii="宋体" w:hAnsi="宋体"/>
                <w:sz w:val="18"/>
                <w:szCs w:val="18"/>
              </w:rPr>
              <w:t>11) 支持录像文件倒放功能；</w:t>
            </w:r>
          </w:p>
          <w:p>
            <w:pPr>
              <w:rPr>
                <w:rFonts w:ascii="宋体" w:hAnsi="宋体"/>
                <w:sz w:val="18"/>
                <w:szCs w:val="18"/>
              </w:rPr>
            </w:pPr>
            <w:r>
              <w:rPr>
                <w:rFonts w:ascii="宋体" w:hAnsi="宋体"/>
                <w:sz w:val="18"/>
                <w:szCs w:val="18"/>
              </w:rPr>
              <w:t>12) 支持按事件查询、回放、备份录像文件；</w:t>
            </w:r>
          </w:p>
          <w:p>
            <w:pPr>
              <w:rPr>
                <w:rFonts w:ascii="宋体" w:hAnsi="宋体"/>
                <w:sz w:val="18"/>
                <w:szCs w:val="18"/>
              </w:rPr>
            </w:pPr>
            <w:r>
              <w:rPr>
                <w:rFonts w:ascii="宋体" w:hAnsi="宋体"/>
                <w:sz w:val="18"/>
                <w:szCs w:val="18"/>
              </w:rPr>
              <w:t>13) 支持重要录像文件保护功能；</w:t>
            </w:r>
          </w:p>
          <w:p>
            <w:pPr>
              <w:rPr>
                <w:rFonts w:ascii="宋体" w:hAnsi="宋体"/>
                <w:sz w:val="18"/>
                <w:szCs w:val="18"/>
              </w:rPr>
            </w:pPr>
            <w:r>
              <w:rPr>
                <w:rFonts w:ascii="宋体" w:hAnsi="宋体"/>
                <w:sz w:val="18"/>
                <w:szCs w:val="18"/>
              </w:rPr>
              <w:t>14) 支持硬盘配额管理和硬盘盘组管理</w:t>
            </w:r>
            <w:r>
              <w:rPr>
                <w:rFonts w:hint="eastAsia" w:ascii="宋体" w:hAnsi="宋体"/>
                <w:sz w:val="18"/>
                <w:szCs w:val="18"/>
              </w:rPr>
              <w:t>；</w:t>
            </w:r>
          </w:p>
          <w:p>
            <w:pPr>
              <w:rPr>
                <w:rFonts w:ascii="宋体" w:hAnsi="宋体"/>
                <w:sz w:val="18"/>
                <w:szCs w:val="18"/>
              </w:rPr>
            </w:pPr>
            <w:r>
              <w:rPr>
                <w:rFonts w:ascii="宋体" w:hAnsi="宋体"/>
                <w:sz w:val="18"/>
                <w:szCs w:val="18"/>
              </w:rPr>
              <w:t>15) 支持 eSATA 盘库，可用于录像和备份</w:t>
            </w:r>
            <w:r>
              <w:rPr>
                <w:rFonts w:hint="eastAsia" w:ascii="宋体" w:hAnsi="宋体"/>
                <w:sz w:val="18"/>
                <w:szCs w:val="18"/>
              </w:rPr>
              <w:t>；</w:t>
            </w:r>
          </w:p>
          <w:p>
            <w:pPr>
              <w:rPr>
                <w:rFonts w:ascii="宋体" w:hAnsi="宋体"/>
                <w:sz w:val="18"/>
                <w:szCs w:val="18"/>
              </w:rPr>
            </w:pPr>
            <w:r>
              <w:rPr>
                <w:rFonts w:ascii="宋体" w:hAnsi="宋体"/>
                <w:sz w:val="18"/>
                <w:szCs w:val="18"/>
              </w:rPr>
              <w:t>16) 双千兆网卡，可支持网络容错、负载均衡以及双 网络 IP 设定等应用；</w:t>
            </w:r>
          </w:p>
          <w:p>
            <w:pPr>
              <w:rPr>
                <w:rFonts w:ascii="宋体" w:hAnsi="宋体"/>
                <w:sz w:val="18"/>
                <w:szCs w:val="18"/>
              </w:rPr>
            </w:pPr>
            <w:r>
              <w:rPr>
                <w:rFonts w:ascii="宋体" w:hAnsi="宋体"/>
                <w:sz w:val="18"/>
                <w:szCs w:val="18"/>
              </w:rPr>
              <w:t>17) 支持网络检测功能；</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94"/>
              <w:jc w:val="center"/>
              <w:rPr>
                <w:rFonts w:eastAsia="Times New Roman"/>
                <w:sz w:val="18"/>
                <w:szCs w:val="18"/>
              </w:rPr>
            </w:pPr>
            <w:r>
              <w:rPr>
                <w:sz w:val="18"/>
                <w:szCs w:val="18"/>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40"/>
              <w:ind w:left="102"/>
              <w:jc w:val="center"/>
              <w:rPr>
                <w:rFonts w:ascii="宋体" w:hAnsi="宋体" w:cs="宋体"/>
                <w:sz w:val="18"/>
                <w:szCs w:val="18"/>
              </w:rPr>
            </w:pPr>
            <w:r>
              <w:rPr>
                <w:rFonts w:eastAsia="Times New Roman"/>
                <w:sz w:val="18"/>
                <w:szCs w:val="18"/>
              </w:rPr>
              <w:t>UPS</w:t>
            </w:r>
            <w:r>
              <w:rPr>
                <w:rFonts w:eastAsia="Times New Roman"/>
                <w:spacing w:val="1"/>
                <w:sz w:val="18"/>
                <w:szCs w:val="18"/>
              </w:rPr>
              <w:t xml:space="preserve"> </w:t>
            </w:r>
            <w:r>
              <w:rPr>
                <w:rFonts w:ascii="宋体" w:hAnsi="宋体" w:cs="宋体"/>
                <w:sz w:val="18"/>
                <w:szCs w:val="18"/>
              </w:rPr>
              <w:t>电源</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hint="eastAsia" w:ascii="宋体" w:hAnsi="宋体"/>
                <w:sz w:val="18"/>
                <w:szCs w:val="18"/>
              </w:rPr>
              <w:t>1</w:t>
            </w:r>
            <w:r>
              <w:rPr>
                <w:rFonts w:ascii="宋体" w:hAnsi="宋体"/>
                <w:sz w:val="18"/>
                <w:szCs w:val="18"/>
              </w:rPr>
              <w:t>额定容量 10KVA</w:t>
            </w:r>
            <w:r>
              <w:rPr>
                <w:rFonts w:hint="eastAsia" w:ascii="宋体" w:hAnsi="宋体"/>
                <w:sz w:val="18"/>
                <w:szCs w:val="18"/>
              </w:rPr>
              <w:t>；</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额定功率 8000W</w:t>
            </w:r>
            <w:r>
              <w:rPr>
                <w:rFonts w:hint="eastAsia" w:ascii="宋体" w:hAnsi="宋体"/>
                <w:sz w:val="18"/>
                <w:szCs w:val="18"/>
              </w:rPr>
              <w:t>；</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额定电压 220V</w:t>
            </w:r>
            <w:r>
              <w:rPr>
                <w:rFonts w:hint="eastAsia" w:ascii="宋体" w:hAnsi="宋体"/>
                <w:sz w:val="18"/>
                <w:szCs w:val="18"/>
              </w:rPr>
              <w:t>；</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额定频率 50Hz</w:t>
            </w:r>
            <w:r>
              <w:rPr>
                <w:rFonts w:hint="eastAsia" w:ascii="宋体" w:hAnsi="宋体"/>
                <w:sz w:val="18"/>
                <w:szCs w:val="18"/>
              </w:rPr>
              <w:t>；</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工作环境 工作温度：0-40℃（不结露），工作湿 度：0-95%</w:t>
            </w:r>
            <w:r>
              <w:rPr>
                <w:rFonts w:hint="eastAsia" w:ascii="宋体" w:hAnsi="宋体"/>
                <w:sz w:val="18"/>
                <w:szCs w:val="18"/>
              </w:rPr>
              <w:t>；</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噪音值(dBA) ＜45dB（A）</w:t>
            </w:r>
            <w:r>
              <w:rPr>
                <w:rFonts w:hint="eastAsia" w:ascii="宋体" w:hAnsi="宋体"/>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蓄电池</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pacing w:val="-1"/>
                <w:sz w:val="18"/>
                <w:szCs w:val="18"/>
              </w:rPr>
              <w:t>铅酸免维护蓄电池；</w:t>
            </w:r>
            <w:r>
              <w:rPr>
                <w:rFonts w:eastAsia="Times New Roman"/>
                <w:spacing w:val="-1"/>
                <w:sz w:val="18"/>
                <w:szCs w:val="18"/>
              </w:rPr>
              <w:t>12V100AH</w:t>
            </w:r>
            <w:r>
              <w:rPr>
                <w:rFonts w:ascii="宋体" w:hAnsi="宋体" w:cs="宋体"/>
                <w:spacing w:val="-1"/>
                <w:sz w:val="18"/>
                <w:szCs w:val="18"/>
              </w:rPr>
              <w:t>；后备</w:t>
            </w:r>
            <w:r>
              <w:rPr>
                <w:rFonts w:ascii="宋体" w:hAnsi="宋体" w:cs="宋体"/>
                <w:spacing w:val="-60"/>
                <w:sz w:val="18"/>
                <w:szCs w:val="18"/>
              </w:rPr>
              <w:t xml:space="preserve"> </w:t>
            </w:r>
            <w:r>
              <w:rPr>
                <w:rFonts w:eastAsia="Times New Roman"/>
                <w:sz w:val="18"/>
                <w:szCs w:val="18"/>
              </w:rPr>
              <w:t xml:space="preserve">4 </w:t>
            </w:r>
            <w:r>
              <w:rPr>
                <w:rFonts w:ascii="宋体" w:hAnsi="宋体" w:cs="宋体"/>
                <w:sz w:val="18"/>
                <w:szCs w:val="18"/>
              </w:rPr>
              <w:t>小时；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节</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3</w:t>
            </w:r>
            <w:r>
              <w:rPr>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40"/>
              <w:ind w:left="102" w:right="100"/>
              <w:jc w:val="center"/>
              <w:rPr>
                <w:rFonts w:ascii="宋体" w:hAnsi="宋体" w:cs="宋体"/>
                <w:sz w:val="18"/>
                <w:szCs w:val="18"/>
              </w:rPr>
            </w:pPr>
            <w:r>
              <w:rPr>
                <w:rFonts w:ascii="宋体" w:hAnsi="宋体" w:cs="宋体"/>
                <w:sz w:val="18"/>
                <w:szCs w:val="18"/>
              </w:rPr>
              <w:t>电池</w:t>
            </w:r>
            <w:r>
              <w:rPr>
                <w:rFonts w:ascii="宋体" w:hAnsi="宋体" w:cs="宋体"/>
                <w:spacing w:val="-65"/>
                <w:sz w:val="18"/>
                <w:szCs w:val="18"/>
              </w:rPr>
              <w:t>柜</w:t>
            </w:r>
            <w:r>
              <w:rPr>
                <w:rFonts w:ascii="宋体" w:hAnsi="宋体" w:cs="宋体"/>
                <w:sz w:val="18"/>
                <w:szCs w:val="18"/>
              </w:rPr>
              <w:t>（含直流连接线及安装附件）</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符合相关标准要求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ight="275"/>
              <w:jc w:val="center"/>
              <w:rPr>
                <w:rFonts w:ascii="宋体" w:hAnsi="宋体" w:cs="宋体"/>
                <w:sz w:val="18"/>
                <w:szCs w:val="18"/>
              </w:rPr>
            </w:pPr>
            <w:r>
              <w:rPr>
                <w:rFonts w:ascii="宋体" w:hAnsi="宋体" w:cs="宋体"/>
                <w:sz w:val="18"/>
                <w:szCs w:val="18"/>
              </w:rPr>
              <w:t>集成平台软件</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before="38"/>
              <w:ind w:left="102" w:right="97"/>
              <w:rPr>
                <w:rFonts w:ascii="宋体" w:hAnsi="宋体" w:cs="宋体"/>
                <w:sz w:val="18"/>
                <w:szCs w:val="18"/>
              </w:rPr>
            </w:pPr>
            <w:r>
              <w:rPr>
                <w:rFonts w:hint="eastAsia" w:ascii="宋体" w:hAnsi="宋体" w:cs="宋体"/>
                <w:spacing w:val="-1"/>
                <w:sz w:val="18"/>
                <w:szCs w:val="18"/>
              </w:rPr>
              <w:t>可无缝接入大队现有平台；GIS地图（大队共享）和卡口状态展示、交通状态展示、信号机状态展示、视频浏览控制、设备状态报警展示、车辆警员GPS位置展示以及交通数据统计展示等功能。</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38"/>
              <w:ind w:left="102" w:right="100"/>
              <w:jc w:val="center"/>
              <w:rPr>
                <w:rFonts w:ascii="宋体" w:hAnsi="宋体" w:cs="宋体"/>
                <w:sz w:val="18"/>
                <w:szCs w:val="18"/>
              </w:rPr>
            </w:pPr>
            <w:r>
              <w:rPr>
                <w:rFonts w:eastAsia="Times New Roman"/>
                <w:sz w:val="18"/>
                <w:szCs w:val="18"/>
              </w:rPr>
              <w:t>110</w:t>
            </w:r>
            <w:r>
              <w:rPr>
                <w:rFonts w:eastAsia="Times New Roman"/>
                <w:spacing w:val="-5"/>
                <w:sz w:val="18"/>
                <w:szCs w:val="18"/>
              </w:rPr>
              <w:t xml:space="preserve"> </w:t>
            </w:r>
            <w:r>
              <w:rPr>
                <w:rFonts w:ascii="宋体" w:hAnsi="宋体" w:cs="宋体"/>
                <w:sz w:val="18"/>
                <w:szCs w:val="18"/>
              </w:rPr>
              <w:t>接处警系 统</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公安统一要求</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指纹锁</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eastAsia="Times New Roman"/>
                <w:sz w:val="18"/>
                <w:szCs w:val="18"/>
              </w:rPr>
            </w:pPr>
            <w:r>
              <w:rPr>
                <w:rFonts w:ascii="宋体" w:hAnsi="宋体" w:cs="宋体"/>
                <w:sz w:val="18"/>
                <w:szCs w:val="18"/>
              </w:rPr>
              <w:t xml:space="preserve">支持指纹 密码 钥匙 刷卡 </w:t>
            </w:r>
            <w:r>
              <w:rPr>
                <w:rFonts w:eastAsia="Times New Roman"/>
                <w:sz w:val="18"/>
                <w:szCs w:val="18"/>
              </w:rPr>
              <w:t>APP</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综合布线（含线材等）</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符合相关国家标准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装修</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94"/>
              <w:jc w:val="center"/>
              <w:rPr>
                <w:rFonts w:eastAsia="Times New Roman"/>
                <w:sz w:val="18"/>
                <w:szCs w:val="18"/>
              </w:rPr>
            </w:pPr>
            <w:r>
              <w:rPr>
                <w:sz w:val="18"/>
                <w:szCs w:val="18"/>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40"/>
              <w:ind w:left="102"/>
              <w:jc w:val="center"/>
              <w:rPr>
                <w:rFonts w:ascii="宋体" w:hAnsi="宋体" w:cs="宋体"/>
                <w:sz w:val="18"/>
                <w:szCs w:val="18"/>
              </w:rPr>
            </w:pPr>
            <w:r>
              <w:rPr>
                <w:rFonts w:ascii="宋体" w:hAnsi="宋体" w:cs="宋体"/>
                <w:sz w:val="18"/>
                <w:szCs w:val="18"/>
              </w:rPr>
              <w:t>空调</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40"/>
              <w:ind w:left="102"/>
              <w:rPr>
                <w:rFonts w:eastAsia="Times New Roman"/>
                <w:sz w:val="18"/>
                <w:szCs w:val="18"/>
              </w:rPr>
            </w:pPr>
            <w:r>
              <w:rPr>
                <w:rFonts w:ascii="宋体" w:hAnsi="宋体" w:cs="宋体"/>
                <w:sz w:val="18"/>
                <w:szCs w:val="18"/>
              </w:rPr>
              <w:t>挂式，</w:t>
            </w:r>
            <w:r>
              <w:rPr>
                <w:rFonts w:eastAsia="Times New Roman"/>
                <w:sz w:val="18"/>
                <w:szCs w:val="18"/>
              </w:rPr>
              <w:t>1.5P</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sz w:val="18"/>
                <w:szCs w:val="18"/>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38"/>
              <w:ind w:left="102"/>
              <w:jc w:val="center"/>
              <w:rPr>
                <w:rFonts w:ascii="宋体" w:hAnsi="宋体" w:cs="宋体"/>
                <w:sz w:val="18"/>
                <w:szCs w:val="18"/>
              </w:rPr>
            </w:pPr>
            <w:r>
              <w:rPr>
                <w:rFonts w:ascii="宋体" w:hAnsi="宋体" w:cs="宋体"/>
                <w:sz w:val="18"/>
                <w:szCs w:val="18"/>
              </w:rPr>
              <w:t>设备安装调试</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kern w:val="0"/>
                <w:sz w:val="18"/>
                <w:szCs w:val="18"/>
                <w:lang w:bidi="ar"/>
              </w:rPr>
            </w:pPr>
            <w:r>
              <w:rPr>
                <w:rFonts w:hint="eastAsia"/>
                <w:sz w:val="18"/>
                <w:szCs w:val="18"/>
              </w:rPr>
              <w:t>（六）视频会议系统</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sz w:val="18"/>
                <w:szCs w:val="18"/>
                <w:highlight w:val="yellow"/>
              </w:rPr>
            </w:pPr>
            <w:r>
              <w:rPr>
                <w:rFonts w:hint="eastAsia"/>
                <w:sz w:val="18"/>
                <w:szCs w:val="18"/>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hint="eastAsia" w:ascii="宋体" w:hAnsi="宋体" w:cs="宋体"/>
                <w:sz w:val="18"/>
                <w:szCs w:val="18"/>
              </w:rPr>
              <w:t>一体式高清会议终端</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hint="eastAsia" w:ascii="宋体" w:hAnsi="宋体" w:cs="宋体"/>
                <w:sz w:val="18"/>
                <w:szCs w:val="18"/>
              </w:rPr>
            </w:pPr>
            <w:r>
              <w:rPr>
                <w:rFonts w:hint="eastAsia" w:eastAsia="Times New Roman"/>
                <w:sz w:val="18"/>
                <w:szCs w:val="18"/>
              </w:rPr>
              <w:t xml:space="preserve">1) </w:t>
            </w:r>
            <w:r>
              <w:rPr>
                <w:rFonts w:hint="eastAsia" w:ascii="宋体" w:hAnsi="宋体" w:cs="宋体"/>
                <w:sz w:val="18"/>
                <w:szCs w:val="18"/>
              </w:rPr>
              <w:t>图像分辨率高达</w:t>
            </w:r>
            <w:r>
              <w:rPr>
                <w:rFonts w:eastAsia="Times New Roman"/>
                <w:sz w:val="18"/>
                <w:szCs w:val="18"/>
              </w:rPr>
              <w:t>720p/1080p</w:t>
            </w:r>
            <w:r>
              <w:rPr>
                <w:rFonts w:hint="eastAsia" w:ascii="宋体" w:hAnsi="宋体" w:cs="宋体"/>
                <w:sz w:val="18"/>
                <w:szCs w:val="18"/>
              </w:rPr>
              <w:t>，支持高达</w:t>
            </w:r>
            <w:r>
              <w:rPr>
                <w:rFonts w:eastAsia="Times New Roman"/>
                <w:sz w:val="18"/>
                <w:szCs w:val="18"/>
              </w:rPr>
              <w:t>60</w:t>
            </w:r>
            <w:r>
              <w:rPr>
                <w:rFonts w:hint="eastAsia" w:ascii="宋体" w:hAnsi="宋体" w:cs="宋体"/>
                <w:sz w:val="18"/>
                <w:szCs w:val="18"/>
              </w:rPr>
              <w:t>帧</w:t>
            </w:r>
            <w:r>
              <w:rPr>
                <w:rFonts w:eastAsia="Times New Roman"/>
                <w:sz w:val="18"/>
                <w:szCs w:val="18"/>
              </w:rPr>
              <w:t>/</w:t>
            </w:r>
            <w:r>
              <w:rPr>
                <w:rFonts w:hint="eastAsia" w:ascii="宋体" w:hAnsi="宋体" w:cs="宋体"/>
                <w:sz w:val="18"/>
                <w:szCs w:val="18"/>
              </w:rPr>
              <w:t>秒的流畅度和</w:t>
            </w:r>
            <w:r>
              <w:rPr>
                <w:rFonts w:eastAsia="Times New Roman"/>
                <w:sz w:val="18"/>
                <w:szCs w:val="18"/>
              </w:rPr>
              <w:t>8Mbps</w:t>
            </w:r>
            <w:r>
              <w:rPr>
                <w:rFonts w:hint="eastAsia" w:ascii="宋体" w:hAnsi="宋体" w:cs="宋体"/>
                <w:sz w:val="18"/>
                <w:szCs w:val="18"/>
              </w:rPr>
              <w:t>的超高码流处理能力。</w:t>
            </w:r>
          </w:p>
          <w:p>
            <w:pPr>
              <w:ind w:left="102"/>
              <w:rPr>
                <w:rFonts w:hint="eastAsia" w:ascii="宋体" w:hAnsi="宋体" w:cs="宋体"/>
                <w:sz w:val="18"/>
                <w:szCs w:val="18"/>
              </w:rPr>
            </w:pPr>
            <w:r>
              <w:rPr>
                <w:rFonts w:eastAsia="Times New Roman"/>
                <w:sz w:val="18"/>
                <w:szCs w:val="18"/>
              </w:rPr>
              <w:t xml:space="preserve">2) </w:t>
            </w:r>
            <w:r>
              <w:rPr>
                <w:rFonts w:hint="eastAsia" w:ascii="宋体" w:hAnsi="宋体" w:cs="宋体"/>
                <w:sz w:val="18"/>
                <w:szCs w:val="18"/>
              </w:rPr>
              <w:t>支持</w:t>
            </w:r>
            <w:r>
              <w:rPr>
                <w:rFonts w:eastAsia="Times New Roman"/>
                <w:sz w:val="18"/>
                <w:szCs w:val="18"/>
              </w:rPr>
              <w:t>MPEG4-AAC</w:t>
            </w:r>
            <w:r>
              <w:rPr>
                <w:rFonts w:hint="eastAsia" w:ascii="宋体" w:hAnsi="宋体" w:cs="宋体"/>
                <w:sz w:val="18"/>
                <w:szCs w:val="18"/>
              </w:rPr>
              <w:t>、</w:t>
            </w:r>
            <w:r>
              <w:rPr>
                <w:rFonts w:eastAsia="Times New Roman"/>
                <w:sz w:val="18"/>
                <w:szCs w:val="18"/>
              </w:rPr>
              <w:t>G.719</w:t>
            </w:r>
            <w:r>
              <w:rPr>
                <w:rFonts w:hint="eastAsia" w:ascii="宋体" w:hAnsi="宋体" w:cs="宋体"/>
                <w:sz w:val="18"/>
                <w:szCs w:val="18"/>
              </w:rPr>
              <w:t>、</w:t>
            </w:r>
            <w:r>
              <w:rPr>
                <w:rFonts w:eastAsia="Times New Roman"/>
                <w:sz w:val="18"/>
                <w:szCs w:val="18"/>
              </w:rPr>
              <w:t>G.722.1C</w:t>
            </w:r>
            <w:r>
              <w:rPr>
                <w:rFonts w:hint="eastAsia" w:ascii="宋体" w:hAnsi="宋体" w:cs="宋体"/>
                <w:sz w:val="18"/>
                <w:szCs w:val="18"/>
              </w:rPr>
              <w:t>、</w:t>
            </w:r>
            <w:r>
              <w:rPr>
                <w:rFonts w:eastAsia="Times New Roman"/>
                <w:sz w:val="18"/>
                <w:szCs w:val="18"/>
              </w:rPr>
              <w:t>MP3</w:t>
            </w:r>
            <w:r>
              <w:rPr>
                <w:rFonts w:hint="eastAsia" w:ascii="宋体" w:hAnsi="宋体" w:cs="宋体"/>
                <w:sz w:val="18"/>
                <w:szCs w:val="18"/>
              </w:rPr>
              <w:t>等宽频音频编码技术和数字音频输入输出特性。</w:t>
            </w:r>
          </w:p>
          <w:p>
            <w:pPr>
              <w:ind w:left="102"/>
              <w:rPr>
                <w:rFonts w:eastAsia="Times New Roman"/>
                <w:sz w:val="18"/>
                <w:szCs w:val="18"/>
                <w:highlight w:val="yellow"/>
              </w:rPr>
            </w:pPr>
            <w:r>
              <w:rPr>
                <w:rFonts w:eastAsia="Times New Roman"/>
                <w:sz w:val="18"/>
                <w:szCs w:val="18"/>
              </w:rPr>
              <w:t xml:space="preserve">3) </w:t>
            </w:r>
            <w:r>
              <w:rPr>
                <w:rFonts w:hint="eastAsia" w:ascii="宋体" w:hAnsi="宋体" w:cs="宋体"/>
                <w:sz w:val="18"/>
                <w:szCs w:val="18"/>
              </w:rPr>
              <w:t>支持</w:t>
            </w:r>
            <w:r>
              <w:rPr>
                <w:rFonts w:eastAsia="Times New Roman"/>
                <w:sz w:val="18"/>
                <w:szCs w:val="18"/>
              </w:rPr>
              <w:t>H.239</w:t>
            </w:r>
            <w:r>
              <w:rPr>
                <w:rFonts w:hint="eastAsia" w:ascii="宋体" w:hAnsi="宋体" w:cs="宋体"/>
                <w:sz w:val="18"/>
                <w:szCs w:val="18"/>
              </w:rPr>
              <w:t>双视频流，可提供高</w:t>
            </w:r>
            <w:r>
              <w:rPr>
                <w:rFonts w:eastAsia="Times New Roman"/>
                <w:sz w:val="18"/>
                <w:szCs w:val="18"/>
              </w:rPr>
              <w:t xml:space="preserve"> UXGA / 720p /1080 p</w:t>
            </w:r>
            <w:r>
              <w:rPr>
                <w:rFonts w:hint="eastAsia" w:ascii="宋体" w:hAnsi="宋体" w:cs="宋体"/>
                <w:sz w:val="18"/>
                <w:szCs w:val="18"/>
              </w:rPr>
              <w:t>分辨率的高清双流特性。</w:t>
            </w:r>
            <w:r>
              <w:rPr>
                <w:rFonts w:eastAsia="Times New Roman"/>
                <w:sz w:val="18"/>
                <w:szCs w:val="18"/>
              </w:rPr>
              <w:t xml:space="preserve">4) </w:t>
            </w:r>
            <w:r>
              <w:rPr>
                <w:rFonts w:hint="eastAsia" w:ascii="宋体" w:hAnsi="宋体" w:cs="宋体"/>
                <w:sz w:val="18"/>
                <w:szCs w:val="18"/>
              </w:rPr>
              <w:t>具备双以太网口、可扩展</w:t>
            </w:r>
            <w:r>
              <w:rPr>
                <w:rFonts w:eastAsia="Times New Roman"/>
                <w:sz w:val="18"/>
                <w:szCs w:val="18"/>
              </w:rPr>
              <w:t>E1</w:t>
            </w:r>
            <w:r>
              <w:rPr>
                <w:rFonts w:hint="eastAsia" w:ascii="宋体" w:hAnsi="宋体" w:cs="宋体"/>
                <w:sz w:val="18"/>
                <w:szCs w:val="18"/>
              </w:rPr>
              <w:t>接入方式，可实现</w:t>
            </w:r>
            <w:r>
              <w:rPr>
                <w:rFonts w:eastAsia="Times New Roman"/>
                <w:sz w:val="18"/>
                <w:szCs w:val="18"/>
              </w:rPr>
              <w:t>IP</w:t>
            </w:r>
            <w:r>
              <w:rPr>
                <w:rFonts w:hint="eastAsia" w:ascii="宋体" w:hAnsi="宋体" w:cs="宋体"/>
                <w:sz w:val="18"/>
                <w:szCs w:val="18"/>
              </w:rPr>
              <w:t>及</w:t>
            </w:r>
            <w:r>
              <w:rPr>
                <w:rFonts w:eastAsia="Times New Roman"/>
                <w:sz w:val="18"/>
                <w:szCs w:val="18"/>
              </w:rPr>
              <w:t>E1</w:t>
            </w:r>
            <w:r>
              <w:rPr>
                <w:rFonts w:hint="eastAsia" w:ascii="宋体" w:hAnsi="宋体" w:cs="宋体"/>
                <w:sz w:val="18"/>
                <w:szCs w:val="18"/>
              </w:rPr>
              <w:t>线路的自动冗余备份；具备</w:t>
            </w:r>
            <w:r>
              <w:rPr>
                <w:rFonts w:eastAsia="Times New Roman"/>
                <w:sz w:val="18"/>
                <w:szCs w:val="18"/>
              </w:rPr>
              <w:t>H.264 High Profile</w:t>
            </w:r>
            <w:r>
              <w:rPr>
                <w:rFonts w:hint="eastAsia" w:ascii="宋体" w:hAnsi="宋体" w:cs="宋体"/>
                <w:sz w:val="18"/>
                <w:szCs w:val="18"/>
              </w:rPr>
              <w:t>能力，可提供低带宽下的高清视频质量；内置代理客户端，可实现防火墙</w:t>
            </w:r>
            <w:r>
              <w:rPr>
                <w:rFonts w:eastAsia="Times New Roman"/>
                <w:sz w:val="18"/>
                <w:szCs w:val="18"/>
              </w:rPr>
              <w:t>/NAT</w:t>
            </w:r>
            <w:r>
              <w:rPr>
                <w:rFonts w:hint="eastAsia" w:ascii="宋体" w:hAnsi="宋体" w:cs="宋体"/>
                <w:sz w:val="18"/>
                <w:szCs w:val="18"/>
              </w:rPr>
              <w:t>穿越；支持智能抗丢包、动态速率调整、</w:t>
            </w:r>
            <w:r>
              <w:rPr>
                <w:rFonts w:eastAsia="Times New Roman"/>
                <w:sz w:val="18"/>
                <w:szCs w:val="18"/>
              </w:rPr>
              <w:t>QoS</w:t>
            </w:r>
            <w:r>
              <w:rPr>
                <w:rFonts w:hint="eastAsia" w:ascii="宋体" w:hAnsi="宋体" w:cs="宋体"/>
                <w:sz w:val="18"/>
                <w:szCs w:val="18"/>
              </w:rPr>
              <w:t>设置、码流平滑等网络优化机制。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kern w:val="0"/>
                <w:sz w:val="18"/>
                <w:szCs w:val="18"/>
                <w:lang w:bidi="ar"/>
              </w:rPr>
            </w:pPr>
            <w:r>
              <w:rPr>
                <w:rFonts w:hint="eastAsia"/>
                <w:kern w:val="0"/>
                <w:sz w:val="18"/>
                <w:szCs w:val="18"/>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sz w:val="18"/>
                <w:szCs w:val="18"/>
              </w:rPr>
            </w:pPr>
            <w:r>
              <w:rPr>
                <w:rFonts w:hint="eastAsia"/>
                <w:sz w:val="18"/>
                <w:szCs w:val="18"/>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hint="eastAsia" w:ascii="宋体" w:hAnsi="宋体" w:cs="宋体"/>
                <w:sz w:val="18"/>
                <w:szCs w:val="18"/>
              </w:rPr>
            </w:pPr>
            <w:r>
              <w:rPr>
                <w:rFonts w:hint="eastAsia" w:ascii="宋体" w:hAnsi="宋体" w:cs="宋体"/>
                <w:sz w:val="18"/>
                <w:szCs w:val="18"/>
              </w:rPr>
              <w:t>专用摄像机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hint="eastAsia" w:eastAsia="Times New Roman"/>
                <w:sz w:val="18"/>
                <w:szCs w:val="18"/>
              </w:rPr>
            </w:pPr>
            <w:r>
              <w:rPr>
                <w:rFonts w:hint="eastAsia" w:eastAsia="Times New Roman"/>
                <w:sz w:val="18"/>
                <w:szCs w:val="18"/>
              </w:rPr>
              <w:t xml:space="preserve">1) </w:t>
            </w:r>
            <w:r>
              <w:rPr>
                <w:rFonts w:hint="eastAsia" w:ascii="宋体" w:hAnsi="宋体" w:cs="宋体"/>
                <w:sz w:val="18"/>
                <w:szCs w:val="18"/>
              </w:rPr>
              <w:t>采用</w:t>
            </w:r>
            <w:r>
              <w:rPr>
                <w:rFonts w:eastAsia="Times New Roman"/>
                <w:sz w:val="18"/>
                <w:szCs w:val="18"/>
              </w:rPr>
              <w:t xml:space="preserve"> 1/2.8 </w:t>
            </w:r>
            <w:r>
              <w:rPr>
                <w:rFonts w:hint="eastAsia" w:ascii="宋体" w:hAnsi="宋体" w:cs="宋体"/>
                <w:sz w:val="18"/>
                <w:szCs w:val="18"/>
              </w:rPr>
              <w:t>英寸、</w:t>
            </w:r>
            <w:r>
              <w:rPr>
                <w:rFonts w:eastAsia="Times New Roman"/>
                <w:sz w:val="18"/>
                <w:szCs w:val="18"/>
              </w:rPr>
              <w:t xml:space="preserve">200 </w:t>
            </w:r>
            <w:r>
              <w:rPr>
                <w:rFonts w:hint="eastAsia" w:ascii="宋体" w:hAnsi="宋体" w:cs="宋体"/>
                <w:sz w:val="18"/>
                <w:szCs w:val="18"/>
              </w:rPr>
              <w:t>万有效像素的高品质</w:t>
            </w:r>
            <w:r>
              <w:rPr>
                <w:rFonts w:eastAsia="Times New Roman"/>
                <w:sz w:val="18"/>
                <w:szCs w:val="18"/>
              </w:rPr>
              <w:t xml:space="preserve"> HDCMOS </w:t>
            </w:r>
            <w:r>
              <w:rPr>
                <w:rFonts w:hint="eastAsia" w:ascii="宋体" w:hAnsi="宋体" w:cs="宋体"/>
                <w:sz w:val="18"/>
                <w:szCs w:val="18"/>
              </w:rPr>
              <w:t>传感器，可实现</w:t>
            </w:r>
            <w:r>
              <w:rPr>
                <w:rFonts w:eastAsia="Times New Roman"/>
                <w:sz w:val="18"/>
                <w:szCs w:val="18"/>
              </w:rPr>
              <w:t xml:space="preserve"> 1920×1080 </w:t>
            </w:r>
            <w:r>
              <w:rPr>
                <w:rFonts w:hint="eastAsia" w:ascii="宋体" w:hAnsi="宋体" w:cs="宋体"/>
                <w:sz w:val="18"/>
                <w:szCs w:val="18"/>
              </w:rPr>
              <w:t>超高分辨率的优质图像。</w:t>
            </w:r>
          </w:p>
          <w:p>
            <w:pPr>
              <w:ind w:left="102"/>
              <w:rPr>
                <w:rFonts w:hint="eastAsia" w:eastAsia="Times New Roman"/>
                <w:sz w:val="18"/>
                <w:szCs w:val="18"/>
              </w:rPr>
            </w:pPr>
            <w:r>
              <w:rPr>
                <w:rFonts w:hint="eastAsia" w:eastAsia="Times New Roman"/>
                <w:sz w:val="18"/>
                <w:szCs w:val="18"/>
              </w:rPr>
              <w:t xml:space="preserve">2) 20 </w:t>
            </w:r>
            <w:r>
              <w:rPr>
                <w:rFonts w:hint="eastAsia" w:ascii="宋体" w:hAnsi="宋体" w:cs="宋体"/>
                <w:sz w:val="18"/>
                <w:szCs w:val="18"/>
              </w:rPr>
              <w:t>倍光学变焦，</w:t>
            </w:r>
            <w:r>
              <w:rPr>
                <w:rFonts w:eastAsia="Times New Roman"/>
                <w:sz w:val="18"/>
                <w:szCs w:val="18"/>
              </w:rPr>
              <w:t xml:space="preserve">12 </w:t>
            </w:r>
            <w:r>
              <w:rPr>
                <w:rFonts w:hint="eastAsia" w:ascii="宋体" w:hAnsi="宋体" w:cs="宋体"/>
                <w:sz w:val="18"/>
                <w:szCs w:val="18"/>
              </w:rPr>
              <w:t>倍数字变焦。</w:t>
            </w:r>
          </w:p>
          <w:p>
            <w:pPr>
              <w:ind w:left="102"/>
              <w:rPr>
                <w:rFonts w:hint="eastAsia" w:eastAsia="Times New Roman"/>
                <w:sz w:val="18"/>
                <w:szCs w:val="18"/>
              </w:rPr>
            </w:pPr>
            <w:r>
              <w:rPr>
                <w:rFonts w:hint="eastAsia" w:eastAsia="Times New Roman"/>
                <w:sz w:val="18"/>
                <w:szCs w:val="18"/>
              </w:rPr>
              <w:t xml:space="preserve">3) </w:t>
            </w:r>
            <w:r>
              <w:rPr>
                <w:rFonts w:hint="eastAsia" w:ascii="宋体" w:hAnsi="宋体" w:cs="宋体"/>
                <w:sz w:val="18"/>
                <w:szCs w:val="18"/>
              </w:rPr>
              <w:t>支持</w:t>
            </w:r>
            <w:r>
              <w:rPr>
                <w:rFonts w:eastAsia="Times New Roman"/>
                <w:sz w:val="18"/>
                <w:szCs w:val="18"/>
              </w:rPr>
              <w:t xml:space="preserve"> 1080p/1080i/720p </w:t>
            </w:r>
            <w:r>
              <w:rPr>
                <w:rFonts w:hint="eastAsia" w:ascii="宋体" w:hAnsi="宋体" w:cs="宋体"/>
                <w:sz w:val="18"/>
                <w:szCs w:val="18"/>
              </w:rPr>
              <w:t>等高标清多格式输出。</w:t>
            </w:r>
          </w:p>
          <w:p>
            <w:pPr>
              <w:ind w:left="102"/>
              <w:rPr>
                <w:rFonts w:hint="eastAsia" w:eastAsia="Times New Roman"/>
                <w:sz w:val="18"/>
                <w:szCs w:val="18"/>
              </w:rPr>
            </w:pPr>
            <w:r>
              <w:rPr>
                <w:rFonts w:hint="eastAsia" w:eastAsia="Times New Roman"/>
                <w:sz w:val="18"/>
                <w:szCs w:val="18"/>
              </w:rPr>
              <w:t xml:space="preserve">4) </w:t>
            </w:r>
            <w:r>
              <w:rPr>
                <w:rFonts w:hint="eastAsia" w:ascii="宋体" w:hAnsi="宋体" w:cs="宋体"/>
                <w:sz w:val="18"/>
                <w:szCs w:val="18"/>
              </w:rPr>
              <w:t>支持广电级</w:t>
            </w:r>
            <w:r>
              <w:rPr>
                <w:rFonts w:eastAsia="Times New Roman"/>
                <w:sz w:val="18"/>
                <w:szCs w:val="18"/>
              </w:rPr>
              <w:t xml:space="preserve"> 3G -SDI </w:t>
            </w:r>
            <w:r>
              <w:rPr>
                <w:rFonts w:hint="eastAsia" w:ascii="宋体" w:hAnsi="宋体" w:cs="宋体"/>
                <w:sz w:val="18"/>
                <w:szCs w:val="18"/>
              </w:rPr>
              <w:t>接口输出，支持高清</w:t>
            </w:r>
            <w:r>
              <w:rPr>
                <w:rFonts w:eastAsia="Times New Roman"/>
                <w:sz w:val="18"/>
                <w:szCs w:val="18"/>
              </w:rPr>
              <w:t xml:space="preserve"> DVI</w:t>
            </w:r>
            <w:r>
              <w:rPr>
                <w:rFonts w:hint="eastAsia" w:ascii="宋体" w:hAnsi="宋体" w:cs="宋体"/>
                <w:sz w:val="18"/>
                <w:szCs w:val="18"/>
              </w:rPr>
              <w:t>、</w:t>
            </w:r>
            <w:r>
              <w:rPr>
                <w:rFonts w:eastAsia="Times New Roman"/>
                <w:sz w:val="18"/>
                <w:szCs w:val="18"/>
              </w:rPr>
              <w:t xml:space="preserve"> YpbPr </w:t>
            </w:r>
            <w:r>
              <w:rPr>
                <w:rFonts w:hint="eastAsia" w:ascii="宋体" w:hAnsi="宋体" w:cs="宋体"/>
                <w:sz w:val="18"/>
                <w:szCs w:val="18"/>
              </w:rPr>
              <w:t>输出，</w:t>
            </w:r>
            <w:r>
              <w:rPr>
                <w:rFonts w:eastAsia="Times New Roman"/>
                <w:sz w:val="18"/>
                <w:szCs w:val="18"/>
              </w:rPr>
              <w:t xml:space="preserve">DVI </w:t>
            </w:r>
            <w:r>
              <w:rPr>
                <w:rFonts w:hint="eastAsia" w:ascii="宋体" w:hAnsi="宋体" w:cs="宋体"/>
                <w:sz w:val="18"/>
                <w:szCs w:val="18"/>
              </w:rPr>
              <w:t>兼容</w:t>
            </w:r>
            <w:r>
              <w:rPr>
                <w:rFonts w:eastAsia="Times New Roman"/>
                <w:sz w:val="18"/>
                <w:szCs w:val="18"/>
              </w:rPr>
              <w:t xml:space="preserve"> HDMI </w:t>
            </w:r>
            <w:r>
              <w:rPr>
                <w:rFonts w:hint="eastAsia" w:ascii="宋体" w:hAnsi="宋体" w:cs="宋体"/>
                <w:sz w:val="18"/>
                <w:szCs w:val="18"/>
              </w:rPr>
              <w:t>输出。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rFonts w:hint="eastAsia"/>
                <w:sz w:val="18"/>
                <w:szCs w:val="18"/>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麦克风</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ascii="宋体" w:hAnsi="宋体"/>
                <w:sz w:val="18"/>
                <w:szCs w:val="18"/>
              </w:rPr>
            </w:pPr>
            <w:r>
              <w:rPr>
                <w:rFonts w:ascii="宋体" w:hAnsi="宋体"/>
                <w:sz w:val="18"/>
                <w:szCs w:val="18"/>
              </w:rPr>
              <w:t>1)</w:t>
            </w:r>
            <w:r>
              <w:rPr>
                <w:rFonts w:ascii="宋体" w:hAnsi="宋体"/>
                <w:sz w:val="18"/>
                <w:szCs w:val="18"/>
              </w:rPr>
              <w:tab/>
            </w:r>
            <w:r>
              <w:rPr>
                <w:rFonts w:ascii="宋体" w:hAnsi="宋体"/>
                <w:sz w:val="18"/>
                <w:szCs w:val="18"/>
              </w:rPr>
              <w:t>指向特性：全向拾音</w:t>
            </w:r>
          </w:p>
          <w:p>
            <w:pPr>
              <w:rPr>
                <w:rFonts w:ascii="宋体" w:hAnsi="宋体"/>
                <w:sz w:val="18"/>
                <w:szCs w:val="18"/>
              </w:rPr>
            </w:pPr>
            <w:r>
              <w:rPr>
                <w:rFonts w:ascii="宋体" w:hAnsi="宋体"/>
                <w:sz w:val="18"/>
                <w:szCs w:val="18"/>
              </w:rPr>
              <w:t>2)</w:t>
            </w:r>
            <w:r>
              <w:rPr>
                <w:rFonts w:ascii="宋体" w:hAnsi="宋体"/>
                <w:sz w:val="18"/>
                <w:szCs w:val="18"/>
              </w:rPr>
              <w:tab/>
            </w:r>
            <w:r>
              <w:rPr>
                <w:rFonts w:ascii="宋体" w:hAnsi="宋体"/>
                <w:sz w:val="18"/>
                <w:szCs w:val="18"/>
              </w:rPr>
              <w:t>采集率：48KHz</w:t>
            </w:r>
          </w:p>
          <w:p>
            <w:pPr>
              <w:rPr>
                <w:rFonts w:ascii="宋体" w:hAnsi="宋体"/>
                <w:sz w:val="18"/>
                <w:szCs w:val="18"/>
              </w:rPr>
            </w:pPr>
            <w:r>
              <w:rPr>
                <w:rFonts w:ascii="宋体" w:hAnsi="宋体"/>
                <w:sz w:val="18"/>
                <w:szCs w:val="18"/>
              </w:rPr>
              <w:t>3)</w:t>
            </w:r>
            <w:r>
              <w:rPr>
                <w:rFonts w:ascii="宋体" w:hAnsi="宋体"/>
                <w:sz w:val="18"/>
                <w:szCs w:val="18"/>
              </w:rPr>
              <w:tab/>
            </w:r>
            <w:r>
              <w:rPr>
                <w:rFonts w:ascii="宋体" w:hAnsi="宋体"/>
                <w:sz w:val="18"/>
                <w:szCs w:val="18"/>
              </w:rPr>
              <w:t>频率响应：50Hz～20KHz</w:t>
            </w:r>
          </w:p>
          <w:p>
            <w:pPr>
              <w:rPr>
                <w:rFonts w:ascii="宋体" w:hAnsi="宋体"/>
                <w:sz w:val="18"/>
                <w:szCs w:val="18"/>
              </w:rPr>
            </w:pPr>
            <w:r>
              <w:rPr>
                <w:rFonts w:ascii="宋体" w:hAnsi="宋体"/>
                <w:sz w:val="18"/>
                <w:szCs w:val="18"/>
              </w:rPr>
              <w:t>4)</w:t>
            </w:r>
            <w:r>
              <w:rPr>
                <w:rFonts w:ascii="宋体" w:hAnsi="宋体"/>
                <w:sz w:val="18"/>
                <w:szCs w:val="18"/>
              </w:rPr>
              <w:tab/>
            </w:r>
            <w:r>
              <w:rPr>
                <w:rFonts w:ascii="宋体" w:hAnsi="宋体"/>
                <w:sz w:val="18"/>
                <w:szCs w:val="18"/>
              </w:rPr>
              <w:t>最高灵敏度：-20dB</w:t>
            </w:r>
          </w:p>
          <w:p>
            <w:pPr>
              <w:rPr>
                <w:rFonts w:ascii="宋体" w:hAnsi="宋体"/>
                <w:sz w:val="18"/>
                <w:szCs w:val="18"/>
              </w:rPr>
            </w:pPr>
            <w:r>
              <w:rPr>
                <w:rFonts w:ascii="宋体" w:hAnsi="宋体"/>
                <w:sz w:val="18"/>
                <w:szCs w:val="18"/>
              </w:rPr>
              <w:t>5)</w:t>
            </w:r>
            <w:r>
              <w:rPr>
                <w:rFonts w:ascii="宋体" w:hAnsi="宋体"/>
                <w:sz w:val="18"/>
                <w:szCs w:val="18"/>
              </w:rPr>
              <w:tab/>
            </w:r>
            <w:r>
              <w:rPr>
                <w:rFonts w:ascii="宋体" w:hAnsi="宋体"/>
                <w:sz w:val="18"/>
                <w:szCs w:val="18"/>
              </w:rPr>
              <w:t>信噪比：超过 75dB</w:t>
            </w:r>
          </w:p>
          <w:p>
            <w:pPr>
              <w:rPr>
                <w:rFonts w:ascii="宋体" w:hAnsi="宋体"/>
                <w:sz w:val="18"/>
                <w:szCs w:val="18"/>
              </w:rPr>
            </w:pPr>
            <w:r>
              <w:rPr>
                <w:rFonts w:ascii="宋体" w:hAnsi="宋体"/>
                <w:sz w:val="18"/>
                <w:szCs w:val="18"/>
              </w:rPr>
              <w:t>6)</w:t>
            </w:r>
            <w:r>
              <w:rPr>
                <w:rFonts w:ascii="宋体" w:hAnsi="宋体"/>
                <w:sz w:val="18"/>
                <w:szCs w:val="18"/>
              </w:rPr>
              <w:tab/>
            </w:r>
            <w:r>
              <w:rPr>
                <w:rFonts w:ascii="宋体" w:hAnsi="宋体"/>
                <w:sz w:val="18"/>
                <w:szCs w:val="18"/>
              </w:rPr>
              <w:t>拾音范围：全向 360°</w:t>
            </w:r>
          </w:p>
          <w:p>
            <w:pPr>
              <w:rPr>
                <w:rFonts w:ascii="宋体" w:hAnsi="宋体"/>
                <w:sz w:val="18"/>
                <w:szCs w:val="18"/>
              </w:rPr>
            </w:pPr>
            <w:r>
              <w:rPr>
                <w:rFonts w:ascii="宋体" w:hAnsi="宋体"/>
                <w:sz w:val="18"/>
                <w:szCs w:val="18"/>
              </w:rPr>
              <w:t>7)</w:t>
            </w:r>
            <w:r>
              <w:rPr>
                <w:rFonts w:ascii="宋体" w:hAnsi="宋体"/>
                <w:sz w:val="18"/>
                <w:szCs w:val="18"/>
              </w:rPr>
              <w:tab/>
            </w:r>
            <w:r>
              <w:rPr>
                <w:rFonts w:ascii="宋体" w:hAnsi="宋体"/>
                <w:sz w:val="18"/>
                <w:szCs w:val="18"/>
              </w:rPr>
              <w:t>拾音距离：最远可达 6m</w:t>
            </w:r>
          </w:p>
          <w:p>
            <w:pPr>
              <w:rPr>
                <w:rFonts w:ascii="宋体" w:hAnsi="宋体"/>
                <w:sz w:val="18"/>
                <w:szCs w:val="18"/>
              </w:rPr>
            </w:pPr>
            <w:r>
              <w:rPr>
                <w:rFonts w:ascii="宋体" w:hAnsi="宋体"/>
                <w:sz w:val="18"/>
                <w:szCs w:val="18"/>
              </w:rPr>
              <w:t>8)</w:t>
            </w:r>
            <w:r>
              <w:rPr>
                <w:rFonts w:ascii="宋体" w:hAnsi="宋体"/>
                <w:sz w:val="18"/>
                <w:szCs w:val="18"/>
              </w:rPr>
              <w:tab/>
            </w:r>
            <w:r>
              <w:rPr>
                <w:rFonts w:ascii="宋体" w:hAnsi="宋体"/>
                <w:sz w:val="18"/>
                <w:szCs w:val="18"/>
              </w:rPr>
              <w:t>音频接口：数字音频接口 RJ11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只</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2</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rFonts w:hint="eastAsia"/>
                <w:sz w:val="18"/>
                <w:szCs w:val="18"/>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ight="275"/>
              <w:jc w:val="center"/>
              <w:rPr>
                <w:rFonts w:ascii="宋体" w:hAnsi="宋体" w:cs="宋体"/>
                <w:sz w:val="18"/>
                <w:szCs w:val="18"/>
              </w:rPr>
            </w:pPr>
            <w:r>
              <w:rPr>
                <w:rFonts w:ascii="宋体" w:hAnsi="宋体" w:cs="宋体"/>
                <w:sz w:val="18"/>
                <w:szCs w:val="18"/>
              </w:rPr>
              <w:t>智能平板液 晶电视机</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eastAsia="Times New Roman"/>
                <w:sz w:val="18"/>
                <w:szCs w:val="18"/>
              </w:rPr>
              <w:t xml:space="preserve">58 </w:t>
            </w:r>
            <w:r>
              <w:rPr>
                <w:rFonts w:ascii="宋体" w:hAnsi="宋体" w:cs="宋体"/>
                <w:sz w:val="18"/>
                <w:szCs w:val="18"/>
              </w:rPr>
              <w:t>英寸双</w:t>
            </w:r>
            <w:r>
              <w:rPr>
                <w:rFonts w:ascii="宋体" w:hAnsi="宋体" w:cs="宋体"/>
                <w:spacing w:val="-60"/>
                <w:sz w:val="18"/>
                <w:szCs w:val="18"/>
              </w:rPr>
              <w:t xml:space="preserve"> </w:t>
            </w:r>
            <w:r>
              <w:rPr>
                <w:rFonts w:eastAsia="Times New Roman"/>
                <w:sz w:val="18"/>
                <w:szCs w:val="18"/>
              </w:rPr>
              <w:t xml:space="preserve">64 </w:t>
            </w:r>
            <w:r>
              <w:rPr>
                <w:rFonts w:ascii="宋体" w:hAnsi="宋体" w:cs="宋体"/>
                <w:sz w:val="18"/>
                <w:szCs w:val="18"/>
              </w:rPr>
              <w:t>位</w:t>
            </w:r>
            <w:r>
              <w:rPr>
                <w:rFonts w:ascii="宋体" w:hAnsi="宋体" w:cs="宋体"/>
                <w:spacing w:val="-60"/>
                <w:sz w:val="18"/>
                <w:szCs w:val="18"/>
              </w:rPr>
              <w:t xml:space="preserve"> </w:t>
            </w:r>
            <w:r>
              <w:rPr>
                <w:rFonts w:eastAsia="Times New Roman"/>
                <w:sz w:val="18"/>
                <w:szCs w:val="18"/>
              </w:rPr>
              <w:t>4K</w:t>
            </w:r>
            <w:r>
              <w:rPr>
                <w:rFonts w:eastAsia="Times New Roman"/>
                <w:spacing w:val="-1"/>
                <w:sz w:val="18"/>
                <w:szCs w:val="18"/>
              </w:rPr>
              <w:t xml:space="preserve"> </w:t>
            </w:r>
            <w:r>
              <w:rPr>
                <w:rFonts w:ascii="宋体" w:hAnsi="宋体" w:cs="宋体"/>
                <w:sz w:val="18"/>
                <w:szCs w:val="18"/>
              </w:rPr>
              <w:t>超清</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Times New Roman"/>
                <w:sz w:val="18"/>
                <w:szCs w:val="18"/>
              </w:rPr>
            </w:pPr>
            <w:r>
              <w:rPr>
                <w:rFonts w:hint="eastAsia"/>
                <w:sz w:val="18"/>
                <w:szCs w:val="18"/>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jc w:val="center"/>
              <w:rPr>
                <w:rFonts w:ascii="宋体" w:hAnsi="宋体" w:cs="宋体"/>
                <w:sz w:val="18"/>
                <w:szCs w:val="18"/>
              </w:rPr>
            </w:pPr>
            <w:r>
              <w:rPr>
                <w:rFonts w:ascii="宋体" w:hAnsi="宋体" w:cs="宋体"/>
                <w:sz w:val="18"/>
                <w:szCs w:val="18"/>
              </w:rPr>
              <w:t>线材等</w:t>
            </w:r>
          </w:p>
        </w:tc>
        <w:tc>
          <w:tcPr>
            <w:tcW w:w="6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left="102"/>
              <w:rPr>
                <w:rFonts w:ascii="宋体" w:hAnsi="宋体" w:cs="宋体"/>
                <w:sz w:val="18"/>
                <w:szCs w:val="18"/>
              </w:rPr>
            </w:pPr>
            <w:r>
              <w:rPr>
                <w:rFonts w:ascii="宋体" w:hAnsi="宋体" w:cs="宋体"/>
                <w:sz w:val="18"/>
                <w:szCs w:val="18"/>
              </w:rPr>
              <w:t>符合相关国家标准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项</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kern w:val="0"/>
                <w:sz w:val="18"/>
                <w:szCs w:val="18"/>
                <w:lang w:bidi="ar"/>
              </w:rPr>
            </w:pPr>
            <w:r>
              <w:rPr>
                <w:rFonts w:hint="eastAsia"/>
                <w:kern w:val="0"/>
                <w:sz w:val="18"/>
                <w:szCs w:val="18"/>
                <w:lang w:bidi="ar"/>
              </w:rPr>
              <w:t>1</w:t>
            </w:r>
          </w:p>
        </w:tc>
      </w:tr>
      <w:tr>
        <w:tblPrEx>
          <w:tblCellMar>
            <w:top w:w="15" w:type="dxa"/>
            <w:left w:w="15" w:type="dxa"/>
            <w:bottom w:w="15" w:type="dxa"/>
            <w:right w:w="15" w:type="dxa"/>
          </w:tblCellMar>
        </w:tblPrEx>
        <w:trPr>
          <w:wBefore w:w="0" w:type="dxa"/>
          <w:wAfter w:w="0" w:type="dxa"/>
          <w:trHeight w:val="480" w:hRule="atLeast"/>
          <w:jc w:val="center"/>
        </w:trPr>
        <w:tc>
          <w:tcPr>
            <w:tcW w:w="9591" w:type="dxa"/>
            <w:gridSpan w:val="5"/>
            <w:tcBorders>
              <w:top w:val="single" w:color="000000" w:sz="4" w:space="0"/>
              <w:left w:val="single" w:color="000000" w:sz="4" w:space="0"/>
              <w:bottom w:val="single" w:color="000000" w:sz="4" w:space="0"/>
              <w:right w:val="single" w:color="000000" w:sz="4" w:space="0"/>
            </w:tcBorders>
            <w:noWrap w:val="0"/>
            <w:vAlign w:val="center"/>
          </w:tcPr>
          <w:p>
            <w:pPr>
              <w:rPr>
                <w:sz w:val="18"/>
                <w:szCs w:val="18"/>
              </w:rPr>
            </w:pPr>
            <w:r>
              <w:rPr>
                <w:rFonts w:hint="eastAsia"/>
                <w:sz w:val="18"/>
                <w:szCs w:val="18"/>
              </w:rPr>
              <w:t>（七）其他</w:t>
            </w:r>
          </w:p>
        </w:tc>
      </w:tr>
      <w:tr>
        <w:tblPrEx>
          <w:tblCellMar>
            <w:top w:w="15" w:type="dxa"/>
            <w:left w:w="15" w:type="dxa"/>
            <w:bottom w:w="15" w:type="dxa"/>
            <w:right w:w="15" w:type="dxa"/>
          </w:tblCellMar>
        </w:tblPrEx>
        <w:trPr>
          <w:wBefore w:w="0" w:type="dxa"/>
          <w:wAfter w:w="0" w:type="dxa"/>
          <w:trHeight w:val="420" w:hRule="atLeast"/>
          <w:jc w:val="center"/>
        </w:trPr>
        <w:tc>
          <w:tcPr>
            <w:tcW w:w="98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1</w:t>
            </w:r>
          </w:p>
        </w:tc>
        <w:tc>
          <w:tcPr>
            <w:tcW w:w="113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rPr>
            </w:pPr>
            <w:r>
              <w:rPr>
                <w:rFonts w:hint="eastAsia" w:ascii="宋体" w:hAnsi="宋体" w:cs="宋体"/>
                <w:sz w:val="18"/>
                <w:szCs w:val="18"/>
              </w:rPr>
              <w:t>网络租用(两年)</w:t>
            </w:r>
          </w:p>
        </w:tc>
        <w:tc>
          <w:tcPr>
            <w:tcW w:w="628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left"/>
              <w:rPr>
                <w:rFonts w:ascii="宋体" w:hAnsi="宋体" w:cs="宋体"/>
                <w:sz w:val="18"/>
                <w:szCs w:val="18"/>
              </w:rPr>
            </w:pPr>
            <w:r>
              <w:rPr>
                <w:rFonts w:hint="eastAsia" w:ascii="宋体" w:hAnsi="宋体" w:cs="宋体"/>
                <w:sz w:val="18"/>
                <w:szCs w:val="18"/>
              </w:rPr>
              <w:t>前端点位和指挥中心线路</w:t>
            </w:r>
          </w:p>
        </w:tc>
        <w:tc>
          <w:tcPr>
            <w:tcW w:w="56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sz w:val="18"/>
                <w:szCs w:val="18"/>
              </w:rPr>
            </w:pPr>
            <w:r>
              <w:rPr>
                <w:rFonts w:hint="eastAsia" w:ascii="宋体" w:hAnsi="宋体" w:cs="宋体"/>
                <w:kern w:val="0"/>
                <w:sz w:val="18"/>
                <w:szCs w:val="18"/>
                <w:lang w:bidi="ar"/>
              </w:rPr>
              <w:t>点*2年</w:t>
            </w:r>
          </w:p>
        </w:tc>
        <w:tc>
          <w:tcPr>
            <w:tcW w:w="62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sz w:val="18"/>
                <w:szCs w:val="18"/>
              </w:rPr>
            </w:pPr>
            <w:r>
              <w:rPr>
                <w:rFonts w:hint="eastAsia"/>
                <w:sz w:val="18"/>
                <w:szCs w:val="18"/>
              </w:rPr>
              <w:t>19</w:t>
            </w:r>
          </w:p>
        </w:tc>
      </w:tr>
      <w:tr>
        <w:tblPrEx>
          <w:tblCellMar>
            <w:top w:w="15" w:type="dxa"/>
            <w:left w:w="15" w:type="dxa"/>
            <w:bottom w:w="15" w:type="dxa"/>
            <w:right w:w="15" w:type="dxa"/>
          </w:tblCellMar>
        </w:tblPrEx>
        <w:trPr>
          <w:wBefore w:w="0" w:type="dxa"/>
          <w:wAfter w:w="0" w:type="dxa"/>
          <w:trHeight w:val="190" w:hRule="atLeast"/>
          <w:jc w:val="center"/>
        </w:trPr>
        <w:tc>
          <w:tcPr>
            <w:tcW w:w="98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jc w:val="center"/>
              <w:textAlignment w:val="center"/>
              <w:rPr>
                <w:rFonts w:ascii="宋体" w:hAnsi="宋体" w:cs="宋体"/>
                <w:sz w:val="18"/>
                <w:szCs w:val="18"/>
              </w:rPr>
            </w:pPr>
            <w:r>
              <w:rPr>
                <w:rFonts w:hint="eastAsia" w:ascii="宋体" w:hAnsi="宋体" w:cs="宋体"/>
                <w:sz w:val="18"/>
                <w:szCs w:val="18"/>
              </w:rPr>
              <w:t>2</w:t>
            </w:r>
          </w:p>
        </w:tc>
        <w:tc>
          <w:tcPr>
            <w:tcW w:w="1134"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left"/>
              <w:textAlignment w:val="center"/>
              <w:rPr>
                <w:rFonts w:ascii="宋体" w:hAnsi="宋体" w:cs="宋体"/>
                <w:sz w:val="18"/>
                <w:szCs w:val="18"/>
              </w:rPr>
            </w:pPr>
            <w:r>
              <w:rPr>
                <w:rFonts w:hint="eastAsia" w:ascii="宋体" w:hAnsi="宋体" w:cs="宋体"/>
                <w:sz w:val="18"/>
                <w:szCs w:val="18"/>
              </w:rPr>
              <w:t>第三方检测费用</w:t>
            </w:r>
          </w:p>
        </w:tc>
        <w:tc>
          <w:tcPr>
            <w:tcW w:w="628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left"/>
              <w:rPr>
                <w:rFonts w:ascii="宋体" w:hAnsi="宋体" w:cs="宋体"/>
                <w:sz w:val="18"/>
                <w:szCs w:val="18"/>
              </w:rPr>
            </w:pPr>
          </w:p>
        </w:tc>
        <w:tc>
          <w:tcPr>
            <w:tcW w:w="56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textAlignment w:val="center"/>
              <w:rPr>
                <w:rFonts w:ascii="宋体" w:hAnsi="宋体" w:cs="宋体"/>
                <w:kern w:val="0"/>
                <w:sz w:val="18"/>
                <w:szCs w:val="18"/>
                <w:lang w:bidi="ar"/>
              </w:rPr>
            </w:pPr>
            <w:r>
              <w:rPr>
                <w:rFonts w:hint="eastAsia" w:ascii="宋体" w:hAnsi="宋体" w:cs="宋体"/>
                <w:kern w:val="0"/>
                <w:sz w:val="18"/>
                <w:szCs w:val="18"/>
                <w:lang w:bidi="ar"/>
              </w:rPr>
              <w:t>项</w:t>
            </w:r>
          </w:p>
        </w:tc>
        <w:tc>
          <w:tcPr>
            <w:tcW w:w="62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textAlignment w:val="center"/>
              <w:rPr>
                <w:sz w:val="18"/>
                <w:szCs w:val="18"/>
              </w:rPr>
            </w:pPr>
            <w:r>
              <w:rPr>
                <w:rFonts w:hint="eastAsia"/>
                <w:sz w:val="18"/>
                <w:szCs w:val="18"/>
              </w:rPr>
              <w:t>1</w:t>
            </w:r>
          </w:p>
        </w:tc>
      </w:tr>
    </w:tbl>
    <w:p>
      <w:pPr>
        <w:autoSpaceDE w:val="0"/>
        <w:autoSpaceDN w:val="0"/>
        <w:adjustRightInd w:val="0"/>
        <w:spacing w:line="360" w:lineRule="auto"/>
        <w:rPr>
          <w:rFonts w:hint="eastAsia" w:ascii="宋体" w:hAnsi="宋体"/>
          <w:b/>
          <w:szCs w:val="21"/>
          <w:lang w:val="zh-CN"/>
        </w:rPr>
      </w:pPr>
      <w:r>
        <w:rPr>
          <w:rFonts w:hint="eastAsia" w:ascii="宋体" w:hAnsi="宋体"/>
          <w:b/>
          <w:szCs w:val="21"/>
          <w:lang w:val="zh-CN"/>
        </w:rPr>
        <w:t>注：以上标明的技术参数均是为了满足无缝接入柯桥区交警大队智能交通综合管控平台、交通信号控制系统intellific平台；确保项目的顺利实施，欢迎同等性能产品参加投标。</w:t>
      </w:r>
      <w:bookmarkStart w:id="99" w:name="_Toc521530788"/>
      <w:bookmarkStart w:id="100" w:name="_Toc495130016"/>
    </w:p>
    <w:p>
      <w:pPr>
        <w:autoSpaceDE w:val="0"/>
        <w:autoSpaceDN w:val="0"/>
        <w:adjustRightInd w:val="0"/>
        <w:spacing w:line="360" w:lineRule="auto"/>
        <w:rPr>
          <w:rFonts w:hint="eastAsia" w:ascii="宋体" w:hAnsi="宋体"/>
          <w:b/>
          <w:sz w:val="24"/>
          <w:szCs w:val="21"/>
          <w:lang w:val="zh-CN"/>
        </w:rPr>
      </w:pPr>
      <w:r>
        <w:rPr>
          <w:rFonts w:hint="eastAsia" w:ascii="宋体" w:hAnsi="宋体" w:cs="宋体"/>
          <w:b/>
          <w:sz w:val="24"/>
        </w:rPr>
        <w:t>12.4土建工程施工要求</w:t>
      </w:r>
      <w:bookmarkEnd w:id="99"/>
      <w:bookmarkEnd w:id="100"/>
    </w:p>
    <w:p>
      <w:pPr>
        <w:pStyle w:val="63"/>
        <w:ind w:firstLine="480"/>
      </w:pPr>
      <w:r>
        <w:rPr>
          <w:rFonts w:hint="eastAsia"/>
        </w:rPr>
        <w:t>1、中标人在开挖前应事先通知业主</w:t>
      </w:r>
      <w:r>
        <w:t>/</w:t>
      </w:r>
      <w:r>
        <w:rPr>
          <w:rFonts w:hint="eastAsia"/>
        </w:rPr>
        <w:t>监理。未得到业主</w:t>
      </w:r>
      <w:r>
        <w:t>/</w:t>
      </w:r>
      <w:r>
        <w:rPr>
          <w:rFonts w:hint="eastAsia"/>
        </w:rPr>
        <w:t>监理允许，相邻地面不能破坏。管道和基础的开挖应按照招标中所示线型、坡度和标高或按业主</w:t>
      </w:r>
      <w:r>
        <w:t>/</w:t>
      </w:r>
      <w:r>
        <w:rPr>
          <w:rFonts w:hint="eastAsia"/>
        </w:rPr>
        <w:t>工程师的要求施工。沥青路面破路施工时，回填先用碎石夯实垫底，过路镀锌钢管用</w:t>
      </w:r>
      <w:r>
        <w:t>C25</w:t>
      </w:r>
      <w:r>
        <w:rPr>
          <w:rFonts w:hint="eastAsia"/>
        </w:rPr>
        <w:t>水泥混凝土做砼，碎石夯实回填至原路面下</w:t>
      </w:r>
      <w:r>
        <w:t>7-10cm</w:t>
      </w:r>
      <w:r>
        <w:rPr>
          <w:rFonts w:hint="eastAsia"/>
        </w:rPr>
        <w:t>，然后用沥青回填，夯实。</w:t>
      </w:r>
    </w:p>
    <w:p>
      <w:pPr>
        <w:pStyle w:val="63"/>
        <w:ind w:firstLine="480"/>
      </w:pPr>
      <w:r>
        <w:rPr>
          <w:rFonts w:hint="eastAsia"/>
        </w:rPr>
        <w:t>2、除非图纸另有指定，所有信号灯柱基础混凝土为</w:t>
      </w:r>
      <w:r>
        <w:t>25</w:t>
      </w:r>
      <w:r>
        <w:rPr>
          <w:rFonts w:hint="eastAsia"/>
        </w:rPr>
        <w:t>＃砼以上。其中水泥为</w:t>
      </w:r>
      <w:r>
        <w:t>425</w:t>
      </w:r>
      <w:r>
        <w:rPr>
          <w:rFonts w:hint="eastAsia"/>
        </w:rPr>
        <w:t>＃普通硅酸盐水泥。混凝土的配比和最小水泥用量应符合</w:t>
      </w:r>
      <w:r>
        <w:t>GBJ204-83</w:t>
      </w:r>
      <w:r>
        <w:rPr>
          <w:rFonts w:hint="eastAsia"/>
        </w:rPr>
        <w:t>的规定。</w:t>
      </w:r>
    </w:p>
    <w:p>
      <w:pPr>
        <w:pStyle w:val="63"/>
        <w:ind w:firstLine="480"/>
      </w:pPr>
      <w:r>
        <w:rPr>
          <w:rFonts w:hint="eastAsia"/>
        </w:rPr>
        <w:t>3、预埋件地脚螺栓法兰盘以上的螺纹必须包扎好，以防损坏螺纹。根据预埋件安装图正确放置预埋件，保证悬臂立杆的方向与行车道垂直。</w:t>
      </w:r>
    </w:p>
    <w:p>
      <w:pPr>
        <w:pStyle w:val="63"/>
        <w:ind w:firstLine="480"/>
      </w:pPr>
      <w:r>
        <w:rPr>
          <w:rFonts w:hint="eastAsia"/>
        </w:rPr>
        <w:t>4、立杆基础的混凝土浇注面平整度＜</w:t>
      </w:r>
      <w:r>
        <w:t>5</w:t>
      </w:r>
      <w:r>
        <w:rPr>
          <w:rFonts w:hint="eastAsia"/>
        </w:rPr>
        <w:t>㎜</w:t>
      </w:r>
      <w:r>
        <w:t>/ m</w:t>
      </w:r>
      <w:r>
        <w:rPr>
          <w:rFonts w:hint="eastAsia"/>
        </w:rPr>
        <w:t>。预埋件法兰盘低于周围地面</w:t>
      </w:r>
      <w:r>
        <w:t>50</w:t>
      </w:r>
      <w:r>
        <w:rPr>
          <w:rFonts w:hint="eastAsia"/>
        </w:rPr>
        <w:t>～</w:t>
      </w:r>
      <w:r>
        <w:t>80</w:t>
      </w:r>
      <w:r>
        <w:rPr>
          <w:rFonts w:hint="eastAsia"/>
        </w:rPr>
        <w:t>㎜或高出周围地面</w:t>
      </w:r>
      <w:r>
        <w:t>100</w:t>
      </w:r>
      <w:r>
        <w:rPr>
          <w:rFonts w:hint="eastAsia"/>
        </w:rPr>
        <w:t>～</w:t>
      </w:r>
      <w:r>
        <w:t>300</w:t>
      </w:r>
      <w:r>
        <w:rPr>
          <w:rFonts w:hint="eastAsia"/>
        </w:rPr>
        <w:t>㎜（适用铺设广场砖）以防止积水。</w:t>
      </w:r>
    </w:p>
    <w:p>
      <w:pPr>
        <w:pStyle w:val="63"/>
        <w:ind w:firstLine="480"/>
      </w:pPr>
      <w:r>
        <w:rPr>
          <w:rFonts w:hint="eastAsia"/>
        </w:rPr>
        <w:t>5、地下铺设的电缆不得有接头，每根电缆线应留有</w:t>
      </w:r>
      <w:r>
        <w:t>4 m</w:t>
      </w:r>
      <w:r>
        <w:rPr>
          <w:rFonts w:hint="eastAsia"/>
        </w:rPr>
        <w:t>余量。</w:t>
      </w:r>
    </w:p>
    <w:p>
      <w:pPr>
        <w:pStyle w:val="63"/>
        <w:ind w:firstLine="480"/>
      </w:pPr>
      <w:r>
        <w:rPr>
          <w:rFonts w:hint="eastAsia"/>
        </w:rPr>
        <w:t>6、电缆沟的宽度≮</w:t>
      </w:r>
      <w:r>
        <w:t>500</w:t>
      </w:r>
      <w:r>
        <w:rPr>
          <w:rFonts w:hint="eastAsia"/>
        </w:rPr>
        <w:t>㎜或以上当地市政要求为准，深度以电缆穿线套管理置后其顶部距路面的距离≮</w:t>
      </w:r>
      <w:r>
        <w:t>450</w:t>
      </w:r>
      <w:r>
        <w:rPr>
          <w:rFonts w:hint="eastAsia"/>
        </w:rPr>
        <w:t>㎜为准。电缆沟要求尽量平直，或略呈倒“</w:t>
      </w:r>
      <w:r>
        <w:t>U</w:t>
      </w:r>
      <w:r>
        <w:rPr>
          <w:rFonts w:hint="eastAsia"/>
        </w:rPr>
        <w:t>”字型。电缆沟底部要求平整，所有碎屑干净并填上</w:t>
      </w:r>
      <w:r>
        <w:t>50</w:t>
      </w:r>
      <w:r>
        <w:rPr>
          <w:rFonts w:hint="eastAsia"/>
        </w:rPr>
        <w:t>～</w:t>
      </w:r>
      <w:r>
        <w:t>80</w:t>
      </w:r>
      <w:r>
        <w:rPr>
          <w:rFonts w:hint="eastAsia"/>
        </w:rPr>
        <w:t>㎜的细软沙土。不设窨井的拐弯处线管的圆角半径要求量大（</w:t>
      </w:r>
      <w:r>
        <w:t>R</w:t>
      </w:r>
      <w:r>
        <w:rPr>
          <w:rFonts w:hint="eastAsia"/>
        </w:rPr>
        <w:t>≮</w:t>
      </w:r>
      <w:r>
        <w:t>20D</w:t>
      </w:r>
      <w:r>
        <w:rPr>
          <w:rFonts w:hint="eastAsia"/>
        </w:rPr>
        <w:t>。㎜，</w:t>
      </w:r>
      <w:r>
        <w:t>D</w:t>
      </w:r>
      <w:r>
        <w:rPr>
          <w:rFonts w:hint="eastAsia"/>
        </w:rPr>
        <w:t>。为电缆外径），且线管转向应圆滑、流畅。</w:t>
      </w:r>
    </w:p>
    <w:p>
      <w:pPr>
        <w:pStyle w:val="63"/>
        <w:ind w:firstLine="480"/>
      </w:pPr>
      <w:r>
        <w:t xml:space="preserve"> </w:t>
      </w:r>
      <w:r>
        <w:rPr>
          <w:rFonts w:hint="eastAsia"/>
        </w:rPr>
        <w:t>7、机动车道的电缆沟修复应用</w:t>
      </w:r>
      <w:r>
        <w:t>25</w:t>
      </w:r>
      <w:r>
        <w:rPr>
          <w:rFonts w:hint="eastAsia"/>
        </w:rPr>
        <w:t>＃以上的混凝土修复，修复后的高度应高出</w:t>
      </w:r>
      <w:r>
        <w:t>0</w:t>
      </w:r>
      <w:r>
        <w:rPr>
          <w:rFonts w:hint="eastAsia"/>
        </w:rPr>
        <w:t>～</w:t>
      </w:r>
      <w:r>
        <w:t>5</w:t>
      </w:r>
      <w:r>
        <w:rPr>
          <w:rFonts w:hint="eastAsia"/>
        </w:rPr>
        <w:t>㎜，行人道和绿化带上的电缆沟，应按原地貌修复。使用硬质塑料管做电缆管时，管的周围应有</w:t>
      </w:r>
      <w:r>
        <w:t>30</w:t>
      </w:r>
      <w:r>
        <w:rPr>
          <w:rFonts w:hint="eastAsia"/>
        </w:rPr>
        <w:t>～</w:t>
      </w:r>
      <w:r>
        <w:t>50</w:t>
      </w:r>
      <w:r>
        <w:rPr>
          <w:rFonts w:hint="eastAsia"/>
        </w:rPr>
        <w:t>㎜的混凝土的保护层。</w:t>
      </w:r>
    </w:p>
    <w:p>
      <w:pPr>
        <w:pStyle w:val="63"/>
        <w:ind w:firstLine="480"/>
      </w:pPr>
      <w:r>
        <w:t xml:space="preserve"> </w:t>
      </w:r>
      <w:r>
        <w:rPr>
          <w:rFonts w:hint="eastAsia"/>
        </w:rPr>
        <w:t>8、主控制机旁设置窨井。窨井的内围尺寸要求为</w:t>
      </w:r>
      <w:r>
        <w:t>400</w:t>
      </w:r>
      <w:r>
        <w:rPr>
          <w:rFonts w:hint="eastAsia"/>
        </w:rPr>
        <w:t>（长）×</w:t>
      </w:r>
      <w:r>
        <w:t>400</w:t>
      </w:r>
      <w:r>
        <w:rPr>
          <w:rFonts w:hint="eastAsia"/>
        </w:rPr>
        <w:t>（宽）×</w:t>
      </w:r>
      <w:r>
        <w:t>700</w:t>
      </w:r>
      <w:r>
        <w:rPr>
          <w:rFonts w:hint="eastAsia"/>
        </w:rPr>
        <w:t>（深）㎜，井底呈“</w:t>
      </w:r>
      <w:r>
        <w:t>V</w:t>
      </w:r>
      <w:r>
        <w:rPr>
          <w:rFonts w:hint="eastAsia"/>
        </w:rPr>
        <w:t>”字型，井底中心位置垂直埋置一段</w:t>
      </w:r>
      <w:r>
        <w:t>200</w:t>
      </w:r>
      <w:r>
        <w:rPr>
          <w:rFonts w:hint="eastAsia"/>
        </w:rPr>
        <w:t>㎜的</w:t>
      </w:r>
      <w:r>
        <w:t>2</w:t>
      </w:r>
      <w:r>
        <w:rPr>
          <w:rFonts w:hint="eastAsia"/>
        </w:rPr>
        <w:t>寸镀锌管，作为渗水孔用；窨井四壁及底部（除渗水孔外）必须批荡水泥沙浆。渗水孔面应略低于底部</w:t>
      </w:r>
      <w:r>
        <w:t>5</w:t>
      </w:r>
      <w:r>
        <w:rPr>
          <w:rFonts w:hint="eastAsia"/>
        </w:rPr>
        <w:t>㎜以方便渗水。</w:t>
      </w:r>
    </w:p>
    <w:p>
      <w:pPr>
        <w:pStyle w:val="63"/>
        <w:ind w:firstLine="480"/>
      </w:pPr>
      <w:r>
        <w:t xml:space="preserve"> </w:t>
      </w:r>
      <w:r>
        <w:rPr>
          <w:rFonts w:hint="eastAsia"/>
        </w:rPr>
        <w:t>9、控制机柜适当提高，防止浸水。抬高高度≮</w:t>
      </w:r>
      <w:r>
        <w:t>300</w:t>
      </w:r>
      <w:r>
        <w:rPr>
          <w:rFonts w:hint="eastAsia"/>
        </w:rPr>
        <w:t>㎜，机柜基础与旁边最近窨井之间用管径</w:t>
      </w:r>
      <w:r>
        <w:t>3</w:t>
      </w:r>
      <w:r>
        <w:rPr>
          <w:rFonts w:hint="eastAsia"/>
        </w:rPr>
        <w:t>寸或</w:t>
      </w:r>
      <w:r>
        <w:t>4</w:t>
      </w:r>
      <w:r>
        <w:rPr>
          <w:rFonts w:hint="eastAsia"/>
        </w:rPr>
        <w:t>寸的电缆管线连接。基础内部的电缆管周围必须用混凝土填实；主电源线必须经窨井进入控制机柜。</w:t>
      </w:r>
    </w:p>
    <w:p>
      <w:pPr>
        <w:pStyle w:val="63"/>
        <w:ind w:firstLine="600" w:firstLineChars="250"/>
        <w:rPr>
          <w:rFonts w:hint="eastAsia"/>
        </w:rPr>
      </w:pPr>
      <w:r>
        <w:rPr>
          <w:rFonts w:hint="eastAsia"/>
        </w:rPr>
        <w:t>10、预埋管及电缆要符合国家规范要求自行计算。</w:t>
      </w:r>
      <w:bookmarkStart w:id="101" w:name="_Toc521530789"/>
      <w:bookmarkStart w:id="102" w:name="_Toc495130017"/>
    </w:p>
    <w:p>
      <w:pPr>
        <w:pStyle w:val="63"/>
        <w:ind w:firstLineChars="83"/>
        <w:rPr>
          <w:rFonts w:hint="eastAsia"/>
          <w:b/>
        </w:rPr>
      </w:pPr>
      <w:r>
        <w:rPr>
          <w:rFonts w:hint="eastAsia" w:cs="宋体"/>
          <w:b/>
        </w:rPr>
        <w:t>12.5其他要求</w:t>
      </w:r>
      <w:bookmarkEnd w:id="101"/>
      <w:bookmarkEnd w:id="102"/>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、本项目不组织供应商集中勘察点位情况，供应商自行勘察现场确定施工方案。</w:t>
      </w:r>
      <w:r>
        <w:rPr>
          <w:rFonts w:hint="eastAsia" w:ascii="宋体" w:hAnsi="宋体" w:cs="宋体"/>
          <w:b/>
          <w:bCs/>
          <w:sz w:val="24"/>
        </w:rPr>
        <w:t>施工过程中的不可预见费等，供应商在投标报价中自行考虑，结算时不作调整。</w:t>
      </w:r>
    </w:p>
    <w:p>
      <w:pPr>
        <w:spacing w:line="360" w:lineRule="auto"/>
        <w:ind w:firstLine="420" w:firstLineChars="200"/>
        <w:rPr>
          <w:rFonts w:hint="eastAsia" w:ascii="宋体" w:hAnsi="宋体" w:cs="宋体"/>
          <w:sz w:val="24"/>
        </w:rPr>
      </w:pPr>
      <w:r>
        <w:rPr>
          <w:rFonts w:hint="eastAsia"/>
        </w:rPr>
        <w:t>▲</w:t>
      </w:r>
      <w:r>
        <w:rPr>
          <w:rFonts w:hint="eastAsia" w:ascii="宋体" w:hAnsi="宋体" w:cs="宋体"/>
          <w:sz w:val="24"/>
        </w:rPr>
        <w:t>2、无缝接入柯桥区交警大队现有的“交通信号控制系统intellific平台”，“智能交通综合管控平台”，“柯桥区公安交警指挥平台”。（投标时须承诺中标后公示期间提供柯桥区交警大队的用户证明原件，中标供应商未在规定时间内提供用户证明原件的，采购人有权取消其中标资格）。</w:t>
      </w:r>
    </w:p>
    <w:p>
      <w:pPr>
        <w:spacing w:line="360" w:lineRule="auto"/>
        <w:ind w:firstLine="482" w:firstLineChars="200"/>
        <w:rPr>
          <w:rFonts w:hint="eastAsia" w:ascii="宋体" w:hAnsi="宋体" w:cs="宋体"/>
          <w:b/>
          <w:bCs/>
          <w:sz w:val="24"/>
        </w:rPr>
      </w:pPr>
      <w:r>
        <w:rPr>
          <w:rFonts w:hint="eastAsia" w:ascii="宋体" w:hAnsi="宋体" w:cs="宋体"/>
          <w:b/>
          <w:bCs/>
          <w:sz w:val="24"/>
        </w:rPr>
        <w:t>3、中标单位在公示期间须提供针对本项目的信号控制机生产厂家出具的授权书及售后服务承诺函原件，未在规定时间内提供的取消其中标资格并没收投标保证金。</w:t>
      </w:r>
    </w:p>
    <w:p>
      <w:pPr>
        <w:spacing w:line="360" w:lineRule="auto"/>
        <w:ind w:firstLine="480" w:firstLineChars="200"/>
        <w:rPr>
          <w:rFonts w:ascii="宋体" w:cs="宋体"/>
          <w:sz w:val="24"/>
        </w:rPr>
      </w:pPr>
      <w:r>
        <w:rPr>
          <w:rFonts w:hint="eastAsia" w:ascii="宋体" w:hAnsi="宋体" w:cs="宋体"/>
          <w:sz w:val="24"/>
        </w:rPr>
        <w:t>4、本次投标设备清单及数量严格按照报价明细表要求。</w:t>
      </w:r>
    </w:p>
    <w:p>
      <w:pPr>
        <w:spacing w:line="360" w:lineRule="auto"/>
        <w:ind w:firstLine="480" w:firstLineChars="200"/>
        <w:rPr>
          <w:rFonts w:hint="eastAsia" w:ascii="宋体" w:hAnsi="宋体" w:cs="宋体"/>
          <w:sz w:val="24"/>
        </w:rPr>
      </w:pPr>
      <w:r>
        <w:rPr>
          <w:rFonts w:hint="eastAsia" w:ascii="宋体" w:hAnsi="宋体" w:cs="宋体"/>
          <w:sz w:val="24"/>
        </w:rPr>
        <w:t>5、本项目投标方应慎重选择供货厂家，借鉴以往项目的成功实施经验，投标采用的智能交通产品要与大队前期已建成的</w:t>
      </w:r>
      <w:r>
        <w:rPr>
          <w:rFonts w:hint="eastAsia" w:ascii="宋体" w:hAnsi="宋体"/>
          <w:sz w:val="24"/>
        </w:rPr>
        <w:t>智能交通</w:t>
      </w:r>
      <w:r>
        <w:rPr>
          <w:rFonts w:hint="eastAsia" w:ascii="宋体" w:hAnsi="宋体" w:cs="宋体"/>
          <w:sz w:val="24"/>
        </w:rPr>
        <w:t>设备兼容，</w:t>
      </w:r>
      <w:r>
        <w:rPr>
          <w:rFonts w:hint="eastAsia" w:ascii="宋体" w:hAnsi="宋体"/>
          <w:sz w:val="24"/>
        </w:rPr>
        <w:t>智能交通</w:t>
      </w:r>
      <w:r>
        <w:rPr>
          <w:rFonts w:hint="eastAsia" w:ascii="宋体" w:hAnsi="宋体" w:cs="宋体"/>
          <w:sz w:val="24"/>
        </w:rPr>
        <w:t>设备核心部件及备品备件与已建成系统可以兼容互换，最大限度提高设备部件利用率，降低后期项目维护成本。</w:t>
      </w:r>
    </w:p>
    <w:p>
      <w:pPr>
        <w:spacing w:line="360" w:lineRule="auto"/>
        <w:ind w:firstLine="480"/>
        <w:jc w:val="left"/>
        <w:rPr>
          <w:rFonts w:hint="eastAsia" w:ascii="宋体" w:hAnsi="宋体" w:cs="宋体"/>
          <w:sz w:val="24"/>
        </w:rPr>
      </w:pPr>
      <w:r>
        <w:rPr>
          <w:rFonts w:hint="eastAsia" w:ascii="宋体" w:hAnsi="宋体" w:cs="宋体"/>
          <w:sz w:val="24"/>
        </w:rPr>
        <w:t>6、本项目最终须由工程质量检测机构按国家或行业验收标准进行第三方检测（要求为100%全检），第三方权威检测机构须经采购人认可，同时第三方权威检测机构出具的检测报告作为验收条件。供应商应充分考虑系统规模所发生的检测费用，检测费用的确定不排除以第三方检测机构的有关文件进行收费，此费用应包含在投标总价中，均由中标单位承担。</w:t>
      </w:r>
    </w:p>
    <w:p>
      <w:pPr>
        <w:spacing w:line="600" w:lineRule="exact"/>
        <w:jc w:val="center"/>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480" w:lineRule="auto"/>
        <w:rPr>
          <w:rFonts w:hint="eastAsia" w:ascii="宋体" w:hAnsi="宋体"/>
          <w:spacing w:val="20"/>
          <w:sz w:val="24"/>
        </w:rPr>
      </w:pPr>
    </w:p>
    <w:p>
      <w:pPr>
        <w:pStyle w:val="2"/>
        <w:numPr>
          <w:ilvl w:val="0"/>
          <w:numId w:val="0"/>
        </w:numPr>
        <w:spacing w:after="0" w:line="240" w:lineRule="auto"/>
        <w:jc w:val="center"/>
        <w:rPr>
          <w:rFonts w:hint="eastAsia" w:ascii="宋体" w:hAnsi="宋体"/>
          <w:b w:val="0"/>
        </w:rPr>
      </w:pPr>
      <w:bookmarkStart w:id="103" w:name="_Toc25259"/>
      <w:r>
        <w:rPr>
          <w:rFonts w:hint="eastAsia" w:ascii="宋体" w:hAnsi="宋体"/>
          <w:b w:val="0"/>
        </w:rPr>
        <w:t>附件十三：</w:t>
      </w:r>
      <w:bookmarkStart w:id="104" w:name="_Toc386486784"/>
      <w:r>
        <w:rPr>
          <w:rFonts w:hint="eastAsia" w:ascii="宋体" w:hAnsi="宋体"/>
          <w:b w:val="0"/>
        </w:rPr>
        <w:t>评标办法</w:t>
      </w:r>
      <w:bookmarkEnd w:id="103"/>
      <w:bookmarkEnd w:id="104"/>
    </w:p>
    <w:p>
      <w:pPr>
        <w:spacing w:line="440" w:lineRule="exact"/>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根据《中华人民共和国政府采购法》等有关法律法规，结合本项目的实际，按照公正、公平、科学的原则择优选择中标供应商，特制定本评标办法。</w:t>
      </w:r>
    </w:p>
    <w:p>
      <w:pPr>
        <w:spacing w:line="360" w:lineRule="auto"/>
        <w:ind w:firstLine="480" w:firstLineChars="200"/>
        <w:rPr>
          <w:rFonts w:ascii="宋体" w:hAnsi="宋体"/>
          <w:sz w:val="24"/>
        </w:rPr>
      </w:pPr>
      <w:r>
        <w:rPr>
          <w:rFonts w:hint="eastAsia" w:ascii="宋体" w:hAnsi="宋体"/>
          <w:sz w:val="24"/>
        </w:rPr>
        <w:t>一、总</w:t>
      </w:r>
      <w:r>
        <w:rPr>
          <w:rFonts w:ascii="宋体" w:hAnsi="宋体"/>
          <w:sz w:val="24"/>
        </w:rPr>
        <w:t xml:space="preserve"> </w:t>
      </w:r>
      <w:r>
        <w:rPr>
          <w:rFonts w:hint="eastAsia" w:ascii="宋体" w:hAnsi="宋体"/>
          <w:sz w:val="24"/>
        </w:rPr>
        <w:t>则</w:t>
      </w:r>
    </w:p>
    <w:p>
      <w:pPr>
        <w:spacing w:line="360" w:lineRule="auto"/>
        <w:ind w:firstLine="480" w:firstLineChars="200"/>
        <w:rPr>
          <w:rFonts w:ascii="宋体" w:hAnsi="宋体"/>
          <w:sz w:val="24"/>
        </w:rPr>
      </w:pPr>
      <w:r>
        <w:rPr>
          <w:rFonts w:hint="eastAsia" w:ascii="宋体" w:hAnsi="宋体"/>
          <w:sz w:val="24"/>
        </w:rPr>
        <w:t>评标工作必须遵循公平、公正的竞争原则。最大限度地保护当事人的权益，评标委员会应严格按照采购文件的</w:t>
      </w:r>
      <w:r>
        <w:rPr>
          <w:rFonts w:hint="eastAsia" w:ascii="宋体" w:hAnsi="宋体"/>
          <w:sz w:val="24"/>
          <w:u w:val="single"/>
        </w:rPr>
        <w:t>商务标、技术标、价格标</w:t>
      </w:r>
      <w:r>
        <w:rPr>
          <w:rFonts w:hint="eastAsia" w:ascii="宋体" w:hAnsi="宋体"/>
          <w:sz w:val="24"/>
        </w:rPr>
        <w:t>要求，对投标文件进行综合分析评价。评标人员必须严格遵守保密规定，不得泄露评标有关的情况，不得索贿，不得参加影响评标的任何活动。</w:t>
      </w:r>
    </w:p>
    <w:p>
      <w:pPr>
        <w:spacing w:line="360" w:lineRule="auto"/>
        <w:ind w:firstLine="480" w:firstLineChars="200"/>
        <w:rPr>
          <w:rFonts w:ascii="宋体" w:hAnsi="宋体"/>
          <w:sz w:val="24"/>
        </w:rPr>
      </w:pPr>
      <w:r>
        <w:rPr>
          <w:rFonts w:hint="eastAsia" w:ascii="宋体" w:hAnsi="宋体"/>
          <w:sz w:val="24"/>
        </w:rPr>
        <w:t>二、评标组织</w:t>
      </w:r>
    </w:p>
    <w:p>
      <w:pPr>
        <w:spacing w:line="360" w:lineRule="auto"/>
        <w:ind w:firstLine="480" w:firstLineChars="200"/>
        <w:rPr>
          <w:rFonts w:ascii="宋体" w:hAnsi="宋体"/>
          <w:sz w:val="24"/>
        </w:rPr>
      </w:pPr>
      <w:r>
        <w:rPr>
          <w:rFonts w:hint="eastAsia" w:ascii="宋体" w:hAnsi="宋体"/>
          <w:sz w:val="24"/>
        </w:rPr>
        <w:t>评标委员会：评标委员会按相关规定共由</w:t>
      </w:r>
      <w:r>
        <w:rPr>
          <w:rFonts w:ascii="宋体" w:hAnsi="宋体"/>
          <w:sz w:val="24"/>
        </w:rPr>
        <w:t>5</w:t>
      </w:r>
      <w:r>
        <w:rPr>
          <w:rFonts w:hint="eastAsia" w:ascii="宋体" w:hAnsi="宋体"/>
          <w:sz w:val="24"/>
        </w:rPr>
        <w:t>人及以上单数组成。</w:t>
      </w:r>
    </w:p>
    <w:p>
      <w:pPr>
        <w:spacing w:line="360" w:lineRule="auto"/>
        <w:ind w:firstLine="480" w:firstLineChars="200"/>
        <w:rPr>
          <w:rFonts w:ascii="宋体" w:hAnsi="宋体"/>
          <w:sz w:val="24"/>
        </w:rPr>
      </w:pPr>
      <w:r>
        <w:rPr>
          <w:rFonts w:hint="eastAsia" w:ascii="宋体" w:hAnsi="宋体"/>
          <w:sz w:val="24"/>
        </w:rPr>
        <w:t>三、评标程序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采用综合评分法，评标委员会委员将根据供应商的商务标、技术标等内容对投标文件进行分析、评议、打分，如有疑问，将对供应商进行询标，供应商要向评标委员会澄清有关问题，并最终以书面形式进行答复。商务标、技术标评审结束后，依次开价格标，评标委员会委员审核价格标，并计算分值。</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、具体评审步骤和方法：</w:t>
      </w:r>
    </w:p>
    <w:p>
      <w:pPr>
        <w:spacing w:line="360" w:lineRule="auto"/>
        <w:ind w:firstLine="480" w:firstLineChars="200"/>
        <w:rPr>
          <w:rFonts w:ascii="宋体" w:hAnsi="宋体"/>
          <w:sz w:val="24"/>
        </w:rPr>
      </w:pPr>
      <w:r>
        <w:rPr>
          <w:rFonts w:hint="eastAsia" w:ascii="宋体" w:hAnsi="宋体"/>
          <w:sz w:val="24"/>
        </w:rPr>
        <w:t>①第一步，由评标委员会对通过资格审查的供应商的商务标、技术标进行评审打分。评审打分完成后向供应商公布商务标、技术标分值。</w:t>
      </w:r>
    </w:p>
    <w:p>
      <w:pPr>
        <w:spacing w:line="360" w:lineRule="auto"/>
        <w:ind w:firstLine="480" w:firstLineChars="200"/>
        <w:rPr>
          <w:rFonts w:ascii="宋体" w:hAnsi="宋体"/>
          <w:sz w:val="24"/>
        </w:rPr>
      </w:pPr>
      <w:r>
        <w:rPr>
          <w:rFonts w:hint="eastAsia" w:ascii="宋体" w:hAnsi="宋体"/>
          <w:sz w:val="24"/>
        </w:rPr>
        <w:t>②第二步，开启价格标，对各供应商的价格标由评标委员会统一评审进行计算评分。</w:t>
      </w:r>
    </w:p>
    <w:p>
      <w:pPr>
        <w:spacing w:line="360" w:lineRule="auto"/>
        <w:ind w:firstLine="480" w:firstLineChars="200"/>
        <w:rPr>
          <w:rFonts w:ascii="宋体" w:hAnsi="宋体"/>
          <w:sz w:val="24"/>
        </w:rPr>
      </w:pPr>
      <w:r>
        <w:rPr>
          <w:rFonts w:hint="eastAsia" w:ascii="宋体" w:hAnsi="宋体"/>
          <w:sz w:val="24"/>
        </w:rPr>
        <w:t>③第三步，计算出各供应商的总得分。</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、编写评标报告。</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、根据中标结果在柯桥区公共资源交易中心指定的媒体上公示。</w:t>
      </w:r>
    </w:p>
    <w:p>
      <w:pPr>
        <w:spacing w:line="360" w:lineRule="auto"/>
        <w:ind w:firstLine="480" w:firstLineChars="200"/>
        <w:rPr>
          <w:rFonts w:ascii="宋体" w:hAnsi="宋体"/>
          <w:sz w:val="24"/>
        </w:rPr>
      </w:pPr>
      <w:r>
        <w:rPr>
          <w:rFonts w:hint="eastAsia" w:ascii="宋体" w:hAnsi="宋体"/>
          <w:sz w:val="24"/>
        </w:rPr>
        <w:t>四、评分项目说明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、商务分</w:t>
      </w:r>
      <w:r>
        <w:rPr>
          <w:rFonts w:ascii="宋体" w:hAnsi="宋体"/>
          <w:sz w:val="24"/>
        </w:rPr>
        <w:t>+</w:t>
      </w:r>
      <w:r>
        <w:rPr>
          <w:rFonts w:hint="eastAsia" w:ascii="宋体" w:hAnsi="宋体"/>
          <w:sz w:val="24"/>
        </w:rPr>
        <w:t>技术分</w:t>
      </w:r>
      <w:r>
        <w:rPr>
          <w:rFonts w:ascii="宋体" w:hAnsi="宋体"/>
          <w:sz w:val="24"/>
        </w:rPr>
        <w:t>+</w:t>
      </w:r>
      <w:r>
        <w:rPr>
          <w:rFonts w:hint="eastAsia" w:ascii="宋体" w:hAnsi="宋体"/>
          <w:sz w:val="24"/>
        </w:rPr>
        <w:t>价格分总分为</w:t>
      </w:r>
      <w:r>
        <w:rPr>
          <w:rFonts w:ascii="宋体" w:hAnsi="宋体"/>
          <w:sz w:val="24"/>
        </w:rPr>
        <w:t>100</w:t>
      </w:r>
      <w:r>
        <w:rPr>
          <w:rFonts w:hint="eastAsia" w:ascii="宋体" w:hAnsi="宋体"/>
          <w:sz w:val="24"/>
        </w:rPr>
        <w:t>分，评标委员会成员评分在得分栏中填上分值。</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sz w:val="24"/>
          <w:u w:val="single"/>
        </w:rPr>
        <w:t>商务标22</w:t>
      </w:r>
      <w:r>
        <w:rPr>
          <w:rFonts w:ascii="宋体" w:hAnsi="宋体"/>
          <w:sz w:val="24"/>
          <w:u w:val="single"/>
        </w:rPr>
        <w:t>%</w:t>
      </w:r>
      <w:r>
        <w:rPr>
          <w:rFonts w:hint="eastAsia" w:ascii="宋体" w:hAnsi="宋体"/>
          <w:sz w:val="24"/>
          <w:u w:val="single"/>
        </w:rPr>
        <w:t>，即满分22分，技术标48</w:t>
      </w:r>
      <w:r>
        <w:rPr>
          <w:rFonts w:ascii="宋体" w:hAnsi="宋体"/>
          <w:sz w:val="24"/>
          <w:u w:val="single"/>
        </w:rPr>
        <w:t>%</w:t>
      </w:r>
      <w:r>
        <w:rPr>
          <w:rFonts w:hint="eastAsia" w:ascii="宋体" w:hAnsi="宋体"/>
          <w:sz w:val="24"/>
          <w:u w:val="single"/>
        </w:rPr>
        <w:t>，即满分48分。</w:t>
      </w:r>
      <w:r>
        <w:rPr>
          <w:rFonts w:hint="eastAsia" w:ascii="宋体" w:hAnsi="宋体"/>
          <w:sz w:val="24"/>
        </w:rPr>
        <w:t>评标委员会成员按各供应商的商务标、技术标内容充分审核、讨论、评议后，按评分细则进行独立评判、打分。各供应商商务标、技术标的最终评分值为评标委员会各成员评分值的算术平均值。</w:t>
      </w:r>
    </w:p>
    <w:p>
      <w:pPr>
        <w:spacing w:line="360" w:lineRule="auto"/>
        <w:ind w:firstLine="480" w:firstLineChars="200"/>
        <w:rPr>
          <w:rFonts w:ascii="宋体" w:hAnsi="宋体"/>
          <w:sz w:val="24"/>
        </w:rPr>
      </w:pPr>
      <w:r>
        <w:rPr>
          <w:rFonts w:ascii="宋体" w:hAnsi="宋体"/>
          <w:sz w:val="24"/>
          <w:u w:val="single"/>
        </w:rPr>
        <w:t>3</w:t>
      </w:r>
      <w:r>
        <w:rPr>
          <w:rFonts w:hint="eastAsia" w:ascii="宋体" w:hAnsi="宋体"/>
          <w:sz w:val="24"/>
          <w:u w:val="single"/>
        </w:rPr>
        <w:t>、价格标30</w:t>
      </w:r>
      <w:r>
        <w:rPr>
          <w:rFonts w:ascii="宋体" w:hAnsi="宋体"/>
          <w:sz w:val="24"/>
          <w:u w:val="single"/>
        </w:rPr>
        <w:t>%</w:t>
      </w:r>
      <w:r>
        <w:rPr>
          <w:rFonts w:hint="eastAsia" w:ascii="宋体" w:hAnsi="宋体"/>
          <w:sz w:val="24"/>
          <w:u w:val="single"/>
        </w:rPr>
        <w:t>，即满分30分。</w:t>
      </w:r>
      <w:r>
        <w:rPr>
          <w:rFonts w:hint="eastAsia" w:ascii="宋体" w:hAnsi="宋体"/>
          <w:sz w:val="24"/>
        </w:rPr>
        <w:t>评标委员会成员按评分细则对各供应商的报价进行统一计算评分。</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、专家打分分值保留小数点后</w:t>
      </w:r>
      <w:r>
        <w:rPr>
          <w:rFonts w:ascii="宋体" w:hAnsi="宋体"/>
          <w:sz w:val="24"/>
        </w:rPr>
        <w:t>1</w:t>
      </w:r>
      <w:r>
        <w:rPr>
          <w:rFonts w:hint="eastAsia" w:ascii="宋体" w:hAnsi="宋体"/>
          <w:sz w:val="24"/>
        </w:rPr>
        <w:t>位。统计或计算分值时的精度最终精确到小数点后</w:t>
      </w:r>
      <w:r>
        <w:rPr>
          <w:rFonts w:ascii="宋体" w:hAnsi="宋体"/>
          <w:sz w:val="24"/>
        </w:rPr>
        <w:t>2</w:t>
      </w:r>
      <w:r>
        <w:rPr>
          <w:rFonts w:hint="eastAsia" w:ascii="宋体" w:hAnsi="宋体"/>
          <w:sz w:val="24"/>
        </w:rPr>
        <w:t>位。</w:t>
      </w:r>
    </w:p>
    <w:p>
      <w:pPr>
        <w:spacing w:line="360" w:lineRule="auto"/>
        <w:ind w:firstLine="480" w:firstLineChars="200"/>
        <w:rPr>
          <w:rFonts w:ascii="宋体" w:hAnsi="宋体"/>
          <w:sz w:val="24"/>
        </w:rPr>
      </w:pPr>
      <w:r>
        <w:rPr>
          <w:rFonts w:hint="eastAsia" w:ascii="宋体" w:hAnsi="宋体"/>
          <w:sz w:val="24"/>
        </w:rPr>
        <w:t>五、评分细则</w:t>
      </w:r>
    </w:p>
    <w:p>
      <w:pPr>
        <w:spacing w:line="440" w:lineRule="exact"/>
        <w:ind w:firstLine="480" w:firstLineChars="200"/>
        <w:rPr>
          <w:rFonts w:ascii="宋体" w:hAnsi="宋体"/>
          <w:sz w:val="24"/>
        </w:rPr>
      </w:pPr>
      <w:r>
        <w:rPr>
          <w:rFonts w:hint="eastAsia" w:ascii="宋体" w:hAnsi="宋体"/>
          <w:sz w:val="24"/>
        </w:rPr>
        <w:t>1、商务评分标准</w:t>
      </w:r>
      <w:r>
        <w:rPr>
          <w:rFonts w:hint="eastAsia" w:ascii="宋体" w:hAnsi="宋体"/>
          <w:sz w:val="24"/>
          <w:u w:val="single"/>
        </w:rPr>
        <w:t>（22分）</w:t>
      </w:r>
    </w:p>
    <w:tbl>
      <w:tblPr>
        <w:tblStyle w:val="4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14"/>
        <w:gridCol w:w="546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72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41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评标内容</w:t>
            </w:r>
          </w:p>
        </w:tc>
        <w:tc>
          <w:tcPr>
            <w:tcW w:w="5466"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评分项目</w:t>
            </w:r>
          </w:p>
        </w:tc>
        <w:tc>
          <w:tcPr>
            <w:tcW w:w="1080"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9"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414"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权威认证</w:t>
            </w:r>
          </w:p>
          <w:p>
            <w:pPr>
              <w:widowControl/>
              <w:jc w:val="center"/>
              <w:rPr>
                <w:rFonts w:ascii="宋体" w:hAnsi="宋体" w:cs="宋体"/>
                <w:kern w:val="0"/>
                <w:sz w:val="22"/>
                <w:szCs w:val="22"/>
              </w:rPr>
            </w:pPr>
            <w:r>
              <w:rPr>
                <w:rFonts w:hint="eastAsia" w:ascii="宋体" w:hAnsi="宋体" w:cs="宋体"/>
                <w:kern w:val="0"/>
                <w:sz w:val="22"/>
                <w:szCs w:val="22"/>
              </w:rPr>
              <w:t>（3 分</w:t>
            </w:r>
          </w:p>
        </w:tc>
        <w:tc>
          <w:tcPr>
            <w:tcW w:w="5466" w:type="dxa"/>
            <w:noWrap w:val="0"/>
            <w:vAlign w:val="top"/>
          </w:tcPr>
          <w:p>
            <w:pPr>
              <w:widowControl/>
              <w:jc w:val="center"/>
              <w:rPr>
                <w:rFonts w:ascii="宋体" w:hAnsi="宋体" w:cs="宋体"/>
                <w:kern w:val="0"/>
                <w:sz w:val="22"/>
                <w:szCs w:val="22"/>
              </w:rPr>
            </w:pPr>
            <w:r>
              <w:rPr>
                <w:rFonts w:hint="eastAsia" w:ascii="宋体" w:hAnsi="宋体" w:cs="宋体"/>
                <w:kern w:val="0"/>
                <w:sz w:val="22"/>
                <w:szCs w:val="22"/>
              </w:rPr>
              <w:t>投标企业取得 ISO9001 质量管理体系、ISO14000 环境管理体系、职业健康安全管理体系方面的认证情况，每提供一个有效认证得 1 分，最高 3 分；（开标时须携带有效证书原件，文件中装订加盖公章的复印件）</w:t>
            </w:r>
          </w:p>
        </w:tc>
        <w:tc>
          <w:tcPr>
            <w:tcW w:w="1080" w:type="dxa"/>
            <w:noWrap w:val="0"/>
            <w:vAlign w:val="center"/>
          </w:tcPr>
          <w:p>
            <w:pPr>
              <w:widowControl/>
              <w:jc w:val="center"/>
              <w:rPr>
                <w:rFonts w:ascii="宋体" w:hAnsi="宋体" w:cs="宋体"/>
                <w:kern w:val="0"/>
                <w:sz w:val="24"/>
              </w:rPr>
            </w:pPr>
            <w:r>
              <w:rPr>
                <w:rFonts w:hint="eastAsia" w:ascii="宋体" w:hAnsi="宋体" w:cs="宋体"/>
                <w:kern w:val="0"/>
                <w:sz w:val="24"/>
              </w:rPr>
              <w:t>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2"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414"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投标供应商企业资质（4 分）</w:t>
            </w:r>
          </w:p>
        </w:tc>
        <w:tc>
          <w:tcPr>
            <w:tcW w:w="5466" w:type="dxa"/>
            <w:noWrap w:val="0"/>
            <w:vAlign w:val="bottom"/>
          </w:tcPr>
          <w:p>
            <w:pPr>
              <w:widowControl/>
              <w:jc w:val="left"/>
              <w:rPr>
                <w:rFonts w:ascii="宋体" w:hAnsi="宋体" w:cs="宋体"/>
                <w:kern w:val="0"/>
                <w:sz w:val="22"/>
                <w:szCs w:val="22"/>
              </w:rPr>
            </w:pPr>
            <w:r>
              <w:rPr>
                <w:rFonts w:hint="eastAsia" w:ascii="宋体" w:hAnsi="宋体" w:cs="宋体"/>
                <w:kern w:val="0"/>
                <w:sz w:val="22"/>
                <w:szCs w:val="22"/>
              </w:rPr>
              <w:t>投标供应商具备涉及国家秘密的信息系统集成乙级及以上资质的得 2分；具有信息系统集成与服务二级及以上资质的得 1 分；具有电子与智能化工程专业承包一级的得 1 分，一级以下得 0.5 分（开标时须携带有效证书原件，文件中装订加盖公章的复印件）</w:t>
            </w:r>
          </w:p>
        </w:tc>
        <w:tc>
          <w:tcPr>
            <w:tcW w:w="1080" w:type="dxa"/>
            <w:noWrap w:val="0"/>
            <w:vAlign w:val="center"/>
          </w:tcPr>
          <w:p>
            <w:pPr>
              <w:widowControl/>
              <w:jc w:val="center"/>
              <w:rPr>
                <w:rFonts w:ascii="宋体" w:hAnsi="宋体" w:cs="宋体"/>
                <w:kern w:val="0"/>
                <w:sz w:val="24"/>
              </w:rPr>
            </w:pPr>
            <w:r>
              <w:rPr>
                <w:rFonts w:hint="eastAsia" w:ascii="宋体" w:hAnsi="宋体" w:cs="宋体"/>
                <w:kern w:val="0"/>
                <w:sz w:val="24"/>
              </w:rPr>
              <w:t>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414"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资信等级情况</w:t>
            </w:r>
          </w:p>
          <w:p>
            <w:pPr>
              <w:widowControl/>
              <w:jc w:val="center"/>
              <w:rPr>
                <w:rFonts w:ascii="宋体" w:hAnsi="宋体" w:cs="宋体"/>
                <w:kern w:val="0"/>
                <w:sz w:val="22"/>
                <w:szCs w:val="22"/>
              </w:rPr>
            </w:pPr>
            <w:r>
              <w:rPr>
                <w:rFonts w:hint="eastAsia" w:ascii="宋体" w:hAnsi="宋体" w:cs="宋体"/>
                <w:kern w:val="0"/>
                <w:sz w:val="22"/>
                <w:szCs w:val="22"/>
              </w:rPr>
              <w:t>（3分）</w:t>
            </w:r>
          </w:p>
        </w:tc>
        <w:tc>
          <w:tcPr>
            <w:tcW w:w="5466" w:type="dxa"/>
            <w:noWrap w:val="0"/>
            <w:vAlign w:val="bottom"/>
          </w:tcPr>
          <w:p>
            <w:pPr>
              <w:widowControl/>
              <w:jc w:val="left"/>
              <w:rPr>
                <w:rFonts w:ascii="宋体" w:hAnsi="宋体" w:cs="宋体"/>
                <w:kern w:val="0"/>
                <w:sz w:val="22"/>
                <w:szCs w:val="22"/>
              </w:rPr>
            </w:pPr>
            <w:r>
              <w:rPr>
                <w:rFonts w:hint="eastAsia" w:ascii="宋体" w:hAnsi="宋体" w:cs="宋体"/>
                <w:kern w:val="0"/>
                <w:sz w:val="22"/>
                <w:szCs w:val="22"/>
              </w:rPr>
              <w:t>提供有效期内的第三方信用服务机构出具企业信用等级报告，AAA 级的得 3 分，AA 级的得 2 分，A 级的得 1 分（开标时须携带有效证书原件，文件中装订加盖公章的复印件）</w:t>
            </w:r>
          </w:p>
        </w:tc>
        <w:tc>
          <w:tcPr>
            <w:tcW w:w="1080" w:type="dxa"/>
            <w:noWrap w:val="0"/>
            <w:vAlign w:val="center"/>
          </w:tcPr>
          <w:p>
            <w:pPr>
              <w:widowControl/>
              <w:jc w:val="center"/>
              <w:rPr>
                <w:rFonts w:ascii="宋体" w:hAnsi="宋体" w:cs="宋体"/>
                <w:kern w:val="0"/>
                <w:sz w:val="24"/>
              </w:rPr>
            </w:pPr>
            <w:r>
              <w:rPr>
                <w:rFonts w:hint="eastAsia" w:ascii="宋体" w:hAnsi="宋体" w:cs="宋体"/>
                <w:kern w:val="0"/>
                <w:sz w:val="24"/>
              </w:rPr>
              <w:t>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6"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414" w:type="dxa"/>
            <w:noWrap w:val="0"/>
            <w:vAlign w:val="center"/>
          </w:tcPr>
          <w:p>
            <w:pPr>
              <w:widowControl/>
              <w:jc w:val="center"/>
              <w:rPr>
                <w:rFonts w:hint="eastAsia" w:ascii="宋体" w:hAnsi="宋体" w:cs="宋体"/>
                <w:kern w:val="0"/>
                <w:sz w:val="24"/>
              </w:rPr>
            </w:pPr>
            <w:r>
              <w:rPr>
                <w:rFonts w:hint="eastAsia" w:ascii="宋体" w:hAnsi="宋体" w:cs="宋体"/>
                <w:kern w:val="0"/>
                <w:sz w:val="24"/>
              </w:rPr>
              <w:t>类似业绩</w:t>
            </w:r>
          </w:p>
          <w:p>
            <w:pPr>
              <w:widowControl/>
              <w:jc w:val="center"/>
              <w:rPr>
                <w:rFonts w:ascii="宋体" w:hAnsi="宋体" w:cs="宋体"/>
                <w:kern w:val="0"/>
                <w:sz w:val="24"/>
              </w:rPr>
            </w:pPr>
            <w:r>
              <w:rPr>
                <w:rFonts w:hint="eastAsia" w:ascii="宋体" w:hAnsi="宋体" w:cs="宋体"/>
                <w:kern w:val="0"/>
                <w:sz w:val="24"/>
              </w:rPr>
              <w:t>（3 分)</w:t>
            </w:r>
          </w:p>
        </w:tc>
        <w:tc>
          <w:tcPr>
            <w:tcW w:w="5466" w:type="dxa"/>
            <w:noWrap w:val="0"/>
            <w:vAlign w:val="center"/>
          </w:tcPr>
          <w:p>
            <w:pPr>
              <w:spacing w:line="300" w:lineRule="exact"/>
              <w:jc w:val="left"/>
              <w:rPr>
                <w:rFonts w:ascii="宋体" w:hAnsi="宋体"/>
                <w:b/>
                <w:sz w:val="20"/>
                <w:szCs w:val="20"/>
              </w:rPr>
            </w:pPr>
            <w:r>
              <w:rPr>
                <w:rFonts w:hint="eastAsia" w:ascii="宋体" w:hAnsi="宋体" w:cs="宋体"/>
                <w:kern w:val="0"/>
                <w:sz w:val="22"/>
                <w:szCs w:val="22"/>
              </w:rPr>
              <w:t>投标供应商自 2015 年1月 1日以来（以合同签订日期为准）单项合同金额500 万元及以上的类似智能交通类建设项目得 3分，单项合同金额300 万元（含）---500万元（不含）的类似智能交通类建设项目得2分，单项合同金额300 万元（不含）以下的类似智能交通类建设项目得1分。该评分项只按一个能满足最大要求的合同计分，不允许重复计分，按最高得 3 分。（开标时须提供中标通知书及合同原件，文件中装订加盖公章的复印件。）</w:t>
            </w:r>
          </w:p>
        </w:tc>
        <w:tc>
          <w:tcPr>
            <w:tcW w:w="108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414"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软件研发能力</w:t>
            </w:r>
          </w:p>
          <w:p>
            <w:pPr>
              <w:widowControl/>
              <w:jc w:val="center"/>
              <w:rPr>
                <w:rFonts w:ascii="宋体" w:hAnsi="宋体" w:cs="宋体"/>
                <w:kern w:val="0"/>
                <w:sz w:val="22"/>
                <w:szCs w:val="22"/>
              </w:rPr>
            </w:pPr>
            <w:r>
              <w:rPr>
                <w:rFonts w:hint="eastAsia" w:ascii="宋体" w:hAnsi="宋体" w:cs="宋体"/>
                <w:kern w:val="0"/>
                <w:sz w:val="22"/>
                <w:szCs w:val="22"/>
              </w:rPr>
              <w:t>（3 分）</w:t>
            </w:r>
          </w:p>
        </w:tc>
        <w:tc>
          <w:tcPr>
            <w:tcW w:w="5466" w:type="dxa"/>
            <w:noWrap w:val="0"/>
            <w:vAlign w:val="center"/>
          </w:tcPr>
          <w:p>
            <w:pPr>
              <w:widowControl/>
              <w:rPr>
                <w:rFonts w:ascii="宋体" w:hAnsi="宋体" w:cs="宋体"/>
                <w:kern w:val="0"/>
                <w:sz w:val="22"/>
                <w:szCs w:val="22"/>
              </w:rPr>
            </w:pPr>
            <w:r>
              <w:rPr>
                <w:rFonts w:hint="eastAsia" w:ascii="宋体" w:hAnsi="宋体" w:cs="宋体"/>
                <w:kern w:val="0"/>
                <w:sz w:val="22"/>
                <w:szCs w:val="22"/>
              </w:rPr>
              <w:t>投标供应商通过软件认证 CMMI5 级及以上的得 3 分，4 级得 2 分，3 级得 1 分，以下及没有不得分。（开标时须携带有效证书原件，文件中装订加盖公章的复印件）</w:t>
            </w:r>
          </w:p>
        </w:tc>
        <w:tc>
          <w:tcPr>
            <w:tcW w:w="108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72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414"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软件著作权</w:t>
            </w:r>
          </w:p>
          <w:p>
            <w:pPr>
              <w:widowControl/>
              <w:jc w:val="center"/>
              <w:rPr>
                <w:rFonts w:ascii="宋体" w:hAnsi="宋体" w:cs="宋体"/>
                <w:kern w:val="0"/>
                <w:sz w:val="22"/>
                <w:szCs w:val="22"/>
              </w:rPr>
            </w:pPr>
            <w:r>
              <w:rPr>
                <w:rFonts w:hint="eastAsia" w:ascii="宋体" w:hAnsi="宋体" w:cs="宋体"/>
                <w:kern w:val="0"/>
                <w:sz w:val="22"/>
                <w:szCs w:val="22"/>
              </w:rPr>
              <w:t>（6 分）</w:t>
            </w:r>
          </w:p>
        </w:tc>
        <w:tc>
          <w:tcPr>
            <w:tcW w:w="5466" w:type="dxa"/>
            <w:noWrap w:val="0"/>
            <w:vAlign w:val="bottom"/>
          </w:tcPr>
          <w:p>
            <w:pPr>
              <w:widowControl/>
              <w:jc w:val="left"/>
              <w:rPr>
                <w:rFonts w:ascii="宋体" w:hAnsi="宋体" w:cs="宋体"/>
                <w:kern w:val="0"/>
                <w:sz w:val="22"/>
                <w:szCs w:val="22"/>
              </w:rPr>
            </w:pPr>
            <w:r>
              <w:rPr>
                <w:rFonts w:hint="eastAsia" w:ascii="宋体" w:hAnsi="宋体" w:cs="宋体"/>
                <w:kern w:val="0"/>
                <w:sz w:val="22"/>
                <w:szCs w:val="22"/>
              </w:rPr>
              <w:t>投标供应商或投标产品生产商具备电子警察系统、信号系统、视频检测器、图片存储软件、信号机维护系统软件、交通信号图形化配置、算法自动控制软件、交通信号干线协调控制系统软件、智能云管控平台软件等与本项目建设内容相关的软件著作权登记证书的每个得 1 分，最高得 6分。投标文件中装订加盖投标供应商公章的复印件。</w:t>
            </w:r>
          </w:p>
        </w:tc>
        <w:tc>
          <w:tcPr>
            <w:tcW w:w="1080" w:type="dxa"/>
            <w:noWrap w:val="0"/>
            <w:vAlign w:val="center"/>
          </w:tcPr>
          <w:p>
            <w:pPr>
              <w:widowControl/>
              <w:jc w:val="center"/>
              <w:rPr>
                <w:rFonts w:ascii="宋体" w:hAnsi="宋体" w:cs="宋体"/>
                <w:kern w:val="0"/>
                <w:sz w:val="24"/>
              </w:rPr>
            </w:pPr>
            <w:r>
              <w:rPr>
                <w:rFonts w:hint="eastAsia" w:ascii="宋体" w:hAnsi="宋体" w:cs="宋体"/>
                <w:kern w:val="0"/>
                <w:sz w:val="24"/>
              </w:rPr>
              <w:t>0-6 分</w:t>
            </w:r>
          </w:p>
        </w:tc>
      </w:tr>
    </w:tbl>
    <w:p>
      <w:pPr>
        <w:spacing w:line="440" w:lineRule="exact"/>
        <w:rPr>
          <w:rFonts w:hint="eastAsia" w:ascii="宋体" w:hAnsi="宋体"/>
          <w:sz w:val="24"/>
        </w:rPr>
      </w:pPr>
    </w:p>
    <w:p>
      <w:pPr>
        <w:spacing w:line="440" w:lineRule="exact"/>
        <w:rPr>
          <w:rFonts w:ascii="宋体" w:hAnsi="宋体"/>
          <w:sz w:val="24"/>
        </w:rPr>
      </w:pPr>
      <w:r>
        <w:rPr>
          <w:rFonts w:hint="eastAsia" w:ascii="宋体" w:hAnsi="宋体"/>
          <w:sz w:val="24"/>
        </w:rPr>
        <w:t>2、技术评分标准</w:t>
      </w:r>
      <w:r>
        <w:rPr>
          <w:rFonts w:hint="eastAsia" w:ascii="宋体" w:hAnsi="宋体"/>
          <w:sz w:val="24"/>
          <w:u w:val="single"/>
        </w:rPr>
        <w:t>（48分）</w:t>
      </w:r>
    </w:p>
    <w:tbl>
      <w:tblPr>
        <w:tblStyle w:val="42"/>
        <w:tblW w:w="0" w:type="auto"/>
        <w:tblInd w:w="93" w:type="dxa"/>
        <w:tblLayout w:type="fixed"/>
        <w:tblCellMar>
          <w:top w:w="0" w:type="dxa"/>
          <w:left w:w="108" w:type="dxa"/>
          <w:bottom w:w="0" w:type="dxa"/>
          <w:right w:w="108" w:type="dxa"/>
        </w:tblCellMar>
      </w:tblPr>
      <w:tblGrid>
        <w:gridCol w:w="724"/>
        <w:gridCol w:w="2410"/>
        <w:gridCol w:w="5386"/>
        <w:gridCol w:w="1134"/>
      </w:tblGrid>
      <w:tr>
        <w:tblPrEx>
          <w:tblCellMar>
            <w:top w:w="0" w:type="dxa"/>
            <w:left w:w="108" w:type="dxa"/>
            <w:bottom w:w="0" w:type="dxa"/>
            <w:right w:w="108" w:type="dxa"/>
          </w:tblCellMar>
        </w:tblPrEx>
        <w:trPr>
          <w:wBefore w:w="0" w:type="dxa"/>
          <w:wAfter w:w="0" w:type="dxa"/>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评标内容</w:t>
            </w:r>
          </w:p>
        </w:tc>
        <w:tc>
          <w:tcPr>
            <w:tcW w:w="53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评分项目</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分值</w:t>
            </w:r>
          </w:p>
        </w:tc>
      </w:tr>
      <w:tr>
        <w:tblPrEx>
          <w:tblCellMar>
            <w:top w:w="0" w:type="dxa"/>
            <w:left w:w="108" w:type="dxa"/>
            <w:bottom w:w="0" w:type="dxa"/>
            <w:right w:w="108" w:type="dxa"/>
          </w:tblCellMar>
        </w:tblPrEx>
        <w:trPr>
          <w:wBefore w:w="0" w:type="dxa"/>
          <w:wAfter w:w="0" w:type="dxa"/>
          <w:trHeight w:val="189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41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技术方案</w:t>
            </w:r>
          </w:p>
          <w:p>
            <w:pPr>
              <w:widowControl/>
              <w:jc w:val="center"/>
              <w:rPr>
                <w:rFonts w:ascii="宋体" w:hAnsi="宋体" w:cs="宋体"/>
                <w:kern w:val="0"/>
                <w:sz w:val="22"/>
                <w:szCs w:val="22"/>
              </w:rPr>
            </w:pPr>
            <w:r>
              <w:rPr>
                <w:rFonts w:hint="eastAsia" w:ascii="宋体" w:hAnsi="宋体" w:cs="宋体"/>
                <w:kern w:val="0"/>
                <w:sz w:val="22"/>
                <w:szCs w:val="22"/>
              </w:rPr>
              <w:t>（19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投标产品完全满足招标技术参数配置要求得19分。采购文件标记“★”技术指标为实质性指标，如有负偏离， 则做无效标处理；标记“▲”技术指标为重要性指标出现负偏离每一项扣2 分，其他技术指标出现负偏离每项扣 1 分，扣完为止。</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0-19 分</w:t>
            </w:r>
          </w:p>
        </w:tc>
      </w:tr>
      <w:tr>
        <w:tblPrEx>
          <w:tblCellMar>
            <w:top w:w="0" w:type="dxa"/>
            <w:left w:w="108" w:type="dxa"/>
            <w:bottom w:w="0" w:type="dxa"/>
            <w:right w:w="108" w:type="dxa"/>
          </w:tblCellMar>
        </w:tblPrEx>
        <w:trPr>
          <w:wBefore w:w="0" w:type="dxa"/>
          <w:wAfter w:w="0" w:type="dxa"/>
          <w:trHeight w:val="81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项目供货及安装调试方案（4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对供货及安装调试方案的科学性及措施的有效性进行评标，方案优秀的得 4 分，方案一般的得 2 分；差的得1分，未提供不得分。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0-4 分</w:t>
            </w:r>
          </w:p>
        </w:tc>
      </w:tr>
      <w:tr>
        <w:tblPrEx>
          <w:tblCellMar>
            <w:top w:w="0" w:type="dxa"/>
            <w:left w:w="108" w:type="dxa"/>
            <w:bottom w:w="0" w:type="dxa"/>
            <w:right w:w="108" w:type="dxa"/>
          </w:tblCellMar>
        </w:tblPrEx>
        <w:trPr>
          <w:wBefore w:w="0" w:type="dxa"/>
          <w:wAfter w:w="0" w:type="dxa"/>
          <w:trHeight w:val="1004"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本项目的施工方案、重点、难点的分析及其采取的应对措施（5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应对措施好的得 5 分，较好的得4 分，一般的得 3分，差的得1分，未提供不得分。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0-5 分</w:t>
            </w:r>
          </w:p>
        </w:tc>
      </w:tr>
      <w:tr>
        <w:tblPrEx>
          <w:tblCellMar>
            <w:top w:w="0" w:type="dxa"/>
            <w:left w:w="108" w:type="dxa"/>
            <w:bottom w:w="0" w:type="dxa"/>
            <w:right w:w="108" w:type="dxa"/>
          </w:tblCellMar>
        </w:tblPrEx>
        <w:trPr>
          <w:wBefore w:w="0" w:type="dxa"/>
          <w:wAfter w:w="0" w:type="dxa"/>
          <w:trHeight w:val="81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41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本项目的质量管理和质量保证（包括验收）（3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根据投标供应商是否有严密的质量监控措施和先进的质量检测设施等方面由评标委员会酌情打分。优3分，一般2分，差1分，未提供不得分。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0-3 分</w:t>
            </w:r>
          </w:p>
        </w:tc>
      </w:tr>
      <w:tr>
        <w:tblPrEx>
          <w:tblCellMar>
            <w:top w:w="0" w:type="dxa"/>
            <w:left w:w="108" w:type="dxa"/>
            <w:bottom w:w="0" w:type="dxa"/>
            <w:right w:w="108" w:type="dxa"/>
          </w:tblCellMar>
        </w:tblPrEx>
        <w:trPr>
          <w:wBefore w:w="0" w:type="dxa"/>
          <w:wAfter w:w="0" w:type="dxa"/>
          <w:trHeight w:val="243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拟投入本项目的管</w:t>
            </w:r>
            <w:r>
              <w:rPr>
                <w:rFonts w:hint="eastAsia" w:ascii="宋体" w:hAnsi="宋体" w:cs="宋体"/>
                <w:kern w:val="0"/>
                <w:sz w:val="22"/>
                <w:szCs w:val="22"/>
              </w:rPr>
              <w:br w:type="textWrapping"/>
            </w:r>
            <w:r>
              <w:rPr>
                <w:rFonts w:hint="eastAsia" w:ascii="宋体" w:hAnsi="宋体" w:cs="宋体"/>
                <w:kern w:val="0"/>
                <w:sz w:val="22"/>
                <w:szCs w:val="22"/>
              </w:rPr>
              <w:t>理人员方案（5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拟派项目负责人具备系统集成高级项目经理证书的得 1.5分，技术负责人具备城市智能交通专业中级以上职称证书的得 1.5 分；项目班子成员具备信息系统高级项目管理师、软件设计师、安防从业人员、建筑电工特种作业人员，每提供一个得 0.5 分，最多得 2 分。本项最高得 5 分。（开标时须携带有效证书原件，文件中装订加盖公章的复印件）。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0-5 分</w:t>
            </w:r>
          </w:p>
        </w:tc>
      </w:tr>
      <w:tr>
        <w:tblPrEx>
          <w:tblCellMar>
            <w:top w:w="0" w:type="dxa"/>
            <w:left w:w="108" w:type="dxa"/>
            <w:bottom w:w="0" w:type="dxa"/>
            <w:right w:w="108" w:type="dxa"/>
          </w:tblCellMar>
        </w:tblPrEx>
        <w:trPr>
          <w:wBefore w:w="0" w:type="dxa"/>
          <w:wAfter w:w="0" w:type="dxa"/>
          <w:trHeight w:val="54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拟投入本项目设备配备方案（3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方案优秀的得 3 分，方案较优秀的得 2 分，方案一般的得1分，未提供不得分。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0-3 分</w:t>
            </w:r>
          </w:p>
        </w:tc>
      </w:tr>
      <w:tr>
        <w:tblPrEx>
          <w:tblCellMar>
            <w:top w:w="0" w:type="dxa"/>
            <w:left w:w="108" w:type="dxa"/>
            <w:bottom w:w="0" w:type="dxa"/>
            <w:right w:w="108" w:type="dxa"/>
          </w:tblCellMar>
        </w:tblPrEx>
        <w:trPr>
          <w:wBefore w:w="0" w:type="dxa"/>
          <w:wAfter w:w="0" w:type="dxa"/>
          <w:trHeight w:val="54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41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质保期内的服务方案（4 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方案优秀的得 4 分，方案较优秀的得3 分，方案一般的得2分，未提供不得分。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0-4 分</w:t>
            </w:r>
          </w:p>
        </w:tc>
      </w:tr>
      <w:tr>
        <w:tblPrEx>
          <w:tblCellMar>
            <w:top w:w="0" w:type="dxa"/>
            <w:left w:w="108" w:type="dxa"/>
            <w:bottom w:w="0" w:type="dxa"/>
            <w:right w:w="108" w:type="dxa"/>
          </w:tblCellMar>
        </w:tblPrEx>
        <w:trPr>
          <w:wBefore w:w="0" w:type="dxa"/>
          <w:wAfter w:w="0" w:type="dxa"/>
          <w:trHeight w:val="135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本地化服务能力（3分）</w:t>
            </w:r>
          </w:p>
        </w:tc>
        <w:tc>
          <w:tcPr>
            <w:tcW w:w="53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根据投标供应商设有的售后服务机构与本项目实施地距离的远近，结合投标供应商实际售后服务的响应时间、服务质量、服务组织机构情况、技术和服务人员配置等进行综合评判，横向比较后打分，优3分，一般2分，差1分，未提供不得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0-3 分</w:t>
            </w:r>
          </w:p>
        </w:tc>
      </w:tr>
      <w:tr>
        <w:tblPrEx>
          <w:tblCellMar>
            <w:top w:w="0" w:type="dxa"/>
            <w:left w:w="108" w:type="dxa"/>
            <w:bottom w:w="0" w:type="dxa"/>
            <w:right w:w="108" w:type="dxa"/>
          </w:tblCellMar>
        </w:tblPrEx>
        <w:trPr>
          <w:wBefore w:w="0" w:type="dxa"/>
          <w:wAfter w:w="0" w:type="dxa"/>
          <w:trHeight w:val="108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投标文件制作（2 分）</w:t>
            </w:r>
          </w:p>
        </w:tc>
        <w:tc>
          <w:tcPr>
            <w:tcW w:w="5386" w:type="dxa"/>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投标文件编制完整，格式规范、装订整齐（活页装订的将被拒绝）、复印及扫描件字迹清晰、符合采购文件要求的，由专家酌情打分。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0-2 分</w:t>
            </w:r>
          </w:p>
        </w:tc>
      </w:tr>
    </w:tbl>
    <w:p>
      <w:pPr>
        <w:spacing w:line="440" w:lineRule="exact"/>
        <w:ind w:firstLine="600" w:firstLineChars="250"/>
        <w:rPr>
          <w:rFonts w:ascii="宋体" w:hAnsi="宋体"/>
          <w:sz w:val="24"/>
        </w:rPr>
      </w:pPr>
      <w:r>
        <w:rPr>
          <w:rFonts w:hint="eastAsia" w:ascii="宋体" w:hAnsi="宋体"/>
          <w:sz w:val="24"/>
        </w:rPr>
        <w:t>3、价格分评分标准</w:t>
      </w:r>
    </w:p>
    <w:p>
      <w:pPr>
        <w:spacing w:line="360" w:lineRule="auto"/>
        <w:ind w:firstLine="600" w:firstLineChars="250"/>
        <w:rPr>
          <w:rFonts w:ascii="宋体" w:hAnsi="宋体"/>
          <w:sz w:val="24"/>
          <w:u w:val="single"/>
        </w:rPr>
      </w:pPr>
      <w:r>
        <w:rPr>
          <w:rFonts w:hint="eastAsia" w:ascii="宋体" w:hAnsi="宋体"/>
          <w:sz w:val="24"/>
          <w:u w:val="single"/>
        </w:rPr>
        <w:t>价格标30</w:t>
      </w:r>
      <w:r>
        <w:rPr>
          <w:rFonts w:ascii="宋体" w:hAnsi="宋体"/>
          <w:sz w:val="24"/>
          <w:u w:val="single"/>
        </w:rPr>
        <w:t>%</w:t>
      </w:r>
      <w:r>
        <w:rPr>
          <w:rFonts w:hint="eastAsia" w:ascii="宋体" w:hAnsi="宋体"/>
          <w:sz w:val="24"/>
          <w:u w:val="single"/>
        </w:rPr>
        <w:t>，即满分30分。</w:t>
      </w:r>
    </w:p>
    <w:p>
      <w:pPr>
        <w:spacing w:line="360" w:lineRule="auto"/>
        <w:ind w:firstLine="480" w:firstLineChars="200"/>
        <w:rPr>
          <w:rFonts w:ascii="宋体" w:hAnsi="宋体"/>
          <w:sz w:val="24"/>
        </w:rPr>
      </w:pPr>
      <w:r>
        <w:rPr>
          <w:rFonts w:hint="eastAsia" w:ascii="宋体" w:hAnsi="宋体"/>
          <w:sz w:val="24"/>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600" w:firstLineChars="250"/>
        <w:rPr>
          <w:rFonts w:hint="eastAsia" w:ascii="宋体" w:hAnsi="宋体"/>
          <w:sz w:val="24"/>
        </w:rPr>
      </w:pPr>
      <w:r>
        <w:rPr>
          <w:rFonts w:hint="eastAsia" w:ascii="宋体" w:hAnsi="宋体"/>
          <w:sz w:val="24"/>
        </w:rPr>
        <w:t>价格评分采用低价优先法计算，即在有效报价中，满足采购文件要求且投标价格最低的投标报价为评标基准价，</w:t>
      </w:r>
      <w:r>
        <w:rPr>
          <w:rFonts w:hint="eastAsia" w:ascii="宋体" w:hAnsi="宋体"/>
          <w:sz w:val="24"/>
          <w:u w:val="single"/>
        </w:rPr>
        <w:t>其价格分为满分30分。</w:t>
      </w:r>
      <w:r>
        <w:rPr>
          <w:rFonts w:hint="eastAsia" w:ascii="宋体" w:hAnsi="宋体"/>
          <w:sz w:val="24"/>
        </w:rPr>
        <w:t>其他供应商的价格分统一按照下列公式计算：</w:t>
      </w:r>
      <w:r>
        <w:rPr>
          <w:rFonts w:hint="eastAsia" w:ascii="宋体" w:hAnsi="宋体"/>
          <w:sz w:val="24"/>
          <w:u w:val="single"/>
        </w:rPr>
        <w:t>投标报价得分</w:t>
      </w:r>
      <w:r>
        <w:rPr>
          <w:rFonts w:ascii="宋体" w:hAnsi="宋体"/>
          <w:sz w:val="24"/>
          <w:u w:val="single"/>
        </w:rPr>
        <w:t>=</w:t>
      </w:r>
      <w:r>
        <w:rPr>
          <w:rFonts w:hint="eastAsia" w:ascii="宋体" w:hAnsi="宋体"/>
          <w:sz w:val="24"/>
          <w:u w:val="single"/>
        </w:rPr>
        <w:t>（评标基准价</w:t>
      </w:r>
      <w:r>
        <w:rPr>
          <w:rFonts w:ascii="宋体" w:hAnsi="宋体"/>
          <w:sz w:val="24"/>
          <w:u w:val="single"/>
        </w:rPr>
        <w:t>/</w:t>
      </w:r>
      <w:r>
        <w:rPr>
          <w:rFonts w:hint="eastAsia" w:ascii="宋体" w:hAnsi="宋体"/>
          <w:sz w:val="24"/>
          <w:u w:val="single"/>
        </w:rPr>
        <w:t>投标报价）×30</w:t>
      </w:r>
      <w:r>
        <w:rPr>
          <w:rFonts w:ascii="宋体" w:hAnsi="宋体"/>
          <w:sz w:val="24"/>
          <w:u w:val="single"/>
        </w:rPr>
        <w:t>%</w:t>
      </w:r>
      <w:r>
        <w:rPr>
          <w:rFonts w:hint="eastAsia" w:ascii="宋体" w:hAnsi="宋体"/>
          <w:sz w:val="24"/>
          <w:u w:val="single"/>
        </w:rPr>
        <w:t>×</w:t>
      </w:r>
      <w:r>
        <w:rPr>
          <w:rFonts w:ascii="宋体" w:hAnsi="宋体"/>
          <w:sz w:val="24"/>
          <w:u w:val="single"/>
        </w:rPr>
        <w:t>100</w:t>
      </w:r>
      <w:r>
        <w:rPr>
          <w:rFonts w:hint="eastAsia" w:ascii="宋体" w:hAnsi="宋体"/>
          <w:sz w:val="24"/>
        </w:rPr>
        <w:t>。小数点保留2位。</w:t>
      </w:r>
    </w:p>
    <w:p>
      <w:pPr>
        <w:spacing w:line="360" w:lineRule="auto"/>
        <w:ind w:firstLine="600" w:firstLineChars="250"/>
        <w:rPr>
          <w:rFonts w:hint="eastAsia" w:ascii="宋体" w:hAnsi="宋体"/>
          <w:sz w:val="24"/>
          <w:u w:val="single"/>
        </w:rPr>
      </w:pPr>
      <w:r>
        <w:rPr>
          <w:rFonts w:hint="eastAsia" w:ascii="宋体" w:hAnsi="宋体"/>
          <w:sz w:val="24"/>
        </w:rPr>
        <w:t>有效报价是指小于或等于采购人上限价的报价。</w:t>
      </w:r>
      <w:r>
        <w:rPr>
          <w:rFonts w:hint="eastAsia" w:ascii="宋体" w:hAnsi="宋体"/>
          <w:sz w:val="24"/>
          <w:u w:val="single"/>
        </w:rPr>
        <w:t>上限价为6610000元，超过上限价的报价作无效标处理，直接予以淘汰。当有效报价不足3家时，开标终止，重新组织采购。</w:t>
      </w:r>
    </w:p>
    <w:p>
      <w:pPr>
        <w:spacing w:line="360" w:lineRule="auto"/>
        <w:ind w:firstLine="600" w:firstLineChars="250"/>
        <w:rPr>
          <w:rFonts w:hint="eastAsia" w:ascii="宋体" w:hAnsi="宋体"/>
          <w:sz w:val="24"/>
        </w:rPr>
      </w:pP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 w:val="24"/>
        </w:rPr>
        <w:t>。</w:t>
      </w:r>
    </w:p>
    <w:p>
      <w:pPr>
        <w:spacing w:line="360" w:lineRule="auto"/>
        <w:ind w:firstLine="600" w:firstLineChars="250"/>
        <w:rPr>
          <w:rFonts w:ascii="宋体" w:hAnsi="宋体"/>
          <w:sz w:val="24"/>
        </w:rPr>
      </w:pPr>
    </w:p>
    <w:p/>
    <w:bookmarkEnd w:id="40"/>
    <w:p>
      <w:pPr>
        <w:spacing w:line="480" w:lineRule="auto"/>
        <w:rPr>
          <w:rFonts w:hint="eastAsia" w:ascii="宋体"/>
          <w:sz w:val="24"/>
        </w:rPr>
      </w:pPr>
    </w:p>
    <w:sectPr>
      <w:footerReference r:id="rId6" w:type="first"/>
      <w:headerReference r:id="rId3" w:type="default"/>
      <w:footerReference r:id="rId4" w:type="default"/>
      <w:footerReference r:id="rId5" w:type="even"/>
      <w:pgSz w:w="11907" w:h="16840"/>
      <w:pgMar w:top="1440" w:right="1134"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fldChar w:fldCharType="begin"/>
    </w:r>
    <w:r>
      <w:instrText xml:space="preserve"> PAGE   \* MERGEFORMAT </w:instrText>
    </w:r>
    <w:r>
      <w:fldChar w:fldCharType="separate"/>
    </w:r>
    <w:r>
      <w:rPr>
        <w:lang w:val="zh-CN"/>
      </w:rPr>
      <w:t>62</w:t>
    </w:r>
    <w:r>
      <w:fldChar w:fldCharType="end"/>
    </w:r>
  </w:p>
  <w:p>
    <w:pPr>
      <w:pStyle w:val="29"/>
    </w:pPr>
    <w:r>
      <w:rPr>
        <w:rFonts w:hint="eastAsia"/>
      </w:rPr>
      <w:t>2018-7-1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5"/>
      </w:rPr>
    </w:pPr>
    <w:r>
      <w:fldChar w:fldCharType="begin"/>
    </w:r>
    <w:r>
      <w:rPr>
        <w:rStyle w:val="45"/>
      </w:rPr>
      <w:instrText xml:space="preserve">PAGE  </w:instrText>
    </w:r>
    <w:r>
      <w:fldChar w:fldCharType="separate"/>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u w:val="single"/>
      </w:rPr>
    </w:pPr>
    <w:r>
      <w:rPr>
        <w:rFonts w:hint="eastAsia" w:ascii="宋体" w:hAnsi="宋体"/>
        <w:szCs w:val="21"/>
      </w:rPr>
      <w:t>Z绍柯采[2018]1829号</w:t>
    </w:r>
    <w:r>
      <w:rPr>
        <w:rFonts w:hint="eastAsia"/>
      </w:rPr>
      <w:t>`                                  2018年柯桥区钱清镇智能交通（设备、线路）建设项目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tabs>
          <w:tab w:val="left" w:pos="851"/>
        </w:tabs>
        <w:ind w:left="851" w:hanging="851"/>
      </w:pPr>
      <w:rPr>
        <w:b/>
        <w:i w:val="0"/>
        <w:sz w:val="28"/>
      </w:rPr>
    </w:lvl>
    <w:lvl w:ilvl="1" w:tentative="0">
      <w:start w:val="1"/>
      <w:numFmt w:val="decimal"/>
      <w:pStyle w:val="139"/>
      <w:lvlText w:val="%1.%2."/>
      <w:lvlJc w:val="left"/>
      <w:pPr>
        <w:tabs>
          <w:tab w:val="left" w:pos="851"/>
        </w:tabs>
        <w:ind w:left="851" w:hanging="851"/>
      </w:pPr>
      <w:rPr>
        <w:b w:val="0"/>
        <w:i w:val="0"/>
        <w:sz w:val="24"/>
      </w:rPr>
    </w:lvl>
    <w:lvl w:ilvl="2" w:tentative="0">
      <w:start w:val="1"/>
      <w:numFmt w:val="decimal"/>
      <w:pStyle w:val="153"/>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000000B"/>
    <w:multiLevelType w:val="multilevel"/>
    <w:tmpl w:val="0000000B"/>
    <w:lvl w:ilvl="0" w:tentative="0">
      <w:start w:val="1"/>
      <w:numFmt w:val="decimal"/>
      <w:pStyle w:val="12"/>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113"/>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2">
    <w:nsid w:val="0F030EE1"/>
    <w:multiLevelType w:val="multilevel"/>
    <w:tmpl w:val="0F030EE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3B3176A9"/>
    <w:multiLevelType w:val="multilevel"/>
    <w:tmpl w:val="3B3176A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F887E1E"/>
    <w:multiLevelType w:val="multilevel"/>
    <w:tmpl w:val="3F887E1E"/>
    <w:lvl w:ilvl="0" w:tentative="0">
      <w:start w:val="1"/>
      <w:numFmt w:val="bullet"/>
      <w:lvlText w:val=""/>
      <w:lvlJc w:val="left"/>
      <w:pPr>
        <w:ind w:left="900" w:hanging="420"/>
      </w:pPr>
      <w:rPr>
        <w:rFonts w:hint="default" w:ascii="Wingdings" w:hAnsi="Wingdings" w:eastAsia="Wingdings"/>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45C39E0"/>
    <w:multiLevelType w:val="multilevel"/>
    <w:tmpl w:val="445C39E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4BDF6A3D"/>
    <w:multiLevelType w:val="multilevel"/>
    <w:tmpl w:val="4BDF6A3D"/>
    <w:lvl w:ilvl="0" w:tentative="0">
      <w:start w:val="1"/>
      <w:numFmt w:val="decimal"/>
      <w:pStyle w:val="5"/>
      <w:lvlText w:val="1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F25F73"/>
    <w:multiLevelType w:val="multilevel"/>
    <w:tmpl w:val="55F25F73"/>
    <w:lvl w:ilvl="0" w:tentative="0">
      <w:start w:val="2"/>
      <w:numFmt w:val="bullet"/>
      <w:pStyle w:val="7"/>
      <w:lvlText w:val="—"/>
      <w:lvlJc w:val="left"/>
      <w:pPr>
        <w:tabs>
          <w:tab w:val="left" w:pos="780"/>
        </w:tabs>
        <w:ind w:left="780" w:hanging="360"/>
      </w:pPr>
      <w:rPr>
        <w:rFonts w:hint="eastAsia" w:ascii="宋体" w:hAnsi="宋体" w:eastAsia="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9341218"/>
    <w:multiLevelType w:val="singleLevel"/>
    <w:tmpl w:val="59341218"/>
    <w:lvl w:ilvl="0" w:tentative="0">
      <w:start w:val="1"/>
      <w:numFmt w:val="decimal"/>
      <w:pStyle w:val="20"/>
      <w:lvlText w:val="%1."/>
      <w:lvlJc w:val="left"/>
      <w:pPr>
        <w:tabs>
          <w:tab w:val="left" w:pos="780"/>
        </w:tabs>
        <w:ind w:left="780" w:hanging="360"/>
      </w:pPr>
    </w:lvl>
  </w:abstractNum>
  <w:abstractNum w:abstractNumId="9">
    <w:nsid w:val="59FAAF27"/>
    <w:multiLevelType w:val="singleLevel"/>
    <w:tmpl w:val="59FAAF27"/>
    <w:lvl w:ilvl="0" w:tentative="0">
      <w:start w:val="1"/>
      <w:numFmt w:val="decimal"/>
      <w:pStyle w:val="24"/>
      <w:lvlText w:val="%1."/>
      <w:lvlJc w:val="left"/>
      <w:pPr>
        <w:tabs>
          <w:tab w:val="left" w:pos="312"/>
        </w:tabs>
      </w:pPr>
    </w:lvl>
  </w:abstractNum>
  <w:abstractNum w:abstractNumId="10">
    <w:nsid w:val="5C6560C7"/>
    <w:multiLevelType w:val="multilevel"/>
    <w:tmpl w:val="5C6560C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D6E048E"/>
    <w:multiLevelType w:val="multilevel"/>
    <w:tmpl w:val="5D6E048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6EA15618"/>
    <w:multiLevelType w:val="singleLevel"/>
    <w:tmpl w:val="6EA15618"/>
    <w:lvl w:ilvl="0" w:tentative="0">
      <w:start w:val="1"/>
      <w:numFmt w:val="upperLetter"/>
      <w:pStyle w:val="100"/>
      <w:lvlText w:val="%1、"/>
      <w:lvlJc w:val="left"/>
      <w:pPr>
        <w:tabs>
          <w:tab w:val="left" w:pos="1050"/>
        </w:tabs>
        <w:ind w:left="1050" w:hanging="495"/>
      </w:pPr>
      <w:rPr>
        <w:rFonts w:hint="eastAsia"/>
      </w:rPr>
    </w:lvl>
  </w:abstractNum>
  <w:abstractNum w:abstractNumId="13">
    <w:nsid w:val="7D04462C"/>
    <w:multiLevelType w:val="multilevel"/>
    <w:tmpl w:val="7D04462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6"/>
  </w:num>
  <w:num w:numId="3">
    <w:abstractNumId w:val="7"/>
  </w:num>
  <w:num w:numId="4">
    <w:abstractNumId w:val="1"/>
  </w:num>
  <w:num w:numId="5">
    <w:abstractNumId w:val="8"/>
  </w:num>
  <w:num w:numId="6">
    <w:abstractNumId w:val="9"/>
  </w:num>
  <w:num w:numId="7">
    <w:abstractNumId w:val="12"/>
  </w:num>
  <w:num w:numId="8">
    <w:abstractNumId w:val="11"/>
  </w:num>
  <w:num w:numId="9">
    <w:abstractNumId w:val="13"/>
  </w:num>
  <w:num w:numId="10">
    <w:abstractNumId w:val="4"/>
  </w:num>
  <w:num w:numId="11">
    <w:abstractNumId w:val="5"/>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08"/>
    <w:rsid w:val="00001873"/>
    <w:rsid w:val="00001D7E"/>
    <w:rsid w:val="0000375C"/>
    <w:rsid w:val="00003866"/>
    <w:rsid w:val="00004146"/>
    <w:rsid w:val="000047D8"/>
    <w:rsid w:val="00005296"/>
    <w:rsid w:val="00007366"/>
    <w:rsid w:val="00007D05"/>
    <w:rsid w:val="00011156"/>
    <w:rsid w:val="000121B7"/>
    <w:rsid w:val="000124AB"/>
    <w:rsid w:val="000126BA"/>
    <w:rsid w:val="00013355"/>
    <w:rsid w:val="00013A94"/>
    <w:rsid w:val="00014157"/>
    <w:rsid w:val="000153A5"/>
    <w:rsid w:val="00016A35"/>
    <w:rsid w:val="00017135"/>
    <w:rsid w:val="00017DDE"/>
    <w:rsid w:val="00020333"/>
    <w:rsid w:val="000206F8"/>
    <w:rsid w:val="0002107A"/>
    <w:rsid w:val="00021532"/>
    <w:rsid w:val="0002184B"/>
    <w:rsid w:val="00021975"/>
    <w:rsid w:val="00021C0A"/>
    <w:rsid w:val="000224B4"/>
    <w:rsid w:val="00022750"/>
    <w:rsid w:val="000241A1"/>
    <w:rsid w:val="00025BE4"/>
    <w:rsid w:val="0002642B"/>
    <w:rsid w:val="0002648D"/>
    <w:rsid w:val="00027951"/>
    <w:rsid w:val="000307A7"/>
    <w:rsid w:val="0003173A"/>
    <w:rsid w:val="0003193A"/>
    <w:rsid w:val="00031A81"/>
    <w:rsid w:val="00031BBF"/>
    <w:rsid w:val="0003364A"/>
    <w:rsid w:val="00033F96"/>
    <w:rsid w:val="0003474B"/>
    <w:rsid w:val="00034CD6"/>
    <w:rsid w:val="00035058"/>
    <w:rsid w:val="00035C6D"/>
    <w:rsid w:val="00036791"/>
    <w:rsid w:val="00036A87"/>
    <w:rsid w:val="0003720B"/>
    <w:rsid w:val="00037CBF"/>
    <w:rsid w:val="00040149"/>
    <w:rsid w:val="000406D5"/>
    <w:rsid w:val="00041EBA"/>
    <w:rsid w:val="00043160"/>
    <w:rsid w:val="000437CC"/>
    <w:rsid w:val="00043A7E"/>
    <w:rsid w:val="00044061"/>
    <w:rsid w:val="000440C6"/>
    <w:rsid w:val="000441AE"/>
    <w:rsid w:val="0004470E"/>
    <w:rsid w:val="00045295"/>
    <w:rsid w:val="000454D6"/>
    <w:rsid w:val="000456A4"/>
    <w:rsid w:val="00046092"/>
    <w:rsid w:val="00046C01"/>
    <w:rsid w:val="00046E9B"/>
    <w:rsid w:val="000471E7"/>
    <w:rsid w:val="00050BC5"/>
    <w:rsid w:val="00050D7D"/>
    <w:rsid w:val="00051C2A"/>
    <w:rsid w:val="00051FA2"/>
    <w:rsid w:val="00052154"/>
    <w:rsid w:val="0005266C"/>
    <w:rsid w:val="00053BDE"/>
    <w:rsid w:val="00054545"/>
    <w:rsid w:val="00054EFB"/>
    <w:rsid w:val="000552A6"/>
    <w:rsid w:val="00056CC5"/>
    <w:rsid w:val="00056E76"/>
    <w:rsid w:val="00057705"/>
    <w:rsid w:val="00060080"/>
    <w:rsid w:val="00060237"/>
    <w:rsid w:val="00060739"/>
    <w:rsid w:val="0006160C"/>
    <w:rsid w:val="00063BA1"/>
    <w:rsid w:val="000646F3"/>
    <w:rsid w:val="00064902"/>
    <w:rsid w:val="0006631E"/>
    <w:rsid w:val="000666A7"/>
    <w:rsid w:val="0006680E"/>
    <w:rsid w:val="00066CA6"/>
    <w:rsid w:val="00067F43"/>
    <w:rsid w:val="00070757"/>
    <w:rsid w:val="00071220"/>
    <w:rsid w:val="00071DEE"/>
    <w:rsid w:val="00071E39"/>
    <w:rsid w:val="0007288C"/>
    <w:rsid w:val="00072A49"/>
    <w:rsid w:val="00072DEE"/>
    <w:rsid w:val="0007353F"/>
    <w:rsid w:val="00074F4E"/>
    <w:rsid w:val="0007590A"/>
    <w:rsid w:val="00075C32"/>
    <w:rsid w:val="00076032"/>
    <w:rsid w:val="0007614D"/>
    <w:rsid w:val="00076345"/>
    <w:rsid w:val="0007638A"/>
    <w:rsid w:val="000767C3"/>
    <w:rsid w:val="00076F02"/>
    <w:rsid w:val="000771A3"/>
    <w:rsid w:val="0008040D"/>
    <w:rsid w:val="00080E88"/>
    <w:rsid w:val="00082280"/>
    <w:rsid w:val="00082C54"/>
    <w:rsid w:val="00082FFF"/>
    <w:rsid w:val="0008317A"/>
    <w:rsid w:val="000839DC"/>
    <w:rsid w:val="00083C97"/>
    <w:rsid w:val="00084649"/>
    <w:rsid w:val="0008512C"/>
    <w:rsid w:val="000851C1"/>
    <w:rsid w:val="00085703"/>
    <w:rsid w:val="00085B5E"/>
    <w:rsid w:val="0008649A"/>
    <w:rsid w:val="0008674F"/>
    <w:rsid w:val="000877F1"/>
    <w:rsid w:val="0009041F"/>
    <w:rsid w:val="00091906"/>
    <w:rsid w:val="00092842"/>
    <w:rsid w:val="00092E4E"/>
    <w:rsid w:val="000930A3"/>
    <w:rsid w:val="00093D04"/>
    <w:rsid w:val="00094029"/>
    <w:rsid w:val="00094CFD"/>
    <w:rsid w:val="00095241"/>
    <w:rsid w:val="000953C8"/>
    <w:rsid w:val="000953E1"/>
    <w:rsid w:val="00095B2F"/>
    <w:rsid w:val="00096685"/>
    <w:rsid w:val="000966A6"/>
    <w:rsid w:val="0009711F"/>
    <w:rsid w:val="000974B8"/>
    <w:rsid w:val="000974EC"/>
    <w:rsid w:val="0009778C"/>
    <w:rsid w:val="00097812"/>
    <w:rsid w:val="000A059E"/>
    <w:rsid w:val="000A0CC8"/>
    <w:rsid w:val="000A155B"/>
    <w:rsid w:val="000A2761"/>
    <w:rsid w:val="000A428C"/>
    <w:rsid w:val="000A6A00"/>
    <w:rsid w:val="000A6F0B"/>
    <w:rsid w:val="000A7021"/>
    <w:rsid w:val="000A7960"/>
    <w:rsid w:val="000B0C46"/>
    <w:rsid w:val="000B4483"/>
    <w:rsid w:val="000B453A"/>
    <w:rsid w:val="000B483F"/>
    <w:rsid w:val="000B5F0E"/>
    <w:rsid w:val="000B65DD"/>
    <w:rsid w:val="000B7A56"/>
    <w:rsid w:val="000B7EB3"/>
    <w:rsid w:val="000C0312"/>
    <w:rsid w:val="000C0C7B"/>
    <w:rsid w:val="000C0E18"/>
    <w:rsid w:val="000C1BB4"/>
    <w:rsid w:val="000C1DA7"/>
    <w:rsid w:val="000C2361"/>
    <w:rsid w:val="000C2386"/>
    <w:rsid w:val="000C3508"/>
    <w:rsid w:val="000C3ADE"/>
    <w:rsid w:val="000C4154"/>
    <w:rsid w:val="000C529D"/>
    <w:rsid w:val="000C5E45"/>
    <w:rsid w:val="000C6807"/>
    <w:rsid w:val="000C6829"/>
    <w:rsid w:val="000C771D"/>
    <w:rsid w:val="000C7FF2"/>
    <w:rsid w:val="000D0C46"/>
    <w:rsid w:val="000D0CB2"/>
    <w:rsid w:val="000D1986"/>
    <w:rsid w:val="000D1CB1"/>
    <w:rsid w:val="000D1FDC"/>
    <w:rsid w:val="000D2F77"/>
    <w:rsid w:val="000D47FC"/>
    <w:rsid w:val="000D4DE7"/>
    <w:rsid w:val="000D689E"/>
    <w:rsid w:val="000D6B02"/>
    <w:rsid w:val="000E206A"/>
    <w:rsid w:val="000E30BB"/>
    <w:rsid w:val="000E3D9F"/>
    <w:rsid w:val="000E527B"/>
    <w:rsid w:val="000E55A2"/>
    <w:rsid w:val="000E5A8F"/>
    <w:rsid w:val="000E5FC2"/>
    <w:rsid w:val="000E72B4"/>
    <w:rsid w:val="000E7808"/>
    <w:rsid w:val="000E78E9"/>
    <w:rsid w:val="000E7A28"/>
    <w:rsid w:val="000F074A"/>
    <w:rsid w:val="000F0CE6"/>
    <w:rsid w:val="000F0D81"/>
    <w:rsid w:val="000F11E7"/>
    <w:rsid w:val="000F30BF"/>
    <w:rsid w:val="000F4A10"/>
    <w:rsid w:val="000F5559"/>
    <w:rsid w:val="000F64B6"/>
    <w:rsid w:val="000F6ABB"/>
    <w:rsid w:val="000F6CEE"/>
    <w:rsid w:val="001001B5"/>
    <w:rsid w:val="00100210"/>
    <w:rsid w:val="001002A5"/>
    <w:rsid w:val="00101577"/>
    <w:rsid w:val="00101934"/>
    <w:rsid w:val="0010256E"/>
    <w:rsid w:val="00102654"/>
    <w:rsid w:val="001026C4"/>
    <w:rsid w:val="001033A6"/>
    <w:rsid w:val="00103412"/>
    <w:rsid w:val="00104FC3"/>
    <w:rsid w:val="00105183"/>
    <w:rsid w:val="00105257"/>
    <w:rsid w:val="00105FE0"/>
    <w:rsid w:val="001076B1"/>
    <w:rsid w:val="00107A3E"/>
    <w:rsid w:val="00110FF4"/>
    <w:rsid w:val="00111403"/>
    <w:rsid w:val="001116AB"/>
    <w:rsid w:val="00111D5E"/>
    <w:rsid w:val="00113F07"/>
    <w:rsid w:val="00116A50"/>
    <w:rsid w:val="00117FDD"/>
    <w:rsid w:val="0012047B"/>
    <w:rsid w:val="001206F3"/>
    <w:rsid w:val="00121577"/>
    <w:rsid w:val="00123439"/>
    <w:rsid w:val="00123F42"/>
    <w:rsid w:val="0012416F"/>
    <w:rsid w:val="00124904"/>
    <w:rsid w:val="00124995"/>
    <w:rsid w:val="00125EA1"/>
    <w:rsid w:val="0012744F"/>
    <w:rsid w:val="00127AE3"/>
    <w:rsid w:val="00131469"/>
    <w:rsid w:val="00131566"/>
    <w:rsid w:val="00132027"/>
    <w:rsid w:val="001321A3"/>
    <w:rsid w:val="00133389"/>
    <w:rsid w:val="00133DFC"/>
    <w:rsid w:val="00134AD0"/>
    <w:rsid w:val="00134C8A"/>
    <w:rsid w:val="00135111"/>
    <w:rsid w:val="00135549"/>
    <w:rsid w:val="00135B61"/>
    <w:rsid w:val="0013630C"/>
    <w:rsid w:val="00136D12"/>
    <w:rsid w:val="001402FB"/>
    <w:rsid w:val="001410D2"/>
    <w:rsid w:val="00141996"/>
    <w:rsid w:val="00141CAB"/>
    <w:rsid w:val="001420DD"/>
    <w:rsid w:val="0014217F"/>
    <w:rsid w:val="00142541"/>
    <w:rsid w:val="0014338E"/>
    <w:rsid w:val="00143E4A"/>
    <w:rsid w:val="0014470B"/>
    <w:rsid w:val="0014476E"/>
    <w:rsid w:val="00144A5B"/>
    <w:rsid w:val="00144E86"/>
    <w:rsid w:val="0014528E"/>
    <w:rsid w:val="00146054"/>
    <w:rsid w:val="001465FA"/>
    <w:rsid w:val="00146676"/>
    <w:rsid w:val="00146932"/>
    <w:rsid w:val="00147120"/>
    <w:rsid w:val="00147599"/>
    <w:rsid w:val="00147D76"/>
    <w:rsid w:val="0015115E"/>
    <w:rsid w:val="001526DF"/>
    <w:rsid w:val="00152EA3"/>
    <w:rsid w:val="00152F6F"/>
    <w:rsid w:val="00153CA1"/>
    <w:rsid w:val="00153DB9"/>
    <w:rsid w:val="00154A24"/>
    <w:rsid w:val="00155044"/>
    <w:rsid w:val="00155933"/>
    <w:rsid w:val="00155D0B"/>
    <w:rsid w:val="00156BF2"/>
    <w:rsid w:val="00156C48"/>
    <w:rsid w:val="00157ACB"/>
    <w:rsid w:val="001624EF"/>
    <w:rsid w:val="00162632"/>
    <w:rsid w:val="00162A1A"/>
    <w:rsid w:val="001630DA"/>
    <w:rsid w:val="0016365D"/>
    <w:rsid w:val="001640D5"/>
    <w:rsid w:val="00164939"/>
    <w:rsid w:val="00164BFA"/>
    <w:rsid w:val="00165DF7"/>
    <w:rsid w:val="00166C89"/>
    <w:rsid w:val="0016739C"/>
    <w:rsid w:val="001676C8"/>
    <w:rsid w:val="00167908"/>
    <w:rsid w:val="00171446"/>
    <w:rsid w:val="00171E3D"/>
    <w:rsid w:val="001721F7"/>
    <w:rsid w:val="001725A1"/>
    <w:rsid w:val="00173745"/>
    <w:rsid w:val="001737EA"/>
    <w:rsid w:val="00173B9F"/>
    <w:rsid w:val="00174E9B"/>
    <w:rsid w:val="00176D67"/>
    <w:rsid w:val="00176DE8"/>
    <w:rsid w:val="00176ED8"/>
    <w:rsid w:val="001779AB"/>
    <w:rsid w:val="001800E1"/>
    <w:rsid w:val="00182618"/>
    <w:rsid w:val="0018436E"/>
    <w:rsid w:val="00184C3B"/>
    <w:rsid w:val="00185061"/>
    <w:rsid w:val="00185F62"/>
    <w:rsid w:val="00187DFB"/>
    <w:rsid w:val="00190736"/>
    <w:rsid w:val="00190FCD"/>
    <w:rsid w:val="0019175F"/>
    <w:rsid w:val="001927E2"/>
    <w:rsid w:val="00192F99"/>
    <w:rsid w:val="001930B5"/>
    <w:rsid w:val="00194421"/>
    <w:rsid w:val="00194B28"/>
    <w:rsid w:val="00194D7F"/>
    <w:rsid w:val="00194E23"/>
    <w:rsid w:val="00195344"/>
    <w:rsid w:val="001953A0"/>
    <w:rsid w:val="00195458"/>
    <w:rsid w:val="00195CC7"/>
    <w:rsid w:val="00195D48"/>
    <w:rsid w:val="00195EE7"/>
    <w:rsid w:val="0019620D"/>
    <w:rsid w:val="001A06F5"/>
    <w:rsid w:val="001A1CAE"/>
    <w:rsid w:val="001A1FD1"/>
    <w:rsid w:val="001A37F6"/>
    <w:rsid w:val="001A3A86"/>
    <w:rsid w:val="001A3F8E"/>
    <w:rsid w:val="001A4411"/>
    <w:rsid w:val="001A4B4E"/>
    <w:rsid w:val="001A5A62"/>
    <w:rsid w:val="001A6122"/>
    <w:rsid w:val="001A6ABA"/>
    <w:rsid w:val="001A727A"/>
    <w:rsid w:val="001A76FF"/>
    <w:rsid w:val="001A7AED"/>
    <w:rsid w:val="001A7C6D"/>
    <w:rsid w:val="001B1173"/>
    <w:rsid w:val="001B176B"/>
    <w:rsid w:val="001B192E"/>
    <w:rsid w:val="001B1964"/>
    <w:rsid w:val="001B241F"/>
    <w:rsid w:val="001B2E7D"/>
    <w:rsid w:val="001B3C17"/>
    <w:rsid w:val="001B41EE"/>
    <w:rsid w:val="001B48D9"/>
    <w:rsid w:val="001B4DC0"/>
    <w:rsid w:val="001B59E8"/>
    <w:rsid w:val="001B6E0C"/>
    <w:rsid w:val="001B76A1"/>
    <w:rsid w:val="001C0533"/>
    <w:rsid w:val="001C0B14"/>
    <w:rsid w:val="001C1A85"/>
    <w:rsid w:val="001C20C5"/>
    <w:rsid w:val="001C2367"/>
    <w:rsid w:val="001C2BB1"/>
    <w:rsid w:val="001C2C97"/>
    <w:rsid w:val="001C3E82"/>
    <w:rsid w:val="001C598E"/>
    <w:rsid w:val="001C65EA"/>
    <w:rsid w:val="001C6EA7"/>
    <w:rsid w:val="001C7337"/>
    <w:rsid w:val="001C7C09"/>
    <w:rsid w:val="001D0911"/>
    <w:rsid w:val="001D0944"/>
    <w:rsid w:val="001D2289"/>
    <w:rsid w:val="001D2D8B"/>
    <w:rsid w:val="001D3939"/>
    <w:rsid w:val="001D3FAE"/>
    <w:rsid w:val="001D544A"/>
    <w:rsid w:val="001D59EB"/>
    <w:rsid w:val="001D59F4"/>
    <w:rsid w:val="001D75B0"/>
    <w:rsid w:val="001D7737"/>
    <w:rsid w:val="001D773B"/>
    <w:rsid w:val="001D7C0F"/>
    <w:rsid w:val="001E01AE"/>
    <w:rsid w:val="001E03BA"/>
    <w:rsid w:val="001E05F5"/>
    <w:rsid w:val="001E0B7C"/>
    <w:rsid w:val="001E1BAF"/>
    <w:rsid w:val="001E4003"/>
    <w:rsid w:val="001E4844"/>
    <w:rsid w:val="001E6706"/>
    <w:rsid w:val="001E6A64"/>
    <w:rsid w:val="001E73D5"/>
    <w:rsid w:val="001F0389"/>
    <w:rsid w:val="001F0C1F"/>
    <w:rsid w:val="001F0ECE"/>
    <w:rsid w:val="001F1AC0"/>
    <w:rsid w:val="001F1D80"/>
    <w:rsid w:val="001F23FB"/>
    <w:rsid w:val="001F242A"/>
    <w:rsid w:val="001F31B1"/>
    <w:rsid w:val="001F361C"/>
    <w:rsid w:val="001F3D6A"/>
    <w:rsid w:val="001F436D"/>
    <w:rsid w:val="001F44D7"/>
    <w:rsid w:val="001F492B"/>
    <w:rsid w:val="001F514B"/>
    <w:rsid w:val="001F5DC1"/>
    <w:rsid w:val="001F6E70"/>
    <w:rsid w:val="001F7500"/>
    <w:rsid w:val="00200354"/>
    <w:rsid w:val="00200959"/>
    <w:rsid w:val="00200D70"/>
    <w:rsid w:val="00201764"/>
    <w:rsid w:val="002020C8"/>
    <w:rsid w:val="00203AAA"/>
    <w:rsid w:val="00204498"/>
    <w:rsid w:val="0020459B"/>
    <w:rsid w:val="00204616"/>
    <w:rsid w:val="00205056"/>
    <w:rsid w:val="002050B9"/>
    <w:rsid w:val="002055A6"/>
    <w:rsid w:val="002058CA"/>
    <w:rsid w:val="00205E13"/>
    <w:rsid w:val="0020685D"/>
    <w:rsid w:val="00206C0B"/>
    <w:rsid w:val="00206D55"/>
    <w:rsid w:val="00206F38"/>
    <w:rsid w:val="00207579"/>
    <w:rsid w:val="00210177"/>
    <w:rsid w:val="00210C4D"/>
    <w:rsid w:val="002141F9"/>
    <w:rsid w:val="00214668"/>
    <w:rsid w:val="00215F4F"/>
    <w:rsid w:val="002169EF"/>
    <w:rsid w:val="002176A0"/>
    <w:rsid w:val="00217FF1"/>
    <w:rsid w:val="00220C3D"/>
    <w:rsid w:val="00221119"/>
    <w:rsid w:val="002212F2"/>
    <w:rsid w:val="002214CF"/>
    <w:rsid w:val="002218D3"/>
    <w:rsid w:val="00221914"/>
    <w:rsid w:val="0022217B"/>
    <w:rsid w:val="00222A6B"/>
    <w:rsid w:val="00222FDA"/>
    <w:rsid w:val="00223A6C"/>
    <w:rsid w:val="00223D6B"/>
    <w:rsid w:val="00224440"/>
    <w:rsid w:val="00224497"/>
    <w:rsid w:val="00224D6D"/>
    <w:rsid w:val="00226D6A"/>
    <w:rsid w:val="00230335"/>
    <w:rsid w:val="00230995"/>
    <w:rsid w:val="00230A38"/>
    <w:rsid w:val="00231532"/>
    <w:rsid w:val="00232C17"/>
    <w:rsid w:val="00233BC1"/>
    <w:rsid w:val="00234DF2"/>
    <w:rsid w:val="00234F6B"/>
    <w:rsid w:val="00235609"/>
    <w:rsid w:val="002360BA"/>
    <w:rsid w:val="00236D71"/>
    <w:rsid w:val="00237299"/>
    <w:rsid w:val="00237946"/>
    <w:rsid w:val="00240642"/>
    <w:rsid w:val="00240860"/>
    <w:rsid w:val="00240CD9"/>
    <w:rsid w:val="0024158B"/>
    <w:rsid w:val="002424F1"/>
    <w:rsid w:val="00242E33"/>
    <w:rsid w:val="00242F1F"/>
    <w:rsid w:val="0024344D"/>
    <w:rsid w:val="0024348E"/>
    <w:rsid w:val="00243CCF"/>
    <w:rsid w:val="002440D7"/>
    <w:rsid w:val="00245087"/>
    <w:rsid w:val="002451FF"/>
    <w:rsid w:val="00245415"/>
    <w:rsid w:val="00245488"/>
    <w:rsid w:val="00245705"/>
    <w:rsid w:val="00245D8A"/>
    <w:rsid w:val="002460A3"/>
    <w:rsid w:val="00246D88"/>
    <w:rsid w:val="00247952"/>
    <w:rsid w:val="00250C2C"/>
    <w:rsid w:val="00250FFB"/>
    <w:rsid w:val="002511B0"/>
    <w:rsid w:val="0025133F"/>
    <w:rsid w:val="00252098"/>
    <w:rsid w:val="00252558"/>
    <w:rsid w:val="00252CF5"/>
    <w:rsid w:val="0025319C"/>
    <w:rsid w:val="00253B87"/>
    <w:rsid w:val="0025676A"/>
    <w:rsid w:val="00256A54"/>
    <w:rsid w:val="00256E30"/>
    <w:rsid w:val="00257236"/>
    <w:rsid w:val="00260337"/>
    <w:rsid w:val="0026054B"/>
    <w:rsid w:val="00260DF8"/>
    <w:rsid w:val="00262E0A"/>
    <w:rsid w:val="00263084"/>
    <w:rsid w:val="0026361C"/>
    <w:rsid w:val="002636C4"/>
    <w:rsid w:val="00264A5E"/>
    <w:rsid w:val="00265B5A"/>
    <w:rsid w:val="00266F6E"/>
    <w:rsid w:val="0026706B"/>
    <w:rsid w:val="002673C4"/>
    <w:rsid w:val="00267683"/>
    <w:rsid w:val="00267E34"/>
    <w:rsid w:val="0027091F"/>
    <w:rsid w:val="00270E1A"/>
    <w:rsid w:val="00270EEF"/>
    <w:rsid w:val="0027157F"/>
    <w:rsid w:val="00273CF7"/>
    <w:rsid w:val="00275235"/>
    <w:rsid w:val="002752BC"/>
    <w:rsid w:val="002758D4"/>
    <w:rsid w:val="00275A43"/>
    <w:rsid w:val="002764BE"/>
    <w:rsid w:val="00276760"/>
    <w:rsid w:val="00276DC1"/>
    <w:rsid w:val="002772A8"/>
    <w:rsid w:val="002772E9"/>
    <w:rsid w:val="00277BB7"/>
    <w:rsid w:val="00277D9C"/>
    <w:rsid w:val="00280581"/>
    <w:rsid w:val="00281022"/>
    <w:rsid w:val="00281862"/>
    <w:rsid w:val="00281D15"/>
    <w:rsid w:val="00282154"/>
    <w:rsid w:val="00282ADC"/>
    <w:rsid w:val="0028489E"/>
    <w:rsid w:val="002848B5"/>
    <w:rsid w:val="0028518C"/>
    <w:rsid w:val="00286DBC"/>
    <w:rsid w:val="00287720"/>
    <w:rsid w:val="00287B18"/>
    <w:rsid w:val="002905FD"/>
    <w:rsid w:val="00291BA8"/>
    <w:rsid w:val="00291DCB"/>
    <w:rsid w:val="00291DCF"/>
    <w:rsid w:val="00292C6C"/>
    <w:rsid w:val="002941B7"/>
    <w:rsid w:val="002943EE"/>
    <w:rsid w:val="00295BB4"/>
    <w:rsid w:val="00295DF4"/>
    <w:rsid w:val="00296475"/>
    <w:rsid w:val="002964B9"/>
    <w:rsid w:val="00297CE2"/>
    <w:rsid w:val="00297FCC"/>
    <w:rsid w:val="002A0620"/>
    <w:rsid w:val="002A07C4"/>
    <w:rsid w:val="002A1173"/>
    <w:rsid w:val="002A135D"/>
    <w:rsid w:val="002A176E"/>
    <w:rsid w:val="002A2776"/>
    <w:rsid w:val="002A27AE"/>
    <w:rsid w:val="002A295C"/>
    <w:rsid w:val="002A2BD0"/>
    <w:rsid w:val="002A40B2"/>
    <w:rsid w:val="002A56E4"/>
    <w:rsid w:val="002A5AC4"/>
    <w:rsid w:val="002A6048"/>
    <w:rsid w:val="002A69C9"/>
    <w:rsid w:val="002A6D59"/>
    <w:rsid w:val="002B0484"/>
    <w:rsid w:val="002B0A56"/>
    <w:rsid w:val="002B1F95"/>
    <w:rsid w:val="002B23CD"/>
    <w:rsid w:val="002B2729"/>
    <w:rsid w:val="002B346E"/>
    <w:rsid w:val="002B348F"/>
    <w:rsid w:val="002B3F63"/>
    <w:rsid w:val="002B4351"/>
    <w:rsid w:val="002B4AA4"/>
    <w:rsid w:val="002B5260"/>
    <w:rsid w:val="002B5320"/>
    <w:rsid w:val="002B67BE"/>
    <w:rsid w:val="002B7098"/>
    <w:rsid w:val="002B77A5"/>
    <w:rsid w:val="002B78F2"/>
    <w:rsid w:val="002B7B2D"/>
    <w:rsid w:val="002C1165"/>
    <w:rsid w:val="002C12BB"/>
    <w:rsid w:val="002C1857"/>
    <w:rsid w:val="002C1973"/>
    <w:rsid w:val="002C1E60"/>
    <w:rsid w:val="002C27AB"/>
    <w:rsid w:val="002C3E2B"/>
    <w:rsid w:val="002C4226"/>
    <w:rsid w:val="002C4876"/>
    <w:rsid w:val="002C493F"/>
    <w:rsid w:val="002C4B2B"/>
    <w:rsid w:val="002C612A"/>
    <w:rsid w:val="002C623D"/>
    <w:rsid w:val="002C63B8"/>
    <w:rsid w:val="002C6A5F"/>
    <w:rsid w:val="002C6BAE"/>
    <w:rsid w:val="002C6D7A"/>
    <w:rsid w:val="002C76FA"/>
    <w:rsid w:val="002D078C"/>
    <w:rsid w:val="002D0951"/>
    <w:rsid w:val="002D16EC"/>
    <w:rsid w:val="002D1FF4"/>
    <w:rsid w:val="002D2085"/>
    <w:rsid w:val="002D2323"/>
    <w:rsid w:val="002D2637"/>
    <w:rsid w:val="002D276C"/>
    <w:rsid w:val="002D4C23"/>
    <w:rsid w:val="002D664F"/>
    <w:rsid w:val="002D6CB6"/>
    <w:rsid w:val="002D6F44"/>
    <w:rsid w:val="002D7252"/>
    <w:rsid w:val="002D7B5F"/>
    <w:rsid w:val="002E1C1A"/>
    <w:rsid w:val="002E1DA6"/>
    <w:rsid w:val="002E2A60"/>
    <w:rsid w:val="002E3CAC"/>
    <w:rsid w:val="002E4572"/>
    <w:rsid w:val="002E4777"/>
    <w:rsid w:val="002E493F"/>
    <w:rsid w:val="002E5E5D"/>
    <w:rsid w:val="002E6382"/>
    <w:rsid w:val="002E6556"/>
    <w:rsid w:val="002E6835"/>
    <w:rsid w:val="002E68A8"/>
    <w:rsid w:val="002E7D30"/>
    <w:rsid w:val="002E7F26"/>
    <w:rsid w:val="002F057F"/>
    <w:rsid w:val="002F1320"/>
    <w:rsid w:val="002F179C"/>
    <w:rsid w:val="002F207C"/>
    <w:rsid w:val="002F3239"/>
    <w:rsid w:val="002F422D"/>
    <w:rsid w:val="002F444F"/>
    <w:rsid w:val="002F44C4"/>
    <w:rsid w:val="002F54A7"/>
    <w:rsid w:val="002F5628"/>
    <w:rsid w:val="002F5A5F"/>
    <w:rsid w:val="002F6526"/>
    <w:rsid w:val="003002F6"/>
    <w:rsid w:val="00300AE5"/>
    <w:rsid w:val="00300B71"/>
    <w:rsid w:val="00300F67"/>
    <w:rsid w:val="00301FA3"/>
    <w:rsid w:val="0030244B"/>
    <w:rsid w:val="003025DC"/>
    <w:rsid w:val="00302727"/>
    <w:rsid w:val="00302A5B"/>
    <w:rsid w:val="003036E0"/>
    <w:rsid w:val="00303864"/>
    <w:rsid w:val="00305479"/>
    <w:rsid w:val="00305DC8"/>
    <w:rsid w:val="00306638"/>
    <w:rsid w:val="00306D62"/>
    <w:rsid w:val="003101E9"/>
    <w:rsid w:val="00310EE9"/>
    <w:rsid w:val="003110DD"/>
    <w:rsid w:val="00311506"/>
    <w:rsid w:val="0031289C"/>
    <w:rsid w:val="003131B7"/>
    <w:rsid w:val="00313288"/>
    <w:rsid w:val="003142E3"/>
    <w:rsid w:val="0031437C"/>
    <w:rsid w:val="00314990"/>
    <w:rsid w:val="0031509D"/>
    <w:rsid w:val="003151C5"/>
    <w:rsid w:val="00315DC6"/>
    <w:rsid w:val="0031700A"/>
    <w:rsid w:val="00317423"/>
    <w:rsid w:val="00317C2F"/>
    <w:rsid w:val="00317D50"/>
    <w:rsid w:val="003209D5"/>
    <w:rsid w:val="00320D49"/>
    <w:rsid w:val="00320F45"/>
    <w:rsid w:val="0032107A"/>
    <w:rsid w:val="00321BB8"/>
    <w:rsid w:val="003225E9"/>
    <w:rsid w:val="003229F2"/>
    <w:rsid w:val="00322B1D"/>
    <w:rsid w:val="00322EC7"/>
    <w:rsid w:val="00323CCF"/>
    <w:rsid w:val="00325023"/>
    <w:rsid w:val="00325393"/>
    <w:rsid w:val="0032546A"/>
    <w:rsid w:val="0032561B"/>
    <w:rsid w:val="003258E2"/>
    <w:rsid w:val="0032677C"/>
    <w:rsid w:val="00326C29"/>
    <w:rsid w:val="0032781A"/>
    <w:rsid w:val="00330255"/>
    <w:rsid w:val="0033044B"/>
    <w:rsid w:val="003305EB"/>
    <w:rsid w:val="00331B43"/>
    <w:rsid w:val="00331E18"/>
    <w:rsid w:val="00332ED1"/>
    <w:rsid w:val="00333090"/>
    <w:rsid w:val="00334AEE"/>
    <w:rsid w:val="00335A36"/>
    <w:rsid w:val="00336E20"/>
    <w:rsid w:val="003373F2"/>
    <w:rsid w:val="00340070"/>
    <w:rsid w:val="00341026"/>
    <w:rsid w:val="003411A7"/>
    <w:rsid w:val="00341474"/>
    <w:rsid w:val="003417CF"/>
    <w:rsid w:val="00341A80"/>
    <w:rsid w:val="00342370"/>
    <w:rsid w:val="00342C96"/>
    <w:rsid w:val="00344A75"/>
    <w:rsid w:val="0034591B"/>
    <w:rsid w:val="00345C3D"/>
    <w:rsid w:val="00346239"/>
    <w:rsid w:val="0034675A"/>
    <w:rsid w:val="003475A8"/>
    <w:rsid w:val="003502AB"/>
    <w:rsid w:val="003506AC"/>
    <w:rsid w:val="003514C7"/>
    <w:rsid w:val="00351AF0"/>
    <w:rsid w:val="00351EC2"/>
    <w:rsid w:val="003522BB"/>
    <w:rsid w:val="00352B5A"/>
    <w:rsid w:val="00353025"/>
    <w:rsid w:val="00353B83"/>
    <w:rsid w:val="00353B95"/>
    <w:rsid w:val="0035410F"/>
    <w:rsid w:val="0035499E"/>
    <w:rsid w:val="00354EE2"/>
    <w:rsid w:val="00355E56"/>
    <w:rsid w:val="003568B7"/>
    <w:rsid w:val="00357694"/>
    <w:rsid w:val="00360025"/>
    <w:rsid w:val="0036087B"/>
    <w:rsid w:val="003616CF"/>
    <w:rsid w:val="00361EC6"/>
    <w:rsid w:val="00362214"/>
    <w:rsid w:val="00362FBA"/>
    <w:rsid w:val="00363DF6"/>
    <w:rsid w:val="00364B61"/>
    <w:rsid w:val="00365A5C"/>
    <w:rsid w:val="00366912"/>
    <w:rsid w:val="00367647"/>
    <w:rsid w:val="00367917"/>
    <w:rsid w:val="00370633"/>
    <w:rsid w:val="00370881"/>
    <w:rsid w:val="00370994"/>
    <w:rsid w:val="00370A25"/>
    <w:rsid w:val="00370EFB"/>
    <w:rsid w:val="003724E8"/>
    <w:rsid w:val="003726D2"/>
    <w:rsid w:val="00372A1C"/>
    <w:rsid w:val="00372EAB"/>
    <w:rsid w:val="003732E3"/>
    <w:rsid w:val="00373C57"/>
    <w:rsid w:val="00373E5B"/>
    <w:rsid w:val="00374227"/>
    <w:rsid w:val="003742F0"/>
    <w:rsid w:val="00374C9B"/>
    <w:rsid w:val="00375307"/>
    <w:rsid w:val="00375742"/>
    <w:rsid w:val="00375AA5"/>
    <w:rsid w:val="00375B7C"/>
    <w:rsid w:val="003766C8"/>
    <w:rsid w:val="00381598"/>
    <w:rsid w:val="00382992"/>
    <w:rsid w:val="003830EF"/>
    <w:rsid w:val="00383218"/>
    <w:rsid w:val="0038338C"/>
    <w:rsid w:val="00383E34"/>
    <w:rsid w:val="00383E6C"/>
    <w:rsid w:val="00383F80"/>
    <w:rsid w:val="0038407C"/>
    <w:rsid w:val="00384294"/>
    <w:rsid w:val="00384550"/>
    <w:rsid w:val="003846A3"/>
    <w:rsid w:val="00385B56"/>
    <w:rsid w:val="0038677E"/>
    <w:rsid w:val="00387532"/>
    <w:rsid w:val="00387627"/>
    <w:rsid w:val="003879C6"/>
    <w:rsid w:val="00390984"/>
    <w:rsid w:val="00390C3A"/>
    <w:rsid w:val="00390F24"/>
    <w:rsid w:val="003928B7"/>
    <w:rsid w:val="00392C4D"/>
    <w:rsid w:val="00392FE9"/>
    <w:rsid w:val="003935CB"/>
    <w:rsid w:val="0039392D"/>
    <w:rsid w:val="00393A9F"/>
    <w:rsid w:val="00393B9F"/>
    <w:rsid w:val="00393DE3"/>
    <w:rsid w:val="003946D9"/>
    <w:rsid w:val="00394B87"/>
    <w:rsid w:val="0039655B"/>
    <w:rsid w:val="00396B75"/>
    <w:rsid w:val="003976E8"/>
    <w:rsid w:val="003A03C7"/>
    <w:rsid w:val="003A070F"/>
    <w:rsid w:val="003A0B21"/>
    <w:rsid w:val="003A0FAD"/>
    <w:rsid w:val="003A1E25"/>
    <w:rsid w:val="003A1FEF"/>
    <w:rsid w:val="003A2576"/>
    <w:rsid w:val="003A27C8"/>
    <w:rsid w:val="003A31B2"/>
    <w:rsid w:val="003A3344"/>
    <w:rsid w:val="003A39D0"/>
    <w:rsid w:val="003A3D3F"/>
    <w:rsid w:val="003A4318"/>
    <w:rsid w:val="003A492E"/>
    <w:rsid w:val="003A5980"/>
    <w:rsid w:val="003A5A8D"/>
    <w:rsid w:val="003A61A0"/>
    <w:rsid w:val="003A71D2"/>
    <w:rsid w:val="003B09D5"/>
    <w:rsid w:val="003B1360"/>
    <w:rsid w:val="003B1879"/>
    <w:rsid w:val="003B1F50"/>
    <w:rsid w:val="003B3616"/>
    <w:rsid w:val="003B3F86"/>
    <w:rsid w:val="003B46E5"/>
    <w:rsid w:val="003B490E"/>
    <w:rsid w:val="003B4F25"/>
    <w:rsid w:val="003B6E7F"/>
    <w:rsid w:val="003B71CA"/>
    <w:rsid w:val="003B75D3"/>
    <w:rsid w:val="003C0060"/>
    <w:rsid w:val="003C00C1"/>
    <w:rsid w:val="003C00FF"/>
    <w:rsid w:val="003C014E"/>
    <w:rsid w:val="003C06C3"/>
    <w:rsid w:val="003C07FF"/>
    <w:rsid w:val="003C1D39"/>
    <w:rsid w:val="003C23A4"/>
    <w:rsid w:val="003C2789"/>
    <w:rsid w:val="003C2E1A"/>
    <w:rsid w:val="003C3797"/>
    <w:rsid w:val="003C5311"/>
    <w:rsid w:val="003D0415"/>
    <w:rsid w:val="003D0CE3"/>
    <w:rsid w:val="003D1119"/>
    <w:rsid w:val="003D2B76"/>
    <w:rsid w:val="003D2E85"/>
    <w:rsid w:val="003D31BA"/>
    <w:rsid w:val="003D3582"/>
    <w:rsid w:val="003D45EA"/>
    <w:rsid w:val="003D4796"/>
    <w:rsid w:val="003D4BB3"/>
    <w:rsid w:val="003D5B43"/>
    <w:rsid w:val="003D5CB2"/>
    <w:rsid w:val="003D67AC"/>
    <w:rsid w:val="003D6957"/>
    <w:rsid w:val="003D7AD3"/>
    <w:rsid w:val="003E0A01"/>
    <w:rsid w:val="003E1A3A"/>
    <w:rsid w:val="003E21F3"/>
    <w:rsid w:val="003E2706"/>
    <w:rsid w:val="003E290F"/>
    <w:rsid w:val="003E2AA7"/>
    <w:rsid w:val="003E3832"/>
    <w:rsid w:val="003E43A5"/>
    <w:rsid w:val="003E46B3"/>
    <w:rsid w:val="003E513D"/>
    <w:rsid w:val="003E54D1"/>
    <w:rsid w:val="003E555F"/>
    <w:rsid w:val="003E57B7"/>
    <w:rsid w:val="003E583B"/>
    <w:rsid w:val="003E5E51"/>
    <w:rsid w:val="003E5FCA"/>
    <w:rsid w:val="003E6666"/>
    <w:rsid w:val="003F0038"/>
    <w:rsid w:val="003F010E"/>
    <w:rsid w:val="003F19F1"/>
    <w:rsid w:val="003F25A4"/>
    <w:rsid w:val="003F28D9"/>
    <w:rsid w:val="003F3535"/>
    <w:rsid w:val="003F387C"/>
    <w:rsid w:val="003F4973"/>
    <w:rsid w:val="003F4ADC"/>
    <w:rsid w:val="003F5343"/>
    <w:rsid w:val="003F541E"/>
    <w:rsid w:val="003F5937"/>
    <w:rsid w:val="003F5A99"/>
    <w:rsid w:val="003F5C42"/>
    <w:rsid w:val="003F61AD"/>
    <w:rsid w:val="003F64A3"/>
    <w:rsid w:val="003F681F"/>
    <w:rsid w:val="003F7049"/>
    <w:rsid w:val="003F7170"/>
    <w:rsid w:val="004002A2"/>
    <w:rsid w:val="0040046E"/>
    <w:rsid w:val="004007FD"/>
    <w:rsid w:val="00400ECE"/>
    <w:rsid w:val="00401C22"/>
    <w:rsid w:val="00402345"/>
    <w:rsid w:val="004036FD"/>
    <w:rsid w:val="00403E5D"/>
    <w:rsid w:val="004041DE"/>
    <w:rsid w:val="004041F8"/>
    <w:rsid w:val="00404361"/>
    <w:rsid w:val="00406D5A"/>
    <w:rsid w:val="00407531"/>
    <w:rsid w:val="00410366"/>
    <w:rsid w:val="00413D36"/>
    <w:rsid w:val="00414DD5"/>
    <w:rsid w:val="0041589F"/>
    <w:rsid w:val="00415AE9"/>
    <w:rsid w:val="00415B33"/>
    <w:rsid w:val="00415B77"/>
    <w:rsid w:val="00416532"/>
    <w:rsid w:val="00416E86"/>
    <w:rsid w:val="00417783"/>
    <w:rsid w:val="0042041E"/>
    <w:rsid w:val="00420644"/>
    <w:rsid w:val="00420884"/>
    <w:rsid w:val="004209E5"/>
    <w:rsid w:val="00420E99"/>
    <w:rsid w:val="004211F2"/>
    <w:rsid w:val="0042145F"/>
    <w:rsid w:val="004218C6"/>
    <w:rsid w:val="00422019"/>
    <w:rsid w:val="004220BC"/>
    <w:rsid w:val="004228F4"/>
    <w:rsid w:val="004229C5"/>
    <w:rsid w:val="00425618"/>
    <w:rsid w:val="00426515"/>
    <w:rsid w:val="00426944"/>
    <w:rsid w:val="00426D37"/>
    <w:rsid w:val="00426EE1"/>
    <w:rsid w:val="00427996"/>
    <w:rsid w:val="0043028A"/>
    <w:rsid w:val="00430481"/>
    <w:rsid w:val="00430D0A"/>
    <w:rsid w:val="00430E68"/>
    <w:rsid w:val="00431379"/>
    <w:rsid w:val="004316A1"/>
    <w:rsid w:val="00432095"/>
    <w:rsid w:val="00432343"/>
    <w:rsid w:val="004323B4"/>
    <w:rsid w:val="0043288C"/>
    <w:rsid w:val="00432D67"/>
    <w:rsid w:val="00432F8E"/>
    <w:rsid w:val="0043399D"/>
    <w:rsid w:val="00433F31"/>
    <w:rsid w:val="00435329"/>
    <w:rsid w:val="00435D52"/>
    <w:rsid w:val="00436126"/>
    <w:rsid w:val="0043631A"/>
    <w:rsid w:val="00436C23"/>
    <w:rsid w:val="0043784B"/>
    <w:rsid w:val="004407B3"/>
    <w:rsid w:val="0044281C"/>
    <w:rsid w:val="00443176"/>
    <w:rsid w:val="00444244"/>
    <w:rsid w:val="004445AE"/>
    <w:rsid w:val="004449D5"/>
    <w:rsid w:val="00445A3D"/>
    <w:rsid w:val="004469C3"/>
    <w:rsid w:val="00447AFC"/>
    <w:rsid w:val="004502C7"/>
    <w:rsid w:val="0045183C"/>
    <w:rsid w:val="00451BFB"/>
    <w:rsid w:val="00452069"/>
    <w:rsid w:val="00453495"/>
    <w:rsid w:val="00454D66"/>
    <w:rsid w:val="00455CE6"/>
    <w:rsid w:val="004579C8"/>
    <w:rsid w:val="00457B73"/>
    <w:rsid w:val="00460CFD"/>
    <w:rsid w:val="0046177C"/>
    <w:rsid w:val="0046188F"/>
    <w:rsid w:val="00461FBB"/>
    <w:rsid w:val="00462136"/>
    <w:rsid w:val="00462250"/>
    <w:rsid w:val="0046255F"/>
    <w:rsid w:val="00462D81"/>
    <w:rsid w:val="00463417"/>
    <w:rsid w:val="00463990"/>
    <w:rsid w:val="004640F9"/>
    <w:rsid w:val="0046419F"/>
    <w:rsid w:val="00464608"/>
    <w:rsid w:val="00465227"/>
    <w:rsid w:val="0046523B"/>
    <w:rsid w:val="0046584A"/>
    <w:rsid w:val="00465A6F"/>
    <w:rsid w:val="0046656E"/>
    <w:rsid w:val="00466C8A"/>
    <w:rsid w:val="0046728A"/>
    <w:rsid w:val="00467E49"/>
    <w:rsid w:val="00470ACD"/>
    <w:rsid w:val="00470C8C"/>
    <w:rsid w:val="00470D24"/>
    <w:rsid w:val="00470D4A"/>
    <w:rsid w:val="0047262E"/>
    <w:rsid w:val="00472FF8"/>
    <w:rsid w:val="004732BC"/>
    <w:rsid w:val="00475990"/>
    <w:rsid w:val="004760E7"/>
    <w:rsid w:val="004769E0"/>
    <w:rsid w:val="00477B44"/>
    <w:rsid w:val="00480A01"/>
    <w:rsid w:val="00480CDD"/>
    <w:rsid w:val="00480F11"/>
    <w:rsid w:val="00481661"/>
    <w:rsid w:val="00481F41"/>
    <w:rsid w:val="004836BE"/>
    <w:rsid w:val="00484669"/>
    <w:rsid w:val="00484DA7"/>
    <w:rsid w:val="00485303"/>
    <w:rsid w:val="00486079"/>
    <w:rsid w:val="0048624A"/>
    <w:rsid w:val="00486FB4"/>
    <w:rsid w:val="00487758"/>
    <w:rsid w:val="00491132"/>
    <w:rsid w:val="00491C6B"/>
    <w:rsid w:val="0049298C"/>
    <w:rsid w:val="00492A5D"/>
    <w:rsid w:val="004936E9"/>
    <w:rsid w:val="00493FE9"/>
    <w:rsid w:val="0049468B"/>
    <w:rsid w:val="004946AB"/>
    <w:rsid w:val="0049498E"/>
    <w:rsid w:val="00494C0D"/>
    <w:rsid w:val="0049553B"/>
    <w:rsid w:val="00496671"/>
    <w:rsid w:val="00496B85"/>
    <w:rsid w:val="00496BFF"/>
    <w:rsid w:val="00496FAC"/>
    <w:rsid w:val="0049756E"/>
    <w:rsid w:val="00497CEC"/>
    <w:rsid w:val="00497DE5"/>
    <w:rsid w:val="004A0F81"/>
    <w:rsid w:val="004A115D"/>
    <w:rsid w:val="004A1CEA"/>
    <w:rsid w:val="004A1D1E"/>
    <w:rsid w:val="004A2123"/>
    <w:rsid w:val="004A2B33"/>
    <w:rsid w:val="004A3505"/>
    <w:rsid w:val="004A35A9"/>
    <w:rsid w:val="004A38B4"/>
    <w:rsid w:val="004A3CAF"/>
    <w:rsid w:val="004A3FFF"/>
    <w:rsid w:val="004A4AB3"/>
    <w:rsid w:val="004A536A"/>
    <w:rsid w:val="004A579D"/>
    <w:rsid w:val="004A5FE9"/>
    <w:rsid w:val="004A6FD7"/>
    <w:rsid w:val="004A74A6"/>
    <w:rsid w:val="004A7B42"/>
    <w:rsid w:val="004B0BC7"/>
    <w:rsid w:val="004B18FA"/>
    <w:rsid w:val="004B2238"/>
    <w:rsid w:val="004B3106"/>
    <w:rsid w:val="004B374E"/>
    <w:rsid w:val="004B479A"/>
    <w:rsid w:val="004B4996"/>
    <w:rsid w:val="004B4A6B"/>
    <w:rsid w:val="004B52BE"/>
    <w:rsid w:val="004B59ED"/>
    <w:rsid w:val="004B6623"/>
    <w:rsid w:val="004B6E4A"/>
    <w:rsid w:val="004C081B"/>
    <w:rsid w:val="004C125F"/>
    <w:rsid w:val="004C1D7D"/>
    <w:rsid w:val="004C26D0"/>
    <w:rsid w:val="004C3538"/>
    <w:rsid w:val="004C407D"/>
    <w:rsid w:val="004C44A4"/>
    <w:rsid w:val="004C4648"/>
    <w:rsid w:val="004C467D"/>
    <w:rsid w:val="004C51C7"/>
    <w:rsid w:val="004C67A3"/>
    <w:rsid w:val="004C6FB6"/>
    <w:rsid w:val="004C7CBF"/>
    <w:rsid w:val="004C7E28"/>
    <w:rsid w:val="004D0BE2"/>
    <w:rsid w:val="004D0E58"/>
    <w:rsid w:val="004D1741"/>
    <w:rsid w:val="004D20E0"/>
    <w:rsid w:val="004D3026"/>
    <w:rsid w:val="004D36E6"/>
    <w:rsid w:val="004D37D1"/>
    <w:rsid w:val="004D3CC0"/>
    <w:rsid w:val="004D43A9"/>
    <w:rsid w:val="004D4A83"/>
    <w:rsid w:val="004D4F46"/>
    <w:rsid w:val="004D5E36"/>
    <w:rsid w:val="004D6F4D"/>
    <w:rsid w:val="004D71B8"/>
    <w:rsid w:val="004D7257"/>
    <w:rsid w:val="004D7686"/>
    <w:rsid w:val="004D7E70"/>
    <w:rsid w:val="004E0078"/>
    <w:rsid w:val="004E00EA"/>
    <w:rsid w:val="004E1060"/>
    <w:rsid w:val="004E1821"/>
    <w:rsid w:val="004E287A"/>
    <w:rsid w:val="004E342D"/>
    <w:rsid w:val="004E3C53"/>
    <w:rsid w:val="004E46B0"/>
    <w:rsid w:val="004E4B60"/>
    <w:rsid w:val="004E57C6"/>
    <w:rsid w:val="004E5D2F"/>
    <w:rsid w:val="004E619D"/>
    <w:rsid w:val="004E7372"/>
    <w:rsid w:val="004E7397"/>
    <w:rsid w:val="004E7CFA"/>
    <w:rsid w:val="004F0991"/>
    <w:rsid w:val="004F27EC"/>
    <w:rsid w:val="004F308F"/>
    <w:rsid w:val="004F3219"/>
    <w:rsid w:val="004F3ABF"/>
    <w:rsid w:val="004F3ECB"/>
    <w:rsid w:val="004F4503"/>
    <w:rsid w:val="004F4E4D"/>
    <w:rsid w:val="004F687D"/>
    <w:rsid w:val="004F6F97"/>
    <w:rsid w:val="004F7755"/>
    <w:rsid w:val="00500048"/>
    <w:rsid w:val="0050017A"/>
    <w:rsid w:val="00501228"/>
    <w:rsid w:val="005023BC"/>
    <w:rsid w:val="0050244C"/>
    <w:rsid w:val="00502C0B"/>
    <w:rsid w:val="00503BDF"/>
    <w:rsid w:val="00504678"/>
    <w:rsid w:val="00505010"/>
    <w:rsid w:val="00507065"/>
    <w:rsid w:val="00507A40"/>
    <w:rsid w:val="005107CE"/>
    <w:rsid w:val="00512608"/>
    <w:rsid w:val="00513F97"/>
    <w:rsid w:val="005141C0"/>
    <w:rsid w:val="00514995"/>
    <w:rsid w:val="00515636"/>
    <w:rsid w:val="005172B3"/>
    <w:rsid w:val="00517A60"/>
    <w:rsid w:val="00520156"/>
    <w:rsid w:val="005208F9"/>
    <w:rsid w:val="00520B54"/>
    <w:rsid w:val="00521F3E"/>
    <w:rsid w:val="00522143"/>
    <w:rsid w:val="00522249"/>
    <w:rsid w:val="00523CDD"/>
    <w:rsid w:val="00524028"/>
    <w:rsid w:val="0052564B"/>
    <w:rsid w:val="00525705"/>
    <w:rsid w:val="00527259"/>
    <w:rsid w:val="0052746F"/>
    <w:rsid w:val="005277D0"/>
    <w:rsid w:val="00527D23"/>
    <w:rsid w:val="005303C7"/>
    <w:rsid w:val="005305B0"/>
    <w:rsid w:val="00532A47"/>
    <w:rsid w:val="00532B21"/>
    <w:rsid w:val="00533754"/>
    <w:rsid w:val="00534268"/>
    <w:rsid w:val="005347E8"/>
    <w:rsid w:val="00534E68"/>
    <w:rsid w:val="00535244"/>
    <w:rsid w:val="005355C1"/>
    <w:rsid w:val="00535A13"/>
    <w:rsid w:val="00536912"/>
    <w:rsid w:val="00537722"/>
    <w:rsid w:val="005411C9"/>
    <w:rsid w:val="005420EF"/>
    <w:rsid w:val="00542EE6"/>
    <w:rsid w:val="005434EC"/>
    <w:rsid w:val="00543842"/>
    <w:rsid w:val="0054457E"/>
    <w:rsid w:val="005448C4"/>
    <w:rsid w:val="00544F01"/>
    <w:rsid w:val="0054536C"/>
    <w:rsid w:val="005456B3"/>
    <w:rsid w:val="005457B7"/>
    <w:rsid w:val="0054652A"/>
    <w:rsid w:val="005511B4"/>
    <w:rsid w:val="005511DB"/>
    <w:rsid w:val="00551AB6"/>
    <w:rsid w:val="00551E0B"/>
    <w:rsid w:val="0055370F"/>
    <w:rsid w:val="00557CC8"/>
    <w:rsid w:val="00560CEC"/>
    <w:rsid w:val="00560EB0"/>
    <w:rsid w:val="00561A40"/>
    <w:rsid w:val="0056230D"/>
    <w:rsid w:val="00562D87"/>
    <w:rsid w:val="005638A7"/>
    <w:rsid w:val="00564303"/>
    <w:rsid w:val="00565DEC"/>
    <w:rsid w:val="00565F90"/>
    <w:rsid w:val="005669F1"/>
    <w:rsid w:val="005671DE"/>
    <w:rsid w:val="005707CB"/>
    <w:rsid w:val="0057308D"/>
    <w:rsid w:val="0057389F"/>
    <w:rsid w:val="00573B6C"/>
    <w:rsid w:val="005740C0"/>
    <w:rsid w:val="005741EA"/>
    <w:rsid w:val="0057425B"/>
    <w:rsid w:val="00574381"/>
    <w:rsid w:val="005743AE"/>
    <w:rsid w:val="00574EF3"/>
    <w:rsid w:val="00574F30"/>
    <w:rsid w:val="005763F4"/>
    <w:rsid w:val="0057649A"/>
    <w:rsid w:val="00580999"/>
    <w:rsid w:val="00580DA4"/>
    <w:rsid w:val="0058132D"/>
    <w:rsid w:val="00583B52"/>
    <w:rsid w:val="00584332"/>
    <w:rsid w:val="005845B7"/>
    <w:rsid w:val="0058537B"/>
    <w:rsid w:val="0058552C"/>
    <w:rsid w:val="005856E3"/>
    <w:rsid w:val="00585D6A"/>
    <w:rsid w:val="005862FD"/>
    <w:rsid w:val="0058790D"/>
    <w:rsid w:val="00587D47"/>
    <w:rsid w:val="00593093"/>
    <w:rsid w:val="00593361"/>
    <w:rsid w:val="005936D6"/>
    <w:rsid w:val="00593A89"/>
    <w:rsid w:val="00594328"/>
    <w:rsid w:val="005946BA"/>
    <w:rsid w:val="00595027"/>
    <w:rsid w:val="005950E9"/>
    <w:rsid w:val="00595511"/>
    <w:rsid w:val="00595F73"/>
    <w:rsid w:val="0059603F"/>
    <w:rsid w:val="0059637E"/>
    <w:rsid w:val="005971FF"/>
    <w:rsid w:val="00597205"/>
    <w:rsid w:val="00597277"/>
    <w:rsid w:val="005A166A"/>
    <w:rsid w:val="005A1C94"/>
    <w:rsid w:val="005A1D44"/>
    <w:rsid w:val="005A3CD0"/>
    <w:rsid w:val="005A3DF2"/>
    <w:rsid w:val="005A42EB"/>
    <w:rsid w:val="005A47BC"/>
    <w:rsid w:val="005A4FFB"/>
    <w:rsid w:val="005A5832"/>
    <w:rsid w:val="005A627B"/>
    <w:rsid w:val="005A67FF"/>
    <w:rsid w:val="005A6970"/>
    <w:rsid w:val="005A772A"/>
    <w:rsid w:val="005B134E"/>
    <w:rsid w:val="005B150A"/>
    <w:rsid w:val="005B2F62"/>
    <w:rsid w:val="005B30FE"/>
    <w:rsid w:val="005B3A50"/>
    <w:rsid w:val="005B52AB"/>
    <w:rsid w:val="005B615A"/>
    <w:rsid w:val="005B61C0"/>
    <w:rsid w:val="005B696E"/>
    <w:rsid w:val="005B79B2"/>
    <w:rsid w:val="005C1EE2"/>
    <w:rsid w:val="005C3A6E"/>
    <w:rsid w:val="005C3E76"/>
    <w:rsid w:val="005C42A4"/>
    <w:rsid w:val="005C490E"/>
    <w:rsid w:val="005C5306"/>
    <w:rsid w:val="005C5A05"/>
    <w:rsid w:val="005C5D28"/>
    <w:rsid w:val="005C6D5F"/>
    <w:rsid w:val="005C757E"/>
    <w:rsid w:val="005D082D"/>
    <w:rsid w:val="005D0912"/>
    <w:rsid w:val="005D1EA2"/>
    <w:rsid w:val="005D26C8"/>
    <w:rsid w:val="005D29CD"/>
    <w:rsid w:val="005D3998"/>
    <w:rsid w:val="005D5D99"/>
    <w:rsid w:val="005D5F94"/>
    <w:rsid w:val="005E0AC5"/>
    <w:rsid w:val="005E13B9"/>
    <w:rsid w:val="005E1DEA"/>
    <w:rsid w:val="005E207C"/>
    <w:rsid w:val="005E2128"/>
    <w:rsid w:val="005E31DF"/>
    <w:rsid w:val="005E3CCE"/>
    <w:rsid w:val="005E41D4"/>
    <w:rsid w:val="005E5410"/>
    <w:rsid w:val="005E550D"/>
    <w:rsid w:val="005E5AA9"/>
    <w:rsid w:val="005E5AD5"/>
    <w:rsid w:val="005E5E30"/>
    <w:rsid w:val="005E5F79"/>
    <w:rsid w:val="005E62C1"/>
    <w:rsid w:val="005E6733"/>
    <w:rsid w:val="005E6CE3"/>
    <w:rsid w:val="005E75EE"/>
    <w:rsid w:val="005E7BBB"/>
    <w:rsid w:val="005F0C63"/>
    <w:rsid w:val="005F147D"/>
    <w:rsid w:val="005F1EBD"/>
    <w:rsid w:val="005F2384"/>
    <w:rsid w:val="005F3151"/>
    <w:rsid w:val="005F3C42"/>
    <w:rsid w:val="005F3E6D"/>
    <w:rsid w:val="005F4085"/>
    <w:rsid w:val="005F419F"/>
    <w:rsid w:val="005F5998"/>
    <w:rsid w:val="005F5A75"/>
    <w:rsid w:val="005F5AEA"/>
    <w:rsid w:val="005F5BED"/>
    <w:rsid w:val="005F6239"/>
    <w:rsid w:val="005F6485"/>
    <w:rsid w:val="005F657F"/>
    <w:rsid w:val="005F76D9"/>
    <w:rsid w:val="005F7811"/>
    <w:rsid w:val="006003E0"/>
    <w:rsid w:val="00600768"/>
    <w:rsid w:val="00601120"/>
    <w:rsid w:val="006012F1"/>
    <w:rsid w:val="00601A9F"/>
    <w:rsid w:val="00601D8C"/>
    <w:rsid w:val="00602A27"/>
    <w:rsid w:val="00602D70"/>
    <w:rsid w:val="00603884"/>
    <w:rsid w:val="00604F32"/>
    <w:rsid w:val="00605ABA"/>
    <w:rsid w:val="00605B70"/>
    <w:rsid w:val="00607CE9"/>
    <w:rsid w:val="00610483"/>
    <w:rsid w:val="006108B8"/>
    <w:rsid w:val="006120F5"/>
    <w:rsid w:val="0061369F"/>
    <w:rsid w:val="006137A7"/>
    <w:rsid w:val="006141A8"/>
    <w:rsid w:val="00614DFC"/>
    <w:rsid w:val="006179A2"/>
    <w:rsid w:val="00617B4E"/>
    <w:rsid w:val="006207F5"/>
    <w:rsid w:val="0062101F"/>
    <w:rsid w:val="00622718"/>
    <w:rsid w:val="00623548"/>
    <w:rsid w:val="00623B19"/>
    <w:rsid w:val="00623C06"/>
    <w:rsid w:val="00623D03"/>
    <w:rsid w:val="006247C0"/>
    <w:rsid w:val="0062605D"/>
    <w:rsid w:val="006263DC"/>
    <w:rsid w:val="00626CF8"/>
    <w:rsid w:val="006272E2"/>
    <w:rsid w:val="00627C84"/>
    <w:rsid w:val="006304B5"/>
    <w:rsid w:val="00630772"/>
    <w:rsid w:val="006314DE"/>
    <w:rsid w:val="00631C6A"/>
    <w:rsid w:val="00631CD6"/>
    <w:rsid w:val="006326EF"/>
    <w:rsid w:val="00632BD5"/>
    <w:rsid w:val="00632D14"/>
    <w:rsid w:val="00634426"/>
    <w:rsid w:val="006347A4"/>
    <w:rsid w:val="00634880"/>
    <w:rsid w:val="00634897"/>
    <w:rsid w:val="00635533"/>
    <w:rsid w:val="00636777"/>
    <w:rsid w:val="00637294"/>
    <w:rsid w:val="006378B4"/>
    <w:rsid w:val="00640838"/>
    <w:rsid w:val="00641211"/>
    <w:rsid w:val="00642189"/>
    <w:rsid w:val="00642372"/>
    <w:rsid w:val="00643069"/>
    <w:rsid w:val="006437E7"/>
    <w:rsid w:val="0064535F"/>
    <w:rsid w:val="0064556E"/>
    <w:rsid w:val="00646041"/>
    <w:rsid w:val="00646249"/>
    <w:rsid w:val="00646778"/>
    <w:rsid w:val="00647980"/>
    <w:rsid w:val="0065015A"/>
    <w:rsid w:val="00650FCE"/>
    <w:rsid w:val="00651655"/>
    <w:rsid w:val="00651ADB"/>
    <w:rsid w:val="0065207C"/>
    <w:rsid w:val="0065380D"/>
    <w:rsid w:val="0065382F"/>
    <w:rsid w:val="00654407"/>
    <w:rsid w:val="0065479F"/>
    <w:rsid w:val="006551C5"/>
    <w:rsid w:val="006604D2"/>
    <w:rsid w:val="00660BCF"/>
    <w:rsid w:val="00662BF8"/>
    <w:rsid w:val="0066306E"/>
    <w:rsid w:val="00663843"/>
    <w:rsid w:val="00663E29"/>
    <w:rsid w:val="00664905"/>
    <w:rsid w:val="00665627"/>
    <w:rsid w:val="00665713"/>
    <w:rsid w:val="00665ED7"/>
    <w:rsid w:val="006660A4"/>
    <w:rsid w:val="00670051"/>
    <w:rsid w:val="006707C5"/>
    <w:rsid w:val="00670A76"/>
    <w:rsid w:val="006710F2"/>
    <w:rsid w:val="0067203E"/>
    <w:rsid w:val="006724D0"/>
    <w:rsid w:val="00672537"/>
    <w:rsid w:val="00672A91"/>
    <w:rsid w:val="00672FFE"/>
    <w:rsid w:val="00673040"/>
    <w:rsid w:val="006732AC"/>
    <w:rsid w:val="006739D4"/>
    <w:rsid w:val="00673D88"/>
    <w:rsid w:val="00673E40"/>
    <w:rsid w:val="00674623"/>
    <w:rsid w:val="00674D29"/>
    <w:rsid w:val="00674D33"/>
    <w:rsid w:val="00675193"/>
    <w:rsid w:val="00675683"/>
    <w:rsid w:val="0067572B"/>
    <w:rsid w:val="00675A45"/>
    <w:rsid w:val="006761D4"/>
    <w:rsid w:val="006768B9"/>
    <w:rsid w:val="006770D1"/>
    <w:rsid w:val="00680CD6"/>
    <w:rsid w:val="00680E99"/>
    <w:rsid w:val="006812A7"/>
    <w:rsid w:val="006820C1"/>
    <w:rsid w:val="0068260B"/>
    <w:rsid w:val="00684170"/>
    <w:rsid w:val="00684867"/>
    <w:rsid w:val="00684940"/>
    <w:rsid w:val="00685FA4"/>
    <w:rsid w:val="006862AA"/>
    <w:rsid w:val="0068698B"/>
    <w:rsid w:val="00686AF6"/>
    <w:rsid w:val="0068728E"/>
    <w:rsid w:val="0068760E"/>
    <w:rsid w:val="00687701"/>
    <w:rsid w:val="00691E7E"/>
    <w:rsid w:val="00691E87"/>
    <w:rsid w:val="00692A78"/>
    <w:rsid w:val="006935BE"/>
    <w:rsid w:val="00695F44"/>
    <w:rsid w:val="00697556"/>
    <w:rsid w:val="006976E7"/>
    <w:rsid w:val="006A0D89"/>
    <w:rsid w:val="006A2B41"/>
    <w:rsid w:val="006A3A08"/>
    <w:rsid w:val="006A3DDA"/>
    <w:rsid w:val="006A4639"/>
    <w:rsid w:val="006A47CD"/>
    <w:rsid w:val="006A481E"/>
    <w:rsid w:val="006A5D2D"/>
    <w:rsid w:val="006A5EB5"/>
    <w:rsid w:val="006A7396"/>
    <w:rsid w:val="006A7CEB"/>
    <w:rsid w:val="006B0047"/>
    <w:rsid w:val="006B0C81"/>
    <w:rsid w:val="006B0D23"/>
    <w:rsid w:val="006B19AF"/>
    <w:rsid w:val="006B2D9D"/>
    <w:rsid w:val="006B4EB2"/>
    <w:rsid w:val="006B5035"/>
    <w:rsid w:val="006B5E22"/>
    <w:rsid w:val="006B731E"/>
    <w:rsid w:val="006C04AA"/>
    <w:rsid w:val="006C06BC"/>
    <w:rsid w:val="006C0999"/>
    <w:rsid w:val="006C0EB8"/>
    <w:rsid w:val="006C11E9"/>
    <w:rsid w:val="006C1212"/>
    <w:rsid w:val="006C1623"/>
    <w:rsid w:val="006C412C"/>
    <w:rsid w:val="006C4167"/>
    <w:rsid w:val="006C5A3B"/>
    <w:rsid w:val="006C5B9E"/>
    <w:rsid w:val="006C71F8"/>
    <w:rsid w:val="006C7659"/>
    <w:rsid w:val="006C7783"/>
    <w:rsid w:val="006C7A49"/>
    <w:rsid w:val="006C7AD0"/>
    <w:rsid w:val="006C7FAC"/>
    <w:rsid w:val="006D145F"/>
    <w:rsid w:val="006D19CA"/>
    <w:rsid w:val="006D29BF"/>
    <w:rsid w:val="006D29C3"/>
    <w:rsid w:val="006D2D10"/>
    <w:rsid w:val="006D47CD"/>
    <w:rsid w:val="006D648C"/>
    <w:rsid w:val="006E2839"/>
    <w:rsid w:val="006E3488"/>
    <w:rsid w:val="006E3ADB"/>
    <w:rsid w:val="006E3F75"/>
    <w:rsid w:val="006E4660"/>
    <w:rsid w:val="006E514F"/>
    <w:rsid w:val="006E566A"/>
    <w:rsid w:val="006E612C"/>
    <w:rsid w:val="006E6D3C"/>
    <w:rsid w:val="006E6E8A"/>
    <w:rsid w:val="006E700D"/>
    <w:rsid w:val="006E73EA"/>
    <w:rsid w:val="006E788D"/>
    <w:rsid w:val="006F0070"/>
    <w:rsid w:val="006F121C"/>
    <w:rsid w:val="006F1B5D"/>
    <w:rsid w:val="006F1CA6"/>
    <w:rsid w:val="006F1EE7"/>
    <w:rsid w:val="006F28CB"/>
    <w:rsid w:val="006F352B"/>
    <w:rsid w:val="006F3D51"/>
    <w:rsid w:val="006F473D"/>
    <w:rsid w:val="006F4B01"/>
    <w:rsid w:val="00700244"/>
    <w:rsid w:val="00700565"/>
    <w:rsid w:val="007022B3"/>
    <w:rsid w:val="00702EDC"/>
    <w:rsid w:val="00704AE3"/>
    <w:rsid w:val="0070513B"/>
    <w:rsid w:val="007052E2"/>
    <w:rsid w:val="00705CCC"/>
    <w:rsid w:val="00706413"/>
    <w:rsid w:val="0070703D"/>
    <w:rsid w:val="00710C49"/>
    <w:rsid w:val="00711A36"/>
    <w:rsid w:val="007122B0"/>
    <w:rsid w:val="00712642"/>
    <w:rsid w:val="0071264A"/>
    <w:rsid w:val="00712870"/>
    <w:rsid w:val="007128E3"/>
    <w:rsid w:val="007136DC"/>
    <w:rsid w:val="0071386B"/>
    <w:rsid w:val="00714AB2"/>
    <w:rsid w:val="00715E76"/>
    <w:rsid w:val="00715FFC"/>
    <w:rsid w:val="00716447"/>
    <w:rsid w:val="00716D4A"/>
    <w:rsid w:val="00717C4E"/>
    <w:rsid w:val="007200C9"/>
    <w:rsid w:val="00720B71"/>
    <w:rsid w:val="0072130E"/>
    <w:rsid w:val="0072366F"/>
    <w:rsid w:val="0072378A"/>
    <w:rsid w:val="00723B44"/>
    <w:rsid w:val="007244F8"/>
    <w:rsid w:val="0072503C"/>
    <w:rsid w:val="0072527E"/>
    <w:rsid w:val="0072552C"/>
    <w:rsid w:val="00725D18"/>
    <w:rsid w:val="00725F2E"/>
    <w:rsid w:val="00727646"/>
    <w:rsid w:val="0072772E"/>
    <w:rsid w:val="00730329"/>
    <w:rsid w:val="00730366"/>
    <w:rsid w:val="00730C2B"/>
    <w:rsid w:val="00730FE1"/>
    <w:rsid w:val="0073171D"/>
    <w:rsid w:val="00731C0A"/>
    <w:rsid w:val="00732CA1"/>
    <w:rsid w:val="00733B99"/>
    <w:rsid w:val="0073483B"/>
    <w:rsid w:val="0073534B"/>
    <w:rsid w:val="0073564C"/>
    <w:rsid w:val="00735712"/>
    <w:rsid w:val="007357C8"/>
    <w:rsid w:val="007365D9"/>
    <w:rsid w:val="0074047F"/>
    <w:rsid w:val="00741033"/>
    <w:rsid w:val="007415C6"/>
    <w:rsid w:val="00741C48"/>
    <w:rsid w:val="00742433"/>
    <w:rsid w:val="00742BEC"/>
    <w:rsid w:val="00744313"/>
    <w:rsid w:val="00745028"/>
    <w:rsid w:val="0074571A"/>
    <w:rsid w:val="00745FCC"/>
    <w:rsid w:val="0074610C"/>
    <w:rsid w:val="007468E8"/>
    <w:rsid w:val="00747D23"/>
    <w:rsid w:val="00747E9A"/>
    <w:rsid w:val="00750223"/>
    <w:rsid w:val="00750921"/>
    <w:rsid w:val="0075106D"/>
    <w:rsid w:val="0075174B"/>
    <w:rsid w:val="007519A8"/>
    <w:rsid w:val="00752509"/>
    <w:rsid w:val="00753FB2"/>
    <w:rsid w:val="00754E17"/>
    <w:rsid w:val="007565F2"/>
    <w:rsid w:val="00756AB9"/>
    <w:rsid w:val="00756AFA"/>
    <w:rsid w:val="00757808"/>
    <w:rsid w:val="007609DF"/>
    <w:rsid w:val="00760C87"/>
    <w:rsid w:val="0076176B"/>
    <w:rsid w:val="00761DBA"/>
    <w:rsid w:val="007621AA"/>
    <w:rsid w:val="007625D0"/>
    <w:rsid w:val="007633B0"/>
    <w:rsid w:val="007634F3"/>
    <w:rsid w:val="00764B2A"/>
    <w:rsid w:val="00765233"/>
    <w:rsid w:val="0076534E"/>
    <w:rsid w:val="007669F2"/>
    <w:rsid w:val="00766FEC"/>
    <w:rsid w:val="007674D8"/>
    <w:rsid w:val="007678E5"/>
    <w:rsid w:val="00767D2F"/>
    <w:rsid w:val="00767D9D"/>
    <w:rsid w:val="00770065"/>
    <w:rsid w:val="00770366"/>
    <w:rsid w:val="00770A5C"/>
    <w:rsid w:val="00771025"/>
    <w:rsid w:val="007721AD"/>
    <w:rsid w:val="0077277B"/>
    <w:rsid w:val="007738FD"/>
    <w:rsid w:val="00773B83"/>
    <w:rsid w:val="00774AFE"/>
    <w:rsid w:val="0077512C"/>
    <w:rsid w:val="00775AE8"/>
    <w:rsid w:val="00775B63"/>
    <w:rsid w:val="00775C19"/>
    <w:rsid w:val="00780D4F"/>
    <w:rsid w:val="00780D86"/>
    <w:rsid w:val="007813A8"/>
    <w:rsid w:val="007822B4"/>
    <w:rsid w:val="00782C30"/>
    <w:rsid w:val="007830CA"/>
    <w:rsid w:val="0078392C"/>
    <w:rsid w:val="00783E5D"/>
    <w:rsid w:val="00786853"/>
    <w:rsid w:val="00790444"/>
    <w:rsid w:val="00790BDB"/>
    <w:rsid w:val="00790D4B"/>
    <w:rsid w:val="007917EE"/>
    <w:rsid w:val="00791848"/>
    <w:rsid w:val="0079196B"/>
    <w:rsid w:val="007941E6"/>
    <w:rsid w:val="00795552"/>
    <w:rsid w:val="00795765"/>
    <w:rsid w:val="00796673"/>
    <w:rsid w:val="007A060E"/>
    <w:rsid w:val="007A0E2C"/>
    <w:rsid w:val="007A1744"/>
    <w:rsid w:val="007A2194"/>
    <w:rsid w:val="007A473B"/>
    <w:rsid w:val="007A7599"/>
    <w:rsid w:val="007A7972"/>
    <w:rsid w:val="007B0226"/>
    <w:rsid w:val="007B187A"/>
    <w:rsid w:val="007B2202"/>
    <w:rsid w:val="007B244B"/>
    <w:rsid w:val="007B32C4"/>
    <w:rsid w:val="007B3BE7"/>
    <w:rsid w:val="007B3C30"/>
    <w:rsid w:val="007B3DA9"/>
    <w:rsid w:val="007B55DC"/>
    <w:rsid w:val="007B63BA"/>
    <w:rsid w:val="007B6696"/>
    <w:rsid w:val="007B6A25"/>
    <w:rsid w:val="007C20DF"/>
    <w:rsid w:val="007C3662"/>
    <w:rsid w:val="007C3668"/>
    <w:rsid w:val="007C3F8A"/>
    <w:rsid w:val="007C403A"/>
    <w:rsid w:val="007C455A"/>
    <w:rsid w:val="007C5D0E"/>
    <w:rsid w:val="007C6A08"/>
    <w:rsid w:val="007C6DA6"/>
    <w:rsid w:val="007C71B6"/>
    <w:rsid w:val="007C74FB"/>
    <w:rsid w:val="007C76DC"/>
    <w:rsid w:val="007D11BE"/>
    <w:rsid w:val="007D1390"/>
    <w:rsid w:val="007D1649"/>
    <w:rsid w:val="007D253D"/>
    <w:rsid w:val="007D390D"/>
    <w:rsid w:val="007D3A76"/>
    <w:rsid w:val="007D3FC9"/>
    <w:rsid w:val="007D435B"/>
    <w:rsid w:val="007D495C"/>
    <w:rsid w:val="007D4DC0"/>
    <w:rsid w:val="007D504C"/>
    <w:rsid w:val="007D6406"/>
    <w:rsid w:val="007D6C66"/>
    <w:rsid w:val="007D75C9"/>
    <w:rsid w:val="007D78DF"/>
    <w:rsid w:val="007D7900"/>
    <w:rsid w:val="007E0DB6"/>
    <w:rsid w:val="007E1893"/>
    <w:rsid w:val="007E2235"/>
    <w:rsid w:val="007E3829"/>
    <w:rsid w:val="007E3AD3"/>
    <w:rsid w:val="007E3B6A"/>
    <w:rsid w:val="007E3D2F"/>
    <w:rsid w:val="007E4599"/>
    <w:rsid w:val="007E4600"/>
    <w:rsid w:val="007E4A01"/>
    <w:rsid w:val="007E586C"/>
    <w:rsid w:val="007E65DE"/>
    <w:rsid w:val="007E6705"/>
    <w:rsid w:val="007E6CE7"/>
    <w:rsid w:val="007F0010"/>
    <w:rsid w:val="007F025C"/>
    <w:rsid w:val="007F061C"/>
    <w:rsid w:val="007F214E"/>
    <w:rsid w:val="007F2C82"/>
    <w:rsid w:val="007F2C9B"/>
    <w:rsid w:val="007F3185"/>
    <w:rsid w:val="007F3C9F"/>
    <w:rsid w:val="007F48EE"/>
    <w:rsid w:val="007F497A"/>
    <w:rsid w:val="007F5A06"/>
    <w:rsid w:val="007F5F26"/>
    <w:rsid w:val="007F601D"/>
    <w:rsid w:val="007F638A"/>
    <w:rsid w:val="007F6518"/>
    <w:rsid w:val="007F69C2"/>
    <w:rsid w:val="007F7A65"/>
    <w:rsid w:val="007F7BD8"/>
    <w:rsid w:val="007F7D00"/>
    <w:rsid w:val="00800032"/>
    <w:rsid w:val="00800C18"/>
    <w:rsid w:val="00801242"/>
    <w:rsid w:val="00801E96"/>
    <w:rsid w:val="00802432"/>
    <w:rsid w:val="00802B3D"/>
    <w:rsid w:val="008048B6"/>
    <w:rsid w:val="00804BEE"/>
    <w:rsid w:val="00804CC7"/>
    <w:rsid w:val="00805340"/>
    <w:rsid w:val="00807B19"/>
    <w:rsid w:val="00807F5B"/>
    <w:rsid w:val="00810F86"/>
    <w:rsid w:val="00811277"/>
    <w:rsid w:val="00811665"/>
    <w:rsid w:val="008117E6"/>
    <w:rsid w:val="0081506E"/>
    <w:rsid w:val="0081564D"/>
    <w:rsid w:val="00815E45"/>
    <w:rsid w:val="00815EBC"/>
    <w:rsid w:val="0081644E"/>
    <w:rsid w:val="00816F5E"/>
    <w:rsid w:val="008172BF"/>
    <w:rsid w:val="00820285"/>
    <w:rsid w:val="00820998"/>
    <w:rsid w:val="00820D86"/>
    <w:rsid w:val="00821E71"/>
    <w:rsid w:val="0082213D"/>
    <w:rsid w:val="0082231D"/>
    <w:rsid w:val="0082281F"/>
    <w:rsid w:val="008246AE"/>
    <w:rsid w:val="00824B50"/>
    <w:rsid w:val="00824BDB"/>
    <w:rsid w:val="00825238"/>
    <w:rsid w:val="00825D60"/>
    <w:rsid w:val="00825F25"/>
    <w:rsid w:val="0082663F"/>
    <w:rsid w:val="008270AB"/>
    <w:rsid w:val="00827105"/>
    <w:rsid w:val="00827A98"/>
    <w:rsid w:val="0083031F"/>
    <w:rsid w:val="0083047A"/>
    <w:rsid w:val="00830943"/>
    <w:rsid w:val="00830B24"/>
    <w:rsid w:val="00830C8F"/>
    <w:rsid w:val="00830CED"/>
    <w:rsid w:val="008333BB"/>
    <w:rsid w:val="008339D2"/>
    <w:rsid w:val="008345AF"/>
    <w:rsid w:val="0083487C"/>
    <w:rsid w:val="008352A7"/>
    <w:rsid w:val="008353FE"/>
    <w:rsid w:val="0083794E"/>
    <w:rsid w:val="008405F6"/>
    <w:rsid w:val="008407D1"/>
    <w:rsid w:val="0084148B"/>
    <w:rsid w:val="00842841"/>
    <w:rsid w:val="0084395E"/>
    <w:rsid w:val="00844AC9"/>
    <w:rsid w:val="0084583B"/>
    <w:rsid w:val="00845D21"/>
    <w:rsid w:val="00846D14"/>
    <w:rsid w:val="008501F6"/>
    <w:rsid w:val="00850554"/>
    <w:rsid w:val="0085106B"/>
    <w:rsid w:val="0085111F"/>
    <w:rsid w:val="00851267"/>
    <w:rsid w:val="00851EA8"/>
    <w:rsid w:val="008536FF"/>
    <w:rsid w:val="00853F7C"/>
    <w:rsid w:val="008541ED"/>
    <w:rsid w:val="00854960"/>
    <w:rsid w:val="00854C45"/>
    <w:rsid w:val="00855782"/>
    <w:rsid w:val="00855DEF"/>
    <w:rsid w:val="00856100"/>
    <w:rsid w:val="008562BC"/>
    <w:rsid w:val="008567D1"/>
    <w:rsid w:val="00856973"/>
    <w:rsid w:val="00857F3E"/>
    <w:rsid w:val="00860437"/>
    <w:rsid w:val="008604B7"/>
    <w:rsid w:val="008609A0"/>
    <w:rsid w:val="00861CD6"/>
    <w:rsid w:val="00862835"/>
    <w:rsid w:val="00862AE0"/>
    <w:rsid w:val="00862D09"/>
    <w:rsid w:val="008637BB"/>
    <w:rsid w:val="0086447D"/>
    <w:rsid w:val="00864F44"/>
    <w:rsid w:val="00865556"/>
    <w:rsid w:val="0086656B"/>
    <w:rsid w:val="00866742"/>
    <w:rsid w:val="00866DD6"/>
    <w:rsid w:val="00866E89"/>
    <w:rsid w:val="008677D2"/>
    <w:rsid w:val="00870510"/>
    <w:rsid w:val="008710AF"/>
    <w:rsid w:val="00871484"/>
    <w:rsid w:val="00871D79"/>
    <w:rsid w:val="008738AE"/>
    <w:rsid w:val="00874C0F"/>
    <w:rsid w:val="00874D05"/>
    <w:rsid w:val="0087506A"/>
    <w:rsid w:val="00876EAA"/>
    <w:rsid w:val="00876EBF"/>
    <w:rsid w:val="00880009"/>
    <w:rsid w:val="00880CB5"/>
    <w:rsid w:val="008811D1"/>
    <w:rsid w:val="00882785"/>
    <w:rsid w:val="00883729"/>
    <w:rsid w:val="00884446"/>
    <w:rsid w:val="00884E8D"/>
    <w:rsid w:val="008858F3"/>
    <w:rsid w:val="00885B04"/>
    <w:rsid w:val="0089035D"/>
    <w:rsid w:val="00891971"/>
    <w:rsid w:val="00892299"/>
    <w:rsid w:val="0089232C"/>
    <w:rsid w:val="008925E6"/>
    <w:rsid w:val="00892B0B"/>
    <w:rsid w:val="00892D93"/>
    <w:rsid w:val="008939F5"/>
    <w:rsid w:val="00894044"/>
    <w:rsid w:val="00894292"/>
    <w:rsid w:val="00894381"/>
    <w:rsid w:val="008943C2"/>
    <w:rsid w:val="00894468"/>
    <w:rsid w:val="00894A12"/>
    <w:rsid w:val="00894BA0"/>
    <w:rsid w:val="00894CFD"/>
    <w:rsid w:val="008951B6"/>
    <w:rsid w:val="008951D6"/>
    <w:rsid w:val="00895B36"/>
    <w:rsid w:val="00895B65"/>
    <w:rsid w:val="0089620C"/>
    <w:rsid w:val="00896820"/>
    <w:rsid w:val="008A1702"/>
    <w:rsid w:val="008A1706"/>
    <w:rsid w:val="008A188C"/>
    <w:rsid w:val="008A2024"/>
    <w:rsid w:val="008A3428"/>
    <w:rsid w:val="008A3EE0"/>
    <w:rsid w:val="008A4880"/>
    <w:rsid w:val="008A4FFB"/>
    <w:rsid w:val="008A5D4C"/>
    <w:rsid w:val="008A616C"/>
    <w:rsid w:val="008A68EC"/>
    <w:rsid w:val="008A6E0A"/>
    <w:rsid w:val="008A76B3"/>
    <w:rsid w:val="008A77F6"/>
    <w:rsid w:val="008A7D33"/>
    <w:rsid w:val="008B0678"/>
    <w:rsid w:val="008B1DC7"/>
    <w:rsid w:val="008B202A"/>
    <w:rsid w:val="008B303F"/>
    <w:rsid w:val="008B3E8B"/>
    <w:rsid w:val="008B41D2"/>
    <w:rsid w:val="008B4B54"/>
    <w:rsid w:val="008B51C1"/>
    <w:rsid w:val="008B5992"/>
    <w:rsid w:val="008B61CD"/>
    <w:rsid w:val="008B77C0"/>
    <w:rsid w:val="008C0CBB"/>
    <w:rsid w:val="008C11ED"/>
    <w:rsid w:val="008C1698"/>
    <w:rsid w:val="008C2044"/>
    <w:rsid w:val="008C23EA"/>
    <w:rsid w:val="008C25A4"/>
    <w:rsid w:val="008C2D36"/>
    <w:rsid w:val="008C308C"/>
    <w:rsid w:val="008C31FC"/>
    <w:rsid w:val="008C33E8"/>
    <w:rsid w:val="008C49AC"/>
    <w:rsid w:val="008C4B87"/>
    <w:rsid w:val="008C4EDF"/>
    <w:rsid w:val="008C570B"/>
    <w:rsid w:val="008C62C3"/>
    <w:rsid w:val="008C6785"/>
    <w:rsid w:val="008C67CE"/>
    <w:rsid w:val="008C6A62"/>
    <w:rsid w:val="008C6E26"/>
    <w:rsid w:val="008C7FAA"/>
    <w:rsid w:val="008D025C"/>
    <w:rsid w:val="008D0A26"/>
    <w:rsid w:val="008D12CB"/>
    <w:rsid w:val="008D1E8F"/>
    <w:rsid w:val="008D2291"/>
    <w:rsid w:val="008D369A"/>
    <w:rsid w:val="008D4520"/>
    <w:rsid w:val="008D50E0"/>
    <w:rsid w:val="008D565C"/>
    <w:rsid w:val="008D5A1C"/>
    <w:rsid w:val="008D675E"/>
    <w:rsid w:val="008D6C78"/>
    <w:rsid w:val="008D767E"/>
    <w:rsid w:val="008E094E"/>
    <w:rsid w:val="008E102C"/>
    <w:rsid w:val="008E1FCF"/>
    <w:rsid w:val="008E2CEF"/>
    <w:rsid w:val="008E46B8"/>
    <w:rsid w:val="008E53F3"/>
    <w:rsid w:val="008E6E02"/>
    <w:rsid w:val="008F1427"/>
    <w:rsid w:val="008F198E"/>
    <w:rsid w:val="008F201D"/>
    <w:rsid w:val="008F5661"/>
    <w:rsid w:val="008F6395"/>
    <w:rsid w:val="008F6B85"/>
    <w:rsid w:val="008F7D04"/>
    <w:rsid w:val="008F7F52"/>
    <w:rsid w:val="009003CA"/>
    <w:rsid w:val="00900850"/>
    <w:rsid w:val="00901C10"/>
    <w:rsid w:val="00902312"/>
    <w:rsid w:val="00903F1E"/>
    <w:rsid w:val="00904FDF"/>
    <w:rsid w:val="00905BDC"/>
    <w:rsid w:val="00905CF6"/>
    <w:rsid w:val="00905D14"/>
    <w:rsid w:val="0090670A"/>
    <w:rsid w:val="00907DB0"/>
    <w:rsid w:val="00910150"/>
    <w:rsid w:val="00912CFD"/>
    <w:rsid w:val="0091357A"/>
    <w:rsid w:val="009135FD"/>
    <w:rsid w:val="00914D97"/>
    <w:rsid w:val="00915763"/>
    <w:rsid w:val="00915E16"/>
    <w:rsid w:val="00916950"/>
    <w:rsid w:val="009179EB"/>
    <w:rsid w:val="009212EA"/>
    <w:rsid w:val="0092207E"/>
    <w:rsid w:val="0092209E"/>
    <w:rsid w:val="009220E8"/>
    <w:rsid w:val="00922AAE"/>
    <w:rsid w:val="0092434C"/>
    <w:rsid w:val="00924C05"/>
    <w:rsid w:val="00924C7E"/>
    <w:rsid w:val="00925179"/>
    <w:rsid w:val="00926662"/>
    <w:rsid w:val="009273D8"/>
    <w:rsid w:val="009278B4"/>
    <w:rsid w:val="00927BB1"/>
    <w:rsid w:val="00931910"/>
    <w:rsid w:val="00931DCF"/>
    <w:rsid w:val="00932340"/>
    <w:rsid w:val="00933070"/>
    <w:rsid w:val="009335C1"/>
    <w:rsid w:val="009336A5"/>
    <w:rsid w:val="009342AB"/>
    <w:rsid w:val="00935057"/>
    <w:rsid w:val="00935A13"/>
    <w:rsid w:val="00935D1A"/>
    <w:rsid w:val="0093602F"/>
    <w:rsid w:val="00936274"/>
    <w:rsid w:val="00936623"/>
    <w:rsid w:val="00936E99"/>
    <w:rsid w:val="00936FF6"/>
    <w:rsid w:val="00937572"/>
    <w:rsid w:val="00940214"/>
    <w:rsid w:val="009405C7"/>
    <w:rsid w:val="0094209F"/>
    <w:rsid w:val="009429F0"/>
    <w:rsid w:val="00943633"/>
    <w:rsid w:val="00943C84"/>
    <w:rsid w:val="00944094"/>
    <w:rsid w:val="009446E6"/>
    <w:rsid w:val="00945D20"/>
    <w:rsid w:val="009474EC"/>
    <w:rsid w:val="00947592"/>
    <w:rsid w:val="009479D2"/>
    <w:rsid w:val="00947E9F"/>
    <w:rsid w:val="0095072B"/>
    <w:rsid w:val="00951E64"/>
    <w:rsid w:val="00952EB8"/>
    <w:rsid w:val="009535B0"/>
    <w:rsid w:val="009543F2"/>
    <w:rsid w:val="009548E0"/>
    <w:rsid w:val="009551B4"/>
    <w:rsid w:val="009551B8"/>
    <w:rsid w:val="009556A0"/>
    <w:rsid w:val="0095686F"/>
    <w:rsid w:val="00957558"/>
    <w:rsid w:val="00957643"/>
    <w:rsid w:val="0096056A"/>
    <w:rsid w:val="00961D90"/>
    <w:rsid w:val="00962FCE"/>
    <w:rsid w:val="009634B4"/>
    <w:rsid w:val="00963550"/>
    <w:rsid w:val="009638D9"/>
    <w:rsid w:val="00963A7B"/>
    <w:rsid w:val="00965AFD"/>
    <w:rsid w:val="00965FB3"/>
    <w:rsid w:val="009665C5"/>
    <w:rsid w:val="0096688D"/>
    <w:rsid w:val="009670D0"/>
    <w:rsid w:val="00970DB0"/>
    <w:rsid w:val="00971A0E"/>
    <w:rsid w:val="009726E8"/>
    <w:rsid w:val="0097293C"/>
    <w:rsid w:val="009739A5"/>
    <w:rsid w:val="009745A7"/>
    <w:rsid w:val="00974752"/>
    <w:rsid w:val="00974EAA"/>
    <w:rsid w:val="00974EBE"/>
    <w:rsid w:val="00975220"/>
    <w:rsid w:val="009765CA"/>
    <w:rsid w:val="00976825"/>
    <w:rsid w:val="009768FC"/>
    <w:rsid w:val="00977F49"/>
    <w:rsid w:val="0098082F"/>
    <w:rsid w:val="0098132E"/>
    <w:rsid w:val="00981726"/>
    <w:rsid w:val="00982093"/>
    <w:rsid w:val="009820E6"/>
    <w:rsid w:val="00982A1F"/>
    <w:rsid w:val="00983075"/>
    <w:rsid w:val="009831F5"/>
    <w:rsid w:val="00984069"/>
    <w:rsid w:val="00984D93"/>
    <w:rsid w:val="00985491"/>
    <w:rsid w:val="009865C3"/>
    <w:rsid w:val="0098710C"/>
    <w:rsid w:val="00987626"/>
    <w:rsid w:val="009876ED"/>
    <w:rsid w:val="0099016C"/>
    <w:rsid w:val="009901E4"/>
    <w:rsid w:val="00990436"/>
    <w:rsid w:val="009905FF"/>
    <w:rsid w:val="009906DC"/>
    <w:rsid w:val="00991802"/>
    <w:rsid w:val="009918F6"/>
    <w:rsid w:val="00991D6D"/>
    <w:rsid w:val="00991F01"/>
    <w:rsid w:val="00991F70"/>
    <w:rsid w:val="0099248D"/>
    <w:rsid w:val="00992E2B"/>
    <w:rsid w:val="00992F83"/>
    <w:rsid w:val="00994285"/>
    <w:rsid w:val="009948BD"/>
    <w:rsid w:val="00995444"/>
    <w:rsid w:val="00995BD4"/>
    <w:rsid w:val="00995C85"/>
    <w:rsid w:val="009963C7"/>
    <w:rsid w:val="009970A3"/>
    <w:rsid w:val="009A247C"/>
    <w:rsid w:val="009A25F0"/>
    <w:rsid w:val="009A2D57"/>
    <w:rsid w:val="009A37A9"/>
    <w:rsid w:val="009A47DC"/>
    <w:rsid w:val="009A49A9"/>
    <w:rsid w:val="009A56CE"/>
    <w:rsid w:val="009A5AE6"/>
    <w:rsid w:val="009A64E5"/>
    <w:rsid w:val="009A71FB"/>
    <w:rsid w:val="009A7540"/>
    <w:rsid w:val="009A7A5E"/>
    <w:rsid w:val="009A7DC2"/>
    <w:rsid w:val="009B1030"/>
    <w:rsid w:val="009B14C1"/>
    <w:rsid w:val="009B1AB7"/>
    <w:rsid w:val="009B2BD6"/>
    <w:rsid w:val="009B2F5E"/>
    <w:rsid w:val="009B30C2"/>
    <w:rsid w:val="009B33E8"/>
    <w:rsid w:val="009B3613"/>
    <w:rsid w:val="009B3D2F"/>
    <w:rsid w:val="009B4838"/>
    <w:rsid w:val="009B531E"/>
    <w:rsid w:val="009B62C4"/>
    <w:rsid w:val="009B6629"/>
    <w:rsid w:val="009B6B8D"/>
    <w:rsid w:val="009C0330"/>
    <w:rsid w:val="009C089E"/>
    <w:rsid w:val="009C0A8A"/>
    <w:rsid w:val="009C0B89"/>
    <w:rsid w:val="009C0DDB"/>
    <w:rsid w:val="009C211F"/>
    <w:rsid w:val="009C2516"/>
    <w:rsid w:val="009C37E3"/>
    <w:rsid w:val="009C3D72"/>
    <w:rsid w:val="009C410D"/>
    <w:rsid w:val="009C47E7"/>
    <w:rsid w:val="009C4B4F"/>
    <w:rsid w:val="009C5047"/>
    <w:rsid w:val="009C50B8"/>
    <w:rsid w:val="009C5688"/>
    <w:rsid w:val="009C635F"/>
    <w:rsid w:val="009C6E7E"/>
    <w:rsid w:val="009C75F6"/>
    <w:rsid w:val="009C7F97"/>
    <w:rsid w:val="009D08D5"/>
    <w:rsid w:val="009D0E0A"/>
    <w:rsid w:val="009D1407"/>
    <w:rsid w:val="009D2268"/>
    <w:rsid w:val="009D2AF8"/>
    <w:rsid w:val="009D3E5E"/>
    <w:rsid w:val="009D423F"/>
    <w:rsid w:val="009D4A86"/>
    <w:rsid w:val="009D5917"/>
    <w:rsid w:val="009D6126"/>
    <w:rsid w:val="009E055B"/>
    <w:rsid w:val="009E093E"/>
    <w:rsid w:val="009E15DE"/>
    <w:rsid w:val="009E180D"/>
    <w:rsid w:val="009E1A9E"/>
    <w:rsid w:val="009E1F1F"/>
    <w:rsid w:val="009E1F58"/>
    <w:rsid w:val="009E2554"/>
    <w:rsid w:val="009E2FC0"/>
    <w:rsid w:val="009E3439"/>
    <w:rsid w:val="009E3A4B"/>
    <w:rsid w:val="009E40D8"/>
    <w:rsid w:val="009E45E0"/>
    <w:rsid w:val="009E45E9"/>
    <w:rsid w:val="009E4E5A"/>
    <w:rsid w:val="009E566A"/>
    <w:rsid w:val="009E5B27"/>
    <w:rsid w:val="009E6007"/>
    <w:rsid w:val="009E6236"/>
    <w:rsid w:val="009E6659"/>
    <w:rsid w:val="009E6FD2"/>
    <w:rsid w:val="009E798E"/>
    <w:rsid w:val="009E7D82"/>
    <w:rsid w:val="009F0453"/>
    <w:rsid w:val="009F068E"/>
    <w:rsid w:val="009F2877"/>
    <w:rsid w:val="009F310D"/>
    <w:rsid w:val="009F3403"/>
    <w:rsid w:val="009F349C"/>
    <w:rsid w:val="009F43DC"/>
    <w:rsid w:val="009F4B68"/>
    <w:rsid w:val="009F5584"/>
    <w:rsid w:val="009F5786"/>
    <w:rsid w:val="009F5EB5"/>
    <w:rsid w:val="009F6D17"/>
    <w:rsid w:val="009F6FB6"/>
    <w:rsid w:val="009F7086"/>
    <w:rsid w:val="009F74B9"/>
    <w:rsid w:val="009F750C"/>
    <w:rsid w:val="009F75D9"/>
    <w:rsid w:val="009F7956"/>
    <w:rsid w:val="00A00792"/>
    <w:rsid w:val="00A0311B"/>
    <w:rsid w:val="00A04BDE"/>
    <w:rsid w:val="00A0536F"/>
    <w:rsid w:val="00A05A42"/>
    <w:rsid w:val="00A05F08"/>
    <w:rsid w:val="00A1020E"/>
    <w:rsid w:val="00A111E5"/>
    <w:rsid w:val="00A119C3"/>
    <w:rsid w:val="00A11BEB"/>
    <w:rsid w:val="00A121E0"/>
    <w:rsid w:val="00A122B3"/>
    <w:rsid w:val="00A1251D"/>
    <w:rsid w:val="00A12A6A"/>
    <w:rsid w:val="00A12AE6"/>
    <w:rsid w:val="00A133B7"/>
    <w:rsid w:val="00A1366C"/>
    <w:rsid w:val="00A13B05"/>
    <w:rsid w:val="00A149EC"/>
    <w:rsid w:val="00A14EB9"/>
    <w:rsid w:val="00A15DB4"/>
    <w:rsid w:val="00A1605E"/>
    <w:rsid w:val="00A1637B"/>
    <w:rsid w:val="00A17C9F"/>
    <w:rsid w:val="00A20E85"/>
    <w:rsid w:val="00A21C40"/>
    <w:rsid w:val="00A22FCB"/>
    <w:rsid w:val="00A2309E"/>
    <w:rsid w:val="00A234AC"/>
    <w:rsid w:val="00A23B0C"/>
    <w:rsid w:val="00A2424D"/>
    <w:rsid w:val="00A2434E"/>
    <w:rsid w:val="00A24B0C"/>
    <w:rsid w:val="00A24C0B"/>
    <w:rsid w:val="00A25046"/>
    <w:rsid w:val="00A25C1A"/>
    <w:rsid w:val="00A26E41"/>
    <w:rsid w:val="00A27810"/>
    <w:rsid w:val="00A278DD"/>
    <w:rsid w:val="00A30CA2"/>
    <w:rsid w:val="00A3132D"/>
    <w:rsid w:val="00A31C35"/>
    <w:rsid w:val="00A31C68"/>
    <w:rsid w:val="00A336DB"/>
    <w:rsid w:val="00A34267"/>
    <w:rsid w:val="00A34807"/>
    <w:rsid w:val="00A3489C"/>
    <w:rsid w:val="00A34AA4"/>
    <w:rsid w:val="00A34BC4"/>
    <w:rsid w:val="00A3596C"/>
    <w:rsid w:val="00A359F2"/>
    <w:rsid w:val="00A3643A"/>
    <w:rsid w:val="00A376ED"/>
    <w:rsid w:val="00A400D7"/>
    <w:rsid w:val="00A40102"/>
    <w:rsid w:val="00A402F0"/>
    <w:rsid w:val="00A40547"/>
    <w:rsid w:val="00A40F19"/>
    <w:rsid w:val="00A41BE6"/>
    <w:rsid w:val="00A43A45"/>
    <w:rsid w:val="00A441B5"/>
    <w:rsid w:val="00A441FD"/>
    <w:rsid w:val="00A44243"/>
    <w:rsid w:val="00A4467F"/>
    <w:rsid w:val="00A44763"/>
    <w:rsid w:val="00A44E94"/>
    <w:rsid w:val="00A45AAE"/>
    <w:rsid w:val="00A46603"/>
    <w:rsid w:val="00A466A8"/>
    <w:rsid w:val="00A46C83"/>
    <w:rsid w:val="00A4738C"/>
    <w:rsid w:val="00A47576"/>
    <w:rsid w:val="00A4757C"/>
    <w:rsid w:val="00A47941"/>
    <w:rsid w:val="00A50836"/>
    <w:rsid w:val="00A51CE4"/>
    <w:rsid w:val="00A51D5C"/>
    <w:rsid w:val="00A51DE2"/>
    <w:rsid w:val="00A51DE3"/>
    <w:rsid w:val="00A52302"/>
    <w:rsid w:val="00A53456"/>
    <w:rsid w:val="00A53BD6"/>
    <w:rsid w:val="00A53CB2"/>
    <w:rsid w:val="00A547D1"/>
    <w:rsid w:val="00A54F24"/>
    <w:rsid w:val="00A55A34"/>
    <w:rsid w:val="00A562DF"/>
    <w:rsid w:val="00A563F0"/>
    <w:rsid w:val="00A5653E"/>
    <w:rsid w:val="00A571F2"/>
    <w:rsid w:val="00A5733D"/>
    <w:rsid w:val="00A57568"/>
    <w:rsid w:val="00A6021E"/>
    <w:rsid w:val="00A60509"/>
    <w:rsid w:val="00A60C31"/>
    <w:rsid w:val="00A6146A"/>
    <w:rsid w:val="00A61777"/>
    <w:rsid w:val="00A61912"/>
    <w:rsid w:val="00A61AE1"/>
    <w:rsid w:val="00A62BE1"/>
    <w:rsid w:val="00A65A6A"/>
    <w:rsid w:val="00A65DE3"/>
    <w:rsid w:val="00A65E33"/>
    <w:rsid w:val="00A65F65"/>
    <w:rsid w:val="00A669CB"/>
    <w:rsid w:val="00A66E06"/>
    <w:rsid w:val="00A66EA0"/>
    <w:rsid w:val="00A66FF4"/>
    <w:rsid w:val="00A670BE"/>
    <w:rsid w:val="00A67256"/>
    <w:rsid w:val="00A6768F"/>
    <w:rsid w:val="00A705A1"/>
    <w:rsid w:val="00A708FE"/>
    <w:rsid w:val="00A7394F"/>
    <w:rsid w:val="00A741C7"/>
    <w:rsid w:val="00A74752"/>
    <w:rsid w:val="00A75AAF"/>
    <w:rsid w:val="00A76D1D"/>
    <w:rsid w:val="00A76DC2"/>
    <w:rsid w:val="00A77242"/>
    <w:rsid w:val="00A77286"/>
    <w:rsid w:val="00A77AB8"/>
    <w:rsid w:val="00A77E14"/>
    <w:rsid w:val="00A80803"/>
    <w:rsid w:val="00A82436"/>
    <w:rsid w:val="00A864E7"/>
    <w:rsid w:val="00A86D60"/>
    <w:rsid w:val="00A87FF0"/>
    <w:rsid w:val="00A905F9"/>
    <w:rsid w:val="00A9241A"/>
    <w:rsid w:val="00A92A02"/>
    <w:rsid w:val="00A92FD3"/>
    <w:rsid w:val="00A93556"/>
    <w:rsid w:val="00A942D1"/>
    <w:rsid w:val="00A9478F"/>
    <w:rsid w:val="00A94FA9"/>
    <w:rsid w:val="00A961FC"/>
    <w:rsid w:val="00A96493"/>
    <w:rsid w:val="00A9762D"/>
    <w:rsid w:val="00A97B64"/>
    <w:rsid w:val="00AA048C"/>
    <w:rsid w:val="00AA0826"/>
    <w:rsid w:val="00AA1D26"/>
    <w:rsid w:val="00AA36F0"/>
    <w:rsid w:val="00AA748F"/>
    <w:rsid w:val="00AA74F7"/>
    <w:rsid w:val="00AA7516"/>
    <w:rsid w:val="00AA7B32"/>
    <w:rsid w:val="00AA7D93"/>
    <w:rsid w:val="00AB1073"/>
    <w:rsid w:val="00AB2FEA"/>
    <w:rsid w:val="00AB3054"/>
    <w:rsid w:val="00AB31E6"/>
    <w:rsid w:val="00AB41AE"/>
    <w:rsid w:val="00AB4AC2"/>
    <w:rsid w:val="00AB4AC4"/>
    <w:rsid w:val="00AB5275"/>
    <w:rsid w:val="00AB5640"/>
    <w:rsid w:val="00AB5953"/>
    <w:rsid w:val="00AB77A7"/>
    <w:rsid w:val="00AC0221"/>
    <w:rsid w:val="00AC0308"/>
    <w:rsid w:val="00AC19CE"/>
    <w:rsid w:val="00AC2BB8"/>
    <w:rsid w:val="00AC31FF"/>
    <w:rsid w:val="00AC441C"/>
    <w:rsid w:val="00AC5468"/>
    <w:rsid w:val="00AC578A"/>
    <w:rsid w:val="00AC594C"/>
    <w:rsid w:val="00AC5EE4"/>
    <w:rsid w:val="00AC6082"/>
    <w:rsid w:val="00AC6CA3"/>
    <w:rsid w:val="00AC7F98"/>
    <w:rsid w:val="00AD0FAA"/>
    <w:rsid w:val="00AD131D"/>
    <w:rsid w:val="00AD1497"/>
    <w:rsid w:val="00AD16D6"/>
    <w:rsid w:val="00AD1780"/>
    <w:rsid w:val="00AD1AEE"/>
    <w:rsid w:val="00AD24F8"/>
    <w:rsid w:val="00AD2658"/>
    <w:rsid w:val="00AD38B4"/>
    <w:rsid w:val="00AD42EB"/>
    <w:rsid w:val="00AD4637"/>
    <w:rsid w:val="00AD510E"/>
    <w:rsid w:val="00AD54EA"/>
    <w:rsid w:val="00AD57A9"/>
    <w:rsid w:val="00AD5920"/>
    <w:rsid w:val="00AD5EAE"/>
    <w:rsid w:val="00AD6219"/>
    <w:rsid w:val="00AD63AE"/>
    <w:rsid w:val="00AD75A8"/>
    <w:rsid w:val="00AD7BEE"/>
    <w:rsid w:val="00AE05A7"/>
    <w:rsid w:val="00AE0CE6"/>
    <w:rsid w:val="00AE24AE"/>
    <w:rsid w:val="00AE27A3"/>
    <w:rsid w:val="00AE35AB"/>
    <w:rsid w:val="00AE3F70"/>
    <w:rsid w:val="00AE4578"/>
    <w:rsid w:val="00AE6403"/>
    <w:rsid w:val="00AE6880"/>
    <w:rsid w:val="00AE7C44"/>
    <w:rsid w:val="00AF0424"/>
    <w:rsid w:val="00AF0927"/>
    <w:rsid w:val="00AF0F7E"/>
    <w:rsid w:val="00AF110B"/>
    <w:rsid w:val="00AF1499"/>
    <w:rsid w:val="00AF1769"/>
    <w:rsid w:val="00AF179D"/>
    <w:rsid w:val="00AF1F55"/>
    <w:rsid w:val="00AF24F2"/>
    <w:rsid w:val="00AF2636"/>
    <w:rsid w:val="00AF3342"/>
    <w:rsid w:val="00AF4DC3"/>
    <w:rsid w:val="00AF5140"/>
    <w:rsid w:val="00AF59D5"/>
    <w:rsid w:val="00AF5C69"/>
    <w:rsid w:val="00AF6C1D"/>
    <w:rsid w:val="00B01319"/>
    <w:rsid w:val="00B017D8"/>
    <w:rsid w:val="00B02846"/>
    <w:rsid w:val="00B03188"/>
    <w:rsid w:val="00B04381"/>
    <w:rsid w:val="00B04542"/>
    <w:rsid w:val="00B05677"/>
    <w:rsid w:val="00B0644D"/>
    <w:rsid w:val="00B11B07"/>
    <w:rsid w:val="00B1232B"/>
    <w:rsid w:val="00B124B2"/>
    <w:rsid w:val="00B1262B"/>
    <w:rsid w:val="00B14113"/>
    <w:rsid w:val="00B15145"/>
    <w:rsid w:val="00B15BBC"/>
    <w:rsid w:val="00B16BE0"/>
    <w:rsid w:val="00B1780F"/>
    <w:rsid w:val="00B1786F"/>
    <w:rsid w:val="00B202D3"/>
    <w:rsid w:val="00B20BB8"/>
    <w:rsid w:val="00B21C82"/>
    <w:rsid w:val="00B22274"/>
    <w:rsid w:val="00B22695"/>
    <w:rsid w:val="00B2275D"/>
    <w:rsid w:val="00B229B6"/>
    <w:rsid w:val="00B23EA3"/>
    <w:rsid w:val="00B24B92"/>
    <w:rsid w:val="00B25825"/>
    <w:rsid w:val="00B27186"/>
    <w:rsid w:val="00B30312"/>
    <w:rsid w:val="00B305AE"/>
    <w:rsid w:val="00B31526"/>
    <w:rsid w:val="00B33482"/>
    <w:rsid w:val="00B3353A"/>
    <w:rsid w:val="00B3536A"/>
    <w:rsid w:val="00B3593D"/>
    <w:rsid w:val="00B36AC6"/>
    <w:rsid w:val="00B3759F"/>
    <w:rsid w:val="00B37CD6"/>
    <w:rsid w:val="00B4020C"/>
    <w:rsid w:val="00B42517"/>
    <w:rsid w:val="00B4291A"/>
    <w:rsid w:val="00B430CC"/>
    <w:rsid w:val="00B43625"/>
    <w:rsid w:val="00B437D3"/>
    <w:rsid w:val="00B43836"/>
    <w:rsid w:val="00B43A42"/>
    <w:rsid w:val="00B43C7C"/>
    <w:rsid w:val="00B43D2E"/>
    <w:rsid w:val="00B440EE"/>
    <w:rsid w:val="00B466A4"/>
    <w:rsid w:val="00B468CA"/>
    <w:rsid w:val="00B469DD"/>
    <w:rsid w:val="00B46AFE"/>
    <w:rsid w:val="00B46F60"/>
    <w:rsid w:val="00B470EF"/>
    <w:rsid w:val="00B47513"/>
    <w:rsid w:val="00B50E67"/>
    <w:rsid w:val="00B5130F"/>
    <w:rsid w:val="00B513C6"/>
    <w:rsid w:val="00B5175A"/>
    <w:rsid w:val="00B51A1F"/>
    <w:rsid w:val="00B54511"/>
    <w:rsid w:val="00B54A47"/>
    <w:rsid w:val="00B568D1"/>
    <w:rsid w:val="00B57474"/>
    <w:rsid w:val="00B5770A"/>
    <w:rsid w:val="00B602F4"/>
    <w:rsid w:val="00B60EC4"/>
    <w:rsid w:val="00B61BF7"/>
    <w:rsid w:val="00B63D98"/>
    <w:rsid w:val="00B6407E"/>
    <w:rsid w:val="00B6448F"/>
    <w:rsid w:val="00B64735"/>
    <w:rsid w:val="00B65471"/>
    <w:rsid w:val="00B66D90"/>
    <w:rsid w:val="00B66EC3"/>
    <w:rsid w:val="00B67CD3"/>
    <w:rsid w:val="00B7000C"/>
    <w:rsid w:val="00B70225"/>
    <w:rsid w:val="00B703A2"/>
    <w:rsid w:val="00B70E09"/>
    <w:rsid w:val="00B71877"/>
    <w:rsid w:val="00B719B4"/>
    <w:rsid w:val="00B72264"/>
    <w:rsid w:val="00B736DF"/>
    <w:rsid w:val="00B743B2"/>
    <w:rsid w:val="00B74F6C"/>
    <w:rsid w:val="00B74F9C"/>
    <w:rsid w:val="00B74FDD"/>
    <w:rsid w:val="00B76C9D"/>
    <w:rsid w:val="00B80B00"/>
    <w:rsid w:val="00B80C49"/>
    <w:rsid w:val="00B80EB5"/>
    <w:rsid w:val="00B81129"/>
    <w:rsid w:val="00B821C5"/>
    <w:rsid w:val="00B84016"/>
    <w:rsid w:val="00B850F4"/>
    <w:rsid w:val="00B85B3C"/>
    <w:rsid w:val="00B861ED"/>
    <w:rsid w:val="00B8650B"/>
    <w:rsid w:val="00B90005"/>
    <w:rsid w:val="00B94CBC"/>
    <w:rsid w:val="00B94D1D"/>
    <w:rsid w:val="00B954DA"/>
    <w:rsid w:val="00B9576A"/>
    <w:rsid w:val="00B95A4C"/>
    <w:rsid w:val="00B96461"/>
    <w:rsid w:val="00B979FB"/>
    <w:rsid w:val="00B97D7E"/>
    <w:rsid w:val="00BA0620"/>
    <w:rsid w:val="00BA0AD1"/>
    <w:rsid w:val="00BA109C"/>
    <w:rsid w:val="00BA129A"/>
    <w:rsid w:val="00BA1452"/>
    <w:rsid w:val="00BA1C22"/>
    <w:rsid w:val="00BA23AF"/>
    <w:rsid w:val="00BA348E"/>
    <w:rsid w:val="00BA3D3E"/>
    <w:rsid w:val="00BA495A"/>
    <w:rsid w:val="00BA7D9B"/>
    <w:rsid w:val="00BA7DE2"/>
    <w:rsid w:val="00BB0343"/>
    <w:rsid w:val="00BB05BE"/>
    <w:rsid w:val="00BB0CB8"/>
    <w:rsid w:val="00BB0F24"/>
    <w:rsid w:val="00BB0F6B"/>
    <w:rsid w:val="00BB4132"/>
    <w:rsid w:val="00BB4B8F"/>
    <w:rsid w:val="00BB59E3"/>
    <w:rsid w:val="00BB5F42"/>
    <w:rsid w:val="00BB67DA"/>
    <w:rsid w:val="00BB6949"/>
    <w:rsid w:val="00BB6DD8"/>
    <w:rsid w:val="00BB72B9"/>
    <w:rsid w:val="00BB76C2"/>
    <w:rsid w:val="00BB7746"/>
    <w:rsid w:val="00BB794E"/>
    <w:rsid w:val="00BC0220"/>
    <w:rsid w:val="00BC0804"/>
    <w:rsid w:val="00BC0CA0"/>
    <w:rsid w:val="00BC1192"/>
    <w:rsid w:val="00BC177F"/>
    <w:rsid w:val="00BC2102"/>
    <w:rsid w:val="00BC2144"/>
    <w:rsid w:val="00BC264C"/>
    <w:rsid w:val="00BC3055"/>
    <w:rsid w:val="00BC3561"/>
    <w:rsid w:val="00BC4A57"/>
    <w:rsid w:val="00BC4DC8"/>
    <w:rsid w:val="00BC53E1"/>
    <w:rsid w:val="00BC63B7"/>
    <w:rsid w:val="00BC652E"/>
    <w:rsid w:val="00BC6F96"/>
    <w:rsid w:val="00BD0F01"/>
    <w:rsid w:val="00BD2D31"/>
    <w:rsid w:val="00BD3F4F"/>
    <w:rsid w:val="00BD4136"/>
    <w:rsid w:val="00BD6C05"/>
    <w:rsid w:val="00BD72DD"/>
    <w:rsid w:val="00BD7544"/>
    <w:rsid w:val="00BE10F7"/>
    <w:rsid w:val="00BE15D5"/>
    <w:rsid w:val="00BE1E4C"/>
    <w:rsid w:val="00BE1E74"/>
    <w:rsid w:val="00BE252C"/>
    <w:rsid w:val="00BE2AAC"/>
    <w:rsid w:val="00BE2DE7"/>
    <w:rsid w:val="00BE4C24"/>
    <w:rsid w:val="00BE4FA1"/>
    <w:rsid w:val="00BE558F"/>
    <w:rsid w:val="00BE6259"/>
    <w:rsid w:val="00BE6891"/>
    <w:rsid w:val="00BE6E2B"/>
    <w:rsid w:val="00BE7188"/>
    <w:rsid w:val="00BE7E5C"/>
    <w:rsid w:val="00BF0761"/>
    <w:rsid w:val="00BF0E36"/>
    <w:rsid w:val="00BF1105"/>
    <w:rsid w:val="00BF32CE"/>
    <w:rsid w:val="00BF3CAC"/>
    <w:rsid w:val="00BF45F6"/>
    <w:rsid w:val="00BF4944"/>
    <w:rsid w:val="00BF51D2"/>
    <w:rsid w:val="00BF5999"/>
    <w:rsid w:val="00BF5EC7"/>
    <w:rsid w:val="00BF622E"/>
    <w:rsid w:val="00BF6422"/>
    <w:rsid w:val="00BF70E3"/>
    <w:rsid w:val="00BF793E"/>
    <w:rsid w:val="00C0089F"/>
    <w:rsid w:val="00C00DF0"/>
    <w:rsid w:val="00C0134B"/>
    <w:rsid w:val="00C01516"/>
    <w:rsid w:val="00C015A1"/>
    <w:rsid w:val="00C01962"/>
    <w:rsid w:val="00C01DA0"/>
    <w:rsid w:val="00C036EC"/>
    <w:rsid w:val="00C03938"/>
    <w:rsid w:val="00C03D2D"/>
    <w:rsid w:val="00C03E1B"/>
    <w:rsid w:val="00C04570"/>
    <w:rsid w:val="00C048CA"/>
    <w:rsid w:val="00C05778"/>
    <w:rsid w:val="00C0602F"/>
    <w:rsid w:val="00C0611C"/>
    <w:rsid w:val="00C0660A"/>
    <w:rsid w:val="00C0746C"/>
    <w:rsid w:val="00C0747A"/>
    <w:rsid w:val="00C10A7F"/>
    <w:rsid w:val="00C10D9D"/>
    <w:rsid w:val="00C1128C"/>
    <w:rsid w:val="00C118BA"/>
    <w:rsid w:val="00C131C8"/>
    <w:rsid w:val="00C136BF"/>
    <w:rsid w:val="00C13C04"/>
    <w:rsid w:val="00C151B8"/>
    <w:rsid w:val="00C15E6F"/>
    <w:rsid w:val="00C169D7"/>
    <w:rsid w:val="00C17253"/>
    <w:rsid w:val="00C1775C"/>
    <w:rsid w:val="00C20A02"/>
    <w:rsid w:val="00C20FCE"/>
    <w:rsid w:val="00C2111B"/>
    <w:rsid w:val="00C216F8"/>
    <w:rsid w:val="00C223D4"/>
    <w:rsid w:val="00C228C6"/>
    <w:rsid w:val="00C23325"/>
    <w:rsid w:val="00C23ACC"/>
    <w:rsid w:val="00C245E3"/>
    <w:rsid w:val="00C249D3"/>
    <w:rsid w:val="00C24C57"/>
    <w:rsid w:val="00C24EFF"/>
    <w:rsid w:val="00C26F60"/>
    <w:rsid w:val="00C26FCE"/>
    <w:rsid w:val="00C2705B"/>
    <w:rsid w:val="00C274AB"/>
    <w:rsid w:val="00C27F8A"/>
    <w:rsid w:val="00C30399"/>
    <w:rsid w:val="00C314C4"/>
    <w:rsid w:val="00C32428"/>
    <w:rsid w:val="00C32BA8"/>
    <w:rsid w:val="00C33D12"/>
    <w:rsid w:val="00C33D21"/>
    <w:rsid w:val="00C346A2"/>
    <w:rsid w:val="00C3545A"/>
    <w:rsid w:val="00C357DB"/>
    <w:rsid w:val="00C35AE3"/>
    <w:rsid w:val="00C36388"/>
    <w:rsid w:val="00C367A5"/>
    <w:rsid w:val="00C372E5"/>
    <w:rsid w:val="00C37B7F"/>
    <w:rsid w:val="00C37C67"/>
    <w:rsid w:val="00C403AA"/>
    <w:rsid w:val="00C40B53"/>
    <w:rsid w:val="00C41137"/>
    <w:rsid w:val="00C41F1B"/>
    <w:rsid w:val="00C43130"/>
    <w:rsid w:val="00C4638F"/>
    <w:rsid w:val="00C46550"/>
    <w:rsid w:val="00C46ED6"/>
    <w:rsid w:val="00C47618"/>
    <w:rsid w:val="00C47990"/>
    <w:rsid w:val="00C47E76"/>
    <w:rsid w:val="00C518F7"/>
    <w:rsid w:val="00C51BCB"/>
    <w:rsid w:val="00C52273"/>
    <w:rsid w:val="00C527CA"/>
    <w:rsid w:val="00C52A6B"/>
    <w:rsid w:val="00C52AAA"/>
    <w:rsid w:val="00C53976"/>
    <w:rsid w:val="00C53A15"/>
    <w:rsid w:val="00C53F31"/>
    <w:rsid w:val="00C543D7"/>
    <w:rsid w:val="00C55529"/>
    <w:rsid w:val="00C56971"/>
    <w:rsid w:val="00C5720C"/>
    <w:rsid w:val="00C578B1"/>
    <w:rsid w:val="00C57C89"/>
    <w:rsid w:val="00C603F9"/>
    <w:rsid w:val="00C6073E"/>
    <w:rsid w:val="00C60C47"/>
    <w:rsid w:val="00C6247B"/>
    <w:rsid w:val="00C63801"/>
    <w:rsid w:val="00C63CA0"/>
    <w:rsid w:val="00C63F45"/>
    <w:rsid w:val="00C64010"/>
    <w:rsid w:val="00C64118"/>
    <w:rsid w:val="00C64D55"/>
    <w:rsid w:val="00C65399"/>
    <w:rsid w:val="00C66444"/>
    <w:rsid w:val="00C66D02"/>
    <w:rsid w:val="00C66E8F"/>
    <w:rsid w:val="00C67091"/>
    <w:rsid w:val="00C67A50"/>
    <w:rsid w:val="00C67FBD"/>
    <w:rsid w:val="00C7036D"/>
    <w:rsid w:val="00C70AA4"/>
    <w:rsid w:val="00C71292"/>
    <w:rsid w:val="00C718C4"/>
    <w:rsid w:val="00C71987"/>
    <w:rsid w:val="00C71ECD"/>
    <w:rsid w:val="00C72235"/>
    <w:rsid w:val="00C72992"/>
    <w:rsid w:val="00C734A4"/>
    <w:rsid w:val="00C73F4D"/>
    <w:rsid w:val="00C7526C"/>
    <w:rsid w:val="00C761D8"/>
    <w:rsid w:val="00C8005C"/>
    <w:rsid w:val="00C8063D"/>
    <w:rsid w:val="00C80C7F"/>
    <w:rsid w:val="00C80D2E"/>
    <w:rsid w:val="00C81C87"/>
    <w:rsid w:val="00C84345"/>
    <w:rsid w:val="00C8498C"/>
    <w:rsid w:val="00C84BF8"/>
    <w:rsid w:val="00C85C41"/>
    <w:rsid w:val="00C861F1"/>
    <w:rsid w:val="00C865FF"/>
    <w:rsid w:val="00C87949"/>
    <w:rsid w:val="00C87A89"/>
    <w:rsid w:val="00C87DC1"/>
    <w:rsid w:val="00C90F93"/>
    <w:rsid w:val="00C92697"/>
    <w:rsid w:val="00C936A2"/>
    <w:rsid w:val="00C941D9"/>
    <w:rsid w:val="00C946AE"/>
    <w:rsid w:val="00C957D9"/>
    <w:rsid w:val="00C95C1A"/>
    <w:rsid w:val="00C95EE1"/>
    <w:rsid w:val="00C96427"/>
    <w:rsid w:val="00C96793"/>
    <w:rsid w:val="00C96EB2"/>
    <w:rsid w:val="00CA00B5"/>
    <w:rsid w:val="00CA038B"/>
    <w:rsid w:val="00CA06F8"/>
    <w:rsid w:val="00CA0A6A"/>
    <w:rsid w:val="00CA2B77"/>
    <w:rsid w:val="00CA3C9D"/>
    <w:rsid w:val="00CA4294"/>
    <w:rsid w:val="00CA42EA"/>
    <w:rsid w:val="00CA49C3"/>
    <w:rsid w:val="00CA4CA9"/>
    <w:rsid w:val="00CA57F1"/>
    <w:rsid w:val="00CA5C92"/>
    <w:rsid w:val="00CA5DC1"/>
    <w:rsid w:val="00CA5EFB"/>
    <w:rsid w:val="00CA6C27"/>
    <w:rsid w:val="00CA71DD"/>
    <w:rsid w:val="00CA75A4"/>
    <w:rsid w:val="00CA780A"/>
    <w:rsid w:val="00CA7822"/>
    <w:rsid w:val="00CA7BE2"/>
    <w:rsid w:val="00CB00E8"/>
    <w:rsid w:val="00CB12EC"/>
    <w:rsid w:val="00CB20C4"/>
    <w:rsid w:val="00CB25B4"/>
    <w:rsid w:val="00CB36C8"/>
    <w:rsid w:val="00CB37A3"/>
    <w:rsid w:val="00CB389F"/>
    <w:rsid w:val="00CB5CB0"/>
    <w:rsid w:val="00CB5E3A"/>
    <w:rsid w:val="00CB6051"/>
    <w:rsid w:val="00CB7A37"/>
    <w:rsid w:val="00CC031D"/>
    <w:rsid w:val="00CC0CF7"/>
    <w:rsid w:val="00CC0F42"/>
    <w:rsid w:val="00CC19FC"/>
    <w:rsid w:val="00CC21C7"/>
    <w:rsid w:val="00CC2B8A"/>
    <w:rsid w:val="00CC393D"/>
    <w:rsid w:val="00CC3C47"/>
    <w:rsid w:val="00CC4240"/>
    <w:rsid w:val="00CC4F66"/>
    <w:rsid w:val="00CC4FD4"/>
    <w:rsid w:val="00CC6712"/>
    <w:rsid w:val="00CC7054"/>
    <w:rsid w:val="00CC7B59"/>
    <w:rsid w:val="00CC7B97"/>
    <w:rsid w:val="00CD0638"/>
    <w:rsid w:val="00CD0CF0"/>
    <w:rsid w:val="00CD1C7A"/>
    <w:rsid w:val="00CD21C2"/>
    <w:rsid w:val="00CD3B74"/>
    <w:rsid w:val="00CD48C0"/>
    <w:rsid w:val="00CD69E7"/>
    <w:rsid w:val="00CD77A0"/>
    <w:rsid w:val="00CD7887"/>
    <w:rsid w:val="00CD7AD2"/>
    <w:rsid w:val="00CD7F66"/>
    <w:rsid w:val="00CE04C5"/>
    <w:rsid w:val="00CE05A0"/>
    <w:rsid w:val="00CE1074"/>
    <w:rsid w:val="00CE166E"/>
    <w:rsid w:val="00CE170E"/>
    <w:rsid w:val="00CE2550"/>
    <w:rsid w:val="00CE37EB"/>
    <w:rsid w:val="00CE4701"/>
    <w:rsid w:val="00CE555E"/>
    <w:rsid w:val="00CE7509"/>
    <w:rsid w:val="00CE750F"/>
    <w:rsid w:val="00CF0BC4"/>
    <w:rsid w:val="00CF1299"/>
    <w:rsid w:val="00CF23A0"/>
    <w:rsid w:val="00CF463B"/>
    <w:rsid w:val="00CF501D"/>
    <w:rsid w:val="00CF5609"/>
    <w:rsid w:val="00CF5C8D"/>
    <w:rsid w:val="00CF5EB1"/>
    <w:rsid w:val="00CF6B2A"/>
    <w:rsid w:val="00CF6E1E"/>
    <w:rsid w:val="00CF7161"/>
    <w:rsid w:val="00CF739E"/>
    <w:rsid w:val="00CF789A"/>
    <w:rsid w:val="00CF7DCB"/>
    <w:rsid w:val="00D00651"/>
    <w:rsid w:val="00D00813"/>
    <w:rsid w:val="00D0176E"/>
    <w:rsid w:val="00D01996"/>
    <w:rsid w:val="00D03614"/>
    <w:rsid w:val="00D03C32"/>
    <w:rsid w:val="00D050F0"/>
    <w:rsid w:val="00D05E06"/>
    <w:rsid w:val="00D05EE2"/>
    <w:rsid w:val="00D0607C"/>
    <w:rsid w:val="00D07DDF"/>
    <w:rsid w:val="00D07E37"/>
    <w:rsid w:val="00D110BF"/>
    <w:rsid w:val="00D120FD"/>
    <w:rsid w:val="00D12654"/>
    <w:rsid w:val="00D131F1"/>
    <w:rsid w:val="00D1356F"/>
    <w:rsid w:val="00D13FB2"/>
    <w:rsid w:val="00D15F14"/>
    <w:rsid w:val="00D16810"/>
    <w:rsid w:val="00D17175"/>
    <w:rsid w:val="00D172BF"/>
    <w:rsid w:val="00D172E4"/>
    <w:rsid w:val="00D17444"/>
    <w:rsid w:val="00D175FF"/>
    <w:rsid w:val="00D179FD"/>
    <w:rsid w:val="00D17A3C"/>
    <w:rsid w:val="00D17F55"/>
    <w:rsid w:val="00D21F76"/>
    <w:rsid w:val="00D22E45"/>
    <w:rsid w:val="00D23990"/>
    <w:rsid w:val="00D23A96"/>
    <w:rsid w:val="00D24814"/>
    <w:rsid w:val="00D24BBC"/>
    <w:rsid w:val="00D24E6A"/>
    <w:rsid w:val="00D2522F"/>
    <w:rsid w:val="00D2676A"/>
    <w:rsid w:val="00D27707"/>
    <w:rsid w:val="00D30493"/>
    <w:rsid w:val="00D31E43"/>
    <w:rsid w:val="00D3206B"/>
    <w:rsid w:val="00D32109"/>
    <w:rsid w:val="00D32F5E"/>
    <w:rsid w:val="00D335C8"/>
    <w:rsid w:val="00D3386B"/>
    <w:rsid w:val="00D33EA0"/>
    <w:rsid w:val="00D34151"/>
    <w:rsid w:val="00D35325"/>
    <w:rsid w:val="00D35462"/>
    <w:rsid w:val="00D3656E"/>
    <w:rsid w:val="00D36894"/>
    <w:rsid w:val="00D36E2E"/>
    <w:rsid w:val="00D404EB"/>
    <w:rsid w:val="00D40544"/>
    <w:rsid w:val="00D42FA8"/>
    <w:rsid w:val="00D4409B"/>
    <w:rsid w:val="00D4426B"/>
    <w:rsid w:val="00D44635"/>
    <w:rsid w:val="00D45ED7"/>
    <w:rsid w:val="00D47A9D"/>
    <w:rsid w:val="00D47CEB"/>
    <w:rsid w:val="00D50296"/>
    <w:rsid w:val="00D51066"/>
    <w:rsid w:val="00D51392"/>
    <w:rsid w:val="00D51C8F"/>
    <w:rsid w:val="00D54CA8"/>
    <w:rsid w:val="00D559E9"/>
    <w:rsid w:val="00D55F1A"/>
    <w:rsid w:val="00D5680B"/>
    <w:rsid w:val="00D57080"/>
    <w:rsid w:val="00D57844"/>
    <w:rsid w:val="00D60323"/>
    <w:rsid w:val="00D615BD"/>
    <w:rsid w:val="00D61CDD"/>
    <w:rsid w:val="00D62A51"/>
    <w:rsid w:val="00D639DA"/>
    <w:rsid w:val="00D63F87"/>
    <w:rsid w:val="00D64C81"/>
    <w:rsid w:val="00D65B19"/>
    <w:rsid w:val="00D66E06"/>
    <w:rsid w:val="00D67214"/>
    <w:rsid w:val="00D679DA"/>
    <w:rsid w:val="00D70938"/>
    <w:rsid w:val="00D71EB1"/>
    <w:rsid w:val="00D72638"/>
    <w:rsid w:val="00D72E62"/>
    <w:rsid w:val="00D735CB"/>
    <w:rsid w:val="00D73F3C"/>
    <w:rsid w:val="00D74EE9"/>
    <w:rsid w:val="00D75C8B"/>
    <w:rsid w:val="00D75E21"/>
    <w:rsid w:val="00D76990"/>
    <w:rsid w:val="00D806B6"/>
    <w:rsid w:val="00D81686"/>
    <w:rsid w:val="00D821B7"/>
    <w:rsid w:val="00D82E56"/>
    <w:rsid w:val="00D83309"/>
    <w:rsid w:val="00D84BD0"/>
    <w:rsid w:val="00D852E2"/>
    <w:rsid w:val="00D85869"/>
    <w:rsid w:val="00D873AB"/>
    <w:rsid w:val="00D91FAF"/>
    <w:rsid w:val="00D92BC1"/>
    <w:rsid w:val="00D92F47"/>
    <w:rsid w:val="00D93008"/>
    <w:rsid w:val="00D94AC7"/>
    <w:rsid w:val="00D94EDD"/>
    <w:rsid w:val="00D955A5"/>
    <w:rsid w:val="00D960D5"/>
    <w:rsid w:val="00D9747F"/>
    <w:rsid w:val="00D97495"/>
    <w:rsid w:val="00DA0A83"/>
    <w:rsid w:val="00DA0FDF"/>
    <w:rsid w:val="00DA14E1"/>
    <w:rsid w:val="00DA185E"/>
    <w:rsid w:val="00DA1DC5"/>
    <w:rsid w:val="00DA2240"/>
    <w:rsid w:val="00DA2345"/>
    <w:rsid w:val="00DA2E4C"/>
    <w:rsid w:val="00DA3033"/>
    <w:rsid w:val="00DA3330"/>
    <w:rsid w:val="00DA3E80"/>
    <w:rsid w:val="00DA4005"/>
    <w:rsid w:val="00DA4194"/>
    <w:rsid w:val="00DA47DE"/>
    <w:rsid w:val="00DA5965"/>
    <w:rsid w:val="00DA64CF"/>
    <w:rsid w:val="00DA6A89"/>
    <w:rsid w:val="00DA7D26"/>
    <w:rsid w:val="00DB0099"/>
    <w:rsid w:val="00DB047A"/>
    <w:rsid w:val="00DB0F40"/>
    <w:rsid w:val="00DB1105"/>
    <w:rsid w:val="00DB162F"/>
    <w:rsid w:val="00DB1F7F"/>
    <w:rsid w:val="00DB219A"/>
    <w:rsid w:val="00DB47C1"/>
    <w:rsid w:val="00DB4934"/>
    <w:rsid w:val="00DB495E"/>
    <w:rsid w:val="00DB5ACA"/>
    <w:rsid w:val="00DB5C25"/>
    <w:rsid w:val="00DB6995"/>
    <w:rsid w:val="00DB7248"/>
    <w:rsid w:val="00DB76D5"/>
    <w:rsid w:val="00DB7C07"/>
    <w:rsid w:val="00DC2B4C"/>
    <w:rsid w:val="00DC384E"/>
    <w:rsid w:val="00DC3FBB"/>
    <w:rsid w:val="00DC4362"/>
    <w:rsid w:val="00DC4B52"/>
    <w:rsid w:val="00DC5498"/>
    <w:rsid w:val="00DC7A3A"/>
    <w:rsid w:val="00DD072A"/>
    <w:rsid w:val="00DD1327"/>
    <w:rsid w:val="00DD2AD6"/>
    <w:rsid w:val="00DD3734"/>
    <w:rsid w:val="00DD4198"/>
    <w:rsid w:val="00DD4D97"/>
    <w:rsid w:val="00DD532E"/>
    <w:rsid w:val="00DD5E73"/>
    <w:rsid w:val="00DD6256"/>
    <w:rsid w:val="00DD626D"/>
    <w:rsid w:val="00DD69D9"/>
    <w:rsid w:val="00DD7226"/>
    <w:rsid w:val="00DD792F"/>
    <w:rsid w:val="00DD7A91"/>
    <w:rsid w:val="00DE1A3F"/>
    <w:rsid w:val="00DE3902"/>
    <w:rsid w:val="00DE48F6"/>
    <w:rsid w:val="00DE581A"/>
    <w:rsid w:val="00DE6624"/>
    <w:rsid w:val="00DE68B2"/>
    <w:rsid w:val="00DE6FAE"/>
    <w:rsid w:val="00DE70F5"/>
    <w:rsid w:val="00DF0E41"/>
    <w:rsid w:val="00DF129F"/>
    <w:rsid w:val="00DF1BD0"/>
    <w:rsid w:val="00DF288F"/>
    <w:rsid w:val="00DF3692"/>
    <w:rsid w:val="00DF39F1"/>
    <w:rsid w:val="00DF4403"/>
    <w:rsid w:val="00DF4CDD"/>
    <w:rsid w:val="00DF57FA"/>
    <w:rsid w:val="00DF6717"/>
    <w:rsid w:val="00DF751E"/>
    <w:rsid w:val="00DF7DB1"/>
    <w:rsid w:val="00E007E4"/>
    <w:rsid w:val="00E00848"/>
    <w:rsid w:val="00E00993"/>
    <w:rsid w:val="00E02859"/>
    <w:rsid w:val="00E02A1B"/>
    <w:rsid w:val="00E02A6B"/>
    <w:rsid w:val="00E03E8C"/>
    <w:rsid w:val="00E042F6"/>
    <w:rsid w:val="00E04527"/>
    <w:rsid w:val="00E04738"/>
    <w:rsid w:val="00E04A35"/>
    <w:rsid w:val="00E04F35"/>
    <w:rsid w:val="00E050B2"/>
    <w:rsid w:val="00E052EF"/>
    <w:rsid w:val="00E05537"/>
    <w:rsid w:val="00E0579D"/>
    <w:rsid w:val="00E0689C"/>
    <w:rsid w:val="00E068E7"/>
    <w:rsid w:val="00E072EC"/>
    <w:rsid w:val="00E0773C"/>
    <w:rsid w:val="00E07B48"/>
    <w:rsid w:val="00E07CD5"/>
    <w:rsid w:val="00E07CFF"/>
    <w:rsid w:val="00E10D46"/>
    <w:rsid w:val="00E10F98"/>
    <w:rsid w:val="00E1111D"/>
    <w:rsid w:val="00E11CA2"/>
    <w:rsid w:val="00E11DAC"/>
    <w:rsid w:val="00E125C9"/>
    <w:rsid w:val="00E126C1"/>
    <w:rsid w:val="00E132DB"/>
    <w:rsid w:val="00E142D5"/>
    <w:rsid w:val="00E14D62"/>
    <w:rsid w:val="00E15613"/>
    <w:rsid w:val="00E15A18"/>
    <w:rsid w:val="00E16077"/>
    <w:rsid w:val="00E16D49"/>
    <w:rsid w:val="00E17A4D"/>
    <w:rsid w:val="00E20FF9"/>
    <w:rsid w:val="00E213DA"/>
    <w:rsid w:val="00E21669"/>
    <w:rsid w:val="00E2189E"/>
    <w:rsid w:val="00E21955"/>
    <w:rsid w:val="00E22799"/>
    <w:rsid w:val="00E22EEC"/>
    <w:rsid w:val="00E2439A"/>
    <w:rsid w:val="00E247E6"/>
    <w:rsid w:val="00E24A16"/>
    <w:rsid w:val="00E25604"/>
    <w:rsid w:val="00E25A5B"/>
    <w:rsid w:val="00E30331"/>
    <w:rsid w:val="00E303D3"/>
    <w:rsid w:val="00E30F01"/>
    <w:rsid w:val="00E319AE"/>
    <w:rsid w:val="00E3236F"/>
    <w:rsid w:val="00E32928"/>
    <w:rsid w:val="00E32963"/>
    <w:rsid w:val="00E33095"/>
    <w:rsid w:val="00E334E4"/>
    <w:rsid w:val="00E33686"/>
    <w:rsid w:val="00E34BC7"/>
    <w:rsid w:val="00E35082"/>
    <w:rsid w:val="00E3558A"/>
    <w:rsid w:val="00E35C31"/>
    <w:rsid w:val="00E36AAA"/>
    <w:rsid w:val="00E36AE2"/>
    <w:rsid w:val="00E37B4C"/>
    <w:rsid w:val="00E409A0"/>
    <w:rsid w:val="00E409EE"/>
    <w:rsid w:val="00E41BE2"/>
    <w:rsid w:val="00E41E11"/>
    <w:rsid w:val="00E41EB4"/>
    <w:rsid w:val="00E424F9"/>
    <w:rsid w:val="00E42562"/>
    <w:rsid w:val="00E426EC"/>
    <w:rsid w:val="00E42B75"/>
    <w:rsid w:val="00E42D19"/>
    <w:rsid w:val="00E434E4"/>
    <w:rsid w:val="00E4460A"/>
    <w:rsid w:val="00E45A05"/>
    <w:rsid w:val="00E45F65"/>
    <w:rsid w:val="00E4730F"/>
    <w:rsid w:val="00E47725"/>
    <w:rsid w:val="00E50230"/>
    <w:rsid w:val="00E5123B"/>
    <w:rsid w:val="00E51474"/>
    <w:rsid w:val="00E51AD4"/>
    <w:rsid w:val="00E525BD"/>
    <w:rsid w:val="00E538D8"/>
    <w:rsid w:val="00E5438D"/>
    <w:rsid w:val="00E54916"/>
    <w:rsid w:val="00E54F23"/>
    <w:rsid w:val="00E55267"/>
    <w:rsid w:val="00E55C41"/>
    <w:rsid w:val="00E56C62"/>
    <w:rsid w:val="00E57474"/>
    <w:rsid w:val="00E6097D"/>
    <w:rsid w:val="00E61511"/>
    <w:rsid w:val="00E62223"/>
    <w:rsid w:val="00E62805"/>
    <w:rsid w:val="00E635FF"/>
    <w:rsid w:val="00E64253"/>
    <w:rsid w:val="00E6458C"/>
    <w:rsid w:val="00E648CC"/>
    <w:rsid w:val="00E64BDC"/>
    <w:rsid w:val="00E652A8"/>
    <w:rsid w:val="00E653BB"/>
    <w:rsid w:val="00E700D2"/>
    <w:rsid w:val="00E70A33"/>
    <w:rsid w:val="00E70CD4"/>
    <w:rsid w:val="00E7182A"/>
    <w:rsid w:val="00E71F09"/>
    <w:rsid w:val="00E72988"/>
    <w:rsid w:val="00E73DC2"/>
    <w:rsid w:val="00E74354"/>
    <w:rsid w:val="00E74FDB"/>
    <w:rsid w:val="00E751C3"/>
    <w:rsid w:val="00E75E87"/>
    <w:rsid w:val="00E76199"/>
    <w:rsid w:val="00E766FE"/>
    <w:rsid w:val="00E76889"/>
    <w:rsid w:val="00E772DB"/>
    <w:rsid w:val="00E77832"/>
    <w:rsid w:val="00E80325"/>
    <w:rsid w:val="00E810A5"/>
    <w:rsid w:val="00E8123A"/>
    <w:rsid w:val="00E81F42"/>
    <w:rsid w:val="00E82161"/>
    <w:rsid w:val="00E837C3"/>
    <w:rsid w:val="00E84C08"/>
    <w:rsid w:val="00E84F01"/>
    <w:rsid w:val="00E85C26"/>
    <w:rsid w:val="00E85D33"/>
    <w:rsid w:val="00E8604B"/>
    <w:rsid w:val="00E862FA"/>
    <w:rsid w:val="00E8699F"/>
    <w:rsid w:val="00E87623"/>
    <w:rsid w:val="00E87F67"/>
    <w:rsid w:val="00E90327"/>
    <w:rsid w:val="00E90AA5"/>
    <w:rsid w:val="00E90DFB"/>
    <w:rsid w:val="00E91895"/>
    <w:rsid w:val="00E92173"/>
    <w:rsid w:val="00E921DE"/>
    <w:rsid w:val="00E924C0"/>
    <w:rsid w:val="00E9257D"/>
    <w:rsid w:val="00E92720"/>
    <w:rsid w:val="00E92B56"/>
    <w:rsid w:val="00E93513"/>
    <w:rsid w:val="00E93674"/>
    <w:rsid w:val="00E93C0B"/>
    <w:rsid w:val="00E97C6E"/>
    <w:rsid w:val="00EA01B5"/>
    <w:rsid w:val="00EA0576"/>
    <w:rsid w:val="00EA408C"/>
    <w:rsid w:val="00EA4A0E"/>
    <w:rsid w:val="00EA5915"/>
    <w:rsid w:val="00EA5A18"/>
    <w:rsid w:val="00EA5F50"/>
    <w:rsid w:val="00EA6703"/>
    <w:rsid w:val="00EA76F9"/>
    <w:rsid w:val="00EB084E"/>
    <w:rsid w:val="00EB0B18"/>
    <w:rsid w:val="00EB1C3B"/>
    <w:rsid w:val="00EB257A"/>
    <w:rsid w:val="00EB284A"/>
    <w:rsid w:val="00EB3A41"/>
    <w:rsid w:val="00EB47D7"/>
    <w:rsid w:val="00EB570E"/>
    <w:rsid w:val="00EB59C8"/>
    <w:rsid w:val="00EB6173"/>
    <w:rsid w:val="00EB6A9F"/>
    <w:rsid w:val="00EB6BFA"/>
    <w:rsid w:val="00EB6C9C"/>
    <w:rsid w:val="00EB7148"/>
    <w:rsid w:val="00EB7442"/>
    <w:rsid w:val="00EB7532"/>
    <w:rsid w:val="00EB777A"/>
    <w:rsid w:val="00EC26A2"/>
    <w:rsid w:val="00EC2972"/>
    <w:rsid w:val="00EC364C"/>
    <w:rsid w:val="00EC36BF"/>
    <w:rsid w:val="00EC423B"/>
    <w:rsid w:val="00EC48EC"/>
    <w:rsid w:val="00EC5BCE"/>
    <w:rsid w:val="00EC7EAC"/>
    <w:rsid w:val="00ED1328"/>
    <w:rsid w:val="00ED16F8"/>
    <w:rsid w:val="00ED3102"/>
    <w:rsid w:val="00ED3E30"/>
    <w:rsid w:val="00ED52B5"/>
    <w:rsid w:val="00ED547B"/>
    <w:rsid w:val="00ED6470"/>
    <w:rsid w:val="00ED7D7A"/>
    <w:rsid w:val="00EE0274"/>
    <w:rsid w:val="00EE03E6"/>
    <w:rsid w:val="00EE0D52"/>
    <w:rsid w:val="00EE0EEF"/>
    <w:rsid w:val="00EE13C1"/>
    <w:rsid w:val="00EE15FF"/>
    <w:rsid w:val="00EE1D16"/>
    <w:rsid w:val="00EE3F49"/>
    <w:rsid w:val="00EE4993"/>
    <w:rsid w:val="00EE4F1A"/>
    <w:rsid w:val="00EE6889"/>
    <w:rsid w:val="00EE7CBB"/>
    <w:rsid w:val="00EE7E2C"/>
    <w:rsid w:val="00EE7FF7"/>
    <w:rsid w:val="00EF0F8E"/>
    <w:rsid w:val="00EF1785"/>
    <w:rsid w:val="00EF2E28"/>
    <w:rsid w:val="00EF30E2"/>
    <w:rsid w:val="00EF363F"/>
    <w:rsid w:val="00EF384F"/>
    <w:rsid w:val="00EF3A57"/>
    <w:rsid w:val="00EF4247"/>
    <w:rsid w:val="00EF4498"/>
    <w:rsid w:val="00EF4A0A"/>
    <w:rsid w:val="00EF4DA1"/>
    <w:rsid w:val="00EF5232"/>
    <w:rsid w:val="00EF5800"/>
    <w:rsid w:val="00EF6B30"/>
    <w:rsid w:val="00EF70F2"/>
    <w:rsid w:val="00EF71B3"/>
    <w:rsid w:val="00EF71DA"/>
    <w:rsid w:val="00EF75E2"/>
    <w:rsid w:val="00F0035D"/>
    <w:rsid w:val="00F00776"/>
    <w:rsid w:val="00F01135"/>
    <w:rsid w:val="00F01A8A"/>
    <w:rsid w:val="00F01B3B"/>
    <w:rsid w:val="00F04B35"/>
    <w:rsid w:val="00F04F08"/>
    <w:rsid w:val="00F05068"/>
    <w:rsid w:val="00F067B7"/>
    <w:rsid w:val="00F068FA"/>
    <w:rsid w:val="00F06C61"/>
    <w:rsid w:val="00F06E93"/>
    <w:rsid w:val="00F07326"/>
    <w:rsid w:val="00F07B29"/>
    <w:rsid w:val="00F07C8D"/>
    <w:rsid w:val="00F07CCF"/>
    <w:rsid w:val="00F10C9F"/>
    <w:rsid w:val="00F133B2"/>
    <w:rsid w:val="00F139CA"/>
    <w:rsid w:val="00F1432C"/>
    <w:rsid w:val="00F1492B"/>
    <w:rsid w:val="00F14DE0"/>
    <w:rsid w:val="00F163F4"/>
    <w:rsid w:val="00F168B7"/>
    <w:rsid w:val="00F16E96"/>
    <w:rsid w:val="00F20C65"/>
    <w:rsid w:val="00F21293"/>
    <w:rsid w:val="00F218BE"/>
    <w:rsid w:val="00F21B8C"/>
    <w:rsid w:val="00F235DF"/>
    <w:rsid w:val="00F23DC2"/>
    <w:rsid w:val="00F23E2D"/>
    <w:rsid w:val="00F246B3"/>
    <w:rsid w:val="00F25459"/>
    <w:rsid w:val="00F25476"/>
    <w:rsid w:val="00F257BA"/>
    <w:rsid w:val="00F25C83"/>
    <w:rsid w:val="00F25E3E"/>
    <w:rsid w:val="00F2649E"/>
    <w:rsid w:val="00F271D5"/>
    <w:rsid w:val="00F273EC"/>
    <w:rsid w:val="00F30543"/>
    <w:rsid w:val="00F30727"/>
    <w:rsid w:val="00F30DF1"/>
    <w:rsid w:val="00F318CC"/>
    <w:rsid w:val="00F324CF"/>
    <w:rsid w:val="00F34385"/>
    <w:rsid w:val="00F343FC"/>
    <w:rsid w:val="00F351F0"/>
    <w:rsid w:val="00F36DC0"/>
    <w:rsid w:val="00F3724E"/>
    <w:rsid w:val="00F37FBE"/>
    <w:rsid w:val="00F40A2D"/>
    <w:rsid w:val="00F41FF1"/>
    <w:rsid w:val="00F440FE"/>
    <w:rsid w:val="00F4465C"/>
    <w:rsid w:val="00F44833"/>
    <w:rsid w:val="00F452B2"/>
    <w:rsid w:val="00F453EE"/>
    <w:rsid w:val="00F45EC5"/>
    <w:rsid w:val="00F46019"/>
    <w:rsid w:val="00F46C34"/>
    <w:rsid w:val="00F46C81"/>
    <w:rsid w:val="00F46E5F"/>
    <w:rsid w:val="00F5058C"/>
    <w:rsid w:val="00F50828"/>
    <w:rsid w:val="00F50AD8"/>
    <w:rsid w:val="00F52322"/>
    <w:rsid w:val="00F523E2"/>
    <w:rsid w:val="00F528EF"/>
    <w:rsid w:val="00F5314C"/>
    <w:rsid w:val="00F53EBC"/>
    <w:rsid w:val="00F54162"/>
    <w:rsid w:val="00F54334"/>
    <w:rsid w:val="00F56A0E"/>
    <w:rsid w:val="00F56E0C"/>
    <w:rsid w:val="00F5700A"/>
    <w:rsid w:val="00F57AD6"/>
    <w:rsid w:val="00F57CEE"/>
    <w:rsid w:val="00F604FE"/>
    <w:rsid w:val="00F606B6"/>
    <w:rsid w:val="00F60FA6"/>
    <w:rsid w:val="00F62819"/>
    <w:rsid w:val="00F66040"/>
    <w:rsid w:val="00F663CE"/>
    <w:rsid w:val="00F66714"/>
    <w:rsid w:val="00F66944"/>
    <w:rsid w:val="00F670DD"/>
    <w:rsid w:val="00F67617"/>
    <w:rsid w:val="00F677CF"/>
    <w:rsid w:val="00F67947"/>
    <w:rsid w:val="00F70B1E"/>
    <w:rsid w:val="00F710AC"/>
    <w:rsid w:val="00F72E95"/>
    <w:rsid w:val="00F74604"/>
    <w:rsid w:val="00F7563E"/>
    <w:rsid w:val="00F75707"/>
    <w:rsid w:val="00F75E04"/>
    <w:rsid w:val="00F76A7C"/>
    <w:rsid w:val="00F76E4A"/>
    <w:rsid w:val="00F80851"/>
    <w:rsid w:val="00F81888"/>
    <w:rsid w:val="00F82E93"/>
    <w:rsid w:val="00F82EC1"/>
    <w:rsid w:val="00F8364D"/>
    <w:rsid w:val="00F843FF"/>
    <w:rsid w:val="00F8448E"/>
    <w:rsid w:val="00F85249"/>
    <w:rsid w:val="00F85EFA"/>
    <w:rsid w:val="00F862A4"/>
    <w:rsid w:val="00F87FC2"/>
    <w:rsid w:val="00F91853"/>
    <w:rsid w:val="00F91FF4"/>
    <w:rsid w:val="00F92322"/>
    <w:rsid w:val="00F93711"/>
    <w:rsid w:val="00F93884"/>
    <w:rsid w:val="00F93A41"/>
    <w:rsid w:val="00F93E15"/>
    <w:rsid w:val="00F93F66"/>
    <w:rsid w:val="00F9454B"/>
    <w:rsid w:val="00F95802"/>
    <w:rsid w:val="00F964E4"/>
    <w:rsid w:val="00F96A79"/>
    <w:rsid w:val="00F96B5A"/>
    <w:rsid w:val="00F97401"/>
    <w:rsid w:val="00F97510"/>
    <w:rsid w:val="00FA04E0"/>
    <w:rsid w:val="00FA3153"/>
    <w:rsid w:val="00FA3274"/>
    <w:rsid w:val="00FA358C"/>
    <w:rsid w:val="00FA5D4E"/>
    <w:rsid w:val="00FA6B36"/>
    <w:rsid w:val="00FA6DE2"/>
    <w:rsid w:val="00FA780C"/>
    <w:rsid w:val="00FA7948"/>
    <w:rsid w:val="00FB02F2"/>
    <w:rsid w:val="00FB0465"/>
    <w:rsid w:val="00FB16FB"/>
    <w:rsid w:val="00FB1AEF"/>
    <w:rsid w:val="00FB2173"/>
    <w:rsid w:val="00FB2C2E"/>
    <w:rsid w:val="00FB33AD"/>
    <w:rsid w:val="00FB359A"/>
    <w:rsid w:val="00FB3684"/>
    <w:rsid w:val="00FB44BB"/>
    <w:rsid w:val="00FB478F"/>
    <w:rsid w:val="00FB54F3"/>
    <w:rsid w:val="00FB596B"/>
    <w:rsid w:val="00FB5C76"/>
    <w:rsid w:val="00FB6289"/>
    <w:rsid w:val="00FB6555"/>
    <w:rsid w:val="00FC0C5F"/>
    <w:rsid w:val="00FC0F8D"/>
    <w:rsid w:val="00FC1418"/>
    <w:rsid w:val="00FC3111"/>
    <w:rsid w:val="00FC31D0"/>
    <w:rsid w:val="00FC3F57"/>
    <w:rsid w:val="00FC3FB7"/>
    <w:rsid w:val="00FC4310"/>
    <w:rsid w:val="00FC4A64"/>
    <w:rsid w:val="00FC55CF"/>
    <w:rsid w:val="00FC56F7"/>
    <w:rsid w:val="00FC64E5"/>
    <w:rsid w:val="00FC6D4D"/>
    <w:rsid w:val="00FC6F41"/>
    <w:rsid w:val="00FC70A2"/>
    <w:rsid w:val="00FC78B8"/>
    <w:rsid w:val="00FD0801"/>
    <w:rsid w:val="00FD3FFD"/>
    <w:rsid w:val="00FD4C1E"/>
    <w:rsid w:val="00FD4F66"/>
    <w:rsid w:val="00FE0618"/>
    <w:rsid w:val="00FE16A3"/>
    <w:rsid w:val="00FE1BC8"/>
    <w:rsid w:val="00FE2655"/>
    <w:rsid w:val="00FE3C42"/>
    <w:rsid w:val="00FE4300"/>
    <w:rsid w:val="00FE4613"/>
    <w:rsid w:val="00FE5423"/>
    <w:rsid w:val="00FE554D"/>
    <w:rsid w:val="00FE65E6"/>
    <w:rsid w:val="00FE6F16"/>
    <w:rsid w:val="00FE724C"/>
    <w:rsid w:val="00FF01B0"/>
    <w:rsid w:val="00FF031C"/>
    <w:rsid w:val="00FF0ACD"/>
    <w:rsid w:val="00FF0D2B"/>
    <w:rsid w:val="00FF11A1"/>
    <w:rsid w:val="00FF21C0"/>
    <w:rsid w:val="00FF2ED9"/>
    <w:rsid w:val="00FF5066"/>
    <w:rsid w:val="00FF577F"/>
    <w:rsid w:val="00FF7008"/>
    <w:rsid w:val="00FF704E"/>
    <w:rsid w:val="00FF7291"/>
    <w:rsid w:val="06E302AD"/>
    <w:rsid w:val="0BB62698"/>
    <w:rsid w:val="0C317BDA"/>
    <w:rsid w:val="0C8F47F2"/>
    <w:rsid w:val="10C0657F"/>
    <w:rsid w:val="123D46B9"/>
    <w:rsid w:val="16047361"/>
    <w:rsid w:val="1BBD163C"/>
    <w:rsid w:val="31D57BE0"/>
    <w:rsid w:val="37DA2B84"/>
    <w:rsid w:val="390E1617"/>
    <w:rsid w:val="59382C12"/>
    <w:rsid w:val="675826D1"/>
    <w:rsid w:val="69830C2D"/>
    <w:rsid w:val="6C424127"/>
    <w:rsid w:val="6DC328D5"/>
    <w:rsid w:val="70573443"/>
    <w:rsid w:val="710E2F40"/>
    <w:rsid w:val="75CE3B53"/>
    <w:rsid w:val="78F55FCA"/>
    <w:rsid w:val="7C0B2E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68"/>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69"/>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6"/>
    <w:link w:val="71"/>
    <w:qFormat/>
    <w:uiPriority w:val="0"/>
    <w:pPr>
      <w:keepNext/>
      <w:numPr>
        <w:ilvl w:val="0"/>
        <w:numId w:val="2"/>
      </w:numPr>
      <w:spacing w:line="360" w:lineRule="auto"/>
      <w:ind w:left="0" w:firstLine="0"/>
      <w:outlineLvl w:val="3"/>
    </w:pPr>
    <w:rPr>
      <w:b/>
      <w:bCs/>
      <w:sz w:val="24"/>
    </w:rPr>
  </w:style>
  <w:style w:type="paragraph" w:styleId="7">
    <w:name w:val="heading 5"/>
    <w:basedOn w:val="1"/>
    <w:next w:val="8"/>
    <w:link w:val="73"/>
    <w:qFormat/>
    <w:uiPriority w:val="0"/>
    <w:pPr>
      <w:keepNext/>
      <w:widowControl/>
      <w:numPr>
        <w:ilvl w:val="0"/>
        <w:numId w:val="3"/>
      </w:numPr>
      <w:tabs>
        <w:tab w:val="left" w:pos="405"/>
      </w:tabs>
      <w:jc w:val="left"/>
      <w:outlineLvl w:val="4"/>
    </w:pPr>
    <w:rPr>
      <w:kern w:val="0"/>
      <w:sz w:val="24"/>
      <w:szCs w:val="20"/>
    </w:rPr>
  </w:style>
  <w:style w:type="paragraph" w:styleId="9">
    <w:name w:val="heading 6"/>
    <w:basedOn w:val="1"/>
    <w:next w:val="8"/>
    <w:link w:val="74"/>
    <w:qFormat/>
    <w:uiPriority w:val="0"/>
    <w:pPr>
      <w:keepNext/>
      <w:numPr>
        <w:ilvl w:val="0"/>
        <w:numId w:val="4"/>
      </w:numPr>
      <w:tabs>
        <w:tab w:val="left" w:pos="-20"/>
      </w:tabs>
      <w:snapToGrid w:val="0"/>
      <w:spacing w:line="300" w:lineRule="auto"/>
      <w:ind w:left="480"/>
      <w:outlineLvl w:val="5"/>
    </w:pPr>
    <w:rPr>
      <w:rFonts w:ascii="宋体"/>
      <w:sz w:val="28"/>
      <w:szCs w:val="20"/>
    </w:rPr>
  </w:style>
  <w:style w:type="paragraph" w:styleId="10">
    <w:name w:val="heading 7"/>
    <w:basedOn w:val="1"/>
    <w:next w:val="1"/>
    <w:link w:val="75"/>
    <w:qFormat/>
    <w:uiPriority w:val="0"/>
    <w:pPr>
      <w:keepNext/>
      <w:pageBreakBefore/>
      <w:adjustRightInd w:val="0"/>
      <w:snapToGrid w:val="0"/>
      <w:spacing w:before="120" w:after="120" w:line="360" w:lineRule="auto"/>
      <w:outlineLvl w:val="6"/>
    </w:pPr>
    <w:rPr>
      <w:b/>
      <w:bCs/>
      <w:sz w:val="28"/>
      <w:szCs w:val="28"/>
    </w:rPr>
  </w:style>
  <w:style w:type="character" w:default="1" w:styleId="43">
    <w:name w:val="Default Paragraph Font"/>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customStyle="1" w:styleId="6">
    <w:name w:val="A."/>
    <w:basedOn w:val="1"/>
    <w:qFormat/>
    <w:uiPriority w:val="0"/>
    <w:pPr>
      <w:widowControl/>
      <w:tabs>
        <w:tab w:val="left" w:pos="859"/>
        <w:tab w:val="left" w:pos="1200"/>
      </w:tabs>
      <w:spacing w:line="240" w:lineRule="atLeast"/>
      <w:ind w:left="859" w:hanging="453"/>
    </w:pPr>
    <w:rPr>
      <w:sz w:val="24"/>
    </w:rPr>
  </w:style>
  <w:style w:type="paragraph" w:styleId="8">
    <w:name w:val="Normal Indent"/>
    <w:basedOn w:val="1"/>
    <w:link w:val="72"/>
    <w:qFormat/>
    <w:uiPriority w:val="0"/>
    <w:pPr>
      <w:ind w:firstLine="420"/>
    </w:pPr>
    <w:rPr>
      <w:szCs w:val="20"/>
    </w:rPr>
  </w:style>
  <w:style w:type="paragraph" w:styleId="11">
    <w:name w:val="toc 7"/>
    <w:basedOn w:val="1"/>
    <w:next w:val="1"/>
    <w:uiPriority w:val="0"/>
    <w:pPr>
      <w:widowControl/>
      <w:spacing w:afterLines="50"/>
      <w:ind w:left="1440"/>
      <w:jc w:val="left"/>
    </w:pPr>
    <w:rPr>
      <w:kern w:val="0"/>
      <w:sz w:val="18"/>
      <w:szCs w:val="18"/>
    </w:rPr>
  </w:style>
  <w:style w:type="paragraph" w:styleId="12">
    <w:name w:val="List Number 2"/>
    <w:basedOn w:val="1"/>
    <w:uiPriority w:val="0"/>
    <w:pPr>
      <w:numPr>
        <w:ilvl w:val="0"/>
        <w:numId w:val="4"/>
      </w:numPr>
      <w:tabs>
        <w:tab w:val="left" w:pos="780"/>
      </w:tabs>
    </w:pPr>
  </w:style>
  <w:style w:type="paragraph" w:styleId="13">
    <w:name w:val="List Number"/>
    <w:basedOn w:val="1"/>
    <w:uiPriority w:val="0"/>
    <w:pPr>
      <w:widowControl/>
      <w:tabs>
        <w:tab w:val="left" w:pos="820"/>
      </w:tabs>
      <w:spacing w:after="50" w:afterLines="50"/>
      <w:ind w:left="820" w:hanging="420"/>
      <w:jc w:val="left"/>
    </w:pPr>
    <w:rPr>
      <w:kern w:val="0"/>
      <w:sz w:val="24"/>
      <w:szCs w:val="20"/>
    </w:rPr>
  </w:style>
  <w:style w:type="paragraph" w:styleId="14">
    <w:name w:val="caption"/>
    <w:next w:val="1"/>
    <w:qFormat/>
    <w:uiPriority w:val="0"/>
    <w:rPr>
      <w:rFonts w:ascii="Calibri Light" w:hAnsi="Calibri Light" w:eastAsia="黑体"/>
      <w:lang w:val="en-US" w:eastAsia="zh-CN" w:bidi="ar-SA"/>
    </w:rPr>
  </w:style>
  <w:style w:type="paragraph" w:styleId="15">
    <w:name w:val="Document Map"/>
    <w:basedOn w:val="1"/>
    <w:uiPriority w:val="0"/>
    <w:pPr>
      <w:shd w:val="clear" w:color="auto" w:fill="000080"/>
    </w:pPr>
  </w:style>
  <w:style w:type="paragraph" w:styleId="16">
    <w:name w:val="annotation text"/>
    <w:basedOn w:val="1"/>
    <w:link w:val="66"/>
    <w:qFormat/>
    <w:uiPriority w:val="0"/>
    <w:pPr>
      <w:jc w:val="left"/>
    </w:pPr>
  </w:style>
  <w:style w:type="paragraph" w:styleId="17">
    <w:name w:val="Body Text 3"/>
    <w:basedOn w:val="1"/>
    <w:link w:val="103"/>
    <w:uiPriority w:val="0"/>
    <w:pPr>
      <w:spacing w:before="156" w:beforeLines="50" w:line="400" w:lineRule="exact"/>
      <w:jc w:val="left"/>
    </w:pPr>
    <w:rPr>
      <w:b/>
      <w:color w:val="FF6600"/>
      <w:sz w:val="24"/>
    </w:rPr>
  </w:style>
  <w:style w:type="paragraph" w:styleId="18">
    <w:name w:val="Body Text"/>
    <w:basedOn w:val="1"/>
    <w:link w:val="86"/>
    <w:uiPriority w:val="0"/>
    <w:pPr>
      <w:jc w:val="center"/>
    </w:pPr>
    <w:rPr>
      <w:b/>
      <w:bCs/>
      <w:sz w:val="52"/>
    </w:rPr>
  </w:style>
  <w:style w:type="paragraph" w:styleId="19">
    <w:name w:val="Body Text Indent"/>
    <w:basedOn w:val="1"/>
    <w:link w:val="76"/>
    <w:uiPriority w:val="0"/>
    <w:pPr>
      <w:spacing w:after="120" w:afterLines="0"/>
      <w:ind w:left="420" w:leftChars="200"/>
    </w:pPr>
  </w:style>
  <w:style w:type="paragraph" w:styleId="20">
    <w:name w:val="List Number 3"/>
    <w:basedOn w:val="1"/>
    <w:uiPriority w:val="0"/>
    <w:pPr>
      <w:numPr>
        <w:ilvl w:val="0"/>
        <w:numId w:val="5"/>
      </w:numPr>
      <w:tabs>
        <w:tab w:val="left" w:pos="1200"/>
      </w:tabs>
    </w:pPr>
  </w:style>
  <w:style w:type="paragraph" w:styleId="21">
    <w:name w:val="toc 5"/>
    <w:basedOn w:val="1"/>
    <w:next w:val="1"/>
    <w:uiPriority w:val="0"/>
    <w:pPr>
      <w:widowControl/>
      <w:spacing w:afterLines="50"/>
      <w:ind w:left="960"/>
      <w:jc w:val="left"/>
    </w:pPr>
    <w:rPr>
      <w:kern w:val="0"/>
      <w:sz w:val="18"/>
      <w:szCs w:val="18"/>
    </w:rPr>
  </w:style>
  <w:style w:type="paragraph" w:styleId="22">
    <w:name w:val="toc 3"/>
    <w:basedOn w:val="1"/>
    <w:next w:val="1"/>
    <w:uiPriority w:val="39"/>
    <w:pPr>
      <w:ind w:left="840" w:leftChars="400"/>
    </w:pPr>
  </w:style>
  <w:style w:type="paragraph" w:styleId="23">
    <w:name w:val="Plain Text"/>
    <w:basedOn w:val="1"/>
    <w:link w:val="51"/>
    <w:uiPriority w:val="0"/>
    <w:pPr>
      <w:widowControl/>
      <w:overflowPunct w:val="0"/>
      <w:autoSpaceDE w:val="0"/>
      <w:autoSpaceDN w:val="0"/>
      <w:adjustRightInd w:val="0"/>
      <w:jc w:val="left"/>
      <w:textAlignment w:val="baseline"/>
    </w:pPr>
    <w:rPr>
      <w:rFonts w:ascii="宋体" w:hAnsi="Courier New"/>
      <w:kern w:val="0"/>
      <w:szCs w:val="21"/>
    </w:rPr>
  </w:style>
  <w:style w:type="paragraph" w:styleId="24">
    <w:name w:val="List Number 4"/>
    <w:basedOn w:val="1"/>
    <w:uiPriority w:val="0"/>
    <w:pPr>
      <w:widowControl/>
      <w:numPr>
        <w:ilvl w:val="0"/>
        <w:numId w:val="6"/>
      </w:numPr>
      <w:tabs>
        <w:tab w:val="left" w:pos="1531"/>
      </w:tabs>
      <w:spacing w:after="50" w:afterLines="50"/>
      <w:jc w:val="left"/>
    </w:pPr>
    <w:rPr>
      <w:kern w:val="0"/>
      <w:sz w:val="24"/>
      <w:szCs w:val="20"/>
    </w:rPr>
  </w:style>
  <w:style w:type="paragraph" w:styleId="25">
    <w:name w:val="toc 8"/>
    <w:basedOn w:val="1"/>
    <w:next w:val="1"/>
    <w:uiPriority w:val="0"/>
    <w:pPr>
      <w:widowControl/>
      <w:spacing w:afterLines="50"/>
      <w:ind w:left="1680"/>
      <w:jc w:val="left"/>
    </w:pPr>
    <w:rPr>
      <w:kern w:val="0"/>
      <w:sz w:val="18"/>
      <w:szCs w:val="18"/>
    </w:rPr>
  </w:style>
  <w:style w:type="paragraph" w:styleId="26">
    <w:name w:val="Date"/>
    <w:basedOn w:val="1"/>
    <w:next w:val="1"/>
    <w:uiPriority w:val="0"/>
    <w:pPr>
      <w:ind w:left="100" w:leftChars="2500"/>
    </w:pPr>
  </w:style>
  <w:style w:type="paragraph" w:styleId="27">
    <w:name w:val="Body Text Indent 2"/>
    <w:basedOn w:val="1"/>
    <w:uiPriority w:val="0"/>
    <w:pPr>
      <w:spacing w:after="120" w:afterLines="0" w:line="480" w:lineRule="auto"/>
      <w:ind w:left="420" w:leftChars="200"/>
    </w:pPr>
  </w:style>
  <w:style w:type="paragraph" w:styleId="28">
    <w:name w:val="Balloon Text"/>
    <w:basedOn w:val="1"/>
    <w:uiPriority w:val="0"/>
    <w:rPr>
      <w:sz w:val="18"/>
      <w:szCs w:val="18"/>
    </w:rPr>
  </w:style>
  <w:style w:type="paragraph" w:styleId="29">
    <w:name w:val="footer"/>
    <w:basedOn w:val="1"/>
    <w:link w:val="64"/>
    <w:uiPriority w:val="99"/>
    <w:pPr>
      <w:tabs>
        <w:tab w:val="center" w:pos="4153"/>
        <w:tab w:val="right" w:pos="8306"/>
      </w:tabs>
      <w:snapToGrid w:val="0"/>
      <w:jc w:val="left"/>
    </w:pPr>
    <w:rPr>
      <w:sz w:val="18"/>
      <w:szCs w:val="18"/>
    </w:rPr>
  </w:style>
  <w:style w:type="paragraph" w:styleId="30">
    <w:name w:val="header"/>
    <w:basedOn w:val="1"/>
    <w:link w:val="84"/>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39"/>
    <w:pPr>
      <w:tabs>
        <w:tab w:val="right" w:leader="dot" w:pos="8280"/>
      </w:tabs>
      <w:spacing w:line="360" w:lineRule="auto"/>
    </w:pPr>
  </w:style>
  <w:style w:type="paragraph" w:styleId="32">
    <w:name w:val="toc 4"/>
    <w:basedOn w:val="1"/>
    <w:next w:val="1"/>
    <w:uiPriority w:val="0"/>
    <w:pPr>
      <w:widowControl/>
      <w:spacing w:afterLines="50"/>
      <w:ind w:left="720"/>
      <w:jc w:val="left"/>
    </w:pPr>
    <w:rPr>
      <w:kern w:val="0"/>
      <w:sz w:val="18"/>
      <w:szCs w:val="18"/>
    </w:rPr>
  </w:style>
  <w:style w:type="paragraph" w:styleId="33">
    <w:name w:val="toc 6"/>
    <w:basedOn w:val="1"/>
    <w:next w:val="1"/>
    <w:uiPriority w:val="0"/>
    <w:pPr>
      <w:widowControl/>
      <w:spacing w:afterLines="50"/>
      <w:ind w:left="1200"/>
      <w:jc w:val="left"/>
    </w:pPr>
    <w:rPr>
      <w:kern w:val="0"/>
      <w:sz w:val="18"/>
      <w:szCs w:val="18"/>
    </w:rPr>
  </w:style>
  <w:style w:type="paragraph" w:styleId="34">
    <w:name w:val="Body Text Indent 3"/>
    <w:basedOn w:val="1"/>
    <w:uiPriority w:val="0"/>
    <w:pPr>
      <w:spacing w:after="120" w:afterLines="0"/>
      <w:ind w:left="420" w:leftChars="200"/>
    </w:pPr>
    <w:rPr>
      <w:sz w:val="16"/>
      <w:szCs w:val="16"/>
    </w:rPr>
  </w:style>
  <w:style w:type="paragraph" w:styleId="35">
    <w:name w:val="toc 2"/>
    <w:basedOn w:val="1"/>
    <w:next w:val="1"/>
    <w:uiPriority w:val="39"/>
    <w:pPr>
      <w:ind w:left="420" w:leftChars="200"/>
    </w:pPr>
  </w:style>
  <w:style w:type="paragraph" w:styleId="36">
    <w:name w:val="toc 9"/>
    <w:basedOn w:val="1"/>
    <w:next w:val="1"/>
    <w:uiPriority w:val="0"/>
    <w:pPr>
      <w:widowControl/>
      <w:spacing w:afterLines="50"/>
      <w:ind w:left="1920"/>
      <w:jc w:val="left"/>
    </w:pPr>
    <w:rPr>
      <w:kern w:val="0"/>
      <w:sz w:val="18"/>
      <w:szCs w:val="18"/>
    </w:rPr>
  </w:style>
  <w:style w:type="paragraph" w:styleId="37">
    <w:name w:val="Body Text 2"/>
    <w:basedOn w:val="1"/>
    <w:link w:val="101"/>
    <w:uiPriority w:val="0"/>
    <w:pPr>
      <w:tabs>
        <w:tab w:val="left" w:pos="1065"/>
      </w:tabs>
      <w:spacing w:after="120" w:line="360" w:lineRule="auto"/>
      <w:ind w:left="1065" w:hanging="420"/>
    </w:pPr>
    <w:rPr>
      <w:sz w:val="24"/>
      <w:szCs w:val="20"/>
    </w:rPr>
  </w:style>
  <w:style w:type="paragraph" w:styleId="38">
    <w:name w:val="Normal (Web)"/>
    <w:basedOn w:val="1"/>
    <w:uiPriority w:val="0"/>
    <w:rPr>
      <w:sz w:val="24"/>
    </w:rPr>
  </w:style>
  <w:style w:type="paragraph" w:styleId="39">
    <w:name w:val="index 1"/>
    <w:basedOn w:val="1"/>
    <w:next w:val="1"/>
    <w:uiPriority w:val="0"/>
    <w:pPr>
      <w:widowControl/>
      <w:snapToGrid w:val="0"/>
      <w:spacing w:before="156" w:beforeLines="50" w:after="156" w:afterLines="50"/>
      <w:jc w:val="center"/>
    </w:pPr>
    <w:rPr>
      <w:rFonts w:ascii="Arial" w:hAnsi="Arial" w:cs="Arial"/>
      <w:color w:val="FF0000"/>
      <w:kern w:val="0"/>
      <w:sz w:val="24"/>
    </w:rPr>
  </w:style>
  <w:style w:type="paragraph" w:styleId="40">
    <w:name w:val="annotation subject"/>
    <w:basedOn w:val="16"/>
    <w:next w:val="16"/>
    <w:uiPriority w:val="0"/>
    <w:rPr>
      <w:b/>
      <w:bCs/>
    </w:rPr>
  </w:style>
  <w:style w:type="paragraph" w:styleId="41">
    <w:name w:val="Body Text First Indent"/>
    <w:basedOn w:val="18"/>
    <w:link w:val="102"/>
    <w:uiPriority w:val="0"/>
    <w:pPr>
      <w:spacing w:after="120"/>
      <w:ind w:firstLine="420" w:firstLineChars="100"/>
      <w:jc w:val="both"/>
    </w:pPr>
    <w:rPr>
      <w:sz w:val="21"/>
    </w:rPr>
  </w:style>
  <w:style w:type="character" w:styleId="44">
    <w:name w:val="Strong"/>
    <w:qFormat/>
    <w:uiPriority w:val="22"/>
    <w:rPr>
      <w:b/>
      <w:bCs/>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Emphasis"/>
    <w:qFormat/>
    <w:uiPriority w:val="20"/>
    <w:rPr>
      <w:color w:val="CC0000"/>
    </w:rPr>
  </w:style>
  <w:style w:type="character" w:styleId="48">
    <w:name w:val="Hyperlink"/>
    <w:uiPriority w:val="99"/>
    <w:rPr>
      <w:color w:val="0000FF"/>
      <w:u w:val="single"/>
    </w:rPr>
  </w:style>
  <w:style w:type="character" w:styleId="49">
    <w:name w:val="annotation reference"/>
    <w:qFormat/>
    <w:uiPriority w:val="0"/>
    <w:rPr>
      <w:sz w:val="21"/>
    </w:rPr>
  </w:style>
  <w:style w:type="character" w:customStyle="1" w:styleId="50">
    <w:name w:val="标题 4 Char"/>
    <w:semiHidden/>
    <w:uiPriority w:val="0"/>
    <w:rPr>
      <w:rFonts w:ascii="Cambria" w:hAnsi="Cambria" w:eastAsia="宋体" w:cs="Times New Roman"/>
      <w:b/>
      <w:bCs/>
      <w:kern w:val="2"/>
      <w:sz w:val="28"/>
      <w:szCs w:val="28"/>
    </w:rPr>
  </w:style>
  <w:style w:type="character" w:customStyle="1" w:styleId="51">
    <w:name w:val="纯文本 字符2"/>
    <w:link w:val="23"/>
    <w:uiPriority w:val="0"/>
    <w:rPr>
      <w:rFonts w:ascii="宋体" w:hAnsi="Courier New" w:eastAsia="宋体"/>
      <w:sz w:val="21"/>
      <w:szCs w:val="21"/>
      <w:lang w:val="en-US" w:eastAsia="zh-CN" w:bidi="ar-SA"/>
    </w:rPr>
  </w:style>
  <w:style w:type="character" w:customStyle="1" w:styleId="52">
    <w:name w:val="纯文本 字符"/>
    <w:uiPriority w:val="0"/>
    <w:rPr>
      <w:rFonts w:ascii="宋体" w:hAnsi="Courier New" w:eastAsia="宋体"/>
      <w:sz w:val="21"/>
      <w:szCs w:val="21"/>
      <w:lang w:val="en-US" w:eastAsia="zh-CN" w:bidi="ar-SA"/>
    </w:rPr>
  </w:style>
  <w:style w:type="character" w:customStyle="1" w:styleId="53">
    <w:name w:val="1正常 Char Char"/>
    <w:link w:val="54"/>
    <w:uiPriority w:val="0"/>
    <w:rPr>
      <w:rFonts w:ascii="Arial" w:hAnsi="Arial" w:eastAsia="Times New Roman"/>
      <w:sz w:val="24"/>
    </w:rPr>
  </w:style>
  <w:style w:type="paragraph" w:customStyle="1" w:styleId="54">
    <w:name w:val="1正常"/>
    <w:basedOn w:val="1"/>
    <w:link w:val="53"/>
    <w:qFormat/>
    <w:uiPriority w:val="0"/>
    <w:pPr>
      <w:spacing w:line="360" w:lineRule="auto"/>
      <w:ind w:firstLine="480" w:firstLineChars="200"/>
    </w:pPr>
    <w:rPr>
      <w:rFonts w:ascii="Arial" w:hAnsi="Arial" w:eastAsia="Times New Roman"/>
      <w:kern w:val="0"/>
      <w:sz w:val="24"/>
      <w:szCs w:val="20"/>
    </w:rPr>
  </w:style>
  <w:style w:type="character" w:customStyle="1" w:styleId="55">
    <w:name w:val="p121"/>
    <w:uiPriority w:val="0"/>
    <w:rPr>
      <w:rFonts w:hint="default" w:ascii="_x000B__x000C_" w:hAnsi="_x000B__x000C_"/>
      <w:sz w:val="24"/>
      <w:szCs w:val="24"/>
      <w:u w:val="none"/>
    </w:rPr>
  </w:style>
  <w:style w:type="character" w:customStyle="1" w:styleId="56">
    <w:name w:val="v81"/>
    <w:uiPriority w:val="0"/>
    <w:rPr>
      <w:rFonts w:ascii="Verdana" w:hAnsi="Verdana"/>
      <w:sz w:val="16"/>
    </w:rPr>
  </w:style>
  <w:style w:type="character" w:customStyle="1" w:styleId="57">
    <w:name w:val=" Char Char Char"/>
    <w:uiPriority w:val="0"/>
    <w:rPr>
      <w:b/>
      <w:bCs/>
      <w:kern w:val="2"/>
      <w:sz w:val="21"/>
      <w:szCs w:val="24"/>
    </w:rPr>
  </w:style>
  <w:style w:type="character" w:customStyle="1" w:styleId="58">
    <w:name w:val="标题 2 Char"/>
    <w:uiPriority w:val="0"/>
    <w:rPr>
      <w:rFonts w:ascii="楷体_GB2312" w:hAnsi="Arial" w:eastAsia="黑体"/>
      <w:sz w:val="36"/>
      <w:lang w:val="en-US" w:eastAsia="zh-CN" w:bidi="ar-SA"/>
    </w:rPr>
  </w:style>
  <w:style w:type="character" w:customStyle="1" w:styleId="59">
    <w:name w:val="批注文字 Char"/>
    <w:semiHidden/>
    <w:qFormat/>
    <w:uiPriority w:val="99"/>
    <w:rPr>
      <w:rFonts w:ascii="Calibri" w:hAnsi="Calibri" w:eastAsia="Calibri" w:cs="Calibri"/>
      <w:color w:val="000000"/>
      <w:sz w:val="24"/>
    </w:rPr>
  </w:style>
  <w:style w:type="character" w:customStyle="1" w:styleId="60">
    <w:name w:val="正文缩进 字符"/>
    <w:uiPriority w:val="0"/>
    <w:rPr>
      <w:kern w:val="2"/>
      <w:sz w:val="21"/>
    </w:rPr>
  </w:style>
  <w:style w:type="character" w:customStyle="1" w:styleId="61">
    <w:name w:val="纯文本 Char2"/>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小 Char"/>
    <w:uiPriority w:val="99"/>
    <w:rPr>
      <w:rFonts w:ascii="宋体" w:hAnsi="Courier New" w:cs="Courier New"/>
      <w:kern w:val="2"/>
      <w:sz w:val="21"/>
      <w:szCs w:val="21"/>
    </w:rPr>
  </w:style>
  <w:style w:type="character" w:customStyle="1" w:styleId="62">
    <w:name w:val="1正文 字符"/>
    <w:link w:val="63"/>
    <w:uiPriority w:val="0"/>
    <w:rPr>
      <w:rFonts w:ascii="宋体" w:hAnsi="宋体"/>
      <w:kern w:val="2"/>
      <w:sz w:val="24"/>
      <w:szCs w:val="24"/>
    </w:rPr>
  </w:style>
  <w:style w:type="paragraph" w:customStyle="1" w:styleId="63">
    <w:name w:val="1正文"/>
    <w:basedOn w:val="1"/>
    <w:link w:val="62"/>
    <w:qFormat/>
    <w:uiPriority w:val="0"/>
    <w:pPr>
      <w:spacing w:line="360" w:lineRule="auto"/>
      <w:ind w:firstLine="200" w:firstLineChars="200"/>
    </w:pPr>
    <w:rPr>
      <w:rFonts w:ascii="宋体" w:hAnsi="宋体"/>
      <w:sz w:val="24"/>
    </w:rPr>
  </w:style>
  <w:style w:type="character" w:customStyle="1" w:styleId="64">
    <w:name w:val="页脚 字符1"/>
    <w:link w:val="29"/>
    <w:uiPriority w:val="99"/>
    <w:rPr>
      <w:rFonts w:eastAsia="宋体"/>
      <w:kern w:val="2"/>
      <w:sz w:val="18"/>
      <w:szCs w:val="18"/>
      <w:lang w:val="en-US" w:eastAsia="zh-CN" w:bidi="ar-SA"/>
    </w:rPr>
  </w:style>
  <w:style w:type="character" w:customStyle="1" w:styleId="65">
    <w:name w:val="正文文本 字符"/>
    <w:uiPriority w:val="0"/>
    <w:rPr>
      <w:kern w:val="2"/>
      <w:sz w:val="24"/>
      <w:szCs w:val="24"/>
    </w:rPr>
  </w:style>
  <w:style w:type="character" w:customStyle="1" w:styleId="66">
    <w:name w:val="批注文字 字符"/>
    <w:link w:val="16"/>
    <w:uiPriority w:val="0"/>
    <w:rPr>
      <w:kern w:val="2"/>
      <w:sz w:val="21"/>
      <w:szCs w:val="24"/>
    </w:rPr>
  </w:style>
  <w:style w:type="character" w:customStyle="1" w:styleId="67">
    <w:name w:val=" Char Char7"/>
    <w:uiPriority w:val="0"/>
    <w:rPr>
      <w:rFonts w:ascii="宋体" w:hAnsi="Courier New" w:cs="Courier New"/>
      <w:kern w:val="2"/>
      <w:sz w:val="21"/>
      <w:szCs w:val="21"/>
    </w:rPr>
  </w:style>
  <w:style w:type="character" w:customStyle="1" w:styleId="68">
    <w:name w:val="标题 1 字符"/>
    <w:link w:val="2"/>
    <w:uiPriority w:val="0"/>
    <w:rPr>
      <w:b/>
      <w:bCs/>
      <w:kern w:val="44"/>
      <w:sz w:val="44"/>
      <w:szCs w:val="44"/>
    </w:rPr>
  </w:style>
  <w:style w:type="character" w:customStyle="1" w:styleId="69">
    <w:name w:val="标题 2 字符"/>
    <w:link w:val="3"/>
    <w:uiPriority w:val="0"/>
    <w:rPr>
      <w:rFonts w:ascii="Arial" w:hAnsi="Arial" w:eastAsia="黑体"/>
      <w:b/>
      <w:bCs/>
      <w:kern w:val="2"/>
      <w:sz w:val="32"/>
      <w:szCs w:val="32"/>
    </w:rPr>
  </w:style>
  <w:style w:type="character" w:customStyle="1" w:styleId="70">
    <w:name w:val="标题 3 字符"/>
    <w:link w:val="4"/>
    <w:uiPriority w:val="0"/>
    <w:rPr>
      <w:b/>
      <w:bCs/>
      <w:kern w:val="2"/>
      <w:sz w:val="32"/>
      <w:szCs w:val="32"/>
    </w:rPr>
  </w:style>
  <w:style w:type="character" w:customStyle="1" w:styleId="71">
    <w:name w:val="标题 4 字符"/>
    <w:link w:val="5"/>
    <w:uiPriority w:val="0"/>
    <w:rPr>
      <w:b/>
      <w:bCs/>
      <w:kern w:val="2"/>
      <w:sz w:val="24"/>
      <w:szCs w:val="24"/>
    </w:rPr>
  </w:style>
  <w:style w:type="character" w:customStyle="1" w:styleId="72">
    <w:name w:val="正文缩进 字符1"/>
    <w:link w:val="8"/>
    <w:uiPriority w:val="0"/>
    <w:rPr>
      <w:kern w:val="2"/>
      <w:sz w:val="21"/>
    </w:rPr>
  </w:style>
  <w:style w:type="character" w:customStyle="1" w:styleId="73">
    <w:name w:val="标题 5 字符"/>
    <w:link w:val="7"/>
    <w:uiPriority w:val="0"/>
    <w:rPr>
      <w:sz w:val="24"/>
    </w:rPr>
  </w:style>
  <w:style w:type="character" w:customStyle="1" w:styleId="74">
    <w:name w:val="标题 6 字符"/>
    <w:link w:val="9"/>
    <w:uiPriority w:val="0"/>
    <w:rPr>
      <w:rFonts w:ascii="宋体"/>
      <w:kern w:val="2"/>
      <w:sz w:val="28"/>
    </w:rPr>
  </w:style>
  <w:style w:type="character" w:customStyle="1" w:styleId="75">
    <w:name w:val="标题 7 字符"/>
    <w:link w:val="10"/>
    <w:uiPriority w:val="0"/>
    <w:rPr>
      <w:b/>
      <w:bCs/>
      <w:kern w:val="2"/>
      <w:sz w:val="28"/>
      <w:szCs w:val="28"/>
    </w:rPr>
  </w:style>
  <w:style w:type="character" w:customStyle="1" w:styleId="76">
    <w:name w:val="正文文本缩进 字符1"/>
    <w:link w:val="19"/>
    <w:uiPriority w:val="0"/>
    <w:rPr>
      <w:kern w:val="2"/>
      <w:sz w:val="21"/>
      <w:szCs w:val="24"/>
    </w:rPr>
  </w:style>
  <w:style w:type="character" w:customStyle="1" w:styleId="77">
    <w:name w:val="apple-converted-space"/>
    <w:basedOn w:val="43"/>
    <w:uiPriority w:val="0"/>
  </w:style>
  <w:style w:type="character" w:customStyle="1" w:styleId="78">
    <w:name w:val=" Char Char"/>
    <w:uiPriority w:val="0"/>
    <w:rPr>
      <w:rFonts w:eastAsia="宋体"/>
      <w:kern w:val="2"/>
      <w:sz w:val="18"/>
      <w:szCs w:val="18"/>
      <w:lang w:val="en-US" w:eastAsia="zh-CN" w:bidi="ar-SA"/>
    </w:rPr>
  </w:style>
  <w:style w:type="character" w:customStyle="1" w:styleId="79">
    <w:name w:val="样式 方案正文 + 首行缩进:  2 字符 Char Char"/>
    <w:uiPriority w:val="0"/>
    <w:rPr>
      <w:rFonts w:ascii="宋体" w:hAnsi="宋体" w:eastAsia="宋体"/>
      <w:color w:val="000000"/>
      <w:kern w:val="2"/>
      <w:sz w:val="24"/>
      <w:lang w:val="en-US" w:eastAsia="zh-CN" w:bidi="ar-SA"/>
    </w:rPr>
  </w:style>
  <w:style w:type="character" w:customStyle="1" w:styleId="80">
    <w:name w:val=" Char Char3"/>
    <w:uiPriority w:val="0"/>
    <w:rPr>
      <w:rFonts w:ascii="Arial" w:hAnsi="Arial" w:eastAsia="黑体"/>
      <w:b/>
      <w:bCs/>
      <w:kern w:val="2"/>
      <w:sz w:val="32"/>
      <w:szCs w:val="32"/>
      <w:lang w:val="en-US" w:eastAsia="zh-CN" w:bidi="ar-SA"/>
    </w:rPr>
  </w:style>
  <w:style w:type="character" w:customStyle="1" w:styleId="81">
    <w:name w:val="正文文本缩进 Char Char"/>
    <w:link w:val="82"/>
    <w:uiPriority w:val="0"/>
    <w:rPr>
      <w:kern w:val="2"/>
      <w:sz w:val="21"/>
      <w:szCs w:val="24"/>
    </w:rPr>
  </w:style>
  <w:style w:type="paragraph" w:customStyle="1" w:styleId="82">
    <w:name w:val="正文文本缩进1"/>
    <w:basedOn w:val="1"/>
    <w:link w:val="81"/>
    <w:uiPriority w:val="0"/>
    <w:pPr>
      <w:spacing w:after="120" w:afterLines="0"/>
      <w:ind w:left="420" w:leftChars="200"/>
    </w:pPr>
  </w:style>
  <w:style w:type="character" w:customStyle="1" w:styleId="83">
    <w:name w:val=" Char Char1"/>
    <w:uiPriority w:val="0"/>
    <w:rPr>
      <w:kern w:val="2"/>
      <w:sz w:val="21"/>
      <w:szCs w:val="24"/>
    </w:rPr>
  </w:style>
  <w:style w:type="character" w:customStyle="1" w:styleId="84">
    <w:name w:val="页眉 字符1"/>
    <w:link w:val="30"/>
    <w:uiPriority w:val="99"/>
    <w:rPr>
      <w:kern w:val="2"/>
      <w:sz w:val="18"/>
      <w:szCs w:val="18"/>
    </w:rPr>
  </w:style>
  <w:style w:type="character" w:customStyle="1" w:styleId="85">
    <w:name w:val="font41"/>
    <w:uiPriority w:val="0"/>
    <w:rPr>
      <w:rFonts w:hint="default" w:ascii="Times New Roman" w:hAnsi="Times New Roman" w:cs="Times New Roman"/>
      <w:color w:val="000000"/>
      <w:sz w:val="20"/>
      <w:szCs w:val="20"/>
      <w:u w:val="none"/>
    </w:rPr>
  </w:style>
  <w:style w:type="character" w:customStyle="1" w:styleId="86">
    <w:name w:val="正文文本 字符1"/>
    <w:link w:val="18"/>
    <w:uiPriority w:val="0"/>
    <w:rPr>
      <w:b/>
      <w:bCs/>
      <w:kern w:val="2"/>
      <w:sz w:val="52"/>
      <w:szCs w:val="24"/>
    </w:rPr>
  </w:style>
  <w:style w:type="character" w:customStyle="1" w:styleId="87">
    <w:name w:val="页脚 字符"/>
    <w:uiPriority w:val="99"/>
    <w:rPr>
      <w:kern w:val="2"/>
      <w:sz w:val="18"/>
      <w:szCs w:val="18"/>
    </w:rPr>
  </w:style>
  <w:style w:type="character" w:customStyle="1" w:styleId="88">
    <w:name w:val="font21"/>
    <w:qFormat/>
    <w:uiPriority w:val="0"/>
    <w:rPr>
      <w:rFonts w:hint="eastAsia" w:ascii="宋体" w:hAnsi="宋体" w:eastAsia="宋体" w:cs="宋体"/>
      <w:color w:val="000000"/>
      <w:sz w:val="22"/>
      <w:szCs w:val="22"/>
      <w:u w:val="none"/>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纯文本 字符1"/>
    <w:uiPriority w:val="0"/>
    <w:rPr>
      <w:rFonts w:ascii="宋体" w:hAnsi="Courier New" w:eastAsia="宋体" w:cs="Courier New"/>
      <w:kern w:val="2"/>
      <w:sz w:val="21"/>
      <w:szCs w:val="21"/>
      <w:lang w:val="en-US" w:eastAsia="zh-CN" w:bidi="ar-SA"/>
    </w:rPr>
  </w:style>
  <w:style w:type="character" w:customStyle="1" w:styleId="91">
    <w:name w:val="页眉 字符"/>
    <w:uiPriority w:val="99"/>
    <w:rPr>
      <w:kern w:val="2"/>
      <w:sz w:val="18"/>
      <w:szCs w:val="18"/>
    </w:rPr>
  </w:style>
  <w:style w:type="character" w:customStyle="1" w:styleId="92">
    <w:name w:val="word141"/>
    <w:uiPriority w:val="0"/>
    <w:rPr>
      <w:sz w:val="26"/>
      <w:szCs w:val="26"/>
    </w:rPr>
  </w:style>
  <w:style w:type="character" w:customStyle="1" w:styleId="93">
    <w:name w:val="wj"/>
    <w:uiPriority w:val="0"/>
  </w:style>
  <w:style w:type="character" w:customStyle="1" w:styleId="94">
    <w:name w:val="font01"/>
    <w:uiPriority w:val="0"/>
    <w:rPr>
      <w:rFonts w:hint="default" w:ascii="Times New Roman" w:hAnsi="Times New Roman" w:cs="Times New Roman"/>
      <w:color w:val="000000"/>
      <w:sz w:val="20"/>
      <w:szCs w:val="20"/>
      <w:u w:val="none"/>
    </w:rPr>
  </w:style>
  <w:style w:type="character" w:customStyle="1" w:styleId="95">
    <w:name w:val="列表编号 2 Char"/>
    <w:uiPriority w:val="0"/>
    <w:rPr>
      <w:rFonts w:eastAsia="宋体"/>
      <w:sz w:val="24"/>
      <w:lang w:val="en-US" w:eastAsia="zh-CN" w:bidi="ar-SA"/>
    </w:rPr>
  </w:style>
  <w:style w:type="character" w:customStyle="1" w:styleId="96">
    <w:name w:val="正文文本缩进 字符"/>
    <w:uiPriority w:val="0"/>
    <w:rPr>
      <w:rFonts w:ascii="宋体" w:hAnsi="宋体"/>
      <w:kern w:val="2"/>
      <w:sz w:val="24"/>
      <w:szCs w:val="24"/>
    </w:rPr>
  </w:style>
  <w:style w:type="character" w:customStyle="1" w:styleId="97">
    <w:name w:val="font51"/>
    <w:uiPriority w:val="0"/>
    <w:rPr>
      <w:rFonts w:hint="eastAsia" w:ascii="宋体" w:hAnsi="宋体" w:eastAsia="宋体" w:cs="宋体"/>
      <w:color w:val="000000"/>
      <w:sz w:val="20"/>
      <w:szCs w:val="20"/>
      <w:u w:val="none"/>
    </w:rPr>
  </w:style>
  <w:style w:type="character" w:customStyle="1" w:styleId="98">
    <w:name w:val="font31"/>
    <w:uiPriority w:val="0"/>
    <w:rPr>
      <w:rFonts w:hint="eastAsia" w:ascii="宋体" w:hAnsi="宋体" w:eastAsia="宋体" w:cs="宋体"/>
      <w:color w:val="000000"/>
      <w:sz w:val="20"/>
      <w:szCs w:val="20"/>
      <w:u w:val="none"/>
    </w:rPr>
  </w:style>
  <w:style w:type="character" w:customStyle="1" w:styleId="99">
    <w:name w:val="2正文 字符"/>
    <w:link w:val="100"/>
    <w:uiPriority w:val="0"/>
    <w:rPr>
      <w:rFonts w:ascii="等线" w:hAnsi="等线"/>
      <w:w w:val="95"/>
      <w:kern w:val="2"/>
      <w:sz w:val="21"/>
      <w:szCs w:val="24"/>
    </w:rPr>
  </w:style>
  <w:style w:type="paragraph" w:customStyle="1" w:styleId="100">
    <w:name w:val="2正文"/>
    <w:basedOn w:val="1"/>
    <w:link w:val="99"/>
    <w:qFormat/>
    <w:uiPriority w:val="0"/>
    <w:pPr>
      <w:numPr>
        <w:ilvl w:val="0"/>
        <w:numId w:val="7"/>
      </w:numPr>
      <w:tabs>
        <w:tab w:val="left" w:pos="523"/>
        <w:tab w:val="left" w:pos="524"/>
      </w:tabs>
      <w:jc w:val="left"/>
    </w:pPr>
    <w:rPr>
      <w:rFonts w:ascii="等线" w:hAnsi="等线"/>
      <w:w w:val="95"/>
    </w:rPr>
  </w:style>
  <w:style w:type="character" w:customStyle="1" w:styleId="101">
    <w:name w:val="正文文本 2 字符"/>
    <w:link w:val="37"/>
    <w:uiPriority w:val="0"/>
    <w:rPr>
      <w:kern w:val="2"/>
      <w:sz w:val="24"/>
    </w:rPr>
  </w:style>
  <w:style w:type="character" w:customStyle="1" w:styleId="102">
    <w:name w:val="正文文本首行缩进 字符"/>
    <w:link w:val="41"/>
    <w:uiPriority w:val="0"/>
    <w:rPr>
      <w:b/>
      <w:bCs/>
      <w:kern w:val="2"/>
      <w:sz w:val="21"/>
      <w:szCs w:val="24"/>
    </w:rPr>
  </w:style>
  <w:style w:type="character" w:customStyle="1" w:styleId="103">
    <w:name w:val="正文文本 3 字符"/>
    <w:link w:val="17"/>
    <w:uiPriority w:val="0"/>
    <w:rPr>
      <w:b/>
      <w:color w:val="FF6600"/>
      <w:kern w:val="2"/>
      <w:sz w:val="24"/>
      <w:szCs w:val="24"/>
    </w:rPr>
  </w:style>
  <w:style w:type="paragraph" w:customStyle="1" w:styleId="104">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105">
    <w:name w:val="纯文本1"/>
    <w:basedOn w:val="1"/>
    <w:uiPriority w:val="0"/>
    <w:rPr>
      <w:rFonts w:ascii="宋体" w:hAnsi="Courier New"/>
      <w:szCs w:val="20"/>
    </w:rPr>
  </w:style>
  <w:style w:type="paragraph" w:customStyle="1" w:styleId="106">
    <w:name w:val=" Char"/>
    <w:basedOn w:val="1"/>
    <w:uiPriority w:val="0"/>
    <w:pPr>
      <w:tabs>
        <w:tab w:val="left" w:pos="360"/>
      </w:tabs>
    </w:pPr>
    <w:rPr>
      <w:sz w:val="24"/>
    </w:rPr>
  </w:style>
  <w:style w:type="paragraph" w:customStyle="1" w:styleId="107">
    <w:name w:val="默认段落字体 Para Char Char Char Char Char Char Char Char Char1 Char Char Char Char"/>
    <w:basedOn w:val="1"/>
    <w:uiPriority w:val="0"/>
    <w:rPr>
      <w:rFonts w:ascii="Tahoma" w:hAnsi="Tahoma"/>
      <w:sz w:val="24"/>
      <w:szCs w:val="20"/>
    </w:rPr>
  </w:style>
  <w:style w:type="paragraph" w:customStyle="1" w:styleId="108">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109">
    <w:name w:val="Char"/>
    <w:basedOn w:val="1"/>
    <w:uiPriority w:val="0"/>
    <w:rPr>
      <w:rFonts w:ascii="仿宋_GB2312" w:eastAsia="仿宋_GB2312"/>
      <w:b/>
      <w:sz w:val="32"/>
      <w:szCs w:val="32"/>
    </w:rPr>
  </w:style>
  <w:style w:type="paragraph" w:customStyle="1" w:styleId="110">
    <w:name w:val="默认段落字体 Para Char Char Char Char"/>
    <w:basedOn w:val="1"/>
    <w:uiPriority w:val="0"/>
  </w:style>
  <w:style w:type="paragraph" w:customStyle="1" w:styleId="11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0"/>
      <w:szCs w:val="20"/>
    </w:rPr>
  </w:style>
  <w:style w:type="paragraph" w:customStyle="1" w:styleId="11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13">
    <w:name w:val="样式 样式 标题 3 + 加粗 + 加粗"/>
    <w:basedOn w:val="1"/>
    <w:uiPriority w:val="0"/>
    <w:pPr>
      <w:numPr>
        <w:ilvl w:val="3"/>
        <w:numId w:val="4"/>
      </w:numPr>
    </w:pPr>
    <w:rPr>
      <w:szCs w:val="24"/>
    </w:rPr>
  </w:style>
  <w:style w:type="paragraph" w:customStyle="1" w:styleId="114">
    <w:name w:val="_Style 22"/>
    <w:basedOn w:val="1"/>
    <w:uiPriority w:val="0"/>
  </w:style>
  <w:style w:type="paragraph" w:customStyle="1" w:styleId="11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6">
    <w:name w:val="p0"/>
    <w:basedOn w:val="1"/>
    <w:uiPriority w:val="0"/>
    <w:pPr>
      <w:widowControl/>
      <w:snapToGrid w:val="0"/>
      <w:spacing w:after="200"/>
      <w:jc w:val="left"/>
    </w:pPr>
    <w:rPr>
      <w:rFonts w:ascii="Tahoma" w:hAnsi="Tahoma" w:cs="Tahoma"/>
      <w:kern w:val="0"/>
      <w:sz w:val="22"/>
      <w:szCs w:val="22"/>
    </w:rPr>
  </w:style>
  <w:style w:type="paragraph" w:customStyle="1" w:styleId="117">
    <w:name w:val="body"/>
    <w:basedOn w:val="1"/>
    <w:uiPriority w:val="0"/>
    <w:pPr>
      <w:widowControl/>
    </w:pPr>
    <w:rPr>
      <w:color w:val="000000"/>
      <w:kern w:val="0"/>
      <w:sz w:val="20"/>
      <w:szCs w:val="20"/>
    </w:rPr>
  </w:style>
  <w:style w:type="paragraph" w:customStyle="1" w:styleId="118">
    <w:name w:val="表格文字"/>
    <w:basedOn w:val="23"/>
    <w:uiPriority w:val="0"/>
    <w:pPr>
      <w:widowControl w:val="0"/>
      <w:overflowPunct/>
      <w:autoSpaceDE/>
      <w:autoSpaceDN/>
      <w:adjustRightInd/>
      <w:textAlignment w:val="auto"/>
    </w:pPr>
    <w:rPr>
      <w:kern w:val="2"/>
      <w:sz w:val="24"/>
      <w:szCs w:val="20"/>
    </w:rPr>
  </w:style>
  <w:style w:type="paragraph" w:customStyle="1" w:styleId="119">
    <w:name w:val="样式 样式 行距: 1.5 倍行距 + 首行缩进:  2 字符"/>
    <w:basedOn w:val="1"/>
    <w:uiPriority w:val="0"/>
    <w:pPr>
      <w:spacing w:line="360" w:lineRule="auto"/>
      <w:ind w:firstLine="480" w:firstLineChars="200"/>
    </w:pPr>
    <w:rPr>
      <w:rFonts w:cs="宋体"/>
      <w:szCs w:val="20"/>
    </w:rPr>
  </w:style>
  <w:style w:type="paragraph" w:customStyle="1" w:styleId="120">
    <w:name w:val="标书正文"/>
    <w:basedOn w:val="1"/>
    <w:uiPriority w:val="0"/>
    <w:pPr>
      <w:adjustRightInd w:val="0"/>
      <w:snapToGrid w:val="0"/>
      <w:spacing w:before="120" w:beforeLines="0" w:after="120" w:afterLines="0" w:line="360" w:lineRule="auto"/>
      <w:ind w:firstLine="540" w:firstLineChars="192"/>
    </w:pPr>
    <w:rPr>
      <w:rFonts w:ascii="华文中宋" w:hAnsi="宋体" w:cs="宋体"/>
      <w:color w:val="000000"/>
      <w:kern w:val="0"/>
      <w:sz w:val="28"/>
      <w:szCs w:val="28"/>
    </w:rPr>
  </w:style>
  <w:style w:type="paragraph" w:customStyle="1" w:styleId="121">
    <w:name w:val="默认段落字体 Para Char Char Char Char Char Char Char"/>
    <w:basedOn w:val="1"/>
    <w:uiPriority w:val="0"/>
  </w:style>
  <w:style w:type="paragraph" w:customStyle="1" w:styleId="122">
    <w:name w:val="Char Char13 Char Char Char Char"/>
    <w:basedOn w:val="1"/>
    <w:uiPriority w:val="0"/>
    <w:rPr>
      <w:rFonts w:ascii="仿宋_GB2312" w:eastAsia="仿宋_GB2312"/>
      <w:b/>
      <w:sz w:val="32"/>
      <w:szCs w:val="32"/>
    </w:rPr>
  </w:style>
  <w:style w:type="paragraph" w:customStyle="1" w:styleId="123">
    <w:name w:val="Char Char Char Char1"/>
    <w:basedOn w:val="1"/>
    <w:uiPriority w:val="0"/>
  </w:style>
  <w:style w:type="paragraph" w:customStyle="1" w:styleId="124">
    <w:name w:val="表格标题"/>
    <w:basedOn w:val="118"/>
    <w:uiPriority w:val="0"/>
    <w:pPr>
      <w:keepNext/>
      <w:jc w:val="center"/>
    </w:pPr>
    <w:rPr>
      <w:b/>
      <w:bCs/>
    </w:rPr>
  </w:style>
  <w:style w:type="paragraph" w:customStyle="1" w:styleId="125">
    <w:name w:val=" Char4"/>
    <w:basedOn w:val="8"/>
    <w:uiPriority w:val="0"/>
    <w:pPr>
      <w:widowControl/>
      <w:spacing w:after="156" w:afterLines="50" w:line="360" w:lineRule="auto"/>
      <w:ind w:firstLine="480"/>
      <w:jc w:val="left"/>
    </w:pPr>
    <w:rPr>
      <w:szCs w:val="20"/>
    </w:rPr>
  </w:style>
  <w:style w:type="paragraph" w:customStyle="1" w:styleId="12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27">
    <w:name w:val=" 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28">
    <w:name w:val="font8"/>
    <w:basedOn w:val="1"/>
    <w:uiPriority w:val="0"/>
    <w:pPr>
      <w:widowControl/>
      <w:spacing w:before="100" w:beforeAutospacing="1" w:after="100" w:afterAutospacing="1"/>
      <w:jc w:val="left"/>
    </w:pPr>
    <w:rPr>
      <w:rFonts w:eastAsia="Arial Unicode MS"/>
      <w:b/>
      <w:bCs/>
      <w:kern w:val="0"/>
      <w:sz w:val="22"/>
      <w:szCs w:val="22"/>
    </w:rPr>
  </w:style>
  <w:style w:type="paragraph" w:customStyle="1" w:styleId="129">
    <w:name w:val="样式 方案正文 + 首行缩进:  2 字符"/>
    <w:basedOn w:val="1"/>
    <w:uiPriority w:val="0"/>
    <w:pPr>
      <w:spacing w:line="360" w:lineRule="auto"/>
      <w:ind w:firstLine="470" w:firstLineChars="196"/>
    </w:pPr>
    <w:rPr>
      <w:rFonts w:ascii="宋体" w:hAnsi="宋体" w:eastAsia="宋体"/>
      <w:color w:val="000000"/>
      <w:kern w:val="2"/>
      <w:sz w:val="24"/>
      <w:lang w:val="en-US" w:eastAsia="zh-CN" w:bidi="ar-SA"/>
    </w:rPr>
  </w:style>
  <w:style w:type="paragraph" w:customStyle="1" w:styleId="130">
    <w:name w:val="正文段"/>
    <w:basedOn w:val="1"/>
    <w:qFormat/>
    <w:uiPriority w:val="0"/>
    <w:pPr>
      <w:widowControl/>
      <w:snapToGrid w:val="0"/>
      <w:spacing w:afterLines="50"/>
      <w:ind w:firstLine="200" w:firstLineChars="200"/>
    </w:pPr>
    <w:rPr>
      <w:kern w:val="0"/>
      <w:sz w:val="24"/>
    </w:rPr>
  </w:style>
  <w:style w:type="paragraph" w:customStyle="1" w:styleId="131">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32">
    <w:name w:val="_Style 1"/>
    <w:basedOn w:val="1"/>
    <w:qFormat/>
    <w:uiPriority w:val="34"/>
    <w:pPr>
      <w:ind w:firstLine="420" w:firstLineChars="200"/>
    </w:pPr>
  </w:style>
  <w:style w:type="paragraph" w:customStyle="1" w:styleId="133">
    <w:name w:val="样式 标题 3节，一列表编号3二级节名头小节标题Heading 3 - oldh33rd levelH3l3..."/>
    <w:basedOn w:val="4"/>
    <w:qFormat/>
    <w:uiPriority w:val="99"/>
    <w:pPr>
      <w:spacing w:before="0" w:after="0" w:line="360" w:lineRule="auto"/>
      <w:jc w:val="left"/>
    </w:pPr>
    <w:rPr>
      <w:rFonts w:cs="宋体"/>
      <w:kern w:val="0"/>
      <w:sz w:val="30"/>
      <w:szCs w:val="20"/>
    </w:rPr>
  </w:style>
  <w:style w:type="paragraph" w:customStyle="1" w:styleId="134">
    <w:name w:val="_Style 51"/>
    <w:next w:val="1"/>
    <w:uiPriority w:val="0"/>
    <w:pPr>
      <w:widowControl w:val="0"/>
      <w:jc w:val="both"/>
    </w:pPr>
    <w:rPr>
      <w:kern w:val="2"/>
      <w:sz w:val="21"/>
      <w:szCs w:val="24"/>
      <w:lang w:val="en-US" w:eastAsia="zh-CN" w:bidi="ar-SA"/>
    </w:rPr>
  </w:style>
  <w:style w:type="paragraph" w:customStyle="1" w:styleId="135">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36">
    <w:name w:val="样式 列表编号 + 段后: 0.5 行"/>
    <w:basedOn w:val="13"/>
    <w:uiPriority w:val="0"/>
    <w:pPr>
      <w:numPr>
        <w:ilvl w:val="0"/>
        <w:numId w:val="5"/>
      </w:numPr>
      <w:spacing w:after="120"/>
    </w:pPr>
  </w:style>
  <w:style w:type="paragraph" w:customStyle="1" w:styleId="137">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3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9">
    <w:name w:val="标书标题3"/>
    <w:basedOn w:val="4"/>
    <w:uiPriority w:val="0"/>
    <w:pPr>
      <w:keepLines w:val="0"/>
      <w:widowControl/>
      <w:numPr>
        <w:ilvl w:val="1"/>
        <w:numId w:val="1"/>
      </w:numPr>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140">
    <w:name w:val="样式 段后: 0.5 行"/>
    <w:basedOn w:val="1"/>
    <w:uiPriority w:val="0"/>
    <w:pPr>
      <w:widowControl/>
      <w:spacing w:after="120" w:afterLines="50"/>
      <w:jc w:val="left"/>
    </w:pPr>
    <w:rPr>
      <w:rFonts w:cs="宋体"/>
      <w:kern w:val="0"/>
      <w:sz w:val="24"/>
      <w:szCs w:val="20"/>
    </w:rPr>
  </w:style>
  <w:style w:type="paragraph" w:customStyle="1" w:styleId="141">
    <w:name w:val="标准正文"/>
    <w:basedOn w:val="1"/>
    <w:uiPriority w:val="0"/>
    <w:pPr>
      <w:spacing w:after="50" w:afterLines="50"/>
      <w:ind w:firstLine="200" w:firstLineChars="200"/>
    </w:pPr>
    <w:rPr>
      <w:sz w:val="24"/>
      <w:szCs w:val="21"/>
    </w:rPr>
  </w:style>
  <w:style w:type="paragraph" w:customStyle="1" w:styleId="142">
    <w:name w:val="font7"/>
    <w:basedOn w:val="1"/>
    <w:uiPriority w:val="0"/>
    <w:pPr>
      <w:widowControl/>
      <w:spacing w:before="100" w:beforeAutospacing="1" w:after="100" w:afterAutospacing="1"/>
      <w:jc w:val="left"/>
    </w:pPr>
    <w:rPr>
      <w:rFonts w:hint="eastAsia" w:ascii="宋体" w:hAnsi="宋体" w:cs="Arial Unicode MS"/>
      <w:b/>
      <w:bCs/>
      <w:kern w:val="0"/>
      <w:sz w:val="22"/>
      <w:szCs w:val="22"/>
    </w:rPr>
  </w:style>
  <w:style w:type="paragraph" w:customStyle="1" w:styleId="143">
    <w:name w:val=" Char Char2 Char"/>
    <w:basedOn w:val="1"/>
    <w:uiPriority w:val="0"/>
    <w:pPr>
      <w:keepNext/>
      <w:keepLines/>
      <w:pageBreakBefore/>
      <w:tabs>
        <w:tab w:val="left" w:pos="845"/>
      </w:tabs>
      <w:ind w:left="845" w:hanging="420"/>
    </w:pPr>
    <w:rPr>
      <w:rFonts w:ascii="Tahoma" w:hAnsi="Tahoma" w:eastAsia="Times New Roman"/>
      <w:kern w:val="0"/>
      <w:sz w:val="24"/>
      <w:szCs w:val="20"/>
      <w:lang/>
    </w:rPr>
  </w:style>
  <w:style w:type="paragraph" w:customStyle="1" w:styleId="144">
    <w:name w:val="font6"/>
    <w:basedOn w:val="1"/>
    <w:uiPriority w:val="0"/>
    <w:pPr>
      <w:widowControl/>
      <w:spacing w:before="100" w:beforeAutospacing="1" w:after="100" w:afterAutospacing="1"/>
      <w:jc w:val="left"/>
    </w:pPr>
    <w:rPr>
      <w:rFonts w:eastAsia="Arial Unicode MS"/>
      <w:kern w:val="0"/>
      <w:sz w:val="24"/>
    </w:rPr>
  </w:style>
  <w:style w:type="paragraph" w:customStyle="1" w:styleId="145">
    <w:name w:val="样式 (西文) 宋体 段后: 0.5 行 行距: 1.5 倍行距"/>
    <w:basedOn w:val="1"/>
    <w:uiPriority w:val="0"/>
    <w:pPr>
      <w:widowControl/>
      <w:spacing w:line="360" w:lineRule="auto"/>
      <w:jc w:val="left"/>
    </w:pPr>
    <w:rPr>
      <w:rFonts w:ascii="宋体" w:hAnsi="宋体" w:cs="宋体"/>
      <w:kern w:val="0"/>
      <w:sz w:val="24"/>
      <w:szCs w:val="20"/>
    </w:rPr>
  </w:style>
  <w:style w:type="paragraph" w:customStyle="1" w:styleId="146">
    <w:name w:val="标书标题1"/>
    <w:basedOn w:val="2"/>
    <w:uiPriority w:val="0"/>
    <w:pPr>
      <w:keepLines w:val="0"/>
      <w:widowControl/>
      <w:tabs>
        <w:tab w:val="left" w:pos="360"/>
      </w:tabs>
      <w:adjustRightInd w:val="0"/>
      <w:snapToGrid w:val="0"/>
      <w:spacing w:before="240" w:after="0" w:line="360" w:lineRule="auto"/>
      <w:ind w:left="284" w:hanging="284"/>
      <w:jc w:val="left"/>
    </w:pPr>
    <w:rPr>
      <w:rFonts w:ascii="Arial Narrow" w:hAnsi="Arial Narrow" w:eastAsia="黑体"/>
      <w:b w:val="0"/>
      <w:bCs w:val="0"/>
      <w:kern w:val="0"/>
      <w:sz w:val="30"/>
      <w:szCs w:val="20"/>
    </w:rPr>
  </w:style>
  <w:style w:type="paragraph" w:customStyle="1" w:styleId="147">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szCs w:val="20"/>
    </w:rPr>
  </w:style>
  <w:style w:type="paragraph" w:customStyle="1" w:styleId="14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0"/>
      <w:szCs w:val="20"/>
    </w:rPr>
  </w:style>
  <w:style w:type="paragraph" w:customStyle="1" w:styleId="149">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50">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151">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2">
    <w:name w:val="样式 (西文) 宋体 行距: 多倍行距 0.9 字行"/>
    <w:basedOn w:val="1"/>
    <w:uiPriority w:val="0"/>
    <w:pPr>
      <w:widowControl/>
      <w:spacing w:after="50" w:afterLines="50" w:line="216" w:lineRule="auto"/>
      <w:jc w:val="left"/>
    </w:pPr>
    <w:rPr>
      <w:rFonts w:ascii="宋体" w:hAnsi="宋体" w:cs="宋体"/>
      <w:kern w:val="0"/>
      <w:sz w:val="24"/>
      <w:szCs w:val="20"/>
    </w:rPr>
  </w:style>
  <w:style w:type="paragraph" w:customStyle="1" w:styleId="153">
    <w:name w:val="标书标题4"/>
    <w:basedOn w:val="5"/>
    <w:uiPriority w:val="0"/>
    <w:pPr>
      <w:numPr>
        <w:ilvl w:val="2"/>
        <w:numId w:val="1"/>
      </w:numPr>
      <w:tabs>
        <w:tab w:val="left" w:pos="720"/>
      </w:tabs>
      <w:adjustRightInd w:val="0"/>
      <w:snapToGrid w:val="0"/>
      <w:spacing w:line="300" w:lineRule="auto"/>
    </w:pPr>
    <w:rPr>
      <w:rFonts w:ascii="Arial Narrow" w:hAnsi="Arial Narrow" w:eastAsia="仿宋_GB2312"/>
      <w:b w:val="0"/>
      <w:bCs w:val="0"/>
      <w:kern w:val="0"/>
      <w:sz w:val="28"/>
      <w:szCs w:val="32"/>
    </w:rPr>
  </w:style>
  <w:style w:type="paragraph" w:customStyle="1" w:styleId="154">
    <w:name w:val="xl45"/>
    <w:basedOn w:val="1"/>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22"/>
      <w:szCs w:val="22"/>
    </w:rPr>
  </w:style>
  <w:style w:type="paragraph" w:customStyle="1" w:styleId="155">
    <w:name w:val="小节标题"/>
    <w:basedOn w:val="1"/>
    <w:next w:val="1"/>
    <w:uiPriority w:val="0"/>
    <w:pPr>
      <w:widowControl/>
      <w:spacing w:before="175" w:after="102" w:line="1428" w:lineRule="atLeast"/>
    </w:pPr>
    <w:rPr>
      <w:rFonts w:eastAsia="黑体"/>
      <w:color w:val="000000"/>
      <w:kern w:val="0"/>
      <w:szCs w:val="20"/>
      <w:u w:val="none" w:color="000000"/>
    </w:rPr>
  </w:style>
  <w:style w:type="paragraph" w:customStyle="1" w:styleId="156">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57">
    <w:name w:val="xl46"/>
    <w:basedOn w:val="1"/>
    <w:uiPriority w:val="0"/>
    <w:pPr>
      <w:widowControl/>
      <w:spacing w:before="100" w:beforeAutospacing="1" w:after="100" w:afterAutospacing="1"/>
      <w:jc w:val="left"/>
      <w:textAlignment w:val="center"/>
    </w:pPr>
    <w:rPr>
      <w:rFonts w:eastAsia="Arial Unicode MS"/>
      <w:b/>
      <w:bCs/>
      <w:kern w:val="0"/>
      <w:sz w:val="22"/>
      <w:szCs w:val="22"/>
    </w:rPr>
  </w:style>
  <w:style w:type="paragraph" w:customStyle="1" w:styleId="158">
    <w:name w:val="带上框线页脚"/>
    <w:basedOn w:val="1"/>
    <w:uiPriority w:val="0"/>
    <w:pPr>
      <w:widowControl/>
      <w:pBdr>
        <w:top w:val="single" w:color="auto" w:sz="4" w:space="1"/>
      </w:pBdr>
      <w:spacing w:after="50" w:afterLines="50"/>
      <w:jc w:val="left"/>
    </w:pPr>
    <w:rPr>
      <w:kern w:val="0"/>
      <w:sz w:val="18"/>
      <w:szCs w:val="20"/>
    </w:rPr>
  </w:style>
  <w:style w:type="paragraph" w:customStyle="1" w:styleId="159">
    <w:name w:val="样式 (西文) 宋体 左  2.06 字符"/>
    <w:basedOn w:val="1"/>
    <w:uiPriority w:val="0"/>
    <w:pPr>
      <w:widowControl/>
      <w:spacing w:after="240" w:afterLines="50"/>
      <w:ind w:left="206" w:leftChars="206"/>
      <w:jc w:val="left"/>
    </w:pPr>
    <w:rPr>
      <w:rFonts w:ascii="宋体" w:hAnsi="宋体" w:cs="宋体"/>
      <w:kern w:val="0"/>
      <w:sz w:val="24"/>
      <w:szCs w:val="20"/>
    </w:rPr>
  </w:style>
  <w:style w:type="paragraph" w:customStyle="1" w:styleId="160">
    <w:name w:val="正文不缩进"/>
    <w:basedOn w:val="1"/>
    <w:next w:val="8"/>
    <w:uiPriority w:val="0"/>
    <w:pPr>
      <w:spacing w:after="50" w:afterLines="50"/>
      <w:ind w:firstLine="420"/>
    </w:pPr>
    <w:rPr>
      <w:szCs w:val="20"/>
    </w:rPr>
  </w:style>
  <w:style w:type="paragraph" w:customStyle="1" w:styleId="161">
    <w:name w:val="样式 标题 5 + 首行缩进:  2 字符"/>
    <w:basedOn w:val="7"/>
    <w:uiPriority w:val="0"/>
    <w:pPr>
      <w:keepLines/>
      <w:widowControl w:val="0"/>
      <w:numPr>
        <w:ilvl w:val="0"/>
        <w:numId w:val="0"/>
      </w:numPr>
      <w:spacing w:afterLines="15"/>
      <w:ind w:firstLine="200" w:firstLineChars="200"/>
      <w:jc w:val="both"/>
    </w:pPr>
    <w:rPr>
      <w:bCs/>
      <w:kern w:val="2"/>
      <w:sz w:val="21"/>
    </w:rPr>
  </w:style>
  <w:style w:type="paragraph" w:customStyle="1" w:styleId="162">
    <w:name w:val="样式 标题 5 + 首行缩进:  2 字符1"/>
    <w:basedOn w:val="7"/>
    <w:uiPriority w:val="0"/>
    <w:pPr>
      <w:keepLines/>
      <w:widowControl w:val="0"/>
      <w:numPr>
        <w:ilvl w:val="0"/>
        <w:numId w:val="0"/>
      </w:numPr>
      <w:spacing w:after="15" w:afterLines="15" w:line="300" w:lineRule="auto"/>
      <w:ind w:firstLine="200" w:firstLineChars="200"/>
      <w:jc w:val="both"/>
    </w:pPr>
    <w:rPr>
      <w:b/>
      <w:bCs/>
      <w:kern w:val="2"/>
      <w:sz w:val="21"/>
    </w:rPr>
  </w:style>
  <w:style w:type="paragraph" w:customStyle="1" w:styleId="163">
    <w:name w:val=" Char Char Char Char1"/>
    <w:basedOn w:val="1"/>
    <w:uiPriority w:val="0"/>
    <w:rPr>
      <w:szCs w:val="20"/>
    </w:rPr>
  </w:style>
  <w:style w:type="paragraph" w:customStyle="1" w:styleId="164">
    <w:name w:val="（1）"/>
    <w:basedOn w:val="1"/>
    <w:uiPriority w:val="0"/>
    <w:pPr>
      <w:tabs>
        <w:tab w:val="left" w:pos="720"/>
        <w:tab w:val="left" w:pos="961"/>
      </w:tabs>
      <w:spacing w:line="360" w:lineRule="auto"/>
      <w:ind w:left="720" w:hanging="720"/>
    </w:pPr>
    <w:rPr>
      <w:sz w:val="24"/>
    </w:rPr>
  </w:style>
  <w:style w:type="paragraph" w:styleId="165">
    <w:name w:val="List Paragraph"/>
    <w:basedOn w:val="1"/>
    <w:qFormat/>
    <w:uiPriority w:val="1"/>
    <w:pPr>
      <w:ind w:firstLine="420" w:firstLineChars="200"/>
    </w:pPr>
  </w:style>
  <w:style w:type="paragraph" w:customStyle="1" w:styleId="166">
    <w:name w:val=" Char Char Char Char Char Char Char Char Char Char Char"/>
    <w:basedOn w:val="1"/>
    <w:uiPriority w:val="0"/>
    <w:pPr>
      <w:widowControl/>
      <w:spacing w:after="160" w:line="240" w:lineRule="exact"/>
      <w:jc w:val="left"/>
    </w:pPr>
  </w:style>
  <w:style w:type="paragraph" w:customStyle="1" w:styleId="16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8">
    <w:name w:val="Default"/>
    <w:uiPriority w:val="0"/>
    <w:pPr>
      <w:widowControl w:val="0"/>
      <w:autoSpaceDE w:val="0"/>
      <w:autoSpaceDN w:val="0"/>
      <w:adjustRightInd w:val="0"/>
    </w:pPr>
    <w:rPr>
      <w:rFonts w:ascii="宋体" w:cs="宋体"/>
      <w:color w:val="000000"/>
      <w:sz w:val="24"/>
      <w:szCs w:val="24"/>
      <w:lang w:val="en-US" w:eastAsia="zh-CN" w:bidi="ar-SA"/>
    </w:rPr>
  </w:style>
  <w:style w:type="table" w:customStyle="1" w:styleId="169">
    <w:name w:val="浅色列表1"/>
    <w:basedOn w:val="42"/>
    <w:uiPriority w:val="61"/>
    <w:tblPr>
      <w:tblStyle w:val="42"/>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blStyle w:val="42"/>
      </w:tblPr>
      <w:tcPr>
        <w:shd w:val="clear" w:color="auto" w:fill="000000"/>
      </w:tcPr>
    </w:tblStylePr>
    <w:tblStylePr w:type="lastRow">
      <w:pPr>
        <w:spacing w:before="0" w:after="0" w:line="240" w:lineRule="auto"/>
      </w:pPr>
      <w:rPr>
        <w:b/>
        <w:bCs/>
      </w:rPr>
      <w:tblPr>
        <w:tblStyle w:val="42"/>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42"/>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42"/>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70">
    <w:name w:val="Table Normal1"/>
    <w:unhideWhenUsed/>
    <w:qFormat/>
    <w:uiPriority w:val="2"/>
    <w:pPr>
      <w:widowControl w:val="0"/>
      <w:autoSpaceDE w:val="0"/>
      <w:autoSpaceDN w:val="0"/>
    </w:pPr>
    <w:rPr>
      <w:rFonts w:ascii="Calibri" w:hAnsi="Calibri"/>
      <w:sz w:val="22"/>
      <w:szCs w:val="22"/>
      <w:lang w:val="en-US" w:eastAsia="en-US" w:bidi="ar-SA"/>
    </w:rPr>
    <w:tblPr>
      <w:tblStyle w:val="42"/>
      <w:tblCellMar>
        <w:top w:w="0" w:type="dxa"/>
        <w:left w:w="0" w:type="dxa"/>
        <w:bottom w:w="0" w:type="dxa"/>
        <w:right w:w="0" w:type="dxa"/>
      </w:tblCellMar>
    </w:tblPr>
  </w:style>
  <w:style w:type="table" w:customStyle="1" w:styleId="171">
    <w:name w:val="Table Normal"/>
    <w:unhideWhenUsed/>
    <w:qFormat/>
    <w:uiPriority w:val="2"/>
    <w:pPr>
      <w:widowControl w:val="0"/>
      <w:autoSpaceDE w:val="0"/>
      <w:autoSpaceDN w:val="0"/>
    </w:pPr>
    <w:rPr>
      <w:rFonts w:ascii="Calibri" w:hAnsi="Calibri"/>
      <w:sz w:val="22"/>
      <w:szCs w:val="22"/>
      <w:lang w:val="en-US" w:eastAsia="en-US" w:bidi="ar-SA"/>
    </w:rPr>
    <w:tblPr>
      <w:tblStyle w:val="42"/>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png" Type="http://schemas.openxmlformats.org/officeDocument/2006/relationships/image"/><Relationship Id="rId11" Target="media/image4.jpeg" Type="http://schemas.openxmlformats.org/officeDocument/2006/relationships/imag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8104</Words>
  <Characters>46194</Characters>
  <Lines>384</Lines>
  <Paragraphs>108</Paragraphs>
  <TotalTime>0</TotalTime>
  <ScaleCrop>false</ScaleCrop>
  <LinksUpToDate>false</LinksUpToDate>
  <CharactersWithSpaces>54190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2018-10-24T12:27:00Z</dcterms:created>
  <dc:creator>heyl</dc:creator>
  <cp:lastModifiedBy>WPS_1701756769</cp:lastModifiedBy>
  <cp:lastPrinted>2015-03-18T01:17:00Z</cp:lastPrinted>
  <dcterms:modified xsi:type="dcterms:W3CDTF">2024-02-22T03:13:38Z</dcterms:modified>
  <cp:revision>9</cp:revision>
  <dc:title>绍兴县水务集团客户服务信息系统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253AFADAD33B4C99B22E6328F94A38A0_13</vt:lpwstr>
  </property>
</Properties>
</file>