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pageBreakBefore w:val="0"/>
        <w:tabs>
          <w:tab w:val="clear" w:pos="720"/>
        </w:tabs>
        <w:snapToGrid w:val="0"/>
        <w:ind w:firstLine="640"/>
        <w:outlineLvl w:val="9"/>
        <w:rPr>
          <w:rFonts w:hint="eastAsia" w:ascii="仿宋" w:hAnsi="仿宋" w:eastAsia="仿宋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highlight w:val="none"/>
        </w:rPr>
        <w:t>一、投标(开标)一览表</w:t>
      </w:r>
    </w:p>
    <w:p>
      <w:pPr>
        <w:snapToGrid w:val="0"/>
        <w:spacing w:line="360" w:lineRule="auto"/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</w:pPr>
      <w:bookmarkStart w:id="0" w:name="_Toc86217005"/>
      <w:r>
        <w:rPr>
          <w:rFonts w:hint="eastAsia" w:ascii="仿宋" w:hAnsi="仿宋" w:eastAsia="仿宋" w:cs="仿宋_GB2312"/>
          <w:color w:val="auto"/>
          <w:sz w:val="24"/>
          <w:highlight w:val="none"/>
        </w:rPr>
        <w:t>项目名称</w:t>
      </w:r>
      <w:r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  <w:t>：</w:t>
      </w:r>
    </w:p>
    <w:p>
      <w:pPr>
        <w:snapToGrid w:val="0"/>
        <w:spacing w:line="360" w:lineRule="auto"/>
        <w:rPr>
          <w:rFonts w:hint="eastAsia" w:ascii="仿宋" w:hAnsi="仿宋" w:eastAsia="仿宋" w:cs="仿宋_GB2312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  <w:t xml:space="preserve">项目编号：                  </w:t>
      </w:r>
      <w:r>
        <w:rPr>
          <w:rFonts w:hint="eastAsia" w:ascii="仿宋" w:hAnsi="仿宋" w:eastAsia="仿宋" w:cs="仿宋_GB2312"/>
          <w:color w:val="auto"/>
          <w:kern w:val="0"/>
          <w:sz w:val="24"/>
          <w:highlight w:val="none"/>
        </w:rPr>
        <w:t xml:space="preserve">       </w:t>
      </w:r>
      <w:r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  <w:t>标项：</w:t>
      </w:r>
    </w:p>
    <w:tbl>
      <w:tblPr>
        <w:tblStyle w:val="8"/>
        <w:tblW w:w="10498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24"/>
        <w:gridCol w:w="2712"/>
        <w:gridCol w:w="1073"/>
        <w:gridCol w:w="1046"/>
        <w:gridCol w:w="1176"/>
        <w:gridCol w:w="106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项目特征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bookmarkStart w:id="5" w:name="_GoBack"/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数量</w:t>
            </w:r>
            <w:bookmarkEnd w:id="5"/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综合单价（元）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综合总价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（元）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分线接线盒（箱）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24芯三合一共建箱安装，含全部相关配件、附件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分线接线盒（箱）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36芯三合一共建箱安装，含全部相关配件、附件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配线架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432芯ODF架安装,含底座、光纤跳线等全部相关配件、附件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分配网络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12芯光分路由托盘（含相关配件、附件）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108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皮线光缆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管、暗槽内穿放二芯皮线光纤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米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8085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光缆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室内单模24芯光缆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9132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光缆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室内单模36芯光缆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711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布放尾纤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布放尾纤，含全部相关配件、附件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支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378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光纤连接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分纤箱、机柜内熔接（含皮线  光缆快速机械插头成端、光缆成端接头(热熔)检验器材、纤芯熔接、盘绕固定余纤、外封保护套等）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芯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1512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光纤连接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快速连接器皮线  光缆快速机械插头成端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芯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788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光纤测试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光纤测试 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段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197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光纤测试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测试皮线光纤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对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394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配管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塑料电线管埋地敷设PVC75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132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走线架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>300*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color w:val="auto"/>
                <w:sz w:val="18"/>
                <w:szCs w:val="18"/>
                <w:highlight w:val="none"/>
              </w:rPr>
              <w:t>00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镀锌桥架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砖砌配线手孔井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砖砌配线手孔 一号手孔（Sk1）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座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498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投标总价合计金额大写：                       小写： ￥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b/>
                <w:color w:val="auto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</w:p>
        </w:tc>
      </w:tr>
    </w:tbl>
    <w:p>
      <w:pPr>
        <w:snapToGrid w:val="0"/>
        <w:spacing w:line="360" w:lineRule="auto"/>
        <w:ind w:firstLine="482" w:firstLineChars="200"/>
        <w:rPr>
          <w:rFonts w:hint="eastAsia" w:ascii="仿宋" w:hAnsi="仿宋" w:eastAsia="仿宋" w:cs="仿宋_GB2312"/>
          <w:b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_GB2312"/>
          <w:b/>
          <w:color w:val="auto"/>
          <w:kern w:val="0"/>
          <w:sz w:val="24"/>
          <w:highlight w:val="none"/>
          <w:lang w:val="zh-CN"/>
        </w:rPr>
        <w:t>注：</w:t>
      </w:r>
    </w:p>
    <w:p>
      <w:pPr>
        <w:spacing w:line="360" w:lineRule="auto"/>
        <w:ind w:left="-2" w:leftChars="-1" w:firstLine="480" w:firstLineChars="200"/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  <w:t>1、投标人需按本表格式填写，不得自行更</w:t>
      </w:r>
      <w:r>
        <w:rPr>
          <w:rFonts w:hint="eastAsia" w:ascii="仿宋" w:hAnsi="仿宋" w:eastAsia="仿宋"/>
          <w:color w:val="auto"/>
          <w:sz w:val="24"/>
          <w:highlight w:val="none"/>
        </w:rPr>
        <w:t>改，如无对应内容，则填写：“无或/”。</w:t>
      </w:r>
    </w:p>
    <w:p>
      <w:pPr>
        <w:snapToGrid w:val="0"/>
        <w:spacing w:line="360" w:lineRule="auto"/>
        <w:ind w:left="480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  <w:t>2、有关本项目实施所涉及的一切费用（详见前附表）均计入报价。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  <w:highlight w:val="none"/>
          <w:lang w:val="zh-CN"/>
        </w:rPr>
        <w:t>3、特别提示：采购代理机构将对项目名称和项目编号，中标供应商名称、地址和中标金额，主要中标标的的名称、规格型号、数量、单价、服务要求等予以公示。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eastAsia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_GB2312"/>
          <w:color w:val="auto"/>
          <w:kern w:val="0"/>
          <w:sz w:val="24"/>
          <w:highlight w:val="none"/>
        </w:rPr>
        <w:t>4、</w:t>
      </w:r>
      <w:r>
        <w:rPr>
          <w:rFonts w:hint="eastAsia" w:ascii="仿宋" w:eastAsia="仿宋"/>
          <w:color w:val="auto"/>
          <w:kern w:val="0"/>
          <w:sz w:val="24"/>
          <w:highlight w:val="none"/>
        </w:rPr>
        <w:t>光缆的单价已包含光缆走线架的相关费用、光纤连接的单价已包含光纤活动连接器组装的相关费用、清单中各项价格已综合考虑相关工作内容所需的辅材、设备、现场安装等相关费用，请投标单位综合考虑。</w:t>
      </w:r>
    </w:p>
    <w:p>
      <w:pPr>
        <w:pStyle w:val="2"/>
        <w:ind w:firstLine="480"/>
        <w:rPr>
          <w:rFonts w:ascii="仿宋" w:hAnsi="Times New Roman" w:eastAsia="仿宋" w:cs="Times New Roman"/>
          <w:b/>
          <w:bCs/>
          <w:snapToGrid/>
          <w:color w:val="auto"/>
          <w:kern w:val="0"/>
          <w:szCs w:val="24"/>
          <w:highlight w:val="none"/>
          <w:lang w:val="en-US"/>
        </w:rPr>
      </w:pPr>
      <w:r>
        <w:rPr>
          <w:rFonts w:ascii="仿宋" w:hAnsi="Times New Roman" w:eastAsia="仿宋" w:cs="Times New Roman"/>
          <w:b/>
          <w:bCs/>
          <w:snapToGrid/>
          <w:color w:val="auto"/>
          <w:kern w:val="0"/>
          <w:szCs w:val="24"/>
          <w:highlight w:val="none"/>
          <w:lang w:val="en-US"/>
        </w:rPr>
        <w:t>5</w:t>
      </w:r>
      <w:r>
        <w:rPr>
          <w:rFonts w:hint="eastAsia" w:ascii="仿宋" w:hAnsi="Times New Roman" w:eastAsia="仿宋" w:cs="Times New Roman"/>
          <w:b/>
          <w:bCs/>
          <w:snapToGrid/>
          <w:color w:val="auto"/>
          <w:kern w:val="0"/>
          <w:szCs w:val="24"/>
          <w:highlight w:val="none"/>
          <w:lang w:val="en-US"/>
        </w:rPr>
        <w:t>、本工程涉及的土方开挖及回填、多余土方外运处置费用不再单独列项，由投标单位在报价时综合考虑，结算时不作调整。</w:t>
      </w:r>
    </w:p>
    <w:p>
      <w:pPr>
        <w:pStyle w:val="3"/>
        <w:ind w:firstLine="480"/>
        <w:rPr>
          <w:rFonts w:hint="eastAsia" w:ascii="仿宋" w:eastAsia="仿宋"/>
          <w:b/>
          <w:bCs/>
          <w:color w:val="auto"/>
          <w:kern w:val="0"/>
          <w:szCs w:val="24"/>
          <w:highlight w:val="none"/>
          <w:lang w:val="en-US"/>
        </w:rPr>
      </w:pPr>
      <w:r>
        <w:rPr>
          <w:rFonts w:ascii="仿宋" w:eastAsia="仿宋"/>
          <w:b/>
          <w:bCs/>
          <w:color w:val="auto"/>
          <w:kern w:val="0"/>
          <w:szCs w:val="24"/>
          <w:highlight w:val="none"/>
          <w:lang w:val="en-US"/>
        </w:rPr>
        <w:t>6</w:t>
      </w:r>
      <w:r>
        <w:rPr>
          <w:rFonts w:hint="eastAsia" w:ascii="仿宋" w:eastAsia="仿宋"/>
          <w:b/>
          <w:bCs/>
          <w:color w:val="auto"/>
          <w:kern w:val="0"/>
          <w:szCs w:val="24"/>
          <w:highlight w:val="none"/>
          <w:lang w:val="en-US"/>
        </w:rPr>
        <w:t>、本工程涉及辅材辅件在投标报价时综合考虑，结算时不再另行计取。</w:t>
      </w:r>
    </w:p>
    <w:p>
      <w:pPr>
        <w:pStyle w:val="3"/>
        <w:ind w:firstLine="480"/>
        <w:rPr>
          <w:rFonts w:hint="eastAsia" w:ascii="Arial" w:hAnsi="Arial" w:eastAsia="黑体" w:cs="Arial"/>
          <w:snapToGrid w:val="0"/>
          <w:color w:val="auto"/>
          <w:kern w:val="0"/>
          <w:szCs w:val="21"/>
          <w:highlight w:val="none"/>
          <w:lang w:val="en-US"/>
        </w:rPr>
      </w:pPr>
    </w:p>
    <w:p>
      <w:pPr>
        <w:spacing w:line="360" w:lineRule="auto"/>
        <w:ind w:right="960" w:firstLine="10440" w:firstLineChars="4350"/>
        <w:jc w:val="right"/>
        <w:rPr>
          <w:rFonts w:hint="eastAsia" w:ascii="仿宋" w:hAnsi="仿宋" w:eastAsia="仿宋" w:cs="仿宋_GB2312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_GB2312"/>
          <w:color w:val="auto"/>
          <w:sz w:val="24"/>
          <w:highlight w:val="none"/>
        </w:rPr>
        <w:t>投标人名称（电子签名）：                                                                                   日期：  年   月   日</w:t>
      </w:r>
      <w:bookmarkEnd w:id="0"/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47" w:right="1418" w:bottom="1276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eastAsia="仿宋_GB2312"/>
        <w:szCs w:val="24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63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63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eastAsia="仿宋_GB2312"/>
      </w:rPr>
    </w:pPr>
    <w:r>
      <w:rPr>
        <w:rFonts w:hint="eastAsia" w:ascii="仿宋_GB2312" w:eastAsia="仿宋_GB2312"/>
        <w:kern w:val="0"/>
        <w:szCs w:val="21"/>
      </w:rPr>
      <w:t xml:space="preserve">第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PAGE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51</w:t>
    </w:r>
    <w:r>
      <w:rPr>
        <w:rFonts w:hint="eastAsia" w:ascii="仿宋_GB2312" w:eastAsia="仿宋_GB2312"/>
        <w:kern w:val="0"/>
        <w:szCs w:val="21"/>
      </w:rPr>
      <w:fldChar w:fldCharType="end"/>
    </w:r>
    <w:r>
      <w:rPr>
        <w:rFonts w:hint="eastAsia" w:ascii="仿宋_GB2312" w:eastAsia="仿宋_GB2312"/>
        <w:kern w:val="0"/>
        <w:szCs w:val="21"/>
      </w:rPr>
      <w:t xml:space="preserve"> 页 共 </w:t>
    </w:r>
    <w:r>
      <w:rPr>
        <w:rFonts w:hint="eastAsia" w:ascii="仿宋_GB2312" w:eastAsia="仿宋_GB2312"/>
        <w:kern w:val="0"/>
        <w:szCs w:val="21"/>
      </w:rPr>
      <w:fldChar w:fldCharType="begin"/>
    </w:r>
    <w:r>
      <w:rPr>
        <w:rFonts w:hint="eastAsia" w:ascii="仿宋_GB2312" w:eastAsia="仿宋_GB2312"/>
        <w:kern w:val="0"/>
        <w:szCs w:val="21"/>
      </w:rPr>
      <w:instrText xml:space="preserve"> NUMPAGES </w:instrText>
    </w:r>
    <w:r>
      <w:rPr>
        <w:rFonts w:hint="eastAsia" w:ascii="仿宋_GB2312" w:eastAsia="仿宋_GB2312"/>
        <w:kern w:val="0"/>
        <w:szCs w:val="21"/>
      </w:rPr>
      <w:fldChar w:fldCharType="separate"/>
    </w:r>
    <w:r>
      <w:rPr>
        <w:rFonts w:ascii="仿宋_GB2312" w:eastAsia="仿宋_GB2312"/>
        <w:kern w:val="0"/>
        <w:szCs w:val="21"/>
      </w:rPr>
      <w:t>51</w:t>
    </w:r>
    <w:r>
      <w:rPr>
        <w:rFonts w:hint="eastAsia" w:ascii="仿宋_GB2312" w:eastAsia="仿宋_GB2312"/>
        <w:kern w:val="0"/>
        <w:szCs w:val="21"/>
      </w:rPr>
      <w:fldChar w:fldCharType="end"/>
    </w:r>
    <w:bookmarkStart w:id="1" w:name="_Toc164085800"/>
    <w:bookmarkStart w:id="2" w:name="_Toc36110187"/>
    <w:bookmarkStart w:id="3" w:name="_Toc91899912"/>
    <w:bookmarkStart w:id="4" w:name="_Toc131845147"/>
    <w:r>
      <w:rPr>
        <w:rFonts w:hint="eastAsia" w:ascii="仿宋_GB2312" w:eastAsia="仿宋_GB2312"/>
        <w:kern w:val="0"/>
        <w:szCs w:val="21"/>
      </w:rPr>
      <w:t xml:space="preserve"> 页</w:t>
    </w:r>
    <w:bookmarkEnd w:id="1"/>
    <w:bookmarkEnd w:id="2"/>
    <w:bookmarkEnd w:id="3"/>
    <w:bookmarkEnd w:id="4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/>
      </w:rPr>
      <w:t xml:space="preserve">                                                                                                                               绍兴市柯桥区国有企业采购公开招标文件</w:t>
    </w:r>
  </w:p>
  <w:p>
    <w:pPr>
      <w:pStyle w:val="7"/>
      <w:tabs>
        <w:tab w:val="center" w:pos="4535"/>
        <w:tab w:val="right" w:pos="9070"/>
      </w:tabs>
      <w:ind w:firstLine="180" w:firstLineChars="100"/>
      <w:jc w:val="both"/>
      <w:rPr>
        <w:rFonts w:hint="eastAsia" w:ascii="仿宋_GB2312" w:eastAsia="仿宋_GB2312"/>
        <w:b w:val="0"/>
        <w:i/>
        <w:sz w:val="18"/>
        <w:u w:val="single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/>
      </w:rPr>
      <w:t xml:space="preserve">                                                                     </w:t>
    </w:r>
    <w:r>
      <w:t xml:space="preserve">  </w:t>
    </w:r>
    <w:r>
      <w:rPr>
        <w:rFonts w:hint="eastAsia"/>
      </w:rPr>
      <w:t xml:space="preserve">                                                        绍兴市柯桥区国有企业采购公开招标文件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zE0MTljNGU1YjY2ZmRkZmZhMzg2YWQwZjZlMmYifQ=="/>
    <w:docVar w:name="KSO_WPS_MARK_KEY" w:val="270989c9-60f3-4ca3-8e08-e017b03e72cf"/>
  </w:docVars>
  <w:rsids>
    <w:rsidRoot w:val="6950052D"/>
    <w:rsid w:val="695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autoSpaceDE w:val="0"/>
      <w:autoSpaceDN w:val="0"/>
      <w:adjustRightInd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4">
    <w:name w:val="toc 6"/>
    <w:basedOn w:val="1"/>
    <w:next w:val="1"/>
    <w:uiPriority w:val="0"/>
    <w:pPr>
      <w:ind w:left="2100" w:leftChars="1000"/>
    </w:p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character" w:styleId="10">
    <w:name w:val="page number"/>
    <w:uiPriority w:val="0"/>
  </w:style>
  <w:style w:type="paragraph" w:customStyle="1" w:styleId="11">
    <w:name w:val="部分1"/>
    <w:basedOn w:val="1"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2024-02-04T05:41:00Z</dcterms:created>
  <dc:creator>YLN</dc:creator>
  <cp:lastModifiedBy>YLN</cp:lastModifiedBy>
  <dcterms:modified xsi:type="dcterms:W3CDTF">2024-02-04T05:42:18Z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836984CD1C734CF58807EC29E8179227_11</vt:lpwstr>
  </property>
</Properties>
</file>