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highlight w:val="none"/>
        </w:rPr>
      </w:pPr>
      <w:r>
        <w:rPr>
          <w:rFonts w:hint="eastAsia" w:ascii="仿宋" w:hAnsi="仿宋" w:eastAsia="仿宋" w:cs="仿宋"/>
          <w:b/>
          <w:spacing w:val="-12"/>
          <w:sz w:val="48"/>
          <w:szCs w:val="48"/>
          <w:highlight w:val="none"/>
        </w:rPr>
        <w:t>绍兴市公安局三重四极杆气相色谱质谱联用仪、顶空双柱气相色谱仪、全自动液液提取前处理设备、傅立叶变换红外光谱仪设备采购项目</w:t>
      </w:r>
    </w:p>
    <w:p>
      <w:pPr>
        <w:outlineLvl w:val="0"/>
        <w:rPr>
          <w:rFonts w:ascii="仿宋" w:hAnsi="仿宋" w:eastAsia="仿宋" w:cs="仿宋"/>
          <w:sz w:val="44"/>
          <w:highlight w:val="none"/>
        </w:rPr>
      </w:pPr>
    </w:p>
    <w:p>
      <w:pPr>
        <w:rPr>
          <w:rFonts w:ascii="仿宋" w:hAnsi="仿宋" w:eastAsia="仿宋" w:cs="仿宋"/>
          <w:sz w:val="44"/>
          <w:highlight w:val="none"/>
        </w:rPr>
      </w:pPr>
    </w:p>
    <w:p>
      <w:pPr>
        <w:pStyle w:val="51"/>
        <w:rPr>
          <w:rFonts w:ascii="仿宋" w:hAnsi="仿宋" w:eastAsia="仿宋" w:cs="仿宋"/>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ascii="仿宋" w:hAnsi="仿宋" w:eastAsia="仿宋" w:cs="仿宋"/>
          <w:sz w:val="44"/>
          <w:highlight w:val="none"/>
        </w:rPr>
      </w:pPr>
    </w:p>
    <w:p>
      <w:pPr>
        <w:pStyle w:val="51"/>
        <w:ind w:firstLine="880"/>
        <w:rPr>
          <w:rFonts w:ascii="仿宋" w:hAnsi="仿宋" w:eastAsia="仿宋" w:cs="仿宋"/>
          <w:sz w:val="44"/>
          <w:highlight w:val="none"/>
        </w:rPr>
      </w:pPr>
    </w:p>
    <w:p>
      <w:pPr>
        <w:rPr>
          <w:rFonts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招标编号:SXJHCG-2022-N00</w:t>
      </w:r>
      <w:r>
        <w:rPr>
          <w:rFonts w:hint="eastAsia" w:ascii="仿宋" w:hAnsi="仿宋" w:eastAsia="仿宋" w:cs="仿宋"/>
          <w:b/>
          <w:sz w:val="28"/>
          <w:szCs w:val="28"/>
          <w:highlight w:val="none"/>
          <w:lang w:val="en-US" w:eastAsia="zh-CN"/>
        </w:rPr>
        <w:t>29</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cs="仿宋"/>
                <w:sz w:val="28"/>
                <w:szCs w:val="28"/>
                <w:highlight w:val="none"/>
              </w:rPr>
            </w:pPr>
          </w:p>
        </w:tc>
        <w:tc>
          <w:tcPr>
            <w:tcW w:w="5445" w:type="dxa"/>
          </w:tcPr>
          <w:p>
            <w:pPr>
              <w:spacing w:after="100" w:afterAutospacing="1" w:line="440" w:lineRule="exact"/>
              <w:rPr>
                <w:rFonts w:ascii="仿宋" w:hAnsi="仿宋" w:eastAsia="仿宋" w:cs="仿宋"/>
                <w:sz w:val="28"/>
                <w:szCs w:val="28"/>
                <w:highlight w:val="none"/>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二〇二二</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三</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w:t>
            </w:r>
          </w:p>
        </w:tc>
      </w:tr>
    </w:tbl>
    <w:p>
      <w:pPr>
        <w:pageBreakBefore/>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ascii="仿宋" w:hAnsi="仿宋" w:eastAsia="仿宋" w:cs="仿宋"/>
          <w:b/>
          <w:sz w:val="44"/>
          <w:szCs w:val="44"/>
          <w:highlight w:val="none"/>
        </w:rPr>
      </w:pPr>
    </w:p>
    <w:p>
      <w:pPr>
        <w:jc w:val="center"/>
        <w:rPr>
          <w:rFonts w:ascii="仿宋" w:hAnsi="仿宋" w:eastAsia="仿宋" w:cs="仿宋"/>
          <w:highlight w:val="none"/>
        </w:rPr>
      </w:pP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pageBreakBefore/>
        <w:widowControl/>
        <w:jc w:val="center"/>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1"/>
        <w:ind w:firstLine="0" w:firstLineChars="0"/>
        <w:rPr>
          <w:rFonts w:ascii="仿宋" w:hAnsi="仿宋" w:eastAsia="仿宋" w:cs="仿宋"/>
          <w:highlight w:val="none"/>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绍兴市公安局三重四极杆气相色谱质谱联用仪、顶空双柱气相色谱仪、全自动液液提取前处理设备、傅立叶变换红外光谱仪设备采购项目的潜在投标人应在</w:t>
            </w:r>
            <w:r>
              <w:rPr>
                <w:rFonts w:hint="eastAsia" w:ascii="仿宋" w:hAnsi="仿宋" w:eastAsia="仿宋" w:cs="仿宋"/>
                <w:bCs/>
                <w:szCs w:val="24"/>
                <w:highlight w:val="none"/>
              </w:rPr>
              <w:t>政采云平台</w:t>
            </w:r>
            <w:r>
              <w:rPr>
                <w:rStyle w:val="277"/>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日 09:30（北京时间）前递交（上传）投标响应文件。</w:t>
            </w:r>
          </w:p>
        </w:tc>
      </w:tr>
    </w:tbl>
    <w:p>
      <w:pPr>
        <w:pStyle w:val="69"/>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p>
    <w:p>
      <w:pPr>
        <w:pStyle w:val="69"/>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69"/>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项目编号：SXJHCG-2022-N00</w:t>
      </w:r>
      <w:r>
        <w:rPr>
          <w:rFonts w:hint="eastAsia" w:ascii="仿宋" w:hAnsi="仿宋" w:eastAsia="仿宋" w:cs="仿宋"/>
          <w:color w:val="000000" w:themeColor="text1"/>
          <w:szCs w:val="24"/>
          <w:highlight w:val="none"/>
          <w:lang w:val="en-US" w:eastAsia="zh-CN"/>
          <w14:textFill>
            <w14:solidFill>
              <w14:schemeClr w14:val="tx1"/>
            </w14:solidFill>
          </w14:textFill>
        </w:rPr>
        <w:t>29</w:t>
      </w:r>
    </w:p>
    <w:p>
      <w:pPr>
        <w:pStyle w:val="69"/>
        <w:spacing w:afterLines="0" w:line="440" w:lineRule="exact"/>
        <w:ind w:firstLine="960" w:firstLineChars="4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项目名称：绍兴市公安局三重四极杆气相色谱质谱联用仪、顶空双柱气相色谱仪、全自动液液提取前处理设备、傅立叶变换红外光谱仪设备采购项目</w:t>
      </w:r>
    </w:p>
    <w:p>
      <w:pPr>
        <w:pStyle w:val="69"/>
        <w:spacing w:afterLines="0" w:line="440" w:lineRule="exact"/>
        <w:ind w:firstLine="960" w:firstLineChars="4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szCs w:val="24"/>
          <w:highlight w:val="none"/>
        </w:rPr>
        <w:t>采购方式：公开招标</w:t>
      </w:r>
    </w:p>
    <w:p>
      <w:pPr>
        <w:pStyle w:val="69"/>
        <w:spacing w:afterLines="0" w:line="440" w:lineRule="exact"/>
        <w:ind w:firstLine="960" w:firstLineChars="4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预算金额（元）：2960000.00</w:t>
      </w:r>
    </w:p>
    <w:p>
      <w:pPr>
        <w:pStyle w:val="69"/>
        <w:spacing w:afterLines="0" w:line="440" w:lineRule="exact"/>
        <w:ind w:firstLine="960" w:firstLineChars="4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最高限价（元）：2960000.00</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采购需求：详见采购文件。</w:t>
      </w:r>
    </w:p>
    <w:p>
      <w:pPr>
        <w:pStyle w:val="69"/>
        <w:spacing w:afterLines="0" w:line="440" w:lineRule="exact"/>
        <w:ind w:firstLine="1440" w:firstLineChars="6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标项名称：绍兴市公安局三重四极杆气相色谱质谱联用仪设备采购项目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预算金额（元）：1360000.00</w:t>
      </w:r>
    </w:p>
    <w:p>
      <w:pPr>
        <w:pStyle w:val="69"/>
        <w:spacing w:afterLines="0" w:line="440" w:lineRule="exact"/>
        <w:ind w:firstLine="1440" w:firstLineChars="600"/>
        <w:rPr>
          <w:rFonts w:ascii="仿宋" w:hAnsi="仿宋" w:eastAsia="仿宋" w:cs="仿宋"/>
          <w:szCs w:val="24"/>
          <w:highlight w:val="none"/>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szCs w:val="24"/>
          <w:highlight w:val="none"/>
        </w:rPr>
        <w:t>            简要规格描述或项目基本概况介绍、用途：详见采购文件。 </w:t>
      </w:r>
      <w:r>
        <w:rPr>
          <w:rFonts w:hint="eastAsia" w:ascii="仿宋" w:hAnsi="仿宋" w:eastAsia="仿宋" w:cs="仿宋"/>
          <w:szCs w:val="24"/>
          <w:highlight w:val="none"/>
        </w:rPr>
        <w:br w:type="textWrapping"/>
      </w:r>
      <w:r>
        <w:rPr>
          <w:rFonts w:hint="eastAsia" w:ascii="仿宋" w:hAnsi="仿宋" w:eastAsia="仿宋" w:cs="仿宋"/>
          <w:szCs w:val="24"/>
          <w:highlight w:val="none"/>
        </w:rPr>
        <w:t>             备注：无。</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69"/>
        <w:spacing w:afterLines="0" w:line="440" w:lineRule="exact"/>
        <w:ind w:firstLine="1440" w:firstLineChars="6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标项二:</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标项名称：绍兴市公安局顶空双柱气相色谱仪设备采购项目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预算金额（元）：400000.00</w:t>
      </w:r>
    </w:p>
    <w:p>
      <w:pPr>
        <w:pStyle w:val="69"/>
        <w:spacing w:afterLines="0" w:line="440" w:lineRule="exact"/>
        <w:ind w:firstLine="1440" w:firstLineChars="600"/>
        <w:rPr>
          <w:rFonts w:ascii="仿宋" w:hAnsi="仿宋" w:eastAsia="仿宋" w:cs="仿宋"/>
          <w:szCs w:val="24"/>
          <w:highlight w:val="none"/>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szCs w:val="24"/>
          <w:highlight w:val="none"/>
        </w:rPr>
        <w:t>            简要规格描述或项目基本概况介绍、用途：详见采购文件。 </w:t>
      </w:r>
      <w:r>
        <w:rPr>
          <w:rFonts w:hint="eastAsia" w:ascii="仿宋" w:hAnsi="仿宋" w:eastAsia="仿宋" w:cs="仿宋"/>
          <w:szCs w:val="24"/>
          <w:highlight w:val="none"/>
        </w:rPr>
        <w:br w:type="textWrapping"/>
      </w:r>
      <w:r>
        <w:rPr>
          <w:rFonts w:hint="eastAsia" w:ascii="仿宋" w:hAnsi="仿宋" w:eastAsia="仿宋" w:cs="仿宋"/>
          <w:szCs w:val="24"/>
          <w:highlight w:val="none"/>
        </w:rPr>
        <w:t>             备注：无。</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69"/>
        <w:spacing w:afterLines="0" w:line="440" w:lineRule="exact"/>
        <w:ind w:firstLine="1440" w:firstLineChars="6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标项三:</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标项名称：绍兴市公安局全自动液液提取前处理设备采购项目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预算金额（元）：950000.00</w:t>
      </w:r>
    </w:p>
    <w:p>
      <w:pPr>
        <w:pStyle w:val="69"/>
        <w:spacing w:afterLines="0" w:line="440" w:lineRule="exact"/>
        <w:ind w:firstLine="1440" w:firstLineChars="600"/>
        <w:rPr>
          <w:rFonts w:ascii="仿宋" w:hAnsi="仿宋" w:eastAsia="仿宋" w:cs="仿宋"/>
          <w:szCs w:val="24"/>
          <w:highlight w:val="none"/>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szCs w:val="24"/>
          <w:highlight w:val="none"/>
        </w:rPr>
        <w:t>            简要规格描述或项目基本概况介绍、用途：详见采购文件。 </w:t>
      </w:r>
      <w:r>
        <w:rPr>
          <w:rFonts w:hint="eastAsia" w:ascii="仿宋" w:hAnsi="仿宋" w:eastAsia="仿宋" w:cs="仿宋"/>
          <w:szCs w:val="24"/>
          <w:highlight w:val="none"/>
        </w:rPr>
        <w:br w:type="textWrapping"/>
      </w:r>
      <w:r>
        <w:rPr>
          <w:rFonts w:hint="eastAsia" w:ascii="仿宋" w:hAnsi="仿宋" w:eastAsia="仿宋" w:cs="仿宋"/>
          <w:szCs w:val="24"/>
          <w:highlight w:val="none"/>
        </w:rPr>
        <w:t>             备注：无。</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69"/>
        <w:spacing w:afterLines="0" w:line="440" w:lineRule="exact"/>
        <w:ind w:firstLine="1440" w:firstLineChars="6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标项四:</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标项名称：绍兴市公安局傅立叶变换红外光谱仪设备采购项目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预算金额（元）：250000.00</w:t>
      </w:r>
    </w:p>
    <w:p>
      <w:pPr>
        <w:pStyle w:val="69"/>
        <w:spacing w:afterLines="0" w:line="440" w:lineRule="exact"/>
        <w:ind w:firstLine="1440" w:firstLineChars="600"/>
        <w:rPr>
          <w:rFonts w:ascii="仿宋" w:hAnsi="仿宋" w:eastAsia="仿宋" w:cs="仿宋"/>
          <w:szCs w:val="24"/>
          <w:highlight w:val="none"/>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szCs w:val="24"/>
          <w:highlight w:val="none"/>
        </w:rPr>
        <w:t>            简要规格描述或项目基本概况介绍、用途：详见采购文件。 </w:t>
      </w:r>
      <w:r>
        <w:rPr>
          <w:rFonts w:hint="eastAsia" w:ascii="仿宋" w:hAnsi="仿宋" w:eastAsia="仿宋" w:cs="仿宋"/>
          <w:szCs w:val="24"/>
          <w:highlight w:val="none"/>
        </w:rPr>
        <w:br w:type="textWrapping"/>
      </w:r>
      <w:r>
        <w:rPr>
          <w:rFonts w:hint="eastAsia" w:ascii="仿宋" w:hAnsi="仿宋" w:eastAsia="仿宋" w:cs="仿宋"/>
          <w:szCs w:val="24"/>
          <w:highlight w:val="none"/>
        </w:rPr>
        <w:t>             备注：无。</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69"/>
        <w:spacing w:afterLines="0" w:line="440" w:lineRule="exact"/>
        <w:ind w:firstLine="960" w:firstLineChars="400"/>
        <w:rPr>
          <w:rFonts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69"/>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69"/>
        <w:spacing w:afterLines="0" w:line="440" w:lineRule="exact"/>
        <w:ind w:firstLine="480"/>
        <w:jc w:val="left"/>
        <w:rPr>
          <w:rFonts w:ascii="仿宋" w:hAnsi="仿宋" w:eastAsia="仿宋" w:cs="仿宋"/>
          <w:szCs w:val="24"/>
          <w:highlight w:val="none"/>
        </w:rPr>
      </w:pPr>
      <w:r>
        <w:rPr>
          <w:rFonts w:hint="eastAsia" w:ascii="仿宋" w:hAnsi="仿宋" w:eastAsia="仿宋" w:cs="仿宋"/>
          <w:szCs w:val="24"/>
          <w:highlight w:val="none"/>
        </w:rPr>
        <w:t>2、落实政府采购政策需满足的资格要求：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spacing w:line="360" w:lineRule="auto"/>
        <w:ind w:firstLine="480" w:firstLineChars="200"/>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如果投标人本身提供所有标的均由中小企业制造、承建或承接，视同符合了资格条件，无需再与其他中小企业组成联合体参加政府采购活动，无需提供联合协议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ascii="仿宋" w:hAnsi="仿宋" w:eastAsia="仿宋" w:cs="仿宋"/>
          <w:szCs w:val="24"/>
          <w:highlight w:val="none"/>
        </w:rPr>
      </w:pPr>
      <w:sdt>
        <w:sdtPr>
          <w:rPr>
            <w:rFonts w:hint="eastAsia" w:ascii="仿宋_GB2312" w:hAnsi="仿宋" w:eastAsia="仿宋_GB2312" w:cs="Arial"/>
            <w:highlight w:val="none"/>
          </w:rPr>
          <w:id w:val="34630645"/>
        </w:sdtPr>
        <w:sdtEndPr>
          <w:rPr>
            <w:rFonts w:hint="eastAsia" w:ascii="仿宋_GB2312" w:hAnsi="仿宋" w:eastAsia="仿宋_GB2312" w:cs="Arial"/>
            <w:highlight w:val="none"/>
          </w:rPr>
        </w:sdtEndPr>
        <w:sdtContent>
          <w:sdt>
            <w:sdtPr>
              <w:rPr>
                <w:rFonts w:hint="eastAsia" w:ascii="仿宋_GB2312" w:hAnsi="仿宋" w:eastAsia="仿宋_GB2312" w:cs="Arial"/>
                <w:highlight w:val="none"/>
              </w:rPr>
              <w:id w:val="279565517"/>
            </w:sdtPr>
            <w:sdtEndPr>
              <w:rPr>
                <w:rFonts w:hint="eastAsia" w:ascii="仿宋_GB2312" w:hAnsi="仿宋" w:eastAsia="仿宋_GB2312" w:cs="Arial"/>
                <w:highlight w:val="none"/>
              </w:rPr>
            </w:sdtEndPr>
            <w:sdtContent>
              <w:r>
                <w:rPr>
                  <w:rFonts w:ascii="MS Gothic" w:hAnsi="MS Gothic" w:eastAsia="MS Gothic" w:cs="Arial"/>
                  <w:highlight w:val="none"/>
                </w:rPr>
                <w:t>☐</w:t>
              </w:r>
            </w:sdtContent>
          </w:sdt>
        </w:sdtContent>
      </w:sdt>
      <w:r>
        <w:rPr>
          <w:rFonts w:hint="eastAsia" w:ascii="仿宋_GB2312" w:hAnsi="仿宋" w:eastAsia="仿宋_GB2312"/>
          <w:highlight w:val="none"/>
        </w:rPr>
        <w:t>要求合同分包，提供分包意向协议和中小企业声明函，分包意向协议中中小企业合同金额应当达到达到</w:t>
      </w:r>
      <w:r>
        <w:rPr>
          <w:rFonts w:hint="eastAsia" w:ascii="仿宋_GB2312" w:hAnsi="仿宋" w:eastAsia="仿宋_GB2312"/>
          <w:highlight w:val="none"/>
          <w:u w:val="single"/>
        </w:rPr>
        <w:t xml:space="preserve">  </w:t>
      </w:r>
      <w:r>
        <w:rPr>
          <w:rFonts w:hint="eastAsia" w:ascii="仿宋_GB2312" w:hAnsi="仿宋" w:eastAsia="仿宋_GB2312"/>
          <w:highlight w:val="none"/>
        </w:rPr>
        <w:t>% ，小微企业合同金额应当达到</w:t>
      </w:r>
      <w:r>
        <w:rPr>
          <w:rFonts w:hint="eastAsia" w:ascii="仿宋_GB2312" w:hAnsi="仿宋" w:eastAsia="仿宋_GB2312"/>
          <w:highlight w:val="none"/>
          <w:u w:val="single"/>
        </w:rPr>
        <w:t xml:space="preserve"> </w:t>
      </w:r>
      <w:r>
        <w:rPr>
          <w:rFonts w:hint="eastAsia" w:ascii="仿宋_GB2312" w:hAnsi="仿宋" w:eastAsia="仿宋_GB2312"/>
          <w:highlight w:val="none"/>
        </w:rPr>
        <w:t>% ;</w:t>
      </w:r>
      <w:r>
        <w:rPr>
          <w:rFonts w:hint="eastAsia" w:ascii="仿宋_GB2312" w:hAnsi="仿宋" w:eastAsia="仿宋_GB2312" w:cs="宋体"/>
          <w:spacing w:val="8"/>
          <w:highlight w:val="none"/>
        </w:rPr>
        <w:t>如果投标人本身提供所有标的均由中小企业制造、承建或承接，视同符合了资格条件，无需再向中小企业分包，无需提供分包意向协议</w:t>
      </w:r>
      <w:r>
        <w:rPr>
          <w:rFonts w:hint="eastAsia" w:ascii="仿宋_GB2312" w:hAnsi="仿宋" w:eastAsia="仿宋_GB2312"/>
          <w:highlight w:val="none"/>
        </w:rPr>
        <w:t>；</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3、本项目的特定资格要求：无。</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_GB2312" w:hAnsi="新宋体" w:eastAsia="仿宋_GB2312"/>
          <w:szCs w:val="24"/>
          <w:highlight w:val="none"/>
        </w:rPr>
        <w:t>4、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rPr>
        <w:t>投标人登陆政采云平台http://www.zcygov.cn/，在线申请获取采购文件（进入“项目采购”应用，在获取采购文件菜单中选择项目，申请获取采购文件）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69"/>
        <w:spacing w:afterLines="0" w:line="440" w:lineRule="exact"/>
        <w:ind w:firstLine="480"/>
        <w:rPr>
          <w:rFonts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四、提交投标文件截止时间、开标时间和地点</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提交投标文件截止时间：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日 09:30（北京时间）</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highlight w:val="none"/>
        </w:rPr>
        <w:fldChar w:fldCharType="begin"/>
      </w:r>
      <w:r>
        <w:rPr>
          <w:highlight w:val="none"/>
        </w:rPr>
        <w:instrText xml:space="preserve"> HYPERLINK "http://www.zcygov.cn/" </w:instrText>
      </w:r>
      <w:r>
        <w:rPr>
          <w:highlight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日 09:30（北京时间）</w:t>
      </w:r>
    </w:p>
    <w:p>
      <w:pPr>
        <w:pStyle w:val="69"/>
        <w:spacing w:afterLines="0" w:line="440" w:lineRule="exact"/>
        <w:ind w:firstLine="480"/>
        <w:jc w:val="left"/>
        <w:rPr>
          <w:rFonts w:ascii="仿宋" w:hAnsi="仿宋" w:eastAsia="仿宋" w:cs="仿宋"/>
          <w:b/>
          <w:bCs/>
          <w:color w:val="3F3F3F"/>
          <w:szCs w:val="24"/>
          <w:highlight w:val="none"/>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highlight w:val="none"/>
        </w:rPr>
        <w:t>绍兴市越城区中兴</w:t>
      </w:r>
      <w:r>
        <w:rPr>
          <w:rFonts w:hint="eastAsia" w:ascii="仿宋" w:hAnsi="仿宋" w:eastAsia="仿宋" w:cs="仿宋"/>
          <w:b/>
          <w:bCs/>
          <w:highlight w:val="none"/>
          <w:lang w:eastAsia="zh-CN"/>
        </w:rPr>
        <w:t>南</w:t>
      </w:r>
      <w:bookmarkStart w:id="174" w:name="_GoBack"/>
      <w:bookmarkEnd w:id="174"/>
      <w:r>
        <w:rPr>
          <w:rFonts w:hint="eastAsia" w:ascii="仿宋" w:hAnsi="仿宋" w:eastAsia="仿宋" w:cs="仿宋"/>
          <w:b/>
          <w:bCs/>
          <w:highlight w:val="none"/>
        </w:rPr>
        <w:t>路95号中兴商务楼北6楼</w:t>
      </w:r>
      <w:r>
        <w:rPr>
          <w:rFonts w:hint="eastAsia" w:ascii="仿宋" w:hAnsi="仿宋" w:eastAsia="仿宋" w:cs="仿宋"/>
          <w:highlight w:val="none"/>
        </w:rPr>
        <w:t>，在</w:t>
      </w:r>
      <w:r>
        <w:rPr>
          <w:rFonts w:hint="eastAsia" w:ascii="仿宋" w:hAnsi="仿宋" w:eastAsia="仿宋" w:cs="仿宋"/>
          <w:color w:val="3F3F3F"/>
          <w:szCs w:val="24"/>
          <w:highlight w:val="none"/>
        </w:rPr>
        <w:t>政府采购云平台http://www.zcygov.cn/上开启响应文件。</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五、采购意向公开链接</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https://zfcg.czt.zj.gov.cn/innerUsed_noticeDetails/index.html?noticeId=8531961&amp;utm=web-government-front.49399a16.0.0.5400ddf088d411ec8fa0b329671fa793</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六、公告期限</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七、其他补充事宜</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4、其他事项：</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w:t>
      </w:r>
      <w:r>
        <w:rPr>
          <w:rFonts w:hint="eastAsia" w:ascii="仿宋_GB2312" w:hAnsi="仿宋" w:eastAsia="仿宋_GB2312" w:cs="仿宋_GB2312"/>
          <w:highlight w:val="none"/>
        </w:rPr>
        <w:t>投标人</w:t>
      </w:r>
      <w:r>
        <w:rPr>
          <w:rFonts w:ascii="仿宋_GB2312" w:hAnsi="仿宋" w:eastAsia="仿宋_GB2312" w:cs="仿宋_GB2312"/>
          <w:highlight w:val="none"/>
        </w:rPr>
        <w:t>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采云平台完成本项目的电子交易活动，平台不接受未按上述方式获取招标文件的投标人进行投标活动；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w:t>
      </w:r>
      <w:r>
        <w:rPr>
          <w:rFonts w:hint="eastAsia" w:ascii="仿宋_GB2312" w:hAnsi="仿宋" w:eastAsia="仿宋_GB2312"/>
          <w:highlight w:val="none"/>
        </w:rPr>
        <w:t>投标人</w:t>
      </w:r>
      <w:r>
        <w:rPr>
          <w:rFonts w:ascii="仿宋_GB2312" w:hAnsi="仿宋" w:eastAsia="仿宋_GB2312"/>
          <w:highlight w:val="none"/>
        </w:rPr>
        <w:t>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w:t>
      </w:r>
      <w:r>
        <w:rPr>
          <w:rFonts w:hint="eastAsia" w:ascii="仿宋_GB2312" w:hAnsi="仿宋" w:eastAsia="仿宋_GB2312" w:cs="仿宋_GB2312"/>
          <w:highlight w:val="none"/>
        </w:rPr>
        <w:t>投标人</w:t>
      </w:r>
      <w:r>
        <w:rPr>
          <w:rFonts w:ascii="仿宋_GB2312" w:hAnsi="仿宋" w:eastAsia="仿宋_GB2312" w:cs="仿宋_GB2312"/>
          <w:highlight w:val="none"/>
        </w:rPr>
        <w:t>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w:t>
      </w:r>
      <w:r>
        <w:rPr>
          <w:rFonts w:hint="eastAsia" w:ascii="仿宋_GB2312" w:hAnsi="仿宋" w:eastAsia="仿宋_GB2312" w:cs="仿宋_GB2312"/>
          <w:highlight w:val="none"/>
        </w:rPr>
        <w:t>投标人</w:t>
      </w:r>
      <w:r>
        <w:rPr>
          <w:rFonts w:ascii="仿宋_GB2312" w:hAnsi="仿宋" w:eastAsia="仿宋_GB2312" w:cs="仿宋_GB2312"/>
          <w:highlight w:val="none"/>
        </w:rPr>
        <w:t>”</w:t>
      </w:r>
      <w:r>
        <w:rPr>
          <w:rFonts w:hint="eastAsia" w:ascii="仿宋" w:hAnsi="仿宋" w:eastAsia="仿宋" w:cs="仿宋"/>
          <w:color w:val="000000" w:themeColor="text1"/>
          <w:szCs w:val="24"/>
          <w:highlight w:val="none"/>
          <w14:textFill>
            <w14:solidFill>
              <w14:schemeClr w14:val="tx1"/>
            </w14:solidFill>
          </w14:textFill>
        </w:rPr>
        <w:t>。</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八、对本次采购提出询问、质疑、投诉，请按以下方式联系</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1、采购人信息</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名称：绍兴市公安局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地址：绍兴市越城区灵芝街道凤林西路1977号</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传真：/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项目联系人（询问）：潘卫刚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项目联系方式（询问）：13575540140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质疑联系人：许薇</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color w:val="000000" w:themeColor="text1"/>
          <w:szCs w:val="24"/>
          <w:highlight w:val="none"/>
          <w14:textFill>
            <w14:solidFill>
              <w14:schemeClr w14:val="tx1"/>
            </w14:solidFill>
          </w14:textFill>
        </w:rPr>
        <w:t>质疑联系方式：18758508989</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2、采购代理机构信息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名称：绍兴市嘉华项目管理有限公司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地址：绍兴市越城区中兴南路95号</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项目联系人（询问）：王菲尔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项目联系方式（询问）：18458500872</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质疑联系人：杨华英</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质疑联系方式：18888705730</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3、同级政府采购监督管理部门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名称：绍兴市财政局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地址：绍兴市越城区凤林西路151号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传真：0575-85209697       </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联系人 ：宋晓林</w:t>
      </w:r>
    </w:p>
    <w:p>
      <w:pPr>
        <w:pStyle w:val="69"/>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监督投诉电话：0575-85209697</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ascii="仿宋" w:hAnsi="仿宋" w:eastAsia="仿宋" w:cs="仿宋"/>
          <w:b/>
          <w:bCs/>
          <w:color w:val="3F3F3F"/>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Style w:val="69"/>
        <w:spacing w:afterLines="0" w:line="440" w:lineRule="exact"/>
        <w:ind w:firstLine="482"/>
        <w:jc w:val="left"/>
        <w:rPr>
          <w:rFonts w:ascii="仿宋" w:hAnsi="仿宋" w:eastAsia="仿宋" w:cs="仿宋"/>
          <w:b/>
          <w:bCs/>
          <w:color w:val="3F3F3F"/>
          <w:szCs w:val="24"/>
          <w:highlight w:val="none"/>
        </w:rPr>
      </w:pPr>
    </w:p>
    <w:p>
      <w:pPr>
        <w:pStyle w:val="69"/>
        <w:spacing w:afterLines="0" w:line="440" w:lineRule="exact"/>
        <w:ind w:firstLine="482"/>
        <w:jc w:val="left"/>
        <w:rPr>
          <w:rFonts w:ascii="仿宋" w:hAnsi="仿宋" w:eastAsia="仿宋" w:cs="仿宋"/>
          <w:b/>
          <w:bCs/>
          <w:color w:val="3F3F3F"/>
          <w:szCs w:val="24"/>
          <w:highlight w:val="none"/>
        </w:rPr>
      </w:pPr>
    </w:p>
    <w:p>
      <w:pPr>
        <w:pageBreakBefore/>
        <w:ind w:left="238"/>
        <w:jc w:val="center"/>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939"/>
        <w:gridCol w:w="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416" w:type="dxa"/>
            <w:gridSpan w:val="3"/>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416" w:type="dxa"/>
            <w:gridSpan w:val="3"/>
            <w:vAlign w:val="center"/>
          </w:tcPr>
          <w:p>
            <w:pPr>
              <w:snapToGrid w:val="0"/>
              <w:spacing w:line="420" w:lineRule="exact"/>
              <w:rPr>
                <w:rFonts w:ascii="仿宋" w:hAnsi="仿宋" w:eastAsia="仿宋" w:cs="仿宋"/>
                <w:sz w:val="24"/>
                <w:highlight w:val="none"/>
              </w:rPr>
            </w:pPr>
            <w:r>
              <w:rPr>
                <w:rFonts w:hint="eastAsia" w:ascii="仿宋" w:hAnsi="仿宋" w:eastAsia="仿宋" w:cs="仿宋"/>
                <w:b/>
                <w:sz w:val="24"/>
                <w:highlight w:val="none"/>
              </w:rPr>
              <w:t>投标人应当提交的资格、资信证明文件</w:t>
            </w:r>
            <w:r>
              <w:rPr>
                <w:rFonts w:hint="eastAsia" w:ascii="仿宋" w:hAnsi="仿宋" w:eastAsia="仿宋" w:cs="仿宋"/>
                <w:sz w:val="24"/>
                <w:highlight w:val="none"/>
              </w:rPr>
              <w:t>：</w:t>
            </w:r>
          </w:p>
          <w:p>
            <w:pPr>
              <w:snapToGrid w:val="0"/>
              <w:spacing w:line="420" w:lineRule="exact"/>
              <w:rPr>
                <w:rFonts w:ascii="仿宋" w:hAnsi="仿宋" w:eastAsia="仿宋" w:cs="仿宋"/>
                <w:sz w:val="24"/>
                <w:highlight w:val="none"/>
              </w:rPr>
            </w:pPr>
            <w:r>
              <w:rPr>
                <w:rFonts w:hint="eastAsia" w:ascii="仿宋" w:hAnsi="仿宋" w:eastAsia="仿宋" w:cs="仿宋"/>
                <w:b/>
                <w:sz w:val="24"/>
                <w:highlight w:val="none"/>
              </w:rPr>
              <w:t>（1）相关证明文件：</w:t>
            </w:r>
            <w:r>
              <w:rPr>
                <w:rFonts w:hint="eastAsia" w:ascii="仿宋" w:hAnsi="仿宋" w:eastAsia="仿宋" w:cs="仿宋"/>
                <w:sz w:val="24"/>
                <w:highlight w:val="none"/>
              </w:rPr>
              <w:t>营业执照复印件、2021年度资产负债表等财务报表资料文件、</w:t>
            </w:r>
            <w:r>
              <w:rPr>
                <w:rFonts w:hint="eastAsia" w:ascii="仿宋" w:hAnsi="仿宋" w:eastAsia="仿宋" w:cs="仿宋"/>
                <w:color w:val="000000" w:themeColor="text1"/>
                <w:sz w:val="24"/>
                <w:highlight w:val="none"/>
                <w14:textFill>
                  <w14:solidFill>
                    <w14:schemeClr w14:val="tx1"/>
                  </w14:solidFill>
                </w14:textFill>
              </w:rPr>
              <w:t>依法缴纳税收和社会保障资金的良好记录证明、</w:t>
            </w:r>
            <w:r>
              <w:rPr>
                <w:rFonts w:hint="eastAsia" w:ascii="仿宋" w:hAnsi="仿宋" w:eastAsia="仿宋" w:cs="仿宋"/>
                <w:sz w:val="24"/>
                <w:highlight w:val="none"/>
              </w:rPr>
              <w:t>参加本次政府采购活动前三年内，在经营活动中没有重大违法记录的声明（详见格式范例）。</w:t>
            </w:r>
          </w:p>
          <w:p>
            <w:pPr>
              <w:snapToGrid w:val="0"/>
              <w:spacing w:line="420" w:lineRule="exact"/>
              <w:rPr>
                <w:rFonts w:ascii="仿宋" w:hAnsi="仿宋" w:eastAsia="仿宋" w:cs="仿宋"/>
                <w:sz w:val="24"/>
                <w:highlight w:val="none"/>
              </w:rPr>
            </w:pPr>
            <w:r>
              <w:rPr>
                <w:rFonts w:hint="eastAsia" w:ascii="仿宋" w:hAnsi="仿宋" w:eastAsia="仿宋" w:cs="仿宋"/>
                <w:b/>
                <w:sz w:val="24"/>
                <w:highlight w:val="none"/>
              </w:rPr>
              <w:t>（2）资信证明文件（如果有，按招标文件第三部分招标项目范围及要求和第五部分评分标准提供）。</w:t>
            </w:r>
          </w:p>
          <w:p>
            <w:pPr>
              <w:snapToGrid w:val="0"/>
              <w:spacing w:line="420" w:lineRule="exact"/>
              <w:rPr>
                <w:rFonts w:ascii="仿宋" w:hAnsi="仿宋" w:eastAsia="仿宋" w:cs="仿宋"/>
                <w:sz w:val="24"/>
                <w:highlight w:val="none"/>
                <w:u w:val="single"/>
              </w:rPr>
            </w:pPr>
            <w:r>
              <w:rPr>
                <w:rFonts w:hint="eastAsia" w:ascii="仿宋" w:hAnsi="仿宋" w:eastAsia="仿宋" w:cs="仿宋"/>
                <w:b/>
                <w:sz w:val="24"/>
                <w:highlight w:val="none"/>
              </w:rPr>
              <w:t>（3）特许资格、资信证明文件（如果有）：</w:t>
            </w:r>
          </w:p>
          <w:p>
            <w:pPr>
              <w:spacing w:line="42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416" w:type="dxa"/>
            <w:gridSpan w:val="3"/>
            <w:vAlign w:val="center"/>
          </w:tcPr>
          <w:p>
            <w:pPr>
              <w:snapToGrid w:val="0"/>
              <w:spacing w:line="42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2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2、法定代表人的被授权委托人必须是投标人</w:t>
            </w:r>
            <w:r>
              <w:rPr>
                <w:rFonts w:hint="eastAsia" w:ascii="仿宋" w:hAnsi="仿宋" w:eastAsia="仿宋" w:cs="仿宋"/>
                <w:b/>
                <w:color w:val="000000" w:themeColor="text1"/>
                <w:sz w:val="24"/>
                <w:highlight w:val="none"/>
                <w14:textFill>
                  <w14:solidFill>
                    <w14:schemeClr w14:val="tx1"/>
                  </w14:solidFill>
                </w14:textFill>
              </w:rPr>
              <w:t>本</w:t>
            </w:r>
            <w:r>
              <w:rPr>
                <w:rFonts w:hint="eastAsia" w:ascii="仿宋" w:hAnsi="仿宋" w:eastAsia="仿宋" w:cs="仿宋"/>
                <w:b/>
                <w:sz w:val="24"/>
                <w:highlight w:val="none"/>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416" w:type="dxa"/>
            <w:gridSpan w:val="3"/>
            <w:vAlign w:val="center"/>
          </w:tcPr>
          <w:p>
            <w:pPr>
              <w:autoSpaceDE w:val="0"/>
              <w:autoSpaceDN w:val="0"/>
              <w:spacing w:line="42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416" w:type="dxa"/>
            <w:gridSpan w:val="3"/>
            <w:vAlign w:val="center"/>
          </w:tcPr>
          <w:p>
            <w:pPr>
              <w:spacing w:line="420" w:lineRule="exact"/>
              <w:rPr>
                <w:rFonts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416" w:type="dxa"/>
            <w:gridSpan w:val="3"/>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ascii="仿宋" w:hAnsi="仿宋" w:eastAsia="仿宋" w:cs="仿宋"/>
                <w:sz w:val="24"/>
                <w:highlight w:val="none"/>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416" w:type="dxa"/>
            <w:gridSpan w:val="3"/>
            <w:vAlign w:val="center"/>
          </w:tcPr>
          <w:p>
            <w:pPr>
              <w:spacing w:line="42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本项目实行网上投标，投标人于“政采云”上提供电子投标文件。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416" w:type="dxa"/>
            <w:gridSpan w:val="3"/>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416" w:type="dxa"/>
            <w:gridSpan w:val="3"/>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416" w:type="dxa"/>
            <w:gridSpan w:val="3"/>
            <w:vAlign w:val="center"/>
          </w:tcPr>
          <w:p>
            <w:pPr>
              <w:spacing w:line="360" w:lineRule="auto"/>
              <w:rPr>
                <w:rFonts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ascii="仿宋_GB2312" w:hAnsi="仿宋" w:eastAsia="仿宋_GB2312" w:cs="Arial"/>
                <w:kern w:val="0"/>
                <w:sz w:val="24"/>
                <w:highlight w:val="none"/>
              </w:rPr>
            </w:pPr>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rPr>
              <w:t>不需要演示。</w:t>
            </w:r>
          </w:p>
          <w:p>
            <w:pPr>
              <w:autoSpaceDE w:val="0"/>
              <w:autoSpaceDN w:val="0"/>
              <w:textAlignment w:val="bottom"/>
              <w:rPr>
                <w:rFonts w:ascii="仿宋_GB2312" w:hAnsi="仿宋" w:eastAsia="仿宋_GB2312" w:cs="Arial"/>
                <w:kern w:val="0"/>
                <w:sz w:val="24"/>
                <w:highlight w:val="none"/>
              </w:rPr>
            </w:pPr>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rPr>
              <w:t>需要演示。</w:t>
            </w:r>
          </w:p>
          <w:p>
            <w:pPr>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rPr>
              <w:t>演示(讲解)：</w:t>
            </w:r>
            <w:r>
              <w:rPr>
                <w:rFonts w:hint="eastAsia" w:ascii="仿宋_GB2312" w:hAnsi="仿宋_GB2312" w:eastAsia="仿宋_GB2312" w:cs="仿宋_GB2312"/>
                <w:sz w:val="24"/>
                <w:highlight w:val="none"/>
                <w:lang w:val="zh-CN"/>
              </w:rPr>
              <w:t>在评标时安排每个投标人进行（远程</w:t>
            </w:r>
            <w:r>
              <w:rPr>
                <w:rFonts w:hint="eastAsia" w:ascii="仿宋_GB2312" w:hAnsi="仿宋_GB2312" w:eastAsia="仿宋_GB2312" w:cs="仿宋_GB2312"/>
                <w:sz w:val="24"/>
                <w:highlight w:val="none"/>
              </w:rPr>
              <w:t>/现场）</w:t>
            </w:r>
            <w:r>
              <w:rPr>
                <w:rFonts w:hint="eastAsia" w:ascii="仿宋_GB2312" w:hAnsi="仿宋_GB2312" w:eastAsia="仿宋_GB2312" w:cs="仿宋_GB2312"/>
                <w:sz w:val="24"/>
                <w:highlight w:val="none"/>
                <w:lang w:val="zh-CN"/>
              </w:rPr>
              <w:t>演示，</w:t>
            </w:r>
            <w:r>
              <w:rPr>
                <w:rFonts w:hint="eastAsia" w:ascii="仿宋_GB2312" w:hAnsi="仿宋_GB2312" w:eastAsia="仿宋_GB2312" w:cs="仿宋_GB2312"/>
                <w:sz w:val="24"/>
                <w:highlight w:val="none"/>
              </w:rPr>
              <w:t>演示</w:t>
            </w:r>
            <w:r>
              <w:rPr>
                <w:rFonts w:hint="eastAsia" w:ascii="仿宋_GB2312" w:hAnsi="仿宋_GB2312" w:eastAsia="仿宋_GB2312" w:cs="仿宋_GB2312"/>
                <w:sz w:val="24"/>
                <w:highlight w:val="none"/>
                <w:lang w:val="zh-CN"/>
              </w:rPr>
              <w:t>后按要求解答评标委员会的提问。</w:t>
            </w:r>
          </w:p>
          <w:p>
            <w:pPr>
              <w:spacing w:line="440" w:lineRule="exact"/>
              <w:rPr>
                <w:rFonts w:ascii="仿宋_GB2312" w:hAnsi="仿宋_GB2312" w:eastAsia="仿宋_GB2312" w:cs="仿宋_GB2312"/>
                <w:sz w:val="24"/>
                <w:highlight w:val="none"/>
              </w:rPr>
            </w:pPr>
            <w:r>
              <w:rPr>
                <w:rFonts w:hint="eastAsia" w:ascii="仿宋_GB2312" w:hAnsi="仿宋_GB2312" w:eastAsia="仿宋_GB2312" w:cs="仿宋_GB2312"/>
                <w:b/>
                <w:bCs/>
                <w:sz w:val="24"/>
                <w:highlight w:val="none"/>
                <w:lang w:val="zh-CN"/>
              </w:rPr>
              <w:t>演示设备：</w:t>
            </w:r>
            <w:r>
              <w:rPr>
                <w:rFonts w:hint="eastAsia" w:ascii="仿宋_GB2312" w:hAnsi="仿宋_GB2312" w:eastAsia="仿宋_GB2312" w:cs="仿宋_GB2312"/>
                <w:sz w:val="24"/>
                <w:highlight w:val="none"/>
              </w:rPr>
              <w:t>演示所需设备由投标人自行准备。</w:t>
            </w:r>
          </w:p>
          <w:p>
            <w:pPr>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演示时间：</w:t>
            </w:r>
            <w:r>
              <w:rPr>
                <w:rFonts w:hint="eastAsia" w:ascii="仿宋_GB2312" w:hAnsi="仿宋_GB2312" w:eastAsia="仿宋_GB2312" w:cs="仿宋_GB2312"/>
                <w:sz w:val="24"/>
                <w:highlight w:val="none"/>
                <w:lang w:val="zh-CN"/>
              </w:rPr>
              <w:t>每个投标人演示开始前的调试准备时间不超过15分钟，演示时间不超过15分钟，</w:t>
            </w:r>
            <w:r>
              <w:rPr>
                <w:rFonts w:hint="eastAsia" w:ascii="仿宋_GB2312" w:hAnsi="仿宋_GB2312" w:eastAsia="仿宋_GB2312" w:cs="仿宋_GB2312"/>
                <w:sz w:val="24"/>
                <w:highlight w:val="none"/>
              </w:rPr>
              <w:t>不包含评委提问解答时间。</w:t>
            </w:r>
          </w:p>
          <w:p>
            <w:pPr>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演示次序：</w:t>
            </w:r>
            <w:r>
              <w:rPr>
                <w:rFonts w:hint="eastAsia" w:ascii="仿宋_GB2312" w:hAnsi="仿宋_GB2312" w:eastAsia="仿宋_GB2312" w:cs="仿宋_GB2312"/>
                <w:sz w:val="24"/>
                <w:highlight w:val="none"/>
                <w:lang w:val="zh-CN"/>
              </w:rPr>
              <w:t>以政采云平台中</w:t>
            </w:r>
            <w:r>
              <w:rPr>
                <w:rFonts w:hint="eastAsia" w:ascii="仿宋_GB2312" w:hAnsi="仿宋_GB2312" w:eastAsia="仿宋_GB2312" w:cs="仿宋_GB2312"/>
                <w:sz w:val="24"/>
                <w:highlight w:val="none"/>
              </w:rPr>
              <w:t>投标</w:t>
            </w:r>
            <w:r>
              <w:rPr>
                <w:rFonts w:hint="eastAsia" w:ascii="仿宋_GB2312" w:hAnsi="仿宋_GB2312" w:eastAsia="仿宋_GB2312" w:cs="仿宋_GB2312"/>
                <w:sz w:val="24"/>
                <w:highlight w:val="none"/>
                <w:lang w:val="zh-CN"/>
              </w:rPr>
              <w:t>文件解密时间的先后顺序为准。</w:t>
            </w:r>
          </w:p>
          <w:p>
            <w:pPr>
              <w:spacing w:line="440" w:lineRule="exact"/>
              <w:ind w:firstLine="480" w:firstLineChars="200"/>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单一</w:t>
            </w:r>
            <w:r>
              <w:rPr>
                <w:rFonts w:hint="eastAsia" w:ascii="仿宋_GB2312" w:hAnsi="仿宋_GB2312" w:eastAsia="仿宋_GB2312" w:cs="仿宋_GB2312"/>
                <w:sz w:val="24"/>
                <w:highlight w:val="none"/>
              </w:rPr>
              <w:t>投标人</w:t>
            </w:r>
            <w:r>
              <w:rPr>
                <w:rFonts w:hint="eastAsia" w:ascii="仿宋_GB2312" w:hAnsi="仿宋_GB2312" w:eastAsia="仿宋_GB2312" w:cs="仿宋_GB2312"/>
                <w:sz w:val="24"/>
                <w:highlight w:val="none"/>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highlight w:val="none"/>
              </w:rPr>
              <w:t>投标人</w:t>
            </w:r>
            <w:r>
              <w:rPr>
                <w:rFonts w:hint="eastAsia" w:ascii="仿宋_GB2312" w:hAnsi="仿宋_GB2312" w:eastAsia="仿宋_GB2312" w:cs="仿宋_GB2312"/>
                <w:sz w:val="24"/>
                <w:highlight w:val="none"/>
                <w:lang w:val="zh-CN"/>
              </w:rPr>
              <w:t>进行演示，同时可再给予该</w:t>
            </w:r>
            <w:r>
              <w:rPr>
                <w:rFonts w:hint="eastAsia" w:ascii="仿宋_GB2312" w:hAnsi="仿宋_GB2312" w:eastAsia="仿宋_GB2312" w:cs="仿宋_GB2312"/>
                <w:sz w:val="24"/>
                <w:highlight w:val="none"/>
              </w:rPr>
              <w:t>投标人</w:t>
            </w:r>
            <w:r>
              <w:rPr>
                <w:rFonts w:hint="eastAsia" w:ascii="仿宋_GB2312" w:hAnsi="仿宋_GB2312" w:eastAsia="仿宋_GB2312" w:cs="仿宋_GB2312"/>
                <w:sz w:val="24"/>
                <w:highlight w:val="none"/>
                <w:lang w:val="zh-CN"/>
              </w:rPr>
              <w:t>一次重新演示的机会，但演示顺序排至所有演示</w:t>
            </w:r>
            <w:r>
              <w:rPr>
                <w:rFonts w:hint="eastAsia" w:ascii="仿宋_GB2312" w:hAnsi="仿宋_GB2312" w:eastAsia="仿宋_GB2312" w:cs="仿宋_GB2312"/>
                <w:sz w:val="24"/>
                <w:highlight w:val="none"/>
              </w:rPr>
              <w:t>投标人</w:t>
            </w:r>
            <w:r>
              <w:rPr>
                <w:rFonts w:hint="eastAsia" w:ascii="仿宋_GB2312" w:hAnsi="仿宋_GB2312" w:eastAsia="仿宋_GB2312" w:cs="仿宋_GB2312"/>
                <w:sz w:val="24"/>
                <w:highlight w:val="none"/>
                <w:lang w:val="zh-CN"/>
              </w:rPr>
              <w:t>的最末位，出现同类问题的其他</w:t>
            </w:r>
            <w:r>
              <w:rPr>
                <w:rFonts w:hint="eastAsia" w:ascii="仿宋_GB2312" w:hAnsi="仿宋_GB2312" w:eastAsia="仿宋_GB2312" w:cs="仿宋_GB2312"/>
                <w:sz w:val="24"/>
                <w:highlight w:val="none"/>
              </w:rPr>
              <w:t>投标人</w:t>
            </w:r>
            <w:r>
              <w:rPr>
                <w:rFonts w:hint="eastAsia" w:ascii="仿宋_GB2312" w:hAnsi="仿宋_GB2312" w:eastAsia="仿宋_GB2312" w:cs="仿宋_GB2312"/>
                <w:sz w:val="24"/>
                <w:highlight w:val="none"/>
                <w:lang w:val="zh-CN"/>
              </w:rPr>
              <w:t>亦按此方法处理。</w:t>
            </w:r>
          </w:p>
          <w:p>
            <w:pPr>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演示途径：</w:t>
            </w:r>
            <w:r>
              <w:rPr>
                <w:rFonts w:hint="eastAsia" w:ascii="仿宋_GB2312" w:hAnsi="仿宋_GB2312" w:eastAsia="仿宋_GB2312" w:cs="仿宋_GB2312"/>
                <w:sz w:val="24"/>
                <w:highlight w:val="none"/>
                <w:lang w:val="zh-CN"/>
              </w:rPr>
              <w:t>通过【（</w:t>
            </w: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rPr>
              <w:t>（2）现场自行准备演示设备】</w:t>
            </w:r>
            <w:r>
              <w:rPr>
                <w:rFonts w:hint="eastAsia" w:ascii="仿宋_GB2312" w:hAnsi="仿宋_GB2312" w:eastAsia="仿宋_GB2312" w:cs="仿宋_GB2312"/>
                <w:sz w:val="24"/>
                <w:highlight w:val="none"/>
                <w:lang w:val="zh-CN"/>
              </w:rPr>
              <w:t>进行演示，其中涉及需要安装的软件投标人应在开标前自行下载安装，确保网络、摄像头、麦克风、演示环境等演示所需设备和系统正常稳定，并提前熟悉操作和使用。</w:t>
            </w:r>
          </w:p>
          <w:p>
            <w:pPr>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934" w:type="dxa"/>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2"/>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939" w:type="dxa"/>
            <w:vAlign w:val="center"/>
          </w:tcPr>
          <w:p>
            <w:pPr>
              <w:spacing w:line="360" w:lineRule="auto"/>
              <w:rPr>
                <w:rFonts w:ascii="仿宋_GB2312" w:hAnsi="仿宋_GB2312" w:eastAsia="仿宋_GB2312" w:cs="仿宋_GB2312"/>
                <w:sz w:val="24"/>
                <w:highlight w:val="none"/>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u w:val="singl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b/>
                <w:bCs/>
                <w:sz w:val="24"/>
                <w:highlight w:val="none"/>
                <w:u w:val="single"/>
              </w:rPr>
              <w:t>01标：三重四极杆气相色谱质谱联用仪；02标：顶空双柱气相色谱仪；03标：全自动液液提取前处理设备；04标：傅立叶变换红外光谱仪</w:t>
            </w:r>
            <w:r>
              <w:rPr>
                <w:rFonts w:hint="eastAsia" w:ascii="仿宋_GB2312" w:hAnsi="仿宋" w:eastAsia="仿宋_GB2312"/>
                <w:sz w:val="24"/>
                <w:highlight w:val="none"/>
                <w:u w:val="singl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944" w:type="dxa"/>
            <w:gridSpan w:val="2"/>
            <w:vAlign w:val="center"/>
          </w:tcPr>
          <w:p>
            <w:pPr>
              <w:snapToGrid w:val="0"/>
              <w:spacing w:line="440" w:lineRule="exact"/>
              <w:rPr>
                <w:rFonts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pStyle w:val="2"/>
              <w:rPr>
                <w:rFonts w:ascii="仿宋_GB2312" w:hAnsi="仿宋" w:eastAsia="仿宋_GB2312" w:cs="Arial"/>
                <w:highlight w:val="none"/>
              </w:rPr>
            </w:pPr>
            <w:r>
              <w:rPr>
                <w:rFonts w:hint="eastAsia" w:ascii="仿宋_GB2312" w:hAnsi="仿宋" w:eastAsia="仿宋_GB2312" w:cs="Arial"/>
                <w:highlight w:val="none"/>
              </w:rPr>
              <w:t>（1）01标标的，属于</w:t>
            </w:r>
            <w:r>
              <w:rPr>
                <w:rFonts w:hint="eastAsia" w:ascii="仿宋_GB2312" w:hAnsi="仿宋" w:eastAsia="仿宋_GB2312" w:cs="Arial"/>
                <w:highlight w:val="none"/>
                <w:u w:val="single"/>
              </w:rPr>
              <w:t xml:space="preserve">    </w:t>
            </w:r>
            <w:r>
              <w:rPr>
                <w:rFonts w:hint="eastAsia" w:ascii="仿宋_GB2312" w:hAnsi="仿宋" w:eastAsia="仿宋_GB2312" w:cs="Arial"/>
                <w:b/>
                <w:bCs/>
                <w:highlight w:val="none"/>
                <w:u w:val="single"/>
              </w:rPr>
              <w:t>批发业</w:t>
            </w:r>
            <w:r>
              <w:rPr>
                <w:rFonts w:hint="eastAsia" w:ascii="仿宋_GB2312" w:hAnsi="仿宋" w:eastAsia="仿宋_GB2312" w:cs="Arial"/>
                <w:highlight w:val="none"/>
                <w:u w:val="single"/>
              </w:rPr>
              <w:t xml:space="preserve">    </w:t>
            </w:r>
            <w:r>
              <w:rPr>
                <w:rFonts w:hint="eastAsia" w:ascii="仿宋_GB2312" w:hAnsi="仿宋" w:eastAsia="仿宋_GB2312" w:cs="Arial"/>
                <w:highlight w:val="none"/>
              </w:rPr>
              <w:t>。</w:t>
            </w:r>
          </w:p>
          <w:p>
            <w:pPr>
              <w:pStyle w:val="2"/>
              <w:rPr>
                <w:rFonts w:ascii="仿宋_GB2312" w:hAnsi="仿宋" w:eastAsia="仿宋_GB2312" w:cs="Arial"/>
                <w:highlight w:val="none"/>
              </w:rPr>
            </w:pPr>
            <w:r>
              <w:rPr>
                <w:rFonts w:hint="eastAsia" w:ascii="仿宋_GB2312" w:hAnsi="仿宋" w:eastAsia="仿宋_GB2312" w:cs="Arial"/>
                <w:highlight w:val="none"/>
              </w:rPr>
              <w:t>（2）02标标的，属于</w:t>
            </w:r>
            <w:r>
              <w:rPr>
                <w:rFonts w:hint="eastAsia" w:ascii="仿宋_GB2312" w:hAnsi="仿宋" w:eastAsia="仿宋_GB2312" w:cs="Arial"/>
                <w:highlight w:val="none"/>
                <w:u w:val="single"/>
              </w:rPr>
              <w:t xml:space="preserve">    </w:t>
            </w:r>
            <w:r>
              <w:rPr>
                <w:rFonts w:hint="eastAsia" w:ascii="仿宋_GB2312" w:hAnsi="仿宋" w:eastAsia="仿宋_GB2312" w:cs="Arial"/>
                <w:b/>
                <w:bCs/>
                <w:highlight w:val="none"/>
                <w:u w:val="single"/>
              </w:rPr>
              <w:t>批发业</w:t>
            </w:r>
            <w:r>
              <w:rPr>
                <w:rFonts w:hint="eastAsia" w:ascii="仿宋_GB2312" w:hAnsi="仿宋" w:eastAsia="仿宋_GB2312" w:cs="Arial"/>
                <w:highlight w:val="none"/>
                <w:u w:val="single"/>
              </w:rPr>
              <w:t xml:space="preserve">    </w:t>
            </w:r>
            <w:r>
              <w:rPr>
                <w:rFonts w:hint="eastAsia" w:ascii="仿宋_GB2312" w:hAnsi="仿宋" w:eastAsia="仿宋_GB2312" w:cs="Arial"/>
                <w:highlight w:val="none"/>
              </w:rPr>
              <w:t>。</w:t>
            </w:r>
          </w:p>
          <w:p>
            <w:pPr>
              <w:pStyle w:val="2"/>
              <w:rPr>
                <w:rFonts w:ascii="仿宋_GB2312" w:hAnsi="仿宋" w:eastAsia="仿宋_GB2312" w:cs="Arial"/>
                <w:highlight w:val="none"/>
              </w:rPr>
            </w:pPr>
            <w:r>
              <w:rPr>
                <w:rFonts w:hint="eastAsia" w:ascii="仿宋_GB2312" w:hAnsi="仿宋" w:eastAsia="仿宋_GB2312" w:cs="Arial"/>
                <w:highlight w:val="none"/>
              </w:rPr>
              <w:t>（3）03标标的，属于</w:t>
            </w:r>
            <w:r>
              <w:rPr>
                <w:rFonts w:hint="eastAsia" w:ascii="仿宋_GB2312" w:hAnsi="仿宋" w:eastAsia="仿宋_GB2312" w:cs="Arial"/>
                <w:highlight w:val="none"/>
                <w:u w:val="single"/>
              </w:rPr>
              <w:t xml:space="preserve">    </w:t>
            </w:r>
            <w:r>
              <w:rPr>
                <w:rFonts w:hint="eastAsia" w:ascii="仿宋_GB2312" w:hAnsi="仿宋" w:eastAsia="仿宋_GB2312" w:cs="Arial"/>
                <w:b/>
                <w:bCs/>
                <w:highlight w:val="none"/>
                <w:u w:val="single"/>
              </w:rPr>
              <w:t>批发业</w:t>
            </w:r>
            <w:r>
              <w:rPr>
                <w:rFonts w:hint="eastAsia" w:ascii="仿宋_GB2312" w:hAnsi="仿宋" w:eastAsia="仿宋_GB2312" w:cs="Arial"/>
                <w:highlight w:val="none"/>
                <w:u w:val="single"/>
              </w:rPr>
              <w:t xml:space="preserve">    </w:t>
            </w:r>
            <w:r>
              <w:rPr>
                <w:rFonts w:hint="eastAsia" w:ascii="仿宋_GB2312" w:hAnsi="仿宋" w:eastAsia="仿宋_GB2312" w:cs="Arial"/>
                <w:highlight w:val="none"/>
              </w:rPr>
              <w:t>。</w:t>
            </w:r>
          </w:p>
          <w:p>
            <w:pPr>
              <w:pStyle w:val="2"/>
              <w:rPr>
                <w:rFonts w:ascii="仿宋_GB2312" w:hAnsi="仿宋" w:eastAsia="仿宋_GB2312" w:cs="Arial"/>
                <w:highlight w:val="none"/>
              </w:rPr>
            </w:pPr>
            <w:r>
              <w:rPr>
                <w:rFonts w:hint="eastAsia" w:ascii="仿宋_GB2312" w:hAnsi="仿宋" w:eastAsia="仿宋_GB2312" w:cs="Arial"/>
                <w:highlight w:val="none"/>
              </w:rPr>
              <w:t>（4）04标标的，属于</w:t>
            </w:r>
            <w:r>
              <w:rPr>
                <w:rFonts w:hint="eastAsia" w:ascii="仿宋_GB2312" w:hAnsi="仿宋" w:eastAsia="仿宋_GB2312" w:cs="Arial"/>
                <w:highlight w:val="none"/>
                <w:u w:val="single"/>
              </w:rPr>
              <w:t xml:space="preserve">    </w:t>
            </w:r>
            <w:r>
              <w:rPr>
                <w:rFonts w:hint="eastAsia" w:ascii="仿宋_GB2312" w:hAnsi="仿宋" w:eastAsia="仿宋_GB2312" w:cs="Arial"/>
                <w:b/>
                <w:bCs/>
                <w:highlight w:val="none"/>
                <w:u w:val="single"/>
              </w:rPr>
              <w:t>批发业</w:t>
            </w:r>
            <w:r>
              <w:rPr>
                <w:rFonts w:hint="eastAsia" w:ascii="仿宋_GB2312" w:hAnsi="仿宋" w:eastAsia="仿宋_GB2312" w:cs="Arial"/>
                <w:highlight w:val="none"/>
                <w:u w:val="single"/>
              </w:rPr>
              <w:t xml:space="preserve">    </w:t>
            </w:r>
            <w:r>
              <w:rPr>
                <w:rFonts w:hint="eastAsia" w:ascii="仿宋_GB2312" w:hAnsi="仿宋" w:eastAsia="仿宋_GB2312" w:cs="Arial"/>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w:t>
            </w:r>
          </w:p>
        </w:tc>
        <w:tc>
          <w:tcPr>
            <w:tcW w:w="934" w:type="dxa"/>
            <w:vMerge w:val="restart"/>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482" w:type="dxa"/>
            <w:gridSpan w:val="2"/>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highlight w:val="none"/>
              </w:rPr>
            </w:pPr>
          </w:p>
        </w:tc>
        <w:tc>
          <w:tcPr>
            <w:tcW w:w="934" w:type="dxa"/>
            <w:vMerge w:val="continue"/>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24" w:type="dxa"/>
            <w:vMerge w:val="continue"/>
            <w:vAlign w:val="center"/>
          </w:tcPr>
          <w:p>
            <w:pPr>
              <w:spacing w:line="440" w:lineRule="exact"/>
              <w:jc w:val="center"/>
              <w:rPr>
                <w:rFonts w:ascii="仿宋" w:hAnsi="仿宋" w:eastAsia="仿宋" w:cs="仿宋"/>
                <w:sz w:val="24"/>
                <w:highlight w:val="none"/>
              </w:rPr>
            </w:pPr>
          </w:p>
        </w:tc>
        <w:tc>
          <w:tcPr>
            <w:tcW w:w="934" w:type="dxa"/>
            <w:vMerge w:val="continue"/>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highlight w:val="none"/>
              </w:rPr>
            </w:pPr>
          </w:p>
        </w:tc>
        <w:tc>
          <w:tcPr>
            <w:tcW w:w="934" w:type="dxa"/>
            <w:vMerge w:val="continue"/>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416" w:type="dxa"/>
            <w:gridSpan w:val="3"/>
            <w:vAlign w:val="center"/>
          </w:tcPr>
          <w:p>
            <w:pPr>
              <w:snapToGrid w:val="0"/>
              <w:spacing w:line="2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24" w:type="dxa"/>
            <w:vAlign w:val="center"/>
          </w:tcPr>
          <w:p>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416" w:type="dxa"/>
            <w:gridSpan w:val="3"/>
            <w:vAlign w:val="center"/>
          </w:tcPr>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416" w:type="dxa"/>
            <w:gridSpan w:val="3"/>
            <w:vAlign w:val="center"/>
          </w:tcPr>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17</w:t>
            </w:r>
          </w:p>
        </w:tc>
        <w:tc>
          <w:tcPr>
            <w:tcW w:w="8416" w:type="dxa"/>
            <w:gridSpan w:val="3"/>
            <w:vAlign w:val="center"/>
          </w:tcPr>
          <w:p>
            <w:pPr>
              <w:snapToGrid w:val="0"/>
              <w:spacing w:line="400" w:lineRule="exac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投标与开标注意事项：</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1、本项目实行网上投标，采用电子投标文件。若投标人参与投标，自行承担投标一切费用。</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2、标前准备：各投标人应在开标前应确保成为浙江省政府采购网正式注册入库投标人，并完成CA数字证书办理。因未注册入库、未办理CA数字证书等原因造成无法投标或投标失败等后果由投标人自行承担。</w:t>
            </w:r>
          </w:p>
          <w:p>
            <w:pPr>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投标人先要申领CA，取得CA后需要在政采云平台进行绑定，CA相关操作可参考《CA申领操作指南》和《CA管理操作指南》。完成CA数字证书办理在资料齐全的情况下预计7个工作日左右，建议投标人获取招标文件后立即办理。</w:t>
            </w:r>
          </w:p>
          <w:p>
            <w:pPr>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《CA申领操作指南》：https://help.zcygov.cn/web/site_2/2018/11-29/2452.html</w:t>
            </w:r>
          </w:p>
          <w:p>
            <w:pPr>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《CA管理操作指南》：https://help.zcygov.cn/web/site_2/2019/08-20/3405.html</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《CA驱动和申领流程》:</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http://zfcg.czt.zj.gov.cn//bidClientTemplate/2019-05-27/12945.html</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3.1应按照本项目招标文件和政采云平台的要求编制、加密传输投标文件。投标人在使用系统进行投标的过程中遇到涉及平台使用的任何问题，可致电政采云平台技术支持热线咨询，联系方式：400-881-7190。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3.2投标人通过“政采云”平台制作电子投标文件，投标文件制作详见“投标人-政府采购项目电子交易操作指南：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49"/>
                <w:rFonts w:hint="eastAsia" w:ascii="仿宋" w:hAnsi="仿宋" w:eastAsia="仿宋" w:cs="仿宋"/>
                <w:color w:val="000000" w:themeColor="text1"/>
                <w:sz w:val="24"/>
                <w:highlight w:val="none"/>
                <w14:textFill>
                  <w14:solidFill>
                    <w14:schemeClr w14:val="tx1"/>
                  </w14:solidFill>
                </w14:textFill>
              </w:rPr>
              <w:t>https://help.zcygov.cn/web/site_2/2018/12-28/2573.html</w:t>
            </w:r>
            <w:r>
              <w:rPr>
                <w:rStyle w:val="49"/>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w:t>
            </w:r>
            <w:r>
              <w:rPr>
                <w:rFonts w:hint="eastAsia" w:ascii="仿宋" w:hAnsi="仿宋" w:eastAsia="仿宋" w:cs="仿宋"/>
                <w:b/>
                <w:bCs/>
                <w:color w:val="000000" w:themeColor="text1"/>
                <w:sz w:val="24"/>
                <w:highlight w:val="none"/>
                <w14:textFill>
                  <w14:solidFill>
                    <w14:schemeClr w14:val="tx1"/>
                  </w14:solidFill>
                </w14:textFill>
              </w:rPr>
              <w:t>30分钟</w:t>
            </w:r>
            <w:r>
              <w:rPr>
                <w:rFonts w:hint="eastAsia" w:ascii="仿宋" w:hAnsi="仿宋" w:eastAsia="仿宋" w:cs="仿宋"/>
                <w:color w:val="000000" w:themeColor="text1"/>
                <w:sz w:val="24"/>
                <w:highlight w:val="none"/>
                <w14:textFill>
                  <w14:solidFill>
                    <w14:schemeClr w14:val="tx1"/>
                  </w14:solidFill>
                </w14:textFill>
              </w:rPr>
              <w:t>内投标人可以登录“政采云”平台，用“项目采购-开标评标”功能进行解密投标文件。若投标人</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416" w:type="dxa"/>
            <w:gridSpan w:val="3"/>
            <w:vAlign w:val="center"/>
          </w:tcPr>
          <w:p>
            <w:pPr>
              <w:spacing w:line="420" w:lineRule="exact"/>
              <w:rPr>
                <w:rFonts w:ascii="仿宋" w:hAnsi="仿宋" w:eastAsia="仿宋" w:cs="仿宋"/>
                <w:sz w:val="24"/>
                <w:highlight w:val="none"/>
              </w:rPr>
            </w:pPr>
            <w:r>
              <w:rPr>
                <w:rFonts w:hint="eastAsia" w:ascii="仿宋" w:hAnsi="仿宋" w:eastAsia="仿宋" w:cs="仿宋"/>
                <w:b/>
                <w:bCs/>
                <w:sz w:val="24"/>
                <w:highlight w:val="none"/>
              </w:rPr>
              <w:t>中标投标人须向采购代理机构按如下标准和规定交纳中标服务费：</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①中标服务费：以中标通知书中确定的中标总金额作为服务费的计算基数，具体比例参照《国家计委关于印发&lt;招标代理服务收费管理暂行办法&gt;的通知》（计价格[2002]1980号）文件收费标准</w:t>
            </w:r>
            <w:r>
              <w:rPr>
                <w:rFonts w:hint="eastAsia" w:ascii="仿宋" w:hAnsi="仿宋" w:eastAsia="仿宋" w:cs="仿宋"/>
                <w:sz w:val="24"/>
                <w:highlight w:val="none"/>
                <w:u w:val="single"/>
              </w:rPr>
              <w:t xml:space="preserve"> 50 </w:t>
            </w:r>
            <w:r>
              <w:rPr>
                <w:rFonts w:hint="eastAsia" w:ascii="仿宋" w:hAnsi="仿宋" w:eastAsia="仿宋" w:cs="仿宋"/>
                <w:sz w:val="24"/>
                <w:highlight w:val="none"/>
              </w:rPr>
              <w:t>%执行。</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p>
            <w:pPr>
              <w:spacing w:line="420" w:lineRule="exact"/>
              <w:ind w:firstLine="480"/>
              <w:rPr>
                <w:rFonts w:ascii="仿宋" w:hAnsi="仿宋" w:eastAsia="仿宋" w:cs="仿宋"/>
                <w:sz w:val="24"/>
                <w:highlight w:val="none"/>
              </w:rPr>
            </w:pPr>
            <w:r>
              <w:rPr>
                <w:rFonts w:hint="eastAsia" w:ascii="仿宋" w:hAnsi="仿宋" w:eastAsia="仿宋" w:cs="仿宋"/>
                <w:sz w:val="24"/>
                <w:highlight w:val="none"/>
              </w:rPr>
              <w:t>④本项目招标评审过程中与之所产生的交通费、住宿费、餐费等相关各类费用由中标单位支付。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2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20" w:lineRule="exact"/>
              <w:rPr>
                <w:rFonts w:ascii="仿宋" w:hAnsi="仿宋" w:eastAsia="仿宋" w:cs="仿宋"/>
                <w:b/>
                <w:sz w:val="24"/>
                <w:highlight w:val="none"/>
              </w:rPr>
            </w:pPr>
            <w:r>
              <w:rPr>
                <w:rFonts w:hint="eastAsia" w:ascii="仿宋" w:hAnsi="仿宋" w:eastAsia="仿宋" w:cs="仿宋"/>
                <w:b/>
                <w:sz w:val="24"/>
                <w:highlight w:val="none"/>
              </w:rPr>
              <w:t>注：成交候选中标人放弃中标资格或因质疑、投诉被取消中标资格或不能履行合同的，本项目重新组织采购活动。</w:t>
            </w:r>
          </w:p>
        </w:tc>
      </w:tr>
      <w:bookmarkEnd w:id="0"/>
    </w:tbl>
    <w:p>
      <w:pPr>
        <w:pageBreakBefore/>
        <w:snapToGrid w:val="0"/>
        <w:spacing w:line="30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政府采购当事人及监管部门：绍兴市公安局为本项目的采购人（合同中的甲方），绍兴市嘉华项目管理有限公司为采购代理机构，响应招标、参加投标竞争的法人、其他组织或者自然人为投标人，经投标评审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的投标人为中标候选人，经公告无异议，并签订合同后的中标人为投标人（合同中的乙方），绍兴市财政局为政府采购监督管理部门。</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2.4“项目”系指投标人按招标文件规定向采购人提供的产品和服务。</w:t>
      </w:r>
    </w:p>
    <w:p>
      <w:pPr>
        <w:snapToGrid w:val="0"/>
        <w:spacing w:line="440" w:lineRule="exact"/>
        <w:jc w:val="left"/>
        <w:rPr>
          <w:rFonts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440" w:lineRule="exact"/>
        <w:rPr>
          <w:rFonts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投标人提供的货物既有中小企业制造货物，也有大型企业制造货物的，不享受中小企业扶持政策。</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sz w:val="24"/>
          <w:highlight w:val="none"/>
        </w:rPr>
        <w:t>按最高优惠幅度（货物和服务项目为10%、工程项目为5%）</w:t>
      </w:r>
      <w:r>
        <w:rPr>
          <w:rFonts w:hint="eastAsia" w:ascii="仿宋" w:hAnsi="仿宋" w:eastAsia="仿宋" w:cs="仿宋"/>
          <w:bCs/>
          <w:sz w:val="24"/>
          <w:highlight w:val="none"/>
        </w:rPr>
        <w:t>给予扣除，用扣除后的价格参加评审。</w:t>
      </w:r>
    </w:p>
    <w:p>
      <w:pPr>
        <w:spacing w:line="440" w:lineRule="exact"/>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sz w:val="24"/>
          <w:highlight w:val="none"/>
        </w:rPr>
        <w:t>按最高优惠幅度（货物和服务项目为3%、工程项目为2%）</w:t>
      </w:r>
      <w:r>
        <w:rPr>
          <w:rFonts w:hint="eastAsia" w:ascii="仿宋" w:hAnsi="仿宋" w:eastAsia="仿宋" w:cs="仿宋"/>
          <w:bCs/>
          <w:sz w:val="24"/>
          <w:highlight w:val="none"/>
        </w:rPr>
        <w:t>给予</w:t>
      </w:r>
      <w:r>
        <w:rPr>
          <w:rFonts w:hint="eastAsia" w:ascii="仿宋" w:hAnsi="仿宋" w:eastAsia="仿宋" w:cs="仿宋"/>
          <w:sz w:val="24"/>
          <w:highlight w:val="none"/>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3.4支持创新发展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pPr>
        <w:spacing w:line="440" w:lineRule="exact"/>
        <w:rPr>
          <w:rFonts w:ascii="仿宋" w:hAnsi="仿宋" w:eastAsia="仿宋" w:cs="仿宋"/>
          <w:sz w:val="24"/>
          <w:highlight w:val="none"/>
        </w:rPr>
      </w:pPr>
      <w:r>
        <w:rPr>
          <w:rFonts w:hint="eastAsia" w:ascii="仿宋" w:hAnsi="仿宋" w:eastAsia="仿宋" w:cs="仿宋"/>
          <w:b/>
          <w:bCs/>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ascii="仿宋" w:hAnsi="仿宋" w:eastAsia="仿宋" w:cs="仿宋"/>
          <w:sz w:val="24"/>
          <w:highlight w:val="none"/>
        </w:rPr>
      </w:pPr>
      <w:r>
        <w:rPr>
          <w:rFonts w:hint="eastAsia" w:ascii="仿宋" w:hAnsi="仿宋" w:eastAsia="仿宋" w:cs="仿宋"/>
          <w:sz w:val="24"/>
          <w:highlight w:val="none"/>
        </w:rPr>
        <w:t>4.1投标人投标所使用的资格、信誉、荣誉、业绩与企业认证必须为投标单位所拥有。投标人投标所使用的采购项目实施人员必须为投标单位正式员工。</w:t>
      </w:r>
    </w:p>
    <w:p>
      <w:pPr>
        <w:spacing w:line="440" w:lineRule="exact"/>
        <w:rPr>
          <w:rFonts w:ascii="仿宋" w:hAnsi="仿宋" w:eastAsia="仿宋" w:cs="仿宋"/>
          <w:sz w:val="24"/>
          <w:highlight w:val="none"/>
        </w:rPr>
      </w:pPr>
      <w:r>
        <w:rPr>
          <w:rFonts w:hint="eastAsia" w:ascii="仿宋" w:hAnsi="仿宋" w:eastAsia="仿宋" w:cs="仿宋"/>
          <w:sz w:val="24"/>
          <w:highlight w:val="none"/>
        </w:rPr>
        <w:t>4.2投标人应仔细阅读招标文件的所有内容，按照招标文件的要求提交投标文件，并对所提供的全部资料的真实性承担法律责任。</w:t>
      </w:r>
    </w:p>
    <w:p>
      <w:pPr>
        <w:spacing w:line="440" w:lineRule="exact"/>
        <w:rPr>
          <w:rFonts w:ascii="仿宋" w:hAnsi="仿宋" w:eastAsia="仿宋" w:cs="仿宋"/>
          <w:sz w:val="24"/>
          <w:highlight w:val="none"/>
        </w:rPr>
      </w:pPr>
      <w:r>
        <w:rPr>
          <w:rFonts w:hint="eastAsia" w:ascii="仿宋" w:hAnsi="仿宋" w:eastAsia="仿宋" w:cs="仿宋"/>
          <w:sz w:val="24"/>
          <w:highlight w:val="none"/>
        </w:rPr>
        <w:t>4.3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snapToGrid w:val="0"/>
        <w:spacing w:beforeLines="50" w:afterLines="50"/>
        <w:jc w:val="center"/>
        <w:rPr>
          <w:rFonts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highlight w:val="none"/>
        </w:rPr>
        <w:t>本项目为电子投标项目，</w:t>
      </w:r>
      <w:r>
        <w:rPr>
          <w:rFonts w:hint="eastAsia" w:ascii="仿宋" w:hAnsi="仿宋" w:eastAsia="仿宋" w:cs="仿宋"/>
          <w:b/>
          <w:bCs/>
          <w:highlight w:val="none"/>
        </w:rPr>
        <w:t>本项目采用不见面开标方式：</w:t>
      </w:r>
      <w:r>
        <w:rPr>
          <w:rFonts w:hint="eastAsia" w:ascii="仿宋" w:hAnsi="仿宋" w:eastAsia="仿宋" w:cs="仿宋"/>
          <w:highlight w:val="none"/>
        </w:rPr>
        <w:t>投标人的法定代表人或其授权代表或个体工商户</w:t>
      </w:r>
      <w:r>
        <w:rPr>
          <w:rFonts w:hint="eastAsia" w:ascii="仿宋" w:hAnsi="仿宋" w:eastAsia="仿宋" w:cs="仿宋"/>
          <w:b/>
          <w:bCs/>
          <w:highlight w:val="none"/>
        </w:rPr>
        <w:t>不需要</w:t>
      </w:r>
      <w:r>
        <w:rPr>
          <w:rFonts w:hint="eastAsia" w:ascii="仿宋" w:hAnsi="仿宋" w:eastAsia="仿宋" w:cs="仿宋"/>
          <w:highlight w:val="none"/>
        </w:rPr>
        <w:t>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highlight w:val="none"/>
        </w:rPr>
        <w:t>投标人应自行承担编制投标文件及参加本次投标所涉及的一切费用。不管投标结果如何，</w:t>
      </w:r>
      <w:r>
        <w:rPr>
          <w:rFonts w:hint="eastAsia" w:ascii="仿宋" w:hAnsi="仿宋" w:eastAsia="仿宋" w:cs="仿宋"/>
          <w:color w:val="000000" w:themeColor="text1"/>
          <w:highlight w:val="none"/>
          <w14:textFill>
            <w14:solidFill>
              <w14:schemeClr w14:val="tx1"/>
            </w14:solidFill>
          </w14:textFill>
        </w:rPr>
        <w:t>招标人、采购代理机构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中标人须向招标代理机构交纳代理服务费及招标评审过程中与之所产生的各类费用，具体详见投标须知前附表。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cs="仿宋"/>
          <w:highlight w:val="none"/>
        </w:rPr>
      </w:pPr>
      <w:r>
        <w:rPr>
          <w:rFonts w:hint="eastAsia" w:ascii="仿宋_GB2312" w:hAnsi="宋体" w:eastAsia="仿宋_GB2312"/>
          <w:highlight w:val="none"/>
        </w:rPr>
        <w:t>投标人</w:t>
      </w:r>
      <w:r>
        <w:rPr>
          <w:rFonts w:hint="eastAsia" w:ascii="仿宋" w:hAnsi="仿宋" w:eastAsia="仿宋" w:cs="仿宋"/>
          <w:highlight w:val="none"/>
        </w:rPr>
        <w:t>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w:t>
      </w:r>
      <w:r>
        <w:rPr>
          <w:rFonts w:hint="eastAsia" w:ascii="仿宋_GB2312" w:hAnsi="宋体" w:eastAsia="仿宋_GB2312"/>
          <w:highlight w:val="none"/>
        </w:rPr>
        <w:t>投标人</w:t>
      </w:r>
      <w:r>
        <w:rPr>
          <w:rFonts w:hint="eastAsia" w:ascii="仿宋" w:hAnsi="仿宋" w:eastAsia="仿宋" w:cs="仿宋"/>
          <w:highlight w:val="none"/>
        </w:rPr>
        <w:t>。</w:t>
      </w:r>
    </w:p>
    <w:p>
      <w:pPr>
        <w:pStyle w:val="14"/>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w:t>
      </w:r>
      <w:r>
        <w:rPr>
          <w:rFonts w:hint="eastAsia" w:ascii="仿宋_GB2312" w:hAnsi="宋体" w:eastAsia="仿宋_GB2312"/>
          <w:highlight w:val="none"/>
        </w:rPr>
        <w:t>投标人</w:t>
      </w:r>
      <w:r>
        <w:rPr>
          <w:rFonts w:hint="eastAsia" w:ascii="仿宋" w:hAnsi="仿宋" w:eastAsia="仿宋" w:cs="仿宋"/>
          <w:highlight w:val="none"/>
        </w:rPr>
        <w:t>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4.3.2为使</w:t>
      </w:r>
      <w:r>
        <w:rPr>
          <w:rFonts w:hint="eastAsia" w:ascii="仿宋_GB2312" w:hAnsi="宋体" w:eastAsia="仿宋_GB2312"/>
          <w:sz w:val="24"/>
          <w:highlight w:val="none"/>
        </w:rPr>
        <w:t>投标人</w:t>
      </w:r>
      <w:r>
        <w:rPr>
          <w:rFonts w:hint="eastAsia" w:ascii="仿宋" w:hAnsi="仿宋" w:eastAsia="仿宋" w:cs="仿宋"/>
          <w:sz w:val="24"/>
          <w:highlight w:val="none"/>
        </w:rPr>
        <w:t>有足够的时间按修改文件要求修正投标文件，招标人可酌情推迟投标截止时间和开标时间，并将此变更通知投标人。在这种情况下，招标人与</w:t>
      </w:r>
      <w:r>
        <w:rPr>
          <w:rFonts w:hint="eastAsia" w:ascii="仿宋_GB2312" w:hAnsi="宋体" w:eastAsia="仿宋_GB2312"/>
          <w:sz w:val="24"/>
          <w:highlight w:val="none"/>
        </w:rPr>
        <w:t>投标人</w:t>
      </w:r>
      <w:r>
        <w:rPr>
          <w:rFonts w:hint="eastAsia" w:ascii="仿宋" w:hAnsi="仿宋" w:eastAsia="仿宋" w:cs="仿宋"/>
          <w:sz w:val="24"/>
          <w:highlight w:val="none"/>
        </w:rPr>
        <w:t>以前在投标截止期方面的全部权力、责任和义务，将适用于延长后新的投标截止期。</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5"/>
        </w:num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1.5.1投标文件为电子投标文件，电子投标文件按“政采云投标人项目采购-电子招投标操作指南”及本招标文件要求制作、加密传输。</w:t>
      </w:r>
    </w:p>
    <w:p>
      <w:pPr>
        <w:snapToGrid w:val="0"/>
        <w:spacing w:line="440" w:lineRule="exact"/>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投标文件由“报价文件资料”、“商务技术（资信）文件资料”两部分文件组成，其中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4"/>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2.1.3中小企业声明函（如有，格式见第六部分附件）；</w:t>
      </w:r>
    </w:p>
    <w:p>
      <w:pPr>
        <w:pStyle w:val="24"/>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rPr>
        <w:t>若需要参加现场投标和开标，个体工商户不需要提供授权委托书，但经营者必须本人参加开标会议</w:t>
      </w:r>
      <w:r>
        <w:rPr>
          <w:rFonts w:hint="eastAsia" w:ascii="仿宋" w:hAnsi="仿宋" w:eastAsia="仿宋" w:cs="仿宋"/>
          <w:sz w:val="24"/>
          <w:highlight w:val="none"/>
        </w:rPr>
        <w:t>，格式见第六部分附件)；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2.2.4 企业法人营业执照副本复印件（加盖单位公章）；</w:t>
      </w:r>
    </w:p>
    <w:p>
      <w:pPr>
        <w:snapToGrid w:val="0"/>
        <w:spacing w:line="440" w:lineRule="exact"/>
        <w:rPr>
          <w:rFonts w:ascii="仿宋" w:hAnsi="仿宋" w:eastAsia="仿宋" w:cs="仿宋"/>
          <w:kern w:val="0"/>
          <w:sz w:val="24"/>
          <w:highlight w:val="none"/>
        </w:rPr>
      </w:pPr>
      <w:r>
        <w:rPr>
          <w:rFonts w:hint="eastAsia" w:ascii="仿宋" w:hAnsi="仿宋" w:eastAsia="仿宋" w:cs="仿宋"/>
          <w:sz w:val="24"/>
          <w:highlight w:val="none"/>
        </w:rPr>
        <w:t>2.2.5相关资质证明或文件复印件（均需加盖公章）：</w:t>
      </w:r>
      <w:r>
        <w:rPr>
          <w:rFonts w:hint="eastAsia" w:ascii="仿宋" w:hAnsi="仿宋" w:eastAsia="仿宋" w:cs="仿宋"/>
          <w:kern w:val="0"/>
          <w:sz w:val="24"/>
          <w:highlight w:val="none"/>
        </w:rPr>
        <w:t>证明其符合《中华人民共和国政府采购法》规定的投标人基本条件和采购项目对投标人的特定要求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23"/>
        <w:spacing w:line="440" w:lineRule="exact"/>
        <w:ind w:firstLine="480" w:firstLineChars="200"/>
        <w:rPr>
          <w:rFonts w:ascii="仿宋" w:hAnsi="仿宋" w:eastAsia="仿宋" w:cs="仿宋"/>
          <w:sz w:val="24"/>
          <w:highlight w:val="none"/>
        </w:rPr>
      </w:pPr>
      <w:bookmarkStart w:id="1" w:name="_Hlt68073093"/>
      <w:bookmarkEnd w:id="1"/>
      <w:bookmarkStart w:id="2" w:name="_Hlt68072998"/>
      <w:bookmarkEnd w:id="2"/>
      <w:bookmarkStart w:id="3" w:name="_Hlt68403820"/>
      <w:bookmarkEnd w:id="3"/>
      <w:r>
        <w:rPr>
          <w:rFonts w:hint="eastAsia" w:ascii="仿宋" w:hAnsi="仿宋" w:eastAsia="仿宋" w:cs="仿宋"/>
          <w:sz w:val="24"/>
          <w:highlight w:val="none"/>
        </w:rPr>
        <w:t>（1）营业执照复印件，实施“五证合一、一照一码”登记制度改革的，只需提供改革后取得的营业执照复印件 ；</w:t>
      </w:r>
    </w:p>
    <w:p>
      <w:pPr>
        <w:pStyle w:val="23"/>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（2）2021年度资产负债表等财务报表资料文件(新成立的公司提供情况证明)；</w:t>
      </w:r>
    </w:p>
    <w:p>
      <w:pPr>
        <w:pStyle w:val="23"/>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440" w:lineRule="exact"/>
        <w:ind w:firstLine="480" w:firstLineChars="200"/>
        <w:rPr>
          <w:rFonts w:ascii="仿宋" w:hAnsi="仿宋" w:eastAsia="仿宋" w:cs="仿宋"/>
          <w:sz w:val="24"/>
          <w:szCs w:val="20"/>
          <w:highlight w:val="none"/>
        </w:rPr>
      </w:pPr>
      <w:r>
        <w:rPr>
          <w:rFonts w:hint="eastAsia" w:ascii="仿宋" w:hAnsi="仿宋" w:eastAsia="仿宋" w:cs="仿宋"/>
          <w:sz w:val="24"/>
          <w:highlight w:val="none"/>
        </w:rPr>
        <w:t>（4）参加本次政府采购活动前三年内，在经营活动中没有重大违法记录的声明；</w:t>
      </w:r>
    </w:p>
    <w:p>
      <w:pPr>
        <w:spacing w:line="440" w:lineRule="exact"/>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（5）</w:t>
      </w:r>
      <w:r>
        <w:rPr>
          <w:rFonts w:hint="eastAsia" w:ascii="仿宋_GB2312" w:hAnsi="仿宋_GB2312" w:eastAsia="仿宋_GB2312" w:cs="仿宋_GB2312"/>
          <w:sz w:val="24"/>
          <w:szCs w:val="20"/>
          <w:highlight w:val="none"/>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w:t>
      </w:r>
      <w:r>
        <w:rPr>
          <w:rFonts w:hint="eastAsia" w:ascii="仿宋" w:hAnsi="仿宋" w:eastAsia="仿宋" w:cs="仿宋"/>
          <w:b/>
          <w:bCs/>
          <w:sz w:val="24"/>
          <w:szCs w:val="20"/>
          <w:highlight w:val="none"/>
        </w:rPr>
        <w:t>前1个月</w:t>
      </w:r>
      <w:r>
        <w:rPr>
          <w:rFonts w:hint="eastAsia" w:ascii="仿宋" w:hAnsi="仿宋" w:eastAsia="仿宋" w:cs="仿宋"/>
          <w:sz w:val="24"/>
          <w:szCs w:val="20"/>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p>
    <w:p>
      <w:pPr>
        <w:pStyle w:val="23"/>
        <w:snapToGrid w:val="0"/>
        <w:spacing w:line="440" w:lineRule="exact"/>
        <w:rPr>
          <w:rFonts w:ascii="仿宋" w:hAnsi="仿宋" w:eastAsia="仿宋" w:cs="仿宋"/>
          <w:sz w:val="24"/>
          <w:highlight w:val="none"/>
          <w:lang w:val="zh-CN"/>
        </w:rPr>
      </w:pPr>
      <w:r>
        <w:rPr>
          <w:rFonts w:hint="eastAsia" w:ascii="仿宋" w:hAnsi="仿宋" w:eastAsia="仿宋" w:cs="仿宋"/>
          <w:sz w:val="24"/>
          <w:highlight w:val="none"/>
        </w:rPr>
        <w:t>2.2.6</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rPr>
        <w:t>2.2.9</w:t>
      </w:r>
      <w:r>
        <w:rPr>
          <w:rFonts w:hint="eastAsia" w:ascii="仿宋_GB2312" w:hAnsi="仿宋_GB2312" w:eastAsia="仿宋_GB2312" w:cs="仿宋_GB2312"/>
          <w:kern w:val="0"/>
          <w:sz w:val="24"/>
          <w:highlight w:val="none"/>
          <w:lang w:val="zh-CN"/>
        </w:rPr>
        <w:t>投标人</w:t>
      </w:r>
      <w:r>
        <w:rPr>
          <w:rFonts w:hint="eastAsia" w:ascii="仿宋" w:hAnsi="仿宋" w:eastAsia="仿宋" w:cs="仿宋"/>
          <w:sz w:val="24"/>
          <w:highlight w:val="none"/>
        </w:rPr>
        <w:t>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w:t>
      </w:r>
      <w:r>
        <w:rPr>
          <w:rFonts w:hint="eastAsia" w:ascii="仿宋_GB2312" w:hAnsi="仿宋_GB2312" w:eastAsia="仿宋_GB2312" w:cs="仿宋_GB2312"/>
          <w:kern w:val="0"/>
          <w:sz w:val="24"/>
          <w:highlight w:val="none"/>
          <w:lang w:val="zh-CN"/>
        </w:rPr>
        <w:t>投标人</w:t>
      </w:r>
      <w:r>
        <w:rPr>
          <w:rFonts w:hint="eastAsia" w:ascii="仿宋" w:hAnsi="仿宋" w:eastAsia="仿宋" w:cs="仿宋"/>
          <w:kern w:val="0"/>
          <w:sz w:val="24"/>
          <w:highlight w:val="none"/>
          <w:lang w:val="zh-CN"/>
        </w:rPr>
        <w:t>在技术偏离表中注明无偏离，评标结束后、签订采购合同前又认为其实际产品与投标技术需求不一致的，视为</w:t>
      </w:r>
      <w:r>
        <w:rPr>
          <w:rFonts w:hint="eastAsia" w:ascii="仿宋_GB2312" w:hAnsi="仿宋_GB2312" w:eastAsia="仿宋_GB2312" w:cs="仿宋_GB2312"/>
          <w:kern w:val="0"/>
          <w:sz w:val="24"/>
          <w:highlight w:val="none"/>
          <w:lang w:val="zh-CN"/>
        </w:rPr>
        <w:t>投标人</w:t>
      </w:r>
      <w:r>
        <w:rPr>
          <w:rFonts w:hint="eastAsia" w:ascii="仿宋" w:hAnsi="仿宋" w:eastAsia="仿宋" w:cs="仿宋"/>
          <w:kern w:val="0"/>
          <w:sz w:val="24"/>
          <w:highlight w:val="none"/>
          <w:lang w:val="zh-CN"/>
        </w:rPr>
        <w:t>在投标有效期内对其投标文件进行了实质性修改，其投标将被追认为无效。采购代理机构将把这一情况报送采购监管部门。</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2.2.12</w:t>
      </w:r>
      <w:r>
        <w:rPr>
          <w:rFonts w:hint="eastAsia" w:ascii="仿宋_GB2312" w:hAnsi="仿宋_GB2312" w:eastAsia="仿宋_GB2312" w:cs="仿宋_GB2312"/>
          <w:kern w:val="0"/>
          <w:sz w:val="24"/>
          <w:highlight w:val="none"/>
          <w:lang w:val="zh-CN"/>
        </w:rPr>
        <w:t>投标人</w:t>
      </w:r>
      <w:r>
        <w:rPr>
          <w:rFonts w:hint="eastAsia" w:ascii="仿宋" w:hAnsi="仿宋" w:eastAsia="仿宋" w:cs="仿宋"/>
          <w:kern w:val="0"/>
          <w:sz w:val="24"/>
          <w:highlight w:val="none"/>
          <w:lang w:val="zh-CN"/>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rPr>
        <w:t>2.2.14</w:t>
      </w:r>
      <w:r>
        <w:rPr>
          <w:rFonts w:hint="eastAsia" w:ascii="仿宋" w:hAnsi="仿宋" w:eastAsia="仿宋" w:cs="仿宋"/>
          <w:kern w:val="0"/>
          <w:sz w:val="24"/>
          <w:highlight w:val="none"/>
          <w:lang w:val="zh-CN"/>
        </w:rPr>
        <w:t>消耗品、维修零配件购买价格清单(如</w:t>
      </w:r>
      <w:r>
        <w:rPr>
          <w:rFonts w:hint="eastAsia" w:ascii="仿宋" w:hAnsi="仿宋" w:eastAsia="仿宋" w:cs="仿宋"/>
          <w:kern w:val="0"/>
          <w:sz w:val="24"/>
          <w:highlight w:val="none"/>
        </w:rPr>
        <w:t>果</w:t>
      </w:r>
      <w:r>
        <w:rPr>
          <w:rFonts w:hint="eastAsia" w:ascii="仿宋" w:hAnsi="仿宋" w:eastAsia="仿宋" w:cs="仿宋"/>
          <w:kern w:val="0"/>
          <w:sz w:val="24"/>
          <w:highlight w:val="none"/>
          <w:lang w:val="zh-CN"/>
        </w:rPr>
        <w:t>有)</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sz w:val="24"/>
          <w:highlight w:val="none"/>
        </w:rPr>
        <w:t>2.2.15</w:t>
      </w:r>
      <w:r>
        <w:rPr>
          <w:rFonts w:hint="eastAsia" w:ascii="仿宋" w:hAnsi="仿宋" w:eastAsia="仿宋" w:cs="仿宋"/>
          <w:kern w:val="0"/>
          <w:sz w:val="24"/>
          <w:highlight w:val="none"/>
          <w:lang w:val="zh-CN"/>
        </w:rPr>
        <w:t>培训计划；（如果有）</w:t>
      </w:r>
    </w:p>
    <w:p>
      <w:pPr>
        <w:tabs>
          <w:tab w:val="left" w:pos="0"/>
          <w:tab w:val="left" w:pos="840"/>
        </w:tabs>
        <w:autoSpaceDE w:val="0"/>
        <w:autoSpaceDN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rPr>
        <w:t>6</w:t>
      </w:r>
      <w:r>
        <w:rPr>
          <w:rFonts w:hint="eastAsia" w:ascii="仿宋" w:hAnsi="仿宋" w:eastAsia="仿宋" w:cs="仿宋"/>
          <w:kern w:val="0"/>
          <w:sz w:val="24"/>
          <w:highlight w:val="none"/>
          <w:lang w:val="zh-CN"/>
        </w:rPr>
        <w:t>验收方案；</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2.2.17</w:t>
      </w:r>
      <w:r>
        <w:rPr>
          <w:rFonts w:hint="eastAsia" w:ascii="仿宋" w:hAnsi="仿宋" w:eastAsia="仿宋" w:cs="仿宋"/>
          <w:snapToGrid w:val="0"/>
          <w:sz w:val="24"/>
          <w:highlight w:val="none"/>
        </w:rPr>
        <w:t>非本地投标人售后服务机构证明材料。非本地投标人</w:t>
      </w:r>
      <w:r>
        <w:rPr>
          <w:rFonts w:hint="eastAsia" w:ascii="仿宋" w:hAnsi="仿宋" w:eastAsia="仿宋" w:cs="仿宋"/>
          <w:sz w:val="24"/>
          <w:highlight w:val="none"/>
          <w:lang w:val="zh-CN"/>
        </w:rPr>
        <w:t>在绍兴的分公司</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需提供本地工商注册</w:t>
      </w:r>
      <w:r>
        <w:rPr>
          <w:rFonts w:hint="eastAsia" w:ascii="仿宋" w:hAnsi="仿宋" w:eastAsia="仿宋" w:cs="仿宋"/>
          <w:sz w:val="24"/>
          <w:highlight w:val="none"/>
        </w:rPr>
        <w:t>登记</w:t>
      </w:r>
      <w:r>
        <w:rPr>
          <w:rFonts w:hint="eastAsia" w:ascii="仿宋" w:hAnsi="仿宋" w:eastAsia="仿宋" w:cs="仿宋"/>
          <w:sz w:val="24"/>
          <w:highlight w:val="none"/>
          <w:lang w:val="zh-CN"/>
        </w:rPr>
        <w:t>资料）或办事处</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需提供本地国内经济合作办注册资料</w:t>
      </w:r>
      <w:r>
        <w:rPr>
          <w:rFonts w:hint="eastAsia" w:ascii="仿宋" w:hAnsi="仿宋" w:eastAsia="仿宋" w:cs="仿宋"/>
          <w:kern w:val="0"/>
          <w:sz w:val="24"/>
          <w:highlight w:val="none"/>
        </w:rPr>
        <w:t>）或符合本项目服务能力并签订合作协议的第三方机构或者在中标（成交）公示后在本地设立售后服务机构作</w:t>
      </w:r>
      <w:r>
        <w:rPr>
          <w:rFonts w:hint="eastAsia" w:ascii="仿宋" w:hAnsi="仿宋" w:eastAsia="仿宋" w:cs="仿宋"/>
          <w:sz w:val="24"/>
          <w:highlight w:val="none"/>
          <w:lang w:val="zh-CN"/>
        </w:rPr>
        <w:t>为常驻服务和技术支持机构；</w:t>
      </w:r>
    </w:p>
    <w:p>
      <w:pPr>
        <w:snapToGrid w:val="0"/>
        <w:spacing w:line="440" w:lineRule="exact"/>
        <w:jc w:val="left"/>
        <w:rPr>
          <w:rFonts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2.2.19联合协议；</w:t>
      </w:r>
      <w:r>
        <w:rPr>
          <w:rFonts w:hint="eastAsia" w:ascii="仿宋" w:hAnsi="仿宋" w:eastAsia="仿宋" w:cs="仿宋"/>
          <w:highlight w:val="none"/>
          <w:lang w:val="zh-CN"/>
        </w:rPr>
        <w:t>（如果有）</w:t>
      </w:r>
    </w:p>
    <w:p>
      <w:pPr>
        <w:pStyle w:val="20"/>
        <w:tabs>
          <w:tab w:val="left" w:pos="1854"/>
          <w:tab w:val="clear" w:pos="482"/>
        </w:tabs>
        <w:spacing w:afterLines="0" w:line="440" w:lineRule="exact"/>
        <w:ind w:left="0" w:firstLine="0"/>
        <w:rPr>
          <w:rFonts w:ascii="仿宋" w:hAnsi="仿宋" w:eastAsia="仿宋" w:cs="仿宋"/>
          <w:highlight w:val="none"/>
          <w:lang w:val="zh-CN"/>
        </w:rPr>
      </w:pPr>
      <w:r>
        <w:rPr>
          <w:rFonts w:hint="eastAsia" w:ascii="仿宋_GB2312" w:hAnsi="宋体" w:eastAsia="仿宋_GB2312"/>
          <w:highlight w:val="none"/>
        </w:rPr>
        <w:t>2.2.20分包意向协议；</w:t>
      </w:r>
      <w:r>
        <w:rPr>
          <w:rFonts w:hint="eastAsia" w:ascii="仿宋" w:hAnsi="仿宋" w:eastAsia="仿宋" w:cs="仿宋"/>
          <w:highlight w:val="none"/>
          <w:lang w:val="zh-CN"/>
        </w:rPr>
        <w:t>（如果有）</w:t>
      </w:r>
    </w:p>
    <w:p>
      <w:pPr>
        <w:pStyle w:val="20"/>
        <w:tabs>
          <w:tab w:val="left" w:pos="1854"/>
          <w:tab w:val="clear" w:pos="482"/>
        </w:tabs>
        <w:spacing w:afterLines="0" w:line="440" w:lineRule="exact"/>
        <w:ind w:left="0" w:firstLine="0"/>
        <w:rPr>
          <w:rFonts w:ascii="仿宋" w:hAnsi="仿宋" w:eastAsia="仿宋" w:cs="仿宋"/>
          <w:highlight w:val="none"/>
          <w:lang w:val="zh-CN"/>
        </w:rPr>
      </w:pPr>
      <w:r>
        <w:rPr>
          <w:rFonts w:hint="eastAsia" w:ascii="仿宋" w:hAnsi="仿宋" w:eastAsia="仿宋" w:cs="仿宋"/>
          <w:highlight w:val="none"/>
        </w:rPr>
        <w:t>2.2.21</w:t>
      </w:r>
      <w:r>
        <w:rPr>
          <w:rFonts w:hint="eastAsia" w:ascii="仿宋" w:hAnsi="仿宋" w:eastAsia="仿宋" w:cs="仿宋"/>
          <w:highlight w:val="none"/>
          <w:lang w:val="zh-CN"/>
        </w:rPr>
        <w:t>落实政府采购政策需满足的资格要求（</w:t>
      </w:r>
      <w:r>
        <w:rPr>
          <w:rFonts w:hint="eastAsia" w:ascii="仿宋" w:hAnsi="仿宋" w:eastAsia="仿宋" w:cs="仿宋"/>
          <w:highlight w:val="none"/>
        </w:rPr>
        <w:t>如有</w:t>
      </w:r>
      <w:r>
        <w:rPr>
          <w:rFonts w:hint="eastAsia" w:ascii="仿宋" w:hAnsi="仿宋" w:eastAsia="仿宋" w:cs="仿宋"/>
          <w:highlight w:val="none"/>
          <w:lang w:val="zh-CN"/>
        </w:rPr>
        <w:t>）</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2.2.22</w:t>
      </w:r>
      <w:r>
        <w:rPr>
          <w:rFonts w:hint="eastAsia" w:ascii="仿宋" w:hAnsi="仿宋" w:eastAsia="仿宋" w:cs="仿宋"/>
          <w:sz w:val="24"/>
          <w:highlight w:val="none"/>
          <w:u w:val="wave"/>
        </w:rPr>
        <w:t>未尽事宜请各投标单位按评分细则和相对应标项相关要求制作(重要)</w:t>
      </w:r>
      <w:r>
        <w:rPr>
          <w:rFonts w:hint="eastAsia" w:ascii="仿宋" w:hAnsi="仿宋" w:eastAsia="仿宋" w:cs="仿宋"/>
          <w:sz w:val="24"/>
          <w:highlight w:val="none"/>
        </w:rPr>
        <w:t>；</w:t>
      </w:r>
    </w:p>
    <w:p>
      <w:pPr>
        <w:pStyle w:val="20"/>
        <w:tabs>
          <w:tab w:val="left" w:pos="1854"/>
          <w:tab w:val="clear" w:pos="482"/>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2.2.23投标人需要说明的其他文件和说明（格式自拟）；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highlight w:val="none"/>
        </w:rPr>
      </w:pPr>
      <w:r>
        <w:rPr>
          <w:rFonts w:hint="eastAsia" w:ascii="仿宋" w:hAnsi="仿宋" w:eastAsia="仿宋" w:cs="仿宋"/>
          <w:highlight w:val="none"/>
        </w:rPr>
        <w:t>投标人不按招标文件的要求提供的投标文件</w:t>
      </w:r>
      <w:r>
        <w:rPr>
          <w:rFonts w:hint="eastAsia" w:ascii="仿宋" w:hAnsi="仿宋" w:eastAsia="仿宋" w:cs="仿宋"/>
          <w:color w:val="000000" w:themeColor="text1"/>
          <w:highlight w:val="none"/>
          <w14:textFill>
            <w14:solidFill>
              <w14:schemeClr w14:val="tx1"/>
            </w14:solidFill>
          </w14:textFill>
        </w:rPr>
        <w:t>和资料</w:t>
      </w:r>
      <w:r>
        <w:rPr>
          <w:rFonts w:hint="eastAsia" w:ascii="仿宋" w:hAnsi="仿宋" w:eastAsia="仿宋" w:cs="仿宋"/>
          <w:highlight w:val="none"/>
        </w:rPr>
        <w:t>，可能会被评标委员会视为未实质性响应，其风险应由投标人自行承担。</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ascii="仿宋" w:hAnsi="仿宋" w:eastAsia="仿宋" w:cs="仿宋"/>
          <w:sz w:val="24"/>
          <w:highlight w:val="none"/>
        </w:rPr>
      </w:pPr>
      <w:r>
        <w:rPr>
          <w:rFonts w:hint="eastAsia" w:ascii="仿宋" w:hAnsi="仿宋" w:eastAsia="仿宋" w:cs="仿宋"/>
          <w:sz w:val="24"/>
          <w:highlight w:val="none"/>
        </w:rPr>
        <w:t>3.1投标人应按招标文件中《开标一览表》等附表要求填写。</w:t>
      </w:r>
    </w:p>
    <w:p>
      <w:pPr>
        <w:pStyle w:val="23"/>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3.3招标文件未列明，而投标人认为必需的费用也需列入报价。</w:t>
      </w:r>
    </w:p>
    <w:p>
      <w:pPr>
        <w:tabs>
          <w:tab w:val="left" w:pos="52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 w:hAnsi="仿宋" w:eastAsia="仿宋" w:cs="仿宋"/>
          <w:b/>
          <w:szCs w:val="24"/>
          <w:highlight w:val="none"/>
        </w:rPr>
      </w:pPr>
      <w:r>
        <w:rPr>
          <w:rFonts w:hint="eastAsia" w:ascii="仿宋" w:hAnsi="仿宋" w:eastAsia="仿宋" w:cs="仿宋"/>
          <w:b/>
          <w:szCs w:val="24"/>
          <w:highlight w:val="none"/>
        </w:rPr>
        <w:t>4.投标文件的有效期</w:t>
      </w:r>
    </w:p>
    <w:p>
      <w:pPr>
        <w:pStyle w:val="14"/>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rPr>
        <w:t>投标人的投标文件中承</w:t>
      </w:r>
      <w:r>
        <w:rPr>
          <w:rFonts w:hint="eastAsia" w:ascii="仿宋" w:hAnsi="仿宋" w:eastAsia="仿宋" w:cs="仿宋"/>
          <w:b/>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14:textFill>
            <w14:solidFill>
              <w14:schemeClr w14:val="tx1"/>
            </w14:solidFill>
          </w14:textFill>
        </w:rPr>
        <w:t>招标人</w:t>
      </w:r>
      <w:r>
        <w:rPr>
          <w:rFonts w:hint="eastAsia" w:ascii="仿宋" w:hAnsi="仿宋" w:eastAsia="仿宋" w:cs="仿宋"/>
          <w:szCs w:val="24"/>
          <w:highlight w:val="none"/>
        </w:rPr>
        <w:t>可与投标人协商延长投标书的有效期，这种要求和答复均以书面形式进行。</w:t>
      </w:r>
    </w:p>
    <w:p>
      <w:pPr>
        <w:pStyle w:val="14"/>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23"/>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23"/>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5.2投标文件须按附件格式要求进行电子签章，投标人应写全称。</w:t>
      </w:r>
    </w:p>
    <w:p>
      <w:pPr>
        <w:pStyle w:val="23"/>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须加盖投标单位公章（或电子签章）或者法定代表人或其授权代表签字或盖章。</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5.4投标文件因字迹潦草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或表达不清所引起的后果由投标人负责。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5.5投标人应认真阅读招标文件中所有的内容。如果投标人编制的投标文件实质上不响应招标文件的要求，其投标文件将被评标委员会拒绝。</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投标人应按“招标公告”规定的时间、方式将投标文件提交给采购代理机构，</w:t>
      </w:r>
      <w:r>
        <w:rPr>
          <w:rFonts w:hint="eastAsia" w:ascii="仿宋" w:hAnsi="仿宋" w:eastAsia="仿宋" w:cs="仿宋"/>
          <w:b/>
          <w:sz w:val="24"/>
          <w:highlight w:val="none"/>
        </w:rPr>
        <w:t>采购代理机构将拒绝接受逾期提交的投标文件。</w:t>
      </w:r>
    </w:p>
    <w:p>
      <w:pPr>
        <w:widowControl/>
        <w:snapToGrid w:val="0"/>
        <w:spacing w:line="440" w:lineRule="exact"/>
        <w:rPr>
          <w:rFonts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投标人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1.3确定各投标人演示顺序（如有要求：</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1.4评标委员会对资格和商务技术响应文件进行评审；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1.5主持人宣布商务技术得分及无效（废）投标情形（如有），公布经商务技术（资信）评审符合招标文件要求的投标人名单及其商务技术得分。</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1.7评标委员会对投标文件报价文件资料进行评审，核准投标报价及计算价格分，汇总商务技术分、价格分，根据得分排序确定中标候选人。</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1.8主持人公布评标结果。</w:t>
      </w:r>
    </w:p>
    <w:p>
      <w:pPr>
        <w:snapToGrid w:val="0"/>
        <w:spacing w:line="480" w:lineRule="exact"/>
        <w:jc w:val="left"/>
        <w:rPr>
          <w:rFonts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1.9开标由</w:t>
      </w:r>
      <w:r>
        <w:rPr>
          <w:rFonts w:hint="eastAsia" w:ascii="仿宋" w:hAnsi="仿宋" w:eastAsia="仿宋" w:cs="仿宋"/>
          <w:color w:val="000000"/>
          <w:sz w:val="24"/>
          <w:highlight w:val="none"/>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8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3.1评标委员会由</w:t>
      </w:r>
      <w:r>
        <w:rPr>
          <w:rFonts w:hint="eastAsia" w:ascii="仿宋" w:hAnsi="仿宋" w:eastAsia="仿宋" w:cs="仿宋"/>
          <w:color w:val="000000" w:themeColor="text1"/>
          <w:sz w:val="24"/>
          <w:highlight w:val="none"/>
          <w14:textFill>
            <w14:solidFill>
              <w14:schemeClr w14:val="tx1"/>
            </w14:solidFill>
          </w14:textFill>
        </w:rPr>
        <w:t>招标采购单位</w:t>
      </w:r>
      <w:r>
        <w:rPr>
          <w:rFonts w:hint="eastAsia" w:ascii="仿宋" w:hAnsi="仿宋" w:eastAsia="仿宋" w:cs="仿宋"/>
          <w:sz w:val="24"/>
          <w:highlight w:val="none"/>
        </w:rPr>
        <w:t>依法组建，负责评标活动。评标委员会遵循公开、公平、公正、科学合理、竞争择优的原则。</w:t>
      </w:r>
    </w:p>
    <w:p>
      <w:pPr>
        <w:spacing w:line="480" w:lineRule="exact"/>
        <w:jc w:val="left"/>
        <w:rPr>
          <w:rFonts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rPr>
        <w:t>评标委员会由采购人代表和有关方面的专家组成，成员人数为5人以上单数。</w:t>
      </w:r>
    </w:p>
    <w:p>
      <w:pPr>
        <w:spacing w:line="480" w:lineRule="exact"/>
        <w:jc w:val="left"/>
        <w:rPr>
          <w:rFonts w:ascii="仿宋" w:hAnsi="仿宋" w:eastAsia="仿宋" w:cs="仿宋"/>
          <w:sz w:val="24"/>
          <w:highlight w:val="none"/>
        </w:rPr>
      </w:pPr>
      <w:r>
        <w:rPr>
          <w:rFonts w:hint="eastAsia" w:ascii="仿宋" w:hAnsi="仿宋" w:eastAsia="仿宋" w:cs="仿宋"/>
          <w:color w:val="000000"/>
          <w:sz w:val="24"/>
          <w:highlight w:val="none"/>
        </w:rPr>
        <w:t>3.3采购人代表不担任评审委员会组长。</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投标人对投标响应文件作出澄清、说明或者补正的，评标委员会和投标人应当通过政采云平台交换数据电文。给予投标人提交澄清说明或补正的时间不少于半小时，投标人已经明确表示澄清说明或补正完毕的除外。</w:t>
      </w:r>
    </w:p>
    <w:p>
      <w:pPr>
        <w:spacing w:line="48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投标人通过政采云平台交换的数据电文必须进行电子签章。</w:t>
      </w:r>
    </w:p>
    <w:p>
      <w:pPr>
        <w:widowControl/>
        <w:snapToGrid w:val="0"/>
        <w:spacing w:line="480" w:lineRule="exact"/>
        <w:rPr>
          <w:rFonts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80" w:lineRule="exact"/>
        <w:rPr>
          <w:rFonts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pPr>
        <w:snapToGrid w:val="0"/>
        <w:spacing w:line="48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6.8评标委员会依据招标文件规定的评标标准和方法，对投标文件进行评审和比较后，向本公司提供书面评标报告，并按得分高低排序推荐中标候选供应商。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4"/>
        <w:widowControl w:val="0"/>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对投标文件中含义不明、表述不一致或有明显计算错误等内容，评标委员会将对投标人进行询标，并可要求投标人作出澄清，作为投标文件的补充部分，但澄清的内容不得改变投标文件的实质性内容。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8.1投标文件未按照招标文件规定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8.2单位负责人为同一人或者存在直接控股、管理关系的不同投标人参加同一合同项下的政府采购活动的（均无效）；</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8.3为采购项目提供整体设计、规范编制或者项目管理、监理、检测等服务的投标人参加该采购项目的其他采购活动的； </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法定代表人及个体工商户除外</w:t>
      </w:r>
      <w:r>
        <w:rPr>
          <w:rFonts w:hint="eastAsia" w:ascii="仿宋" w:hAnsi="仿宋" w:eastAsia="仿宋" w:cs="仿宋"/>
          <w:b/>
          <w:kern w:val="0"/>
          <w:sz w:val="24"/>
          <w:highlight w:val="none"/>
        </w:rPr>
        <w:t>；</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8.8投标文件中的投标函</w:t>
      </w:r>
      <w:r>
        <w:rPr>
          <w:rFonts w:hint="eastAsia" w:ascii="仿宋" w:hAnsi="仿宋" w:eastAsia="仿宋" w:cs="仿宋"/>
          <w:b/>
          <w:color w:val="000000" w:themeColor="text1"/>
          <w:sz w:val="24"/>
          <w:highlight w:val="none"/>
          <w14:textFill>
            <w14:solidFill>
              <w14:schemeClr w14:val="tx1"/>
            </w14:solidFill>
          </w14:textFill>
        </w:rPr>
        <w:t>无投标人电子签章或填写不全的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8.9报</w:t>
      </w:r>
      <w:r>
        <w:rPr>
          <w:rFonts w:hint="eastAsia" w:ascii="仿宋" w:hAnsi="仿宋" w:eastAsia="仿宋" w:cs="仿宋"/>
          <w:b/>
          <w:sz w:val="24"/>
          <w:highlight w:val="none"/>
        </w:rPr>
        <w:t>价一经涂改，涂改处无投标单位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8.10投标文件中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8.11出现同一标的物或本次招标产品(服务)内的主要产品(重要组成部分)出现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8.12《技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sz w:val="24"/>
          <w:highlight w:val="none"/>
        </w:rPr>
        <w:t>8.13投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8.14评</w:t>
      </w:r>
      <w:r>
        <w:rPr>
          <w:rFonts w:hint="eastAsia" w:ascii="仿宋" w:hAnsi="仿宋" w:eastAsia="仿宋" w:cs="仿宋"/>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cs="仿宋_GB2312"/>
          <w:b/>
          <w:sz w:val="24"/>
          <w:szCs w:val="21"/>
          <w:highlight w:val="none"/>
        </w:rPr>
        <w:t>8.17采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48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b/>
          <w:bCs/>
          <w:sz w:val="24"/>
          <w:highlight w:val="none"/>
        </w:rPr>
        <w:t>8.22有下列情形之一的，属于恶意串通，其投标无效：</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8.22.1投标人直接或者间接从采购人或者采购代理机构处获得其他投标人的相关情况并修改其投标文件或者响应文件；</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8.22.2投标人按照采购人或者采购代理机构的授意撤换、修改投标文件或者响应文件；</w:t>
      </w:r>
    </w:p>
    <w:p>
      <w:pPr>
        <w:spacing w:line="360"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8.22.3投标人之间协商报价、技术方案等投标文件或者响应文件的实质性内容；</w:t>
      </w:r>
    </w:p>
    <w:p>
      <w:pPr>
        <w:spacing w:line="360"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8.22.4属于同一集团、协会、商会等组织成员的投标人按照该组织要求协同参加政府采购活动；</w:t>
      </w:r>
    </w:p>
    <w:p>
      <w:pPr>
        <w:spacing w:line="360"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8.22.5投标人之间事先约定由某一特定投标人中标、成交；</w:t>
      </w:r>
    </w:p>
    <w:p>
      <w:pPr>
        <w:spacing w:line="360"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8.22.6投标人之间商定部分投标人放弃参加政府采购活动或者放弃中标、成交；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highlight w:val="none"/>
        </w:rPr>
      </w:pPr>
      <w:r>
        <w:rPr>
          <w:rFonts w:hint="eastAsia" w:ascii="仿宋" w:hAnsi="仿宋" w:eastAsia="仿宋" w:cs="仿宋"/>
          <w:sz w:val="24"/>
          <w:szCs w:val="21"/>
          <w:highlight w:val="none"/>
        </w:rPr>
        <w:t>8.22.7投标人与采购人或者采购代理机构之间、投标人相互之间，为谋求特定投标人中标、成交或者排斥其他投标人的其他串通行为。</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szCs w:val="21"/>
          <w:highlight w:val="none"/>
        </w:rPr>
        <w:t>8.23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8.24报价文件中出现不是唯一的、有选择性投标报价的；</w:t>
      </w:r>
    </w:p>
    <w:p>
      <w:pPr>
        <w:spacing w:line="440" w:lineRule="exac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9.评标过程保密</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投标人推荐等评审有关的情况和评审文件的，以及涉及国家秘密和商业秘密等信息，评审委员会成员、采购人和采购代理机构工作人员、相关监督人员等与评审有关的人员应当予以保密。</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9.2在评标期间，投标人企图影响招标人或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ascii="仿宋" w:hAnsi="仿宋" w:eastAsia="仿宋" w:cs="仿宋"/>
          <w:b/>
          <w:sz w:val="36"/>
          <w:szCs w:val="36"/>
          <w:highlight w:val="none"/>
        </w:rPr>
      </w:pPr>
      <w:bookmarkStart w:id="4" w:name="_Toc81372776"/>
      <w:bookmarkStart w:id="5" w:name="_Toc81372953"/>
      <w:bookmarkStart w:id="6" w:name="_Toc84325929"/>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1.2投标人有很好的执行合同的能力；</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1.4投标人能够提供质量技术、商务经济占综合优势的系统及服务。</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采购代理机构通过政采云平台向中标投标人签发中标通知书。请中标投标人自行登录政采云平台下载并打印中标通知书。</w:t>
      </w:r>
      <w:r>
        <w:rPr>
          <w:rFonts w:hint="eastAsia" w:ascii="仿宋" w:hAnsi="仿宋" w:eastAsia="仿宋" w:cs="仿宋"/>
          <w:color w:val="000000"/>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在采购代理机构发出中标通知书前，中标投标人如有违反有关法律法规和本项目要求行为的，则取消该投标人的中标资格</w:t>
      </w:r>
      <w:r>
        <w:rPr>
          <w:rFonts w:hint="eastAsia" w:ascii="仿宋" w:hAnsi="仿宋" w:eastAsia="仿宋" w:cs="仿宋"/>
          <w:kern w:val="0"/>
          <w:sz w:val="24"/>
          <w:highlight w:val="none"/>
          <w:lang w:val="zh-CN"/>
        </w:rPr>
        <w:t>。</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4.1采购人在签订合同时，按《浙江省财政厅关于进一步发挥政府采购政策功能全力推动经济稳进提质的通知》浙财采〔2022〕3 号文件规定可向中标人收取不高于中标额的2.5％的履约保证金，采购人不得以投标人事先提交履约保证金作为签订合同的条件。鼓励采购人根据项目特点、投标人诚信等情况免收履约保证金或降低缴纳比例。</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ascii="仿宋" w:hAnsi="仿宋" w:eastAsia="仿宋" w:cs="仿宋"/>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6.1采购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投标人投诉受理审查工作的通知》(财库〔2007〕1号)和《浙江省政府采购投标人质疑处理办法》（浙财采监[2012]18号）的规定，政府采购投标人可以依法提起质疑和投诉。</w:t>
      </w:r>
    </w:p>
    <w:p>
      <w:pPr>
        <w:autoSpaceDE w:val="0"/>
        <w:autoSpaceDN w:val="0"/>
        <w:spacing w:line="360"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1.投标人询问</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投标人对政府采购活动事项有疑问的，可以向采购代理机构提出询问，采购代理机构将对投标人依法提出的询问作出答复，但答复的内容不得涉及商业秘密。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2.投标人质疑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投标人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提出质疑的，质疑期限为投标人获得采购文件之日或者采购文件公告期限届满之日（即投标人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（4）投标人应在法定质疑期内一次性提出针对同一采购程序环节的质疑。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3.投标人提交提出质疑应当提交质疑书和必要的证明材料，质疑书需一式三份，质疑书至少应包括下列主要内容：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（7）提出质疑的日期；</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5.采购代理机构应当在收到投标人的书面质疑后七个工作日内作出答复，并以书面形式通知质疑投标人和其他与质疑处理结果有利害关系的政府采购当事人，但答复的内容不得涉及商业秘密。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ascii="仿宋" w:hAnsi="仿宋" w:eastAsia="仿宋" w:cs="仿宋"/>
          <w:sz w:val="24"/>
          <w:highlight w:val="none"/>
        </w:rPr>
      </w:pPr>
      <w:r>
        <w:rPr>
          <w:rFonts w:hint="eastAsia" w:ascii="仿宋" w:hAnsi="仿宋" w:eastAsia="仿宋" w:cs="仿宋"/>
          <w:sz w:val="24"/>
          <w:highlight w:val="none"/>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ascii="仿宋" w:hAnsi="仿宋" w:eastAsia="仿宋" w:cs="仿宋"/>
          <w:sz w:val="24"/>
          <w:highlight w:val="none"/>
        </w:rPr>
      </w:pPr>
      <w:r>
        <w:rPr>
          <w:rFonts w:hint="eastAsia" w:ascii="仿宋" w:hAnsi="仿宋" w:eastAsia="仿宋" w:cs="仿宋"/>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sz w:val="24"/>
          <w:highlight w:val="none"/>
        </w:rPr>
      </w:pPr>
      <w:bookmarkStart w:id="7" w:name="_Toc151354173"/>
      <w:bookmarkStart w:id="8" w:name="_Toc80157775"/>
      <w:bookmarkStart w:id="9" w:name="_Toc81372964"/>
      <w:bookmarkStart w:id="10" w:name="_Toc81372787"/>
      <w:bookmarkStart w:id="11" w:name="_Toc84325981"/>
      <w:r>
        <w:rPr>
          <w:rFonts w:hint="eastAsia" w:ascii="仿宋" w:hAnsi="仿宋" w:eastAsia="仿宋" w:cs="仿宋"/>
          <w:b/>
          <w:sz w:val="24"/>
          <w:highlight w:val="none"/>
        </w:rPr>
        <w:t>8.招标项目设备（或服务）名称及数量：</w:t>
      </w:r>
    </w:p>
    <w:p>
      <w:pPr>
        <w:spacing w:line="440" w:lineRule="exact"/>
        <w:ind w:right="420"/>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绍兴市公安局三重四极杆气相色谱质谱联用仪设备采购项目（预算：1360000.00元）</w:t>
      </w:r>
      <w:bookmarkStart w:id="12" w:name="_Toc7206"/>
      <w:bookmarkStart w:id="13" w:name="_Toc32678"/>
    </w:p>
    <w:p>
      <w:pPr>
        <w:pStyle w:val="2"/>
        <w:rPr>
          <w:rFonts w:ascii="仿宋" w:hAnsi="仿宋" w:eastAsia="仿宋" w:cs="仿宋"/>
          <w:b/>
          <w:bCs/>
          <w:highlight w:val="none"/>
        </w:rPr>
      </w:pP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b/>
          <w:bCs/>
          <w:sz w:val="24"/>
          <w:highlight w:val="none"/>
        </w:rPr>
        <w:t>三重四极杆气相色谱质谱联用仪技术参数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1、工作条件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1.1、电源电压：220V±10%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1.2、温度：18℃～28℃</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1.3、湿度：40%～70%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2、气相色谱仪部分</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2.1柱箱</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2.1.1操作温度范围：室温以上4℃～450℃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★2.1.2柱箱最高升温速率及阶数：≧240℃/min（无需升级），以0.01℃/min增加,程序升温的阶数：≧30阶31平台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2.1.3温度设定精度：0.1℃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2.1.4冷却速度：从 450 降到 50℃ ≤3.5min（210s）</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2.1.5最大运行时间：9999.99分钟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2.1.6面板键盘：可完全控制及显示所有温度区域和载气流量，以及所有检测器和检测器气体；</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2.1.7具有一键设置柱温箱降温速率功能，可依据不同色谱柱自由设置降温速率，提供“一键设置柱温箱降温速率”的主机触摸屏界面截图证明。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▲2.1.8柱温箱内置耐高温智能灯，柱箱门开启时自动点亮，方便维护及更换色谱柱。</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2.1.9气相色谱与质谱须相同品牌。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2.2分流/不分流毛细管进样口</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2.2.1支持恒流，恒线速度控制功能，须提供软件截图和应用文章证明。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2.2.2最高温度：450℃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2.2.3压力设定范围：0 ～ 1010kPa</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2.2.4升温速率：≧240℃/min ，以0.01℃/min增加</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2.2.5分流比设定范围：0 ～ 9900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2.2.6流量设定范围：0 ～ 1250mL/min</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2.3自动进样器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2.3.1样品位数：150位以上</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2.3.2支持溶剂种类：≥4 种(A, B, C, D)</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3、质谱部分</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3.1须提供在售同类型质谱最高端型号。须提供在售全新仪器，不得为停产型号或翻新机。</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3.1.1质量数范围: 2 ～ 1080 u</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★3.1.2灵敏度：</w:t>
      </w:r>
      <w:r>
        <w:rPr>
          <w:rFonts w:hint="eastAsia" w:ascii="仿宋" w:hAnsi="仿宋" w:eastAsia="仿宋" w:cs="仿宋"/>
          <w:sz w:val="24"/>
          <w:highlight w:val="none"/>
          <w:lang w:val="pt-BR"/>
        </w:rPr>
        <w:t>EI Scan : 1pg OFN, S/N ≥ 1500，须出具市级以上质量技术监督部门出具的国家权威检测报告。 EI MRM  : 100fg OFN, S/N ≥38000，须出具市级以上质量技术监督部门出具的国家权威检测报告。</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3.1.3</w:t>
      </w:r>
      <w:r>
        <w:rPr>
          <w:rFonts w:hint="eastAsia" w:ascii="仿宋" w:hAnsi="仿宋" w:eastAsia="仿宋" w:cs="仿宋"/>
          <w:sz w:val="24"/>
          <w:highlight w:val="none"/>
          <w:lang w:val="pt-BR"/>
        </w:rPr>
        <w:t>碰撞能：0～60eV，可调</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3.1.4</w:t>
      </w:r>
      <w:r>
        <w:rPr>
          <w:rFonts w:hint="eastAsia" w:ascii="仿宋" w:hAnsi="仿宋" w:eastAsia="仿宋" w:cs="仿宋"/>
          <w:sz w:val="24"/>
          <w:highlight w:val="none"/>
          <w:lang w:val="pt-BR"/>
        </w:rPr>
        <w:t>质量稳定性：±0.1u/48h</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3.1.5</w:t>
      </w:r>
      <w:r>
        <w:rPr>
          <w:rFonts w:hint="eastAsia" w:ascii="仿宋" w:hAnsi="仿宋" w:eastAsia="仿宋" w:cs="仿宋"/>
          <w:sz w:val="24"/>
          <w:highlight w:val="none"/>
          <w:lang w:val="pt-BR"/>
        </w:rPr>
        <w:t>最大扫描速度：≧20000 u/sec，须有辅助技术解决高速扫描时高质量端离子传输效率降低的问题（须提供此技术的证明材料），以专利技术为优。同时要求软件支持显示扫描速度数值，须提供软件截图证明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3.1.6</w:t>
      </w:r>
      <w:r>
        <w:rPr>
          <w:rFonts w:hint="eastAsia" w:ascii="仿宋" w:hAnsi="仿宋" w:eastAsia="仿宋" w:cs="仿宋"/>
          <w:sz w:val="24"/>
          <w:highlight w:val="none"/>
          <w:lang w:val="pt-BR"/>
        </w:rPr>
        <w:t>最小驻留时间(Dwell Time)：≤0.5ms</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3.1.7</w:t>
      </w:r>
      <w:r>
        <w:rPr>
          <w:rFonts w:hint="eastAsia" w:ascii="仿宋" w:hAnsi="仿宋" w:eastAsia="仿宋" w:cs="仿宋"/>
          <w:sz w:val="24"/>
          <w:highlight w:val="none"/>
          <w:lang w:val="pt-BR"/>
        </w:rPr>
        <w:t>最小Event time：≤3ms</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3.1.8</w:t>
      </w:r>
      <w:r>
        <w:rPr>
          <w:rFonts w:hint="eastAsia" w:ascii="仿宋" w:hAnsi="仿宋" w:eastAsia="仿宋" w:cs="仿宋"/>
          <w:sz w:val="24"/>
          <w:highlight w:val="none"/>
          <w:lang w:val="pt-BR"/>
        </w:rPr>
        <w:t>最大Event数：≧2000 events</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▲3.1.9</w:t>
      </w:r>
      <w:r>
        <w:rPr>
          <w:rFonts w:hint="eastAsia" w:ascii="仿宋" w:hAnsi="仿宋" w:eastAsia="仿宋" w:cs="仿宋"/>
          <w:sz w:val="24"/>
          <w:highlight w:val="none"/>
          <w:lang w:val="pt-BR"/>
        </w:rPr>
        <w:t>最大MRM速度：≧850通道/sec，且一次进样设置的通道数不少于32000个。</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3.1.10</w:t>
      </w:r>
      <w:r>
        <w:rPr>
          <w:rFonts w:hint="eastAsia" w:ascii="仿宋" w:hAnsi="仿宋" w:eastAsia="仿宋" w:cs="仿宋"/>
          <w:sz w:val="24"/>
          <w:highlight w:val="none"/>
          <w:lang w:val="pt-BR"/>
        </w:rPr>
        <w:t>最大离子监测通道数：≧15ch/1 event</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3.1.11</w:t>
      </w:r>
      <w:r>
        <w:rPr>
          <w:rFonts w:hint="eastAsia" w:ascii="仿宋" w:hAnsi="仿宋" w:eastAsia="仿宋" w:cs="仿宋"/>
          <w:sz w:val="24"/>
          <w:highlight w:val="none"/>
          <w:lang w:val="pt-BR"/>
        </w:rPr>
        <w:t>每个化合物包含至少6个 MRM通道</w:t>
      </w:r>
    </w:p>
    <w:p>
      <w:pPr>
        <w:tabs>
          <w:tab w:val="left" w:pos="3870"/>
          <w:tab w:val="left" w:pos="4085"/>
        </w:tabs>
        <w:snapToGrid w:val="0"/>
        <w:spacing w:line="440" w:lineRule="exact"/>
        <w:ind w:firstLine="480" w:firstLineChars="200"/>
        <w:jc w:val="left"/>
        <w:rPr>
          <w:rFonts w:ascii="仿宋" w:hAnsi="仿宋" w:eastAsia="仿宋" w:cs="仿宋"/>
          <w:sz w:val="24"/>
          <w:highlight w:val="none"/>
          <w:lang w:val="pt-BR"/>
        </w:rPr>
      </w:pPr>
      <w:r>
        <w:rPr>
          <w:rFonts w:hint="eastAsia" w:ascii="仿宋" w:hAnsi="仿宋" w:eastAsia="仿宋" w:cs="仿宋"/>
          <w:sz w:val="24"/>
          <w:highlight w:val="none"/>
        </w:rPr>
        <w:t>3.2离子源</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3.2.1EI（标配）</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▲3.2.2离子源温度：独立控温，145 ～ 350℃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3.2.3双灯丝设计，双灯丝分别安装在离子源盒的两侧，位置完全对称，非双灯丝在同侧。须提供质谱离子源部位的图片证明。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3.2.4GCMS 接口温度：50 ～ 350℃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▲3.2.5离子源采用前开门式设计，非侧开门式。可从仪器正前面进行灯丝更换，维护离子源和灯丝时无需暴露四极杆，须提供质谱离子源部位前开门设计的图片证明。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3.3质量分析器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★3.3.1配备预四极的高精度全金属钼四极杆，预四极可转动，无须控温更优，且主四极杆可清洗打磨，有效抗污染。预四极杆要求为非S型，避免出现死体积点和污染点。</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3.3.2四极杆以不控温为优，无需控温即可实现0.1amu/48h稳定。</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3.3.3四极杆具有自动优化加速功能：对于高质量端离子的自动电场补偿技术，提升离子通过四极杆的速度，以提升全质量范围的信号质量，在高速扫描时保证数据灵敏度和质谱图正确性。</w:t>
      </w:r>
      <w:r>
        <w:rPr>
          <w:rFonts w:hint="eastAsia" w:ascii="仿宋" w:hAnsi="仿宋" w:eastAsia="仿宋" w:cs="仿宋"/>
          <w:sz w:val="24"/>
          <w:highlight w:val="none"/>
          <w:lang w:val="pt-BR"/>
        </w:rPr>
        <w:t>须提供此技术的证明材料。</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3.3.4  Q2采用八极杆超快速碰撞室，实现快速MRM性能，能有效消除记忆效应和交叉污染。</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▲3.3.5碰撞池采用氩气作为碰撞气,无需使用昂贵的氦气。</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3.3.6 Q3离轴设计，降低中性分子引起的背景噪声。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3.4扫描功能</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3.4.1支持多种监测模式的同时扫描,例如Scan/MRM同时扫描、Scan/Product Ion Scan同时扫描，须提供采用“Scan/MRM同时扫描”和“Scan/Product Ion Scan同时扫描”分析样品的应用报告。</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3.4.2提供最大程度的减小高速扫描时数据灵敏度下降和质谱图正确性下降的问题的解决方案或技术说明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3.5检测系统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3.5.1配备能去除中性噪声的透镜系统（</w:t>
      </w:r>
      <w:r>
        <w:rPr>
          <w:rFonts w:hint="eastAsia" w:ascii="仿宋" w:hAnsi="仿宋" w:eastAsia="仿宋" w:cs="仿宋"/>
          <w:sz w:val="24"/>
          <w:highlight w:val="none"/>
          <w:lang w:val="pt-BR"/>
        </w:rPr>
        <w:t>须提供此技术的证明材料，以专利技术为优</w:t>
      </w:r>
      <w:r>
        <w:rPr>
          <w:rFonts w:hint="eastAsia" w:ascii="仿宋" w:hAnsi="仿宋" w:eastAsia="仿宋" w:cs="仿宋"/>
          <w:sz w:val="24"/>
          <w:highlight w:val="none"/>
        </w:rPr>
        <w: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3.6真空系统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▲3.6.1配置 ≧400L/s 双入口差动式涡轮分子泵排气系统。须提供涡轮分子泵抽力的证明图片。</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3.6.2标配皮拉尼真空规和离子规，须提供质谱仪上皮拉尼真空规和离子规位置的仪器图片和软件工作站上显示低真空度和高真空度的截图证明。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3.7数据处理系统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▲3.7.1支持全中文GCMSMS工作站，可调入单极GCMS方法，支持Excel表格与 MRM 表格的互相拷贝粘贴；支持Smart MRM数据库：包含1000种以上的农药、环境污染物、法医毒物、代谢物的MRM参数、CAS号、中文名称、英文名称、日文名称和保留指数，自动创建MRM仪器方法。每个化合物包含至少6个MRM通道。要求MRM数据库具备分组管理功能，可自行添加分组,完成本实验室检测要求的专属应急分组数据库一套；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3.7.2配置MRM自动优化工具，支持任意设置碰撞池CE能量范围和间隔，可自动创建批处理表格，自动处理相关数据文件，自动添加新增MRM参数至数据库中。</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3.7.3同一套软件可自由设置成单极四极杆模式及串联四极杆模式切换使用，串联四极杆仪器当做单极四极杆模式使用时，无离子信号损失，要求检测灵敏度与同品牌单四极杆高端型号相当。</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4、仪器配置及数量：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bookmarkStart w:id="14" w:name="_Hlk525069728"/>
      <w:bookmarkStart w:id="15" w:name="_Hlk93754324"/>
      <w:r>
        <w:rPr>
          <w:rFonts w:hint="eastAsia" w:ascii="仿宋" w:hAnsi="仿宋" w:eastAsia="仿宋" w:cs="仿宋"/>
          <w:sz w:val="24"/>
          <w:highlight w:val="none"/>
        </w:rPr>
        <w:t>4.1气相色谱串联质谱联用仪1套，包含：毛细管色谱柱2支，分流/不分流进样口1套，150位液体自动进样器1套，大容量载气净化装置1套，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4.2中文工作站操作软件1套 ，配套公安用SmartMRM数据谱库1套；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4.3操作工作站一套：i7处理器，8G内存，1T硬盘，主流操作系统；具有A3幅面的彩色激光打印、复印、扫描一体机1台；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4.4消耗品包括：惰性化衬管10支，灯丝10个，皮拉尼真空规和离子规，以及含微量进样针、分子筛过滤器、O型圈，压环等一年用的耗材；样品瓶200只（含配套盖和垫）； </w:t>
      </w:r>
      <w:bookmarkEnd w:id="14"/>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4.5氦气钢瓶1只，减压阀1只</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4.6氩气钢瓶1只，减压阀1只</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4.7 UPS电源6KV以上/1小时 1套</w:t>
      </w:r>
    </w:p>
    <w:bookmarkEnd w:id="15"/>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5、总体售后服务要求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5.1安装：中标人按照制造商的要求免费安装和调试。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5.2保修：仪器在验收通过后提供3年的整机保修服务，在保修期内，所有服务及配件全部免费，保修期外，用户可用人民币结算相关费用。免费提供相关操作软件的升级服务。</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5.3投标仪器必须在用户所在省内有稳定的售后服务体系。仪器设备出现故障时，供货方维修人员必须在12小时做出明确答复，2日内派维修人员到达用户现场维修。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培训仪器安装后，在用户安装现场，提供免费培训，使掌握仪器具体操作内容，包括仪器的基本原理、操作、日常维护及基础分析仪器理论和上机操作等。原厂免费集中培训2人次，在供应方国内培训机构进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5.5文件资料：由供货方提供样本、使用及安装、调试、维修手册。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5.6交货期：合同生效之日起90天内。</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5.7付款方式：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5.8消耗品、维修零配件请根据商务技术（资信）文件部分附件第19表格内容进行填写，作为以后购买消耗品、维修零配件价格依据。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5.9验收标准：（1）设备到货后，乙方与甲方共同对所有设备进行开箱检查、出现损坏、数量不全或产品不对等问题时，由乙方负责。</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（2）乙方负责设备使用前的安装、调试，并培训甲方的使用操作人员，设备安装调试正常运行后，乙方提出验收申请由甲方组织进行验收，如设备主要性能达到招标参数及合同要求， 则视为最终验收通过。</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（3）必要时甲方可委托第三方检测机构对设备进行计量检定。</w:t>
      </w:r>
    </w:p>
    <w:p>
      <w:pPr>
        <w:pStyle w:val="2"/>
        <w:rPr>
          <w:rFonts w:ascii="仿宋" w:hAnsi="仿宋" w:eastAsia="仿宋" w:cs="仿宋"/>
          <w:b/>
          <w:bCs/>
          <w:highlight w:val="none"/>
        </w:rPr>
      </w:pPr>
    </w:p>
    <w:p>
      <w:pPr>
        <w:pStyle w:val="2"/>
        <w:rPr>
          <w:rFonts w:ascii="仿宋" w:hAnsi="仿宋" w:eastAsia="仿宋" w:cs="仿宋"/>
          <w:b/>
          <w:bCs/>
          <w:highlight w:val="none"/>
        </w:rPr>
      </w:pPr>
      <w:r>
        <w:rPr>
          <w:rFonts w:hint="eastAsia" w:ascii="仿宋" w:hAnsi="仿宋" w:eastAsia="仿宋" w:cs="仿宋"/>
          <w:b/>
          <w:bCs/>
          <w:highlight w:val="none"/>
          <w:bdr w:val="single" w:color="auto" w:sz="4" w:space="0"/>
        </w:rPr>
        <w:t>02标</w:t>
      </w:r>
      <w:r>
        <w:rPr>
          <w:rFonts w:hint="eastAsia" w:ascii="仿宋" w:hAnsi="仿宋" w:eastAsia="仿宋" w:cs="仿宋"/>
          <w:b/>
          <w:bCs/>
          <w:highlight w:val="none"/>
        </w:rPr>
        <w:t>绍兴市公安局顶空双柱气相色谱仪设备采购项目（预算：400000.00元）</w:t>
      </w:r>
    </w:p>
    <w:p>
      <w:pPr>
        <w:pStyle w:val="2"/>
        <w:rPr>
          <w:rFonts w:ascii="仿宋" w:hAnsi="仿宋" w:eastAsia="仿宋" w:cs="仿宋"/>
          <w:b/>
          <w:bCs/>
          <w:highlight w:val="none"/>
        </w:rPr>
      </w:pPr>
    </w:p>
    <w:p>
      <w:pPr>
        <w:tabs>
          <w:tab w:val="left" w:pos="3870"/>
          <w:tab w:val="left" w:pos="4085"/>
        </w:tabs>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顶空双柱气相色谱仪技术参数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一、用途：</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双通道血醇分析仪，采用双色谱柱，通过静态顶空分析血醇浓度；要求一次进样后通过分流，样品同时同步进入到双色谱柱系统中，进行分析，提供精准的检测数据及图谱，检测易挥发性的乙醇、甲醇、正丙醇、异丙醇等物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二、技术要求：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2.1网络化控制：远程访问功能允许直接通过智能手机或平板电脑远程访问实验室GC主机，须提供“手机和平板电脑上GC操控软件界面”截图证明。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压力设定值和控制精度达到0.001psi，提供更精确的大气压和温度补偿；气相色谱仪面板触摸式操作，键盘可以输入色谱柱信息、气相分析的参数以及实时显示气相色谱仪的各种参数状态，以及通过仪器面板就可以进入维护和服务模式，预编程的泄漏测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2.3柱温度箱</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2.3.1温度范围：室温以上3˚C~450˚C；</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2.3.2气相色谱主机采用不小于7英寸的彩色触摸屏进行操控，须提供主机彩色触摸屏的图片证明；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★2.3.3程序升温速度：≧240˚C/min；支持程序升温阶：≧29阶30平台；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2.3.4降温速度：从450˚C 降至50˚C≤4min；</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2.3.5具有一键设置柱温箱降温速率功能，可依据不同色谱柱自由设置降温速率，有效延长色谱柱使用寿命。须提供“一键设置柱温箱降温速率”的主机触摸屏界面截图证明；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▲2.3.6柱温箱内置耐高温智能灯，柱箱门开启时自动点亮，照亮柱箱内空间方便安装和更换色谱柱。</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2.4进样口系统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2.4.1配备全自动电子流量控制系统AFC，具备室温补偿和自动环境补偿功能支持恒流，恒压，压力脉冲等操作模式；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2.4.2最高使用温度：≥350˚C；</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2.4.3压力设定范围：0~150psi，控制精度：0.001psi；</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2.4.4隔垫吹扫流量电子控制可消除鬼峰；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2.4.5流量设定范围：0～1280mL/min，He；0～550mL/min，N2；</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★2.4.6不使用任何工具即可打开/关闭进样口，进行衬管等的更换，提供此技术的证明材料；</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2.4.7压力/流量控制段数：≥7段；</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▲2.4.8最大分流比：≥9990:1；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2.5火焰离子化检测器（FID）；</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2.5.1最低检测限：≤1.3×10-12g/s ( 十二烷 )（提供权威单位计量检定证明）；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2.5.2线性动态范围：≧10</w:t>
      </w:r>
      <w:r>
        <w:rPr>
          <w:rFonts w:hint="eastAsia" w:ascii="仿宋" w:hAnsi="仿宋" w:eastAsia="仿宋" w:cs="仿宋"/>
          <w:sz w:val="24"/>
          <w:highlight w:val="none"/>
          <w:vertAlign w:val="superscript"/>
        </w:rPr>
        <w:t>7</w:t>
      </w:r>
      <w:r>
        <w:rPr>
          <w:rFonts w:hint="eastAsia" w:ascii="仿宋" w:hAnsi="仿宋" w:eastAsia="仿宋" w:cs="仿宋"/>
          <w:sz w:val="24"/>
          <w:highlight w:val="none"/>
        </w:rPr>
        <w: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2.5.3数据采集速率≧500 Hz；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2.6顶空自动进样器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▲2.6.1样品位：≥90个样品位数，具有≥12位同时加热位，要求气相色谱仪同一品牌,全中文软件控制；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2.6.2恒温炉温度范围：室温+10℃至300℃（1℃增量，精度±0.1℃）；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2.6.3加热方式：电子加热；</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2.6.4加热孔数量：12个样品瓶位旋转托盘；</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2.6.5加热时间：0 ～ 999.99 min ( 以0.01 分钟为单位设置)；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2.6.6在常规单一提取模式下采用重叠加热方式，保持每个样品瓶恒定的加热时间；</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▲2.6.7区域温度：所有区域温度可分别设定， 恒温箱温度加热设定范围：≧300℃，传输管线设定范围：≧300℃。</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bookmarkStart w:id="16" w:name="_Hlk93753705"/>
      <w:r>
        <w:rPr>
          <w:rFonts w:hint="eastAsia" w:ascii="仿宋" w:hAnsi="仿宋" w:eastAsia="仿宋" w:cs="仿宋"/>
          <w:sz w:val="24"/>
          <w:highlight w:val="none"/>
        </w:rPr>
        <w:t>三、配置清单：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3.1气相色谱仪1套，包含：分流不分流进样口1个，FID检测器x2个，毛细管色谱柱2根（BAC2，30m×0.32mm×1.2μm 1根 ，BAC1，30m×0.32mm×1.8μm 1根）</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3.2中文操作软件1套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 90位以上顶空自动进样器1套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3.4样品瓶200只（含配套盖和垫），专用封盖器 和 启盖器各一套；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3.5操作工作站一套：i7处理器，8G内存，1T硬盘，主流操作系统；彩色激光打印机一台；</w:t>
      </w:r>
    </w:p>
    <w:bookmarkEnd w:id="16"/>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3.6空气发生器、氢气发生器各一套。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3.7氮气钢瓶1只，减压阀1只。</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四、总体售后服务要求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4.1安装：中标人按照制造商的要求免费安装和调试。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4.2保修：仪器在验收通过后提供3年的整机保修服务，在保修期内，所有服务及配件全部免费，保修期外，用户可用人民币结算相关费用。免费提供相关操作软件的升级服务。</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4.3投标仪器必须在用户所在省内有稳定的售后服务体系。仪器设备出现故障时，供货方维修人员必须在12小时做出明确答复，2日内派维修人员到达用户现场维修。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培训仪器安装后，在用户安装现场，提供免费培训，使掌握仪器具体操作内容，包括仪器的基本原理、操作、日常维护及基础分析仪器理论和上机操作等。原厂免费集中培训2人次，在供应方国内培训机构进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4.5文件资料：由供货方提供样本、使用及安装、调试、维修手册。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4.6交货期：合同生效之日起90天内。</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4.7付款方式：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4.8消耗品、维修零配件请根据商务技术（资信）文件部分附件第19表格内容进行填写，作为以后购买消耗品、维修零配件价格依据。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4.9验收标准：（1）设备到货后，乙方与甲方共同对所有设备进行开箱检查、出现损坏、数量不全或产品不对等问题时，由乙方负责。</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（2）乙方负责设备使用前的安装、调试，并培训甲方的使用操作人员，设备安装调试正常运行后，乙方提出验收申请由甲方组织进行验收，如设备主要性能达到招标参数及合同要求， 则视为最终验收通过。</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（3）必要时甲方可委托第三方检测机构对设备进行计量检定。</w:t>
      </w:r>
    </w:p>
    <w:p>
      <w:pPr>
        <w:pStyle w:val="2"/>
        <w:rPr>
          <w:rFonts w:ascii="仿宋" w:hAnsi="仿宋" w:eastAsia="仿宋" w:cs="仿宋"/>
          <w:b/>
          <w:bCs/>
          <w:highlight w:val="none"/>
        </w:rPr>
      </w:pPr>
    </w:p>
    <w:p>
      <w:pPr>
        <w:pStyle w:val="2"/>
        <w:rPr>
          <w:rFonts w:ascii="仿宋" w:hAnsi="仿宋" w:eastAsia="仿宋" w:cs="仿宋"/>
          <w:b/>
          <w:bCs/>
          <w:highlight w:val="none"/>
        </w:rPr>
      </w:pPr>
    </w:p>
    <w:p>
      <w:pPr>
        <w:pStyle w:val="2"/>
        <w:rPr>
          <w:rFonts w:ascii="仿宋" w:hAnsi="仿宋" w:eastAsia="仿宋" w:cs="仿宋"/>
          <w:b/>
          <w:bCs/>
          <w:highlight w:val="none"/>
        </w:rPr>
      </w:pPr>
      <w:r>
        <w:rPr>
          <w:rFonts w:hint="eastAsia" w:ascii="仿宋" w:hAnsi="仿宋" w:eastAsia="仿宋" w:cs="仿宋"/>
          <w:b/>
          <w:bCs/>
          <w:highlight w:val="none"/>
          <w:bdr w:val="single" w:color="auto" w:sz="4" w:space="0"/>
        </w:rPr>
        <w:t>03标</w:t>
      </w:r>
      <w:r>
        <w:rPr>
          <w:rFonts w:hint="eastAsia" w:ascii="仿宋" w:hAnsi="仿宋" w:eastAsia="仿宋" w:cs="仿宋"/>
          <w:b/>
          <w:bCs/>
          <w:highlight w:val="none"/>
        </w:rPr>
        <w:t>绍兴市公安局全自动液液提取前处理设备采购项目（预算：950000.00元）</w:t>
      </w:r>
    </w:p>
    <w:p>
      <w:pPr>
        <w:pStyle w:val="2"/>
        <w:rPr>
          <w:rFonts w:ascii="仿宋" w:hAnsi="仿宋" w:eastAsia="仿宋" w:cs="仿宋"/>
          <w:b/>
          <w:bCs/>
          <w:highlight w:val="none"/>
        </w:rPr>
      </w:pPr>
    </w:p>
    <w:p>
      <w:pPr>
        <w:tabs>
          <w:tab w:val="left" w:pos="3870"/>
          <w:tab w:val="left" w:pos="4085"/>
        </w:tabs>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全自动液液提取前处理设备技术参数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1、功能要求：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全自动化液液萃取平台，要求具有低较差污染、蛋白质等生物杂质去除和样品快速浓缩等功能。符合行业标准的样品处理要求，高速离心法去除复杂基质，配合毒物、药物分析中常见的GC/MS、LC-MS/MS等有效降低分析结果中基质效应的影响。</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本品适用于多种生物样品的制备及预处理，可适用于血液、尿液、毛发、唾液、胆汁等多类生物样品的自动化样品萃取。</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萃取模式可适用于液液萃取、基质分散萃取、枪头内填充固相萃取填料模式下的SPE固相萃取；液液萃取模式下可实现单次萃取、双次萃取合并浓缩、酸碱反提取杂质去除以及更加复杂的萃取流程。一经上样，选择程序即可开始工作，全流程无需手工参与样品预处理任何流程。处理后重溶解或定容后的生物样品萃取液可以自动化填装2mL常用分析仪器使用的液体进样瓶，无需手工装填。</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体积小巧可存放于通风厨内操作: 长不超过600 mm x 宽不超过590 mm x 高不超过595 mm；</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★1.2可实现全自动移液、溶剂添加、振荡、离心、快速浓缩（减压蒸馏或顶吹空气干燥）、自动监测样品乳化等功能。</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配备溶剂断流检测传感器：当溶剂遗撒在仪器内部会增加空气中溶剂浓度，传感器报警，防止溶剂向外部挥散污染环境。有效避免样品浓缩过程中有毒、有害生物污染物对操作者的感染。</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 具有防护功能：配备前置防护面板，有效实现工作过程中机体的封闭，后置通风管路及换气风扇将所有产生的有毒有害尾气及污染物抽离机体内部。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★1.5实现萃取溶液存量监控功能，液体剩余量不足时可自动报警。同时可实现溶剂瓶自动加盖，取液时自动移开瓶盖功能。</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 配备移液机械臂：可用于液体移取，实现X轴，Y轴程序化移动，配备可升降移液组件实现Z轴升降式移动；配备枪头的移液组件，可自动安装移液枪头，可自动丢弃移液枪头，，有效避免移取溶液时的交叉污染发生。内置乳化检测传感器：可设置乳化程度 1 – 16档位，1挡为两相分液面完全澄清；16档位为完全浑浊；</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 主机配备控制面板，物理按键设计，有效避免误操作，无需电脑及配套软件联机即可独立完成操作程序。也可实现PC联机，有专用软件，用户操控界面，软件可视化管理，软件控制情况下，可编程设计萃取流程。</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 可自动添加缓冲盐溶液，调节pH值，可以设定酸性或碱性萃取模式，可酸碱反相提取以实现样品净化。</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1.9 震荡、高速离心功能在统一单元内自动完成，无需手动转移。内置高转数振荡、离心一体机：离心转数不少于6000rpm，内置有3种振荡萃取强度，可在程序中设定：“SOFT、MED、HARD”；</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▲1.10 蒸发干燥单元（VHD）可实现85℃以上的加热功能，振荡模式可设定振荡强度1 - 9 （控制软件端设定）：　单次液体最大上样体积：≥4 mL；　离心最高转数 ：≥6300 rpm；单试管模式下单次最大离心液体体积： ≥7 mL；双管同时离心情况下单次上样最大离心液体体积：≥14mL；</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1.11 双量程移液泵，保证移液精密度：</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1.11.1 固定针模式：针泵1ml，移液重现性≦0.75 %, 移液精密度±2 %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1.11.2 枪头模式：针泵1ml，，移液重现性≦0.75 %, 移液精密度±1 %</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1.12 根据设置的标准测序的参数条件，液-液萃取分离到蒸发干燥硬化的处理中，单个检测样品的处理时间10分钟以内，仅进行液-液萃取分离，单个样品最快可在4分钟以内处理完毕；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▲1.13 检测样品容器（样品瓶）的容量不小于9mL，样品瓶架可放置不少于25个检测样品，内置传感器，可自动监测萃取液是否乳化。试剂分注注射泵容量为2.5mL，在操作面板上可以设置分注量。可设置的最小分注量为10μL；</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1.14 可以设置6只试剂瓶，通过制作自定义程序，可以分别使用6种试剂；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1.15 仪器上可放置溶剂瓶规格：85.5mL，50mL，14mL三种可选；</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1.16 设备的背面配备PVC排气软管（内径不小于50mm），可实现主动通风，防止溶剂污染。在标准测序中，乳剂传感器检测出样品乳化，可再次利用离心单元促使其分离，二次使用乳剂传感器进行检查，此时若仍然不通过，则此检测样品自动回到原样品瓶架的位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2、配置要求：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 液液萃取主机1套，配套14ml，50ml，85ml溶剂瓶各8个，含有机溶剂防断流传感器1套，设备启动包1套；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 相关消耗品：专用样品试管 1500个，自动进样器进样小瓶及盖子（2mL 1000个），专用移液枪头1000个;</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3、总体售后服务要求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 安装：中标人按照制造商的要求免费安装和调试。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 保修：仪器在验收通过后提供3年的整机保修服务，在保修期内，所有服务及配件全部免费，免费提供相关操作软件的升级服务。</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 投标仪器必须在用户所在省内有稳定的售后服务体系。仪器设备出现故障时，供货方维修人员必须在12小时做出明确答复，2日内派维修人员到达用户现场维修。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 培训仪器安装后，在用户安装现场，提供免费培训，使掌握仪器具体操作内容，包括仪器的基本原理、操作、日常维护及基础分析仪器理论和上机操作等。原厂免费集中培训2人次，在供应方国内培训机构进行。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 文件资料：由供货方提供样本、使用及安装、调试手册。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 交货期：合同生效之日起90天内。</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3.7付款方式：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3.8消耗品、维修零配件请根据商务技术（资信）文件部分附件第19表格内容进行填写，作为以后购买消耗品、维修零配件价格依据。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3.9验收标准：（1）设备到货后，乙方与甲方共同对所有设备进行开箱检查、出现损坏、数量不全或产品不对等问题时，由乙方负责。</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（2）乙方负责设备使用前的安装、调试，并培训甲方的使用操作人员，设备安装调试正常运行后，乙方提出验收申请由甲方组织进行验收，如设备主要性能达到招标参数及合同要求， 则视为最终验收通过。</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（3）必要时甲方可委托第三方检测机构对设备进行计量检定。</w:t>
      </w:r>
    </w:p>
    <w:p>
      <w:pPr>
        <w:pStyle w:val="2"/>
        <w:rPr>
          <w:rFonts w:ascii="仿宋" w:hAnsi="仿宋" w:eastAsia="仿宋" w:cs="仿宋"/>
          <w:b/>
          <w:bCs/>
          <w:highlight w:val="none"/>
        </w:rPr>
      </w:pPr>
    </w:p>
    <w:p>
      <w:pPr>
        <w:pStyle w:val="2"/>
        <w:rPr>
          <w:rFonts w:ascii="仿宋" w:hAnsi="仿宋" w:eastAsia="仿宋" w:cs="仿宋"/>
          <w:b/>
          <w:bCs/>
          <w:highlight w:val="none"/>
        </w:rPr>
      </w:pPr>
    </w:p>
    <w:p>
      <w:pPr>
        <w:pStyle w:val="2"/>
        <w:rPr>
          <w:rFonts w:ascii="仿宋" w:hAnsi="仿宋" w:eastAsia="仿宋" w:cs="仿宋"/>
          <w:b/>
          <w:bCs/>
          <w:highlight w:val="none"/>
        </w:rPr>
      </w:pPr>
      <w:r>
        <w:rPr>
          <w:rFonts w:hint="eastAsia" w:ascii="仿宋" w:hAnsi="仿宋" w:eastAsia="仿宋" w:cs="仿宋"/>
          <w:b/>
          <w:bCs/>
          <w:highlight w:val="none"/>
          <w:bdr w:val="single" w:color="auto" w:sz="4" w:space="0"/>
        </w:rPr>
        <w:t>04标</w:t>
      </w:r>
      <w:r>
        <w:rPr>
          <w:rFonts w:hint="eastAsia" w:ascii="仿宋" w:hAnsi="仿宋" w:eastAsia="仿宋" w:cs="仿宋"/>
          <w:b/>
          <w:bCs/>
          <w:highlight w:val="none"/>
        </w:rPr>
        <w:t>绍兴市公安局傅立叶变换红外光谱仪设备采购项目（预算：250000.00元）</w:t>
      </w:r>
    </w:p>
    <w:p>
      <w:pPr>
        <w:pStyle w:val="2"/>
        <w:rPr>
          <w:rFonts w:ascii="仿宋" w:hAnsi="仿宋" w:eastAsia="仿宋" w:cs="仿宋"/>
          <w:b/>
          <w:bCs/>
          <w:highlight w:val="none"/>
        </w:rPr>
      </w:pPr>
    </w:p>
    <w:p>
      <w:pPr>
        <w:tabs>
          <w:tab w:val="left" w:pos="3870"/>
          <w:tab w:val="left" w:pos="4085"/>
        </w:tabs>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傅立叶变换红外光谱仪技术参数</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1.光谱范围：7800~350cm-1。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 光谱分辨率：不低于0.9cm-1。用户可根据测试需要，将光谱分辨率自由设置成0.9cm-1，2cm-1，4cm-1，8cm-1，16cm-1等。</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 波数准确度：±0.1cm-1。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 波数重复度：±0.0005cm-1。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 信噪比：不低于30000:1（4cm-1光谱分辨率，1分钟扫描，峰-峰值，KBr窗片）。</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 透过率重复性：优于0.1%T。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 吸光度重复性：优于0.002Abs。</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 杂散光：≤0.1%T。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 吸光度动态范围：≥2.5Abs。</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10. 光源：高强度中远红外SiN陶瓷光源，空气冷却。</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 30°角入射迈克尔逊干涉仪，能量利用率高，线性导轨动镜驱动机构，可实现高精度的直线往复运动。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暗噪声：≤0.05%T。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动态准直功能，可以在开机自检和实际光谱扫描过程中实现自动准直和实时准直。</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 分束器：多层镀Ge防潮型KBr分束器，分束器通光直径不小于40mm，双面CaF2防潮镀层。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 分束器厚度与分束器补偿片厚度差异&lt;10μm，减小能量光谱图中干涉条纹干扰（1000cm-1处本底光谱干涉条纹峰-峰值实测值&lt;1%Emax）。</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 线性度日间稳定性：优于1%。</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 激光器：温控型半导体激光器，受温度影响小，寿命长。</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 检测器：要求为半导体控温型高灵敏度DLATGS检测器，内置电子温度调节装置以保证良好的稳定性，封装采用永久防潮的KRS-5光学窗片，确保不会因受潮导致检测器损坏。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19. 样品室光学窗片采用新型的特氟龙镀层KBr光学窗片，既保证长期可靠的防潮性能，也同时保证相对高的光通量。样品室光学窗片可由用户自行更换。</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20. 仪器有外在明显的湿度电子指示灯和纸基湿度指示剂，并在软件中有湿度实时监控。</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 软件功能模块：包括光谱扫描、光度测定、定量（单组份/多组分同时定量）、时间程序测定（选配）、再解析、简单宏程序等模块。</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 数据处理功能：包括四则数学运算、归一化、基线校正、平滑、导数、截断、连接、插值、频率转换、时间-温度转换、峰检测、膜厚/池厚计算、数据集运算、纯度计算、解卷积、傅立叶变换、K-M变换、K-K变换、高级ATR校正、分峰拟合、大气校正、3D数据处理、3D数据抽取等。</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 自动分析助手：包括药典报告程序（定性鉴别）；异物分析程序（混合物分析，自动解析可能的主成分和次要成分，无需提前提供组分种数）；食品添加剂鉴别程序。向导式软件模块：提供23个标准应用的工作流，只需简单选择分析目的和所用附件，不用设置任何参数，即可实现一键测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 定量模块：可以用峰高、峰面积、峰比率等建立多点标准曲线定量；计算得到的浓度可以自动应用到用户自定义的方程中；可自动进行合格与否的判定；可进行CLS/PLS等多变量统计分析。</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 光谱检索功能：可基于光谱检索，也可基于峰检索、文本检索或组合检索；用户可自建库（支持中文路径）；可使用用户自建谱库，也可使用Sadtler谱库等第三方商品谱库。</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26. 数据格式兼容性：可以导入导出通用光谱格式JCAMP（*.dx，*.jdx）文件，以及纯文本格式ASCII（*.txt，*.asc）文件。方便打开其他程序得到的光谱原始数据或在第三方软件上直接导入使用。</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27. 硬件监控：开机自诊断，初始化检查光路、电路及信号系统的状态；实时状态监控，自动检查光源和激光器的开关状态、干涉仪内部的湿度、安装在样品室的附件信息、分束器的类型；自动记录光源和激光器的已使用小时数；自动提示下次定期检查的建议日期</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rPr>
        <w:t>▲28.支持携带外出；样品室尺寸不小于200(W)×140(D)×100(H) mm，以方便兼容多种红外附件</w:t>
      </w:r>
      <w:r>
        <w:rPr>
          <w:rFonts w:hint="eastAsia" w:ascii="仿宋" w:hAnsi="仿宋" w:eastAsia="仿宋" w:cs="仿宋"/>
          <w:sz w:val="24"/>
          <w:highlight w:val="none"/>
          <w:lang w:eastAsia="zh-CN"/>
        </w:rPr>
        <w:t>。</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二 配置清单及数量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  红外主机一套，带气体池分析，</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 单次反射ATR附件：一体式ATR，金刚石晶体，带附件自动识别功能。ATR能够对各种难以制样的样品进行直接检测，特别是纤维、塑料、橡胶等样品</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 带中文版工作站及1万张以上谱图；</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3：总体售后服务要求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3.1.安装：中标人按照制造商的要求免费安装和调试。</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3.2.保修：仪器在验收通过后提供3年的整机保修服务，在保修期内，所有服务及配件全部免费，保修期外，用户可用人民币结算相关费用。免费提供相关操作软件的升级服务。</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 投标仪器必须在用户所在省内有稳定的售后服务体系。仪器设备出现故障时，供货方维修人员必须在12小时做出明确答复，2日内派维修人员到达用户现场维修。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培训仪器安装后，在用户安装现场，提供免费培训，使掌握仪器具体操作内容，包括仪器的基本原理、操作、日常维护及基础分析仪器理论和上机操作等。原厂免费集中培训2人次，在供应方国内培训机构进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3.5.文件资料：由供货方提供样本、使用及安装、调试、维修手册。</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3.6：交货期：合同生效之日起90天内。</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3.7付款方式：</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3.8消耗品、维修零配件请根据商务技术（资信）文件部分附件第19表格内容进行填写，作为以后购买消耗品、维修零配件价格依据。</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3.9验收标准：（1）设备到货后，乙方与甲方共同对所有设备进行开箱检查、出现损坏、数量不全或产品不对等问题时，由乙方负责。</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（2）乙方负责设备使用前的安装、调试，并培训甲方的使用操作人员，设备安装调试正常运行后，乙方提出验收申请由甲方组织进行验收，如设备主要性能达到招标参数及合同要求， 则视为最终验收通过。</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（3）必要时甲方可委托第三方检测机构对设备进行计量检定。</w:t>
      </w:r>
    </w:p>
    <w:bookmarkEnd w:id="7"/>
    <w:bookmarkEnd w:id="12"/>
    <w:bookmarkEnd w:id="13"/>
    <w:p>
      <w:pPr>
        <w:pStyle w:val="23"/>
        <w:pageBreakBefore/>
        <w:spacing w:line="800" w:lineRule="exact"/>
        <w:ind w:firstLine="726"/>
        <w:jc w:val="center"/>
        <w:rPr>
          <w:rFonts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78"/>
        <w:rPr>
          <w:rFonts w:ascii="仿宋" w:hAnsi="仿宋" w:eastAsia="仿宋"/>
          <w:szCs w:val="24"/>
          <w:highlight w:val="none"/>
        </w:rPr>
      </w:pPr>
    </w:p>
    <w:p>
      <w:pPr>
        <w:pStyle w:val="278"/>
        <w:rPr>
          <w:rFonts w:ascii="仿宋" w:hAnsi="仿宋" w:eastAsia="仿宋"/>
          <w:szCs w:val="24"/>
          <w:highlight w:val="none"/>
        </w:rPr>
      </w:pPr>
    </w:p>
    <w:p>
      <w:pPr>
        <w:pStyle w:val="278"/>
        <w:jc w:val="center"/>
        <w:rPr>
          <w:rFonts w:ascii="仿宋" w:hAnsi="仿宋" w:eastAsia="仿宋"/>
          <w:szCs w:val="24"/>
          <w:highlight w:val="none"/>
        </w:rPr>
      </w:pPr>
    </w:p>
    <w:p>
      <w:pPr>
        <w:pStyle w:val="278"/>
        <w:ind w:firstLine="2843" w:firstLineChars="1180"/>
        <w:rPr>
          <w:rFonts w:ascii="仿宋" w:hAnsi="仿宋" w:eastAsia="仿宋"/>
          <w:b/>
          <w:szCs w:val="24"/>
          <w:highlight w:val="none"/>
        </w:rPr>
      </w:pPr>
      <w:r>
        <w:rPr>
          <w:rFonts w:hint="eastAsia" w:ascii="仿宋" w:hAnsi="仿宋" w:eastAsia="仿宋"/>
          <w:b/>
          <w:szCs w:val="24"/>
          <w:highlight w:val="none"/>
        </w:rPr>
        <w:t xml:space="preserve">第一部分  </w:t>
      </w:r>
      <w:r>
        <w:rPr>
          <w:rFonts w:ascii="仿宋" w:hAnsi="仿宋" w:eastAsia="仿宋"/>
          <w:b/>
          <w:szCs w:val="24"/>
          <w:highlight w:val="none"/>
        </w:rPr>
        <w:t xml:space="preserve"> </w:t>
      </w:r>
      <w:r>
        <w:rPr>
          <w:rFonts w:hint="eastAsia" w:ascii="仿宋" w:hAnsi="仿宋" w:eastAsia="仿宋"/>
          <w:b/>
          <w:szCs w:val="24"/>
          <w:highlight w:val="none"/>
        </w:rPr>
        <w:t>合同书</w:t>
      </w:r>
    </w:p>
    <w:p>
      <w:pPr>
        <w:pStyle w:val="278"/>
        <w:rPr>
          <w:rFonts w:ascii="仿宋" w:hAnsi="仿宋" w:eastAsia="仿宋"/>
          <w:szCs w:val="24"/>
          <w:highlight w:val="none"/>
        </w:rPr>
      </w:pPr>
    </w:p>
    <w:p>
      <w:pPr>
        <w:pStyle w:val="278"/>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79"/>
        <w:spacing w:before="120" w:line="22" w:lineRule="atLeast"/>
        <w:rPr>
          <w:rFonts w:ascii="仿宋" w:hAnsi="仿宋" w:eastAsia="仿宋"/>
          <w:szCs w:val="24"/>
          <w:highlight w:val="none"/>
        </w:rPr>
      </w:pPr>
    </w:p>
    <w:p>
      <w:pPr>
        <w:pStyle w:val="279"/>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rPr>
        <w:t>投标人</w:t>
      </w:r>
      <w:r>
        <w:rPr>
          <w:rFonts w:ascii="仿宋" w:hAnsi="仿宋" w:eastAsia="仿宋"/>
          <w:sz w:val="24"/>
          <w:highlight w:val="none"/>
          <w:u w:val="single"/>
        </w:rPr>
        <w:t>名称）</w:t>
      </w:r>
      <w:r>
        <w:rPr>
          <w:rFonts w:hint="eastAsia" w:ascii="仿宋" w:hAnsi="仿宋" w:eastAsia="仿宋"/>
          <w:sz w:val="24"/>
          <w:highlight w:val="none"/>
        </w:rPr>
        <w:t>为该项目中标投标人。现于中标通知书发出之日起三十日内，按照采购文件确定的事项签订本合同。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rPr>
        <w:t>投标人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7" w:name="_Toc2232"/>
      <w:bookmarkStart w:id="18" w:name="_Toc24059"/>
      <w:bookmarkStart w:id="19" w:name="_Toc302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7"/>
      <w:bookmarkEnd w:id="18"/>
      <w:bookmarkEnd w:id="1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20" w:name="_Toc21295"/>
      <w:bookmarkStart w:id="21" w:name="_Toc24300"/>
      <w:bookmarkStart w:id="22" w:name="_Toc27126"/>
      <w:r>
        <w:rPr>
          <w:rFonts w:ascii="仿宋" w:hAnsi="仿宋" w:eastAsia="仿宋"/>
          <w:b/>
          <w:sz w:val="24"/>
          <w:highlight w:val="none"/>
        </w:rPr>
        <w:t xml:space="preserve">1.2 </w:t>
      </w:r>
      <w:r>
        <w:rPr>
          <w:rFonts w:hint="eastAsia" w:ascii="仿宋" w:hAnsi="仿宋" w:eastAsia="仿宋"/>
          <w:b/>
          <w:sz w:val="24"/>
          <w:highlight w:val="none"/>
        </w:rPr>
        <w:t>货物</w:t>
      </w:r>
      <w:bookmarkEnd w:id="20"/>
      <w:bookmarkEnd w:id="21"/>
      <w:bookmarkEnd w:id="22"/>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3" w:name="_Toc21551"/>
      <w:bookmarkStart w:id="24" w:name="_Toc23292"/>
      <w:bookmarkStart w:id="25" w:name="_Toc21631"/>
      <w:r>
        <w:rPr>
          <w:rFonts w:ascii="仿宋" w:hAnsi="仿宋" w:eastAsia="仿宋"/>
          <w:b/>
          <w:sz w:val="24"/>
          <w:highlight w:val="none"/>
        </w:rPr>
        <w:t xml:space="preserve">1.3 </w:t>
      </w:r>
      <w:r>
        <w:rPr>
          <w:rFonts w:hint="eastAsia" w:ascii="仿宋" w:hAnsi="仿宋" w:eastAsia="仿宋"/>
          <w:b/>
          <w:sz w:val="24"/>
          <w:highlight w:val="none"/>
        </w:rPr>
        <w:t>价款</w:t>
      </w:r>
      <w:bookmarkEnd w:id="23"/>
      <w:bookmarkEnd w:id="24"/>
      <w:bookmarkEnd w:id="25"/>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6" w:name="_Toc10340"/>
      <w:bookmarkStart w:id="27" w:name="_Toc22618"/>
      <w:bookmarkStart w:id="28"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26"/>
      <w:bookmarkEnd w:id="27"/>
      <w:bookmarkEnd w:id="28"/>
      <w:r>
        <w:rPr>
          <w:rFonts w:hint="eastAsia" w:ascii="仿宋" w:hAnsi="仿宋" w:eastAsia="仿宋"/>
          <w:b/>
          <w:sz w:val="24"/>
          <w:highlight w:val="none"/>
        </w:rPr>
        <w:t>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9" w:name="_Toc2846"/>
      <w:bookmarkStart w:id="30" w:name="_Toc32071"/>
      <w:bookmarkStart w:id="31" w:name="_Toc19304"/>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9"/>
      <w:bookmarkEnd w:id="30"/>
      <w:bookmarkEnd w:id="31"/>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32" w:name="_Toc21423"/>
      <w:bookmarkStart w:id="33" w:name="_Toc27250"/>
      <w:bookmarkStart w:id="34" w:name="_Toc19554"/>
      <w:r>
        <w:rPr>
          <w:rFonts w:ascii="仿宋" w:hAnsi="仿宋" w:eastAsia="仿宋"/>
          <w:b/>
          <w:sz w:val="24"/>
          <w:highlight w:val="none"/>
        </w:rPr>
        <w:t xml:space="preserve">1.6 </w:t>
      </w:r>
      <w:r>
        <w:rPr>
          <w:rFonts w:hint="eastAsia" w:ascii="仿宋" w:hAnsi="仿宋" w:eastAsia="仿宋"/>
          <w:b/>
          <w:sz w:val="24"/>
          <w:highlight w:val="none"/>
        </w:rPr>
        <w:t>违约责任</w:t>
      </w:r>
      <w:bookmarkEnd w:id="32"/>
      <w:bookmarkEnd w:id="33"/>
      <w:bookmarkEnd w:id="34"/>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35" w:name="_Toc15583"/>
      <w:bookmarkStart w:id="36" w:name="_Toc28375"/>
      <w:bookmarkStart w:id="37" w:name="_Toc16021"/>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35"/>
      <w:bookmarkEnd w:id="36"/>
      <w:bookmarkEnd w:id="37"/>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8" w:name="_Toc15322"/>
      <w:bookmarkStart w:id="39" w:name="_Toc7245"/>
      <w:bookmarkStart w:id="40" w:name="_Toc11173"/>
      <w:r>
        <w:rPr>
          <w:rFonts w:ascii="仿宋" w:hAnsi="仿宋" w:eastAsia="仿宋"/>
          <w:b/>
          <w:sz w:val="24"/>
          <w:highlight w:val="none"/>
        </w:rPr>
        <w:t xml:space="preserve">1.8 </w:t>
      </w:r>
      <w:r>
        <w:rPr>
          <w:rFonts w:hint="eastAsia" w:ascii="仿宋" w:hAnsi="仿宋" w:eastAsia="仿宋"/>
          <w:b/>
          <w:sz w:val="24"/>
          <w:highlight w:val="none"/>
        </w:rPr>
        <w:t>合同生效</w:t>
      </w:r>
      <w:bookmarkEnd w:id="38"/>
      <w:bookmarkEnd w:id="39"/>
      <w:bookmarkEnd w:id="40"/>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41" w:name="_Toc331685783"/>
    </w:p>
    <w:p>
      <w:pPr>
        <w:pStyle w:val="278"/>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41"/>
    </w:p>
    <w:p>
      <w:pPr>
        <w:spacing w:line="560" w:lineRule="exact"/>
        <w:ind w:firstLine="482" w:firstLineChars="200"/>
        <w:outlineLvl w:val="0"/>
        <w:rPr>
          <w:rFonts w:ascii="仿宋" w:hAnsi="仿宋" w:eastAsia="仿宋"/>
          <w:b/>
          <w:sz w:val="24"/>
          <w:highlight w:val="none"/>
        </w:rPr>
      </w:pPr>
      <w:bookmarkStart w:id="42" w:name="_Ref467379101"/>
      <w:bookmarkStart w:id="43" w:name="_Toc259093669"/>
      <w:bookmarkStart w:id="44" w:name="_Ref467379214"/>
      <w:bookmarkStart w:id="45" w:name="_Ref467379205"/>
      <w:bookmarkStart w:id="46" w:name="_Ref467378463"/>
      <w:bookmarkStart w:id="47" w:name="_Ref467378404"/>
      <w:bookmarkStart w:id="48" w:name="_Ref467379195"/>
      <w:bookmarkStart w:id="49" w:name="_Toc28763"/>
      <w:bookmarkStart w:id="50" w:name="_Ref467379225"/>
      <w:bookmarkStart w:id="51" w:name="_Toc279701240"/>
      <w:bookmarkStart w:id="52" w:name="_Toc19614"/>
      <w:bookmarkStart w:id="53" w:name="_Toc487900349"/>
      <w:bookmarkStart w:id="54" w:name="_Toc16917"/>
      <w:bookmarkStart w:id="55" w:name="_Ref467379094"/>
      <w:bookmarkStart w:id="56" w:name="_Ref467379109"/>
      <w:bookmarkStart w:id="57" w:name="_Ref467378499"/>
      <w:r>
        <w:rPr>
          <w:rFonts w:ascii="仿宋" w:hAnsi="仿宋" w:eastAsia="仿宋"/>
          <w:b/>
          <w:sz w:val="24"/>
          <w:highlight w:val="none"/>
        </w:rPr>
        <w:t xml:space="preserve">2.1 </w:t>
      </w:r>
      <w:r>
        <w:rPr>
          <w:rFonts w:hint="eastAsia" w:ascii="仿宋" w:hAnsi="仿宋" w:eastAsia="仿宋"/>
          <w:b/>
          <w:sz w:val="24"/>
          <w:highlight w:val="none"/>
        </w:rPr>
        <w:t>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“合同”系指采购人和中标投标人签订的载明双方当事人所达成的协议，并包括所有的附件、附录和构成合同的其他文件。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“合同价”系指根据合同约定，中标投标人在完全履行合同义务后，采购人应支付给中标投标人的价格。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“货物”系指中标投标人根据合同约定应向采购人交付的一切各种形态和种类的物品，包括原材料、燃料、设备、机械、仪表、备件、计算机软件、产品等，并包括工具、手册等其他相关资料。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8" w:name="_Ref467378840"/>
      <w:r>
        <w:rPr>
          <w:rFonts w:ascii="仿宋" w:hAnsi="仿宋" w:eastAsia="仿宋"/>
          <w:sz w:val="24"/>
          <w:highlight w:val="none"/>
        </w:rPr>
        <w:t xml:space="preserve">2.1.4 </w:t>
      </w:r>
      <w:r>
        <w:rPr>
          <w:rFonts w:hint="eastAsia" w:ascii="仿宋" w:hAnsi="仿宋" w:eastAsia="仿宋"/>
          <w:sz w:val="24"/>
          <w:highlight w:val="none"/>
        </w:rPr>
        <w:t>“甲方”系指与中标投标人签署合同的采购人</w:t>
      </w:r>
      <w:bookmarkEnd w:id="58"/>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9"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w:t>
      </w:r>
      <w:bookmarkEnd w:id="59"/>
      <w:r>
        <w:rPr>
          <w:rFonts w:hint="eastAsia" w:ascii="仿宋" w:hAnsi="仿宋" w:eastAsia="仿宋"/>
          <w:sz w:val="24"/>
          <w:highlight w:val="none"/>
        </w:rPr>
        <w:t>投标人；两个以上的自然人、法人或者其他组织组成一个联合体，以一个投标人的身份共同参加政府采购的，联合体各方均应为乙方或者与乙方相同地位的合同当事人，并就合同约定的事项对甲方承担连带责任。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60"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60"/>
    </w:p>
    <w:p>
      <w:pPr>
        <w:spacing w:line="560" w:lineRule="exact"/>
        <w:ind w:firstLine="482" w:firstLineChars="200"/>
        <w:outlineLvl w:val="0"/>
        <w:rPr>
          <w:rFonts w:ascii="仿宋" w:hAnsi="仿宋" w:eastAsia="仿宋"/>
          <w:b/>
          <w:sz w:val="24"/>
          <w:highlight w:val="none"/>
        </w:rPr>
      </w:pPr>
      <w:bookmarkStart w:id="61" w:name="_Toc27635"/>
      <w:bookmarkStart w:id="62" w:name="_Toc279701241"/>
      <w:bookmarkStart w:id="63" w:name="_Toc13336"/>
      <w:bookmarkStart w:id="64" w:name="_Toc487900350"/>
      <w:bookmarkStart w:id="65" w:name="_Toc259093670"/>
      <w:bookmarkStart w:id="66" w:name="_Toc32504"/>
      <w:r>
        <w:rPr>
          <w:rFonts w:ascii="仿宋" w:hAnsi="仿宋" w:eastAsia="仿宋"/>
          <w:b/>
          <w:sz w:val="24"/>
          <w:highlight w:val="none"/>
        </w:rPr>
        <w:t xml:space="preserve">2.2 </w:t>
      </w:r>
      <w:r>
        <w:rPr>
          <w:rFonts w:hint="eastAsia" w:ascii="仿宋" w:hAnsi="仿宋" w:eastAsia="仿宋"/>
          <w:b/>
          <w:sz w:val="24"/>
          <w:highlight w:val="none"/>
        </w:rPr>
        <w:t>技术规范</w:t>
      </w:r>
      <w:bookmarkEnd w:id="61"/>
      <w:bookmarkEnd w:id="62"/>
      <w:bookmarkEnd w:id="63"/>
      <w:bookmarkEnd w:id="64"/>
      <w:bookmarkEnd w:id="65"/>
      <w:bookmarkEnd w:id="6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7" w:name="_Toc487900351"/>
      <w:bookmarkStart w:id="68" w:name="_Toc31634"/>
      <w:bookmarkStart w:id="69" w:name="_Toc259093671"/>
      <w:bookmarkStart w:id="70" w:name="_Toc9829"/>
      <w:bookmarkStart w:id="71" w:name="_Toc279701242"/>
      <w:bookmarkStart w:id="72" w:name="_Toc27853"/>
      <w:r>
        <w:rPr>
          <w:rFonts w:ascii="仿宋" w:hAnsi="仿宋" w:eastAsia="仿宋"/>
          <w:b/>
          <w:sz w:val="24"/>
          <w:highlight w:val="none"/>
        </w:rPr>
        <w:t xml:space="preserve">2.3 </w:t>
      </w:r>
      <w:r>
        <w:rPr>
          <w:rFonts w:hint="eastAsia" w:ascii="仿宋" w:hAnsi="仿宋" w:eastAsia="仿宋"/>
          <w:b/>
          <w:sz w:val="24"/>
          <w:highlight w:val="none"/>
        </w:rPr>
        <w:t>知识产权</w:t>
      </w:r>
      <w:bookmarkEnd w:id="67"/>
      <w:bookmarkEnd w:id="68"/>
      <w:bookmarkEnd w:id="69"/>
      <w:bookmarkEnd w:id="70"/>
      <w:bookmarkEnd w:id="71"/>
      <w:bookmarkEnd w:id="72"/>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3" w:name="_Toc11932"/>
      <w:bookmarkStart w:id="74" w:name="_Toc4194"/>
      <w:bookmarkStart w:id="75" w:name="_Toc29149"/>
      <w:r>
        <w:rPr>
          <w:rFonts w:ascii="仿宋" w:hAnsi="仿宋" w:eastAsia="仿宋"/>
          <w:b/>
          <w:sz w:val="24"/>
          <w:highlight w:val="none"/>
        </w:rPr>
        <w:t xml:space="preserve">2.4 </w:t>
      </w:r>
      <w:r>
        <w:rPr>
          <w:rFonts w:hint="eastAsia" w:ascii="仿宋" w:hAnsi="仿宋" w:eastAsia="仿宋"/>
          <w:b/>
          <w:sz w:val="24"/>
          <w:highlight w:val="none"/>
        </w:rPr>
        <w:t>包装和装运</w:t>
      </w:r>
      <w:bookmarkEnd w:id="73"/>
      <w:bookmarkEnd w:id="74"/>
      <w:bookmarkEnd w:id="75"/>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6" w:name="_Ref467379536"/>
      <w:bookmarkStart w:id="77" w:name="_Ref467379527"/>
      <w:bookmarkStart w:id="78" w:name="_Toc487900354"/>
      <w:bookmarkStart w:id="79" w:name="_Ref467378541"/>
      <w:bookmarkStart w:id="80" w:name="_Ref467379542"/>
      <w:bookmarkStart w:id="81" w:name="_Ref467378591"/>
      <w:bookmarkStart w:id="82" w:name="_Toc259093674"/>
      <w:bookmarkStart w:id="83" w:name="_Toc279701245"/>
      <w:bookmarkStart w:id="84" w:name="_Toc19074"/>
      <w:bookmarkStart w:id="85" w:name="_Toc30272"/>
      <w:bookmarkStart w:id="86" w:name="_Toc26182"/>
      <w:r>
        <w:rPr>
          <w:rFonts w:ascii="仿宋" w:hAnsi="仿宋" w:eastAsia="仿宋"/>
          <w:b/>
          <w:sz w:val="24"/>
          <w:highlight w:val="none"/>
        </w:rPr>
        <w:t>2.</w:t>
      </w:r>
      <w:bookmarkEnd w:id="76"/>
      <w:bookmarkEnd w:id="77"/>
      <w:bookmarkEnd w:id="78"/>
      <w:bookmarkEnd w:id="79"/>
      <w:bookmarkEnd w:id="80"/>
      <w:bookmarkEnd w:id="81"/>
      <w:bookmarkEnd w:id="82"/>
      <w:bookmarkEnd w:id="83"/>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84"/>
      <w:bookmarkEnd w:id="85"/>
      <w:bookmarkEnd w:id="86"/>
    </w:p>
    <w:p>
      <w:pPr>
        <w:spacing w:line="560" w:lineRule="exact"/>
        <w:ind w:firstLine="480" w:firstLineChars="200"/>
        <w:rPr>
          <w:rFonts w:ascii="仿宋" w:hAnsi="仿宋" w:eastAsia="仿宋"/>
          <w:sz w:val="24"/>
          <w:highlight w:val="none"/>
        </w:rPr>
      </w:pPr>
      <w:bookmarkStart w:id="87" w:name="_Ref467379657"/>
      <w:r>
        <w:rPr>
          <w:rFonts w:ascii="仿宋" w:hAnsi="仿宋" w:eastAsia="仿宋"/>
          <w:sz w:val="24"/>
          <w:highlight w:val="none"/>
        </w:rPr>
        <w:t>2.5.1</w:t>
      </w:r>
      <w:bookmarkEnd w:id="87"/>
      <w:bookmarkStart w:id="88" w:name="_Toc186431854"/>
      <w:bookmarkStart w:id="89" w:name="_Toc279701247"/>
      <w:bookmarkStart w:id="90" w:name="_Ref467379793"/>
      <w:bookmarkStart w:id="91" w:name="_Toc487900357"/>
      <w:bookmarkStart w:id="92" w:name="_Ref467379807"/>
      <w:bookmarkStart w:id="93" w:name="_Toc259093676"/>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sz w:val="24"/>
          <w:highlight w:val="none"/>
        </w:rPr>
        <w:t>。</w:t>
      </w:r>
    </w:p>
    <w:bookmarkEnd w:id="89"/>
    <w:bookmarkEnd w:id="90"/>
    <w:bookmarkEnd w:id="91"/>
    <w:bookmarkEnd w:id="92"/>
    <w:bookmarkEnd w:id="93"/>
    <w:bookmarkEnd w:id="94"/>
    <w:p>
      <w:pPr>
        <w:spacing w:line="560" w:lineRule="exact"/>
        <w:ind w:firstLine="482" w:firstLineChars="200"/>
        <w:outlineLvl w:val="0"/>
        <w:rPr>
          <w:rFonts w:ascii="仿宋" w:hAnsi="仿宋" w:eastAsia="仿宋"/>
          <w:b/>
          <w:sz w:val="24"/>
          <w:highlight w:val="none"/>
        </w:rPr>
      </w:pPr>
      <w:bookmarkStart w:id="95" w:name="_Toc487900358"/>
      <w:bookmarkStart w:id="96" w:name="_Ref467379923"/>
      <w:bookmarkStart w:id="97" w:name="_Toc259093677"/>
      <w:bookmarkStart w:id="98" w:name="_Ref467379852"/>
      <w:bookmarkStart w:id="99" w:name="_Ref467379863"/>
      <w:bookmarkStart w:id="100" w:name="_Toc279701248"/>
      <w:bookmarkStart w:id="101" w:name="_Toc16110"/>
      <w:bookmarkStart w:id="102" w:name="_Toc3225"/>
      <w:bookmarkStart w:id="103" w:name="_Toc774"/>
      <w:r>
        <w:rPr>
          <w:rFonts w:ascii="仿宋" w:hAnsi="仿宋" w:eastAsia="仿宋"/>
          <w:b/>
          <w:sz w:val="24"/>
          <w:highlight w:val="none"/>
        </w:rPr>
        <w:t xml:space="preserve">2.6 </w:t>
      </w:r>
      <w:r>
        <w:rPr>
          <w:rFonts w:hint="eastAsia" w:ascii="仿宋" w:hAnsi="仿宋" w:eastAsia="仿宋"/>
          <w:b/>
          <w:sz w:val="24"/>
          <w:highlight w:val="none"/>
        </w:rPr>
        <w:t>技术资料</w:t>
      </w:r>
      <w:bookmarkEnd w:id="95"/>
      <w:bookmarkEnd w:id="96"/>
      <w:bookmarkEnd w:id="97"/>
      <w:bookmarkEnd w:id="98"/>
      <w:bookmarkEnd w:id="99"/>
      <w:bookmarkEnd w:id="100"/>
      <w:r>
        <w:rPr>
          <w:rFonts w:hint="eastAsia" w:ascii="仿宋" w:hAnsi="仿宋" w:eastAsia="仿宋"/>
          <w:b/>
          <w:sz w:val="24"/>
          <w:highlight w:val="none"/>
        </w:rPr>
        <w:t>和保密义务</w:t>
      </w:r>
      <w:bookmarkEnd w:id="101"/>
      <w:bookmarkEnd w:id="102"/>
      <w:bookmarkEnd w:id="103"/>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04"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104"/>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05" w:name="_Toc17244"/>
      <w:bookmarkStart w:id="106" w:name="_Toc279701252"/>
      <w:bookmarkStart w:id="107" w:name="_Toc259093681"/>
      <w:bookmarkStart w:id="108" w:name="_Toc487900362"/>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105"/>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9"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6"/>
      <w:bookmarkEnd w:id="107"/>
      <w:bookmarkEnd w:id="108"/>
      <w:bookmarkEnd w:id="10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10" w:name="_Toc7502"/>
      <w:bookmarkStart w:id="111" w:name="_Toc487900364"/>
      <w:bookmarkStart w:id="112" w:name="_Toc259093683"/>
      <w:bookmarkStart w:id="113" w:name="_Ref467378121"/>
      <w:bookmarkStart w:id="114" w:name="_Toc279701254"/>
      <w:r>
        <w:rPr>
          <w:rFonts w:ascii="仿宋" w:hAnsi="仿宋" w:eastAsia="仿宋"/>
          <w:b/>
          <w:sz w:val="24"/>
          <w:highlight w:val="none"/>
        </w:rPr>
        <w:t xml:space="preserve">2.10 </w:t>
      </w:r>
      <w:r>
        <w:rPr>
          <w:rFonts w:hint="eastAsia" w:ascii="仿宋" w:hAnsi="仿宋" w:eastAsia="仿宋"/>
          <w:b/>
          <w:sz w:val="24"/>
          <w:highlight w:val="none"/>
        </w:rPr>
        <w:t>合同变更</w:t>
      </w:r>
      <w:bookmarkEnd w:id="11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5" w:name="_Toc259093688"/>
      <w:bookmarkStart w:id="116" w:name="_Toc279701259"/>
      <w:bookmarkStart w:id="117" w:name="_Toc487900369"/>
    </w:p>
    <w:p>
      <w:pPr>
        <w:spacing w:line="560" w:lineRule="exact"/>
        <w:ind w:firstLine="482" w:firstLineChars="200"/>
        <w:outlineLvl w:val="0"/>
        <w:rPr>
          <w:rFonts w:ascii="仿宋" w:hAnsi="仿宋" w:eastAsia="仿宋"/>
          <w:b/>
          <w:sz w:val="24"/>
          <w:highlight w:val="none"/>
        </w:rPr>
      </w:pPr>
      <w:bookmarkStart w:id="118" w:name="_Toc15237"/>
      <w:bookmarkStart w:id="119" w:name="_Toc22955"/>
      <w:bookmarkStart w:id="120" w:name="_Toc10366"/>
      <w:r>
        <w:rPr>
          <w:rFonts w:ascii="仿宋" w:hAnsi="仿宋" w:eastAsia="仿宋"/>
          <w:b/>
          <w:sz w:val="24"/>
          <w:highlight w:val="none"/>
        </w:rPr>
        <w:t xml:space="preserve">2.11 </w:t>
      </w:r>
      <w:r>
        <w:rPr>
          <w:rFonts w:hint="eastAsia" w:ascii="仿宋" w:hAnsi="仿宋" w:eastAsia="仿宋"/>
          <w:b/>
          <w:sz w:val="24"/>
          <w:highlight w:val="none"/>
        </w:rPr>
        <w:t>合同转让</w:t>
      </w:r>
      <w:bookmarkEnd w:id="115"/>
      <w:bookmarkEnd w:id="116"/>
      <w:bookmarkEnd w:id="117"/>
      <w:r>
        <w:rPr>
          <w:rFonts w:hint="eastAsia" w:ascii="仿宋" w:hAnsi="仿宋" w:eastAsia="仿宋"/>
          <w:b/>
          <w:sz w:val="24"/>
          <w:highlight w:val="none"/>
        </w:rPr>
        <w:t>和分包</w:t>
      </w:r>
      <w:bookmarkEnd w:id="118"/>
      <w:bookmarkEnd w:id="119"/>
      <w:bookmarkEnd w:id="120"/>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rPr>
        <w:t>投标人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w:t>
      </w:r>
      <w:r>
        <w:rPr>
          <w:rFonts w:hint="eastAsia" w:ascii="仿宋" w:hAnsi="仿宋" w:eastAsia="仿宋"/>
          <w:sz w:val="24"/>
          <w:highlight w:val="none"/>
        </w:rPr>
        <w:t>投标人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bookmarkStart w:id="121" w:name="_Toc13566"/>
      <w:bookmarkStart w:id="122" w:name="_Toc14066"/>
      <w:bookmarkStart w:id="123" w:name="_Toc16508"/>
      <w:r>
        <w:rPr>
          <w:rFonts w:ascii="仿宋" w:hAnsi="仿宋" w:eastAsia="仿宋"/>
          <w:b/>
          <w:sz w:val="24"/>
          <w:highlight w:val="none"/>
        </w:rPr>
        <w:t xml:space="preserve">2.12 </w:t>
      </w:r>
      <w:r>
        <w:rPr>
          <w:rFonts w:hint="eastAsia" w:ascii="仿宋" w:hAnsi="仿宋" w:eastAsia="仿宋"/>
          <w:b/>
          <w:sz w:val="24"/>
          <w:highlight w:val="none"/>
        </w:rPr>
        <w:t>不可抗力</w:t>
      </w:r>
      <w:bookmarkEnd w:id="121"/>
      <w:bookmarkEnd w:id="122"/>
      <w:bookmarkEnd w:id="123"/>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24" w:name="_Toc6969"/>
      <w:bookmarkStart w:id="125" w:name="_Toc30676"/>
      <w:bookmarkStart w:id="126" w:name="_Toc487900365"/>
      <w:bookmarkStart w:id="127" w:name="_Toc279701255"/>
      <w:bookmarkStart w:id="128" w:name="_Toc689"/>
      <w:bookmarkStart w:id="129" w:name="_Toc259093684"/>
      <w:r>
        <w:rPr>
          <w:rFonts w:ascii="仿宋" w:hAnsi="仿宋" w:eastAsia="仿宋"/>
          <w:b/>
          <w:sz w:val="24"/>
          <w:highlight w:val="none"/>
        </w:rPr>
        <w:t xml:space="preserve">2.13 </w:t>
      </w:r>
      <w:r>
        <w:rPr>
          <w:rFonts w:hint="eastAsia" w:ascii="仿宋" w:hAnsi="仿宋" w:eastAsia="仿宋"/>
          <w:b/>
          <w:sz w:val="24"/>
          <w:highlight w:val="none"/>
        </w:rPr>
        <w:t>税费</w:t>
      </w:r>
      <w:bookmarkEnd w:id="124"/>
      <w:bookmarkEnd w:id="125"/>
      <w:bookmarkEnd w:id="126"/>
      <w:bookmarkEnd w:id="127"/>
      <w:bookmarkEnd w:id="128"/>
      <w:bookmarkEnd w:id="12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30" w:name="_Toc487900368"/>
      <w:bookmarkStart w:id="131" w:name="_Toc279701258"/>
      <w:bookmarkStart w:id="132" w:name="_Toc259093687"/>
      <w:bookmarkStart w:id="133" w:name="_Toc16959"/>
      <w:bookmarkStart w:id="134" w:name="_Toc7102"/>
      <w:bookmarkStart w:id="135" w:name="_Toc8298"/>
      <w:r>
        <w:rPr>
          <w:rFonts w:ascii="仿宋" w:hAnsi="仿宋" w:eastAsia="仿宋"/>
          <w:b/>
          <w:sz w:val="24"/>
          <w:highlight w:val="none"/>
        </w:rPr>
        <w:t>2.14乙方破产</w:t>
      </w:r>
      <w:bookmarkEnd w:id="130"/>
      <w:bookmarkEnd w:id="131"/>
      <w:bookmarkEnd w:id="132"/>
      <w:bookmarkEnd w:id="133"/>
      <w:bookmarkEnd w:id="134"/>
      <w:bookmarkEnd w:id="135"/>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6" w:name="_Toc6134"/>
      <w:bookmarkStart w:id="137" w:name="_Toc29333"/>
      <w:bookmarkStart w:id="138" w:name="_Toc15387"/>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6"/>
      <w:bookmarkEnd w:id="137"/>
      <w:bookmarkEnd w:id="138"/>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9" w:name="_Toc14563"/>
      <w:bookmarkStart w:id="140" w:name="_Toc1125"/>
      <w:bookmarkStart w:id="141" w:name="_Toc6596"/>
      <w:r>
        <w:rPr>
          <w:rFonts w:ascii="仿宋" w:hAnsi="仿宋" w:eastAsia="仿宋"/>
          <w:b/>
          <w:sz w:val="24"/>
          <w:highlight w:val="none"/>
        </w:rPr>
        <w:t>2.16检验和验收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11"/>
    <w:bookmarkEnd w:id="112"/>
    <w:bookmarkEnd w:id="113"/>
    <w:bookmarkEnd w:id="114"/>
    <w:p>
      <w:pPr>
        <w:spacing w:line="560" w:lineRule="exact"/>
        <w:ind w:firstLine="482" w:firstLineChars="200"/>
        <w:outlineLvl w:val="0"/>
        <w:rPr>
          <w:rFonts w:ascii="仿宋" w:hAnsi="仿宋" w:eastAsia="仿宋"/>
          <w:b/>
          <w:sz w:val="24"/>
          <w:highlight w:val="none"/>
        </w:rPr>
      </w:pPr>
      <w:bookmarkStart w:id="142" w:name="_Toc259093690"/>
      <w:bookmarkStart w:id="143" w:name="_Toc279701261"/>
      <w:bookmarkStart w:id="144" w:name="_Toc487900371"/>
      <w:bookmarkStart w:id="145" w:name="_Toc19604"/>
      <w:bookmarkStart w:id="146" w:name="_Toc11284"/>
      <w:bookmarkStart w:id="147" w:name="_Toc25182"/>
      <w:r>
        <w:rPr>
          <w:rFonts w:ascii="仿宋" w:hAnsi="仿宋" w:eastAsia="仿宋"/>
          <w:b/>
          <w:sz w:val="24"/>
          <w:highlight w:val="none"/>
        </w:rPr>
        <w:t xml:space="preserve">2.17 </w:t>
      </w:r>
      <w:r>
        <w:rPr>
          <w:rFonts w:hint="eastAsia" w:ascii="仿宋" w:hAnsi="仿宋" w:eastAsia="仿宋"/>
          <w:b/>
          <w:sz w:val="24"/>
          <w:highlight w:val="none"/>
        </w:rPr>
        <w:t>通知</w:t>
      </w:r>
      <w:bookmarkEnd w:id="142"/>
      <w:bookmarkEnd w:id="143"/>
      <w:bookmarkEnd w:id="144"/>
      <w:r>
        <w:rPr>
          <w:rFonts w:hint="eastAsia" w:ascii="仿宋" w:hAnsi="仿宋" w:eastAsia="仿宋"/>
          <w:b/>
          <w:sz w:val="24"/>
          <w:highlight w:val="none"/>
        </w:rPr>
        <w:t>和送达</w:t>
      </w:r>
      <w:bookmarkEnd w:id="145"/>
      <w:bookmarkEnd w:id="146"/>
      <w:bookmarkEnd w:id="147"/>
    </w:p>
    <w:p>
      <w:pPr>
        <w:spacing w:line="560" w:lineRule="exact"/>
        <w:ind w:firstLine="480" w:firstLineChars="200"/>
        <w:rPr>
          <w:rFonts w:ascii="仿宋" w:hAnsi="仿宋" w:eastAsia="仿宋"/>
          <w:sz w:val="24"/>
          <w:highlight w:val="none"/>
        </w:rPr>
      </w:pPr>
      <w:bookmarkStart w:id="148" w:name="_Toc3135"/>
      <w:bookmarkStart w:id="149" w:name="_Toc6698"/>
      <w:bookmarkStart w:id="150" w:name="_Toc487900372"/>
      <w:bookmarkStart w:id="151" w:name="_Toc259093691"/>
      <w:bookmarkStart w:id="152" w:name="_Toc27970126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sz w:val="24"/>
          <w:highlight w:val="none"/>
        </w:rPr>
      </w:pPr>
      <w:bookmarkStart w:id="153" w:name="_Toc23294"/>
      <w:bookmarkStart w:id="154" w:name="_Toc23128"/>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53"/>
      <w:bookmarkEnd w:id="154"/>
    </w:p>
    <w:p>
      <w:pPr>
        <w:spacing w:line="560" w:lineRule="exact"/>
        <w:ind w:firstLine="482" w:firstLineChars="200"/>
        <w:outlineLvl w:val="0"/>
        <w:rPr>
          <w:rFonts w:ascii="仿宋" w:hAnsi="仿宋" w:eastAsia="仿宋"/>
          <w:b/>
          <w:sz w:val="24"/>
          <w:highlight w:val="none"/>
        </w:rPr>
      </w:pPr>
      <w:bookmarkStart w:id="155" w:name="_Toc18540"/>
      <w:bookmarkStart w:id="156" w:name="_Toc4355"/>
      <w:bookmarkStart w:id="157" w:name="_Toc30599"/>
      <w:r>
        <w:rPr>
          <w:rFonts w:ascii="仿宋" w:hAnsi="仿宋" w:eastAsia="仿宋"/>
          <w:b/>
          <w:sz w:val="24"/>
          <w:highlight w:val="none"/>
        </w:rPr>
        <w:t xml:space="preserve">2.18 </w:t>
      </w:r>
      <w:r>
        <w:rPr>
          <w:rFonts w:hint="eastAsia" w:ascii="仿宋" w:hAnsi="仿宋" w:eastAsia="仿宋"/>
          <w:b/>
          <w:sz w:val="24"/>
          <w:highlight w:val="none"/>
        </w:rPr>
        <w:t>计量单位</w:t>
      </w:r>
      <w:bookmarkEnd w:id="150"/>
      <w:bookmarkEnd w:id="151"/>
      <w:bookmarkEnd w:id="152"/>
      <w:bookmarkEnd w:id="155"/>
      <w:bookmarkEnd w:id="156"/>
      <w:bookmarkEnd w:id="15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8" w:name="_Toc12773"/>
      <w:bookmarkStart w:id="159" w:name="_Toc10330"/>
      <w:bookmarkStart w:id="160" w:name="_Toc259093692"/>
      <w:bookmarkStart w:id="161" w:name="_Toc487900373"/>
      <w:bookmarkStart w:id="162" w:name="_Toc18567"/>
      <w:bookmarkStart w:id="163" w:name="_Toc279701263"/>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64" w:name="_Toc16673"/>
      <w:bookmarkStart w:id="165" w:name="_Toc12004"/>
      <w:bookmarkStart w:id="166" w:name="_Toc3148"/>
      <w:bookmarkStart w:id="167" w:name="_Toc279701264"/>
      <w:bookmarkStart w:id="168" w:name="_Toc259093693"/>
      <w:bookmarkStart w:id="169"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64"/>
      <w:bookmarkEnd w:id="165"/>
      <w:bookmarkEnd w:id="166"/>
      <w:bookmarkEnd w:id="167"/>
      <w:bookmarkEnd w:id="168"/>
    </w:p>
    <w:p>
      <w:pPr>
        <w:pStyle w:val="281"/>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约定的方式，以支票、汇票、本票或者金融机构、担保机构出具的保函等非现金形式，提交不超过合同金额2.</w:t>
      </w:r>
      <w:r>
        <w:rPr>
          <w:rFonts w:ascii="仿宋" w:hAnsi="仿宋" w:eastAsia="仿宋"/>
          <w:highlight w:val="none"/>
        </w:rPr>
        <w:t>5%的履约保证金；鼓励和支持乙方以银行、保险公司出具的保函形式提供履约保证。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w:t>
      </w:r>
      <w:r>
        <w:rPr>
          <w:rFonts w:hint="eastAsia" w:ascii="仿宋" w:hAnsi="仿宋" w:eastAsia="仿宋"/>
          <w:sz w:val="24"/>
          <w:highlight w:val="none"/>
        </w:rPr>
        <w:t>投标人</w:t>
      </w:r>
      <w:r>
        <w:rPr>
          <w:rFonts w:ascii="仿宋" w:hAnsi="仿宋" w:eastAsia="仿宋"/>
          <w:sz w:val="24"/>
          <w:highlight w:val="none"/>
        </w:rPr>
        <w:t>受到的损失予以赔偿或者补偿。</w:t>
      </w:r>
    </w:p>
    <w:bookmarkEnd w:id="169"/>
    <w:p>
      <w:pPr>
        <w:spacing w:line="560" w:lineRule="exact"/>
        <w:ind w:firstLine="482" w:firstLineChars="200"/>
        <w:outlineLvl w:val="0"/>
        <w:rPr>
          <w:rFonts w:ascii="仿宋" w:hAnsi="仿宋" w:eastAsia="仿宋"/>
          <w:b/>
          <w:sz w:val="24"/>
          <w:highlight w:val="none"/>
        </w:rPr>
      </w:pPr>
      <w:bookmarkStart w:id="170" w:name="_Toc19890"/>
      <w:bookmarkStart w:id="171" w:name="_Toc14001"/>
      <w:bookmarkStart w:id="172" w:name="_Toc6885"/>
      <w:r>
        <w:rPr>
          <w:rFonts w:ascii="仿宋" w:hAnsi="仿宋" w:eastAsia="仿宋"/>
          <w:b/>
          <w:sz w:val="24"/>
          <w:highlight w:val="none"/>
        </w:rPr>
        <w:t>2.2</w:t>
      </w:r>
      <w:r>
        <w:rPr>
          <w:rFonts w:hint="eastAsia" w:ascii="仿宋" w:hAnsi="仿宋" w:eastAsia="仿宋"/>
          <w:b/>
          <w:sz w:val="24"/>
          <w:highlight w:val="none"/>
        </w:rPr>
        <w:t>2合同份数</w:t>
      </w:r>
      <w:bookmarkEnd w:id="170"/>
      <w:bookmarkEnd w:id="171"/>
      <w:bookmarkEnd w:id="17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278"/>
        <w:spacing w:line="560" w:lineRule="exact"/>
        <w:jc w:val="center"/>
        <w:rPr>
          <w:rFonts w:ascii="仿宋" w:hAnsi="仿宋" w:eastAsia="仿宋"/>
          <w:b/>
          <w:szCs w:val="24"/>
          <w:highlight w:val="none"/>
        </w:rPr>
      </w:pPr>
      <w:r>
        <w:rPr>
          <w:rFonts w:ascii="仿宋" w:hAnsi="仿宋" w:eastAsia="仿宋" w:cstheme="minorBidi"/>
          <w:kern w:val="0"/>
          <w:szCs w:val="24"/>
          <w:highlight w:val="none"/>
        </w:rPr>
        <w:br w:type="page"/>
      </w:r>
      <w:bookmarkStart w:id="173" w:name="_Toc331685784"/>
      <w:r>
        <w:rPr>
          <w:rFonts w:hint="eastAsia" w:ascii="仿宋" w:hAnsi="仿宋" w:eastAsia="仿宋"/>
          <w:b/>
          <w:szCs w:val="24"/>
          <w:highlight w:val="none"/>
        </w:rPr>
        <w:t xml:space="preserve"> </w:t>
      </w:r>
      <w:bookmarkEnd w:id="173"/>
      <w:r>
        <w:rPr>
          <w:rFonts w:hint="eastAsia" w:ascii="仿宋" w:hAnsi="仿宋" w:eastAsia="仿宋"/>
          <w:b/>
          <w:szCs w:val="24"/>
          <w:highlight w:val="none"/>
        </w:rPr>
        <w:t>第三部分</w:t>
      </w:r>
      <w:r>
        <w:rPr>
          <w:rFonts w:ascii="仿宋" w:hAnsi="仿宋" w:eastAsia="仿宋"/>
          <w:b/>
          <w:szCs w:val="24"/>
          <w:highlight w:val="none"/>
        </w:rPr>
        <w:t xml:space="preserve">  </w:t>
      </w:r>
      <w:r>
        <w:rPr>
          <w:rFonts w:hint="eastAsia" w:ascii="仿宋" w:hAnsi="仿宋" w:eastAsia="仿宋"/>
          <w:b/>
          <w:szCs w:val="24"/>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4534" w:type="pct"/>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spacing w:line="800" w:lineRule="exact"/>
        <w:ind w:firstLine="723"/>
        <w:jc w:val="center"/>
        <w:rPr>
          <w:rFonts w:ascii="仿宋_GB2312" w:hAnsi="宋体" w:eastAsia="仿宋_GB2312"/>
          <w:b/>
          <w:sz w:val="36"/>
          <w:szCs w:val="36"/>
          <w:highlight w:val="none"/>
        </w:rPr>
      </w:pPr>
    </w:p>
    <w:p>
      <w:pPr>
        <w:pStyle w:val="23"/>
        <w:pageBreakBefore/>
        <w:spacing w:line="800" w:lineRule="exact"/>
        <w:ind w:firstLine="726"/>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72" w:firstLineChars="196"/>
        <w:jc w:val="left"/>
        <w:rPr>
          <w:rFonts w:ascii="仿宋" w:hAnsi="仿宋" w:eastAsia="仿宋" w:cs="仿宋"/>
          <w:bCs/>
          <w:sz w:val="24"/>
          <w:highlight w:val="none"/>
        </w:rPr>
      </w:pPr>
      <w:r>
        <w:rPr>
          <w:rFonts w:hint="eastAsia" w:ascii="仿宋" w:hAnsi="仿宋" w:eastAsia="仿宋" w:cs="仿宋"/>
          <w:b/>
          <w:sz w:val="24"/>
          <w:highlight w:val="none"/>
        </w:rPr>
        <w:t>1.1本次评标采用综合评分法，</w:t>
      </w:r>
      <w:r>
        <w:rPr>
          <w:rFonts w:hint="eastAsia" w:ascii="仿宋" w:hAnsi="仿宋" w:eastAsia="仿宋" w:cs="仿宋"/>
          <w:bCs/>
          <w:sz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共100分，其中商务技术分40分，价格分60分。评分依下述所列为评标打分依据，分值如下（计算分值时，按其算术平均值保留小数2位）。</w:t>
      </w:r>
    </w:p>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2.1.商务技术分（40分）</w:t>
      </w:r>
    </w:p>
    <w:tbl>
      <w:tblPr>
        <w:tblStyle w:val="42"/>
        <w:tblW w:w="9095" w:type="dxa"/>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63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39" w:type="dxa"/>
            <w:vAlign w:val="center"/>
          </w:tcPr>
          <w:p>
            <w:pPr>
              <w:spacing w:line="440" w:lineRule="exact"/>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7636" w:type="dxa"/>
            <w:vAlign w:val="center"/>
          </w:tcPr>
          <w:p>
            <w:pPr>
              <w:spacing w:line="440" w:lineRule="exact"/>
              <w:jc w:val="center"/>
              <w:rPr>
                <w:rFonts w:ascii="仿宋" w:hAnsi="仿宋" w:eastAsia="仿宋" w:cs="仿宋"/>
                <w:b/>
                <w:bCs/>
                <w:sz w:val="24"/>
                <w:highlight w:val="none"/>
              </w:rPr>
            </w:pPr>
            <w:r>
              <w:rPr>
                <w:rFonts w:hint="eastAsia" w:ascii="仿宋" w:hAnsi="仿宋" w:eastAsia="仿宋" w:cs="仿宋"/>
                <w:b/>
                <w:bCs/>
                <w:sz w:val="24"/>
                <w:highlight w:val="none"/>
              </w:rPr>
              <w:t>评 分 说 明</w:t>
            </w:r>
          </w:p>
        </w:tc>
        <w:tc>
          <w:tcPr>
            <w:tcW w:w="720" w:type="dxa"/>
            <w:vAlign w:val="center"/>
          </w:tcPr>
          <w:p>
            <w:pPr>
              <w:spacing w:line="440" w:lineRule="exact"/>
              <w:jc w:val="center"/>
              <w:rPr>
                <w:rFonts w:ascii="仿宋" w:hAnsi="仿宋" w:eastAsia="仿宋" w:cs="仿宋"/>
                <w:b/>
                <w:bCs/>
                <w:sz w:val="24"/>
                <w:highlight w:val="none"/>
              </w:rPr>
            </w:pPr>
            <w:r>
              <w:rPr>
                <w:rFonts w:hint="eastAsia" w:ascii="仿宋" w:hAnsi="仿宋" w:eastAsia="仿宋" w:cs="仿宋"/>
                <w:b/>
                <w:bCs/>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满足招标文件要求的得10分，打“★”号的指标为实质性指标不允许出现负偏离，如出现负偏离则作无效投标处理；打“▲”号的指标为主要功能、配置每有一项偏离的扣2分；一般指标每有一项偏离的扣1分，扣完为止。非量化类的，若是功能一样，表述方式不一样则为符合，量化类的由评委视情况讨论决定。</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所投产品技术指标中，打“▲”指标出现正偏离的每项加2分，其他一般指标出现正偏离或高配的、有先进程度每项加0.5分，最高加6分。正偏离指标以datasheet为准，无实质性意义的正偏离不加分。共6分。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3</w:t>
            </w:r>
          </w:p>
        </w:tc>
        <w:tc>
          <w:tcPr>
            <w:tcW w:w="7636" w:type="dxa"/>
            <w:vAlign w:val="center"/>
          </w:tcPr>
          <w:p>
            <w:pPr>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自2019年3月1日（以合同签订时间为准）以来提供所投产品成功销售的合同（提供完整的合同复印件，复印件能清楚的辨析设备名称、型号和价格，否则不得分），每有一份合同得1.5分，最高得6分。</w:t>
            </w:r>
          </w:p>
        </w:tc>
        <w:tc>
          <w:tcPr>
            <w:tcW w:w="72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根据投标设备的技术先进性、易用性、稳定性进行评价，考虑所投产品的成熟性、用户认可度等方面打分，优于项目需求的得1.6-2.0分，基本符合项目需求的得1.1-1.5分，部分符合项目需求的得0.1-1.0分,不符合项目需求的得0分。共2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对公司技术力量情况、供货安装进度的安排合理性、现场安全措施的可行性等方面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在满足招标文件免费质保年限要求的基础上，每延长免费原厂质保期1年得2分，最高得4分。 </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根据提供相应产品的培训，培训方案、时间、内容、地点、人员数等方面打分，优于项目需求的得1.6-2.0分，基本符合项目需求的得1.1-1.5分，部分符合项目需求的得0.1-1.0分,不符合项目需求的得0分。共2分。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对提供的售后服务的响应情况（维修网点、维修人员、维修能力、定期巡检、故障响应等）及配件供应、优惠条件情况等方面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运行成本（根据保修价格、年运行费用和消耗品、易耗品价格），随机提供的耗材、备品配件、易损件是否齐全，保修期内外选购价格合理性等因素综合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739"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7636" w:type="dxa"/>
            <w:vAlign w:val="center"/>
          </w:tcPr>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根据投标文件制作情况，询标情况，投标文件不以大量无关内容充数。提供投标产品同型号datasheet或中文说明书为好得1.0分，其他0-0.5分。共1分。</w:t>
            </w:r>
          </w:p>
        </w:tc>
        <w:tc>
          <w:tcPr>
            <w:tcW w:w="72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r>
    </w:tbl>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2.2价格分（60分）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即：投标报价得分=(评标基准价／投标报价)×60</w:t>
      </w:r>
    </w:p>
    <w:bookmarkEnd w:id="8"/>
    <w:bookmarkEnd w:id="9"/>
    <w:bookmarkEnd w:id="10"/>
    <w:bookmarkEnd w:id="11"/>
    <w:p>
      <w:pPr>
        <w:pageBreakBefore/>
        <w:snapToGrid w:val="0"/>
        <w:spacing w:line="360" w:lineRule="auto"/>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napToGrid w:val="0"/>
        <w:spacing w:line="360"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（3）中小企业声明函（如有）……………………………………（页码）</w:t>
      </w:r>
    </w:p>
    <w:p>
      <w:pPr>
        <w:spacing w:line="360" w:lineRule="auto"/>
        <w:outlineLvl w:val="0"/>
        <w:rPr>
          <w:rFonts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（如有）…………………………（页码）</w:t>
      </w:r>
    </w:p>
    <w:p>
      <w:pPr>
        <w:pStyle w:val="19"/>
        <w:spacing w:line="800" w:lineRule="atLeast"/>
        <w:ind w:left="0" w:leftChars="0"/>
        <w:rPr>
          <w:rFonts w:ascii="仿宋" w:hAnsi="仿宋" w:eastAsia="仿宋" w:cs="仿宋"/>
          <w:b/>
          <w:sz w:val="36"/>
          <w:szCs w:val="36"/>
          <w:highlight w:val="none"/>
        </w:rPr>
      </w:pPr>
    </w:p>
    <w:p>
      <w:pPr>
        <w:pStyle w:val="19"/>
        <w:spacing w:line="800" w:lineRule="atLeast"/>
        <w:ind w:left="0" w:leftChars="0"/>
        <w:rPr>
          <w:rFonts w:ascii="仿宋" w:hAnsi="仿宋" w:eastAsia="仿宋" w:cs="仿宋"/>
          <w:b/>
          <w:sz w:val="36"/>
          <w:szCs w:val="36"/>
          <w:highlight w:val="none"/>
        </w:rPr>
      </w:pPr>
    </w:p>
    <w:p>
      <w:pPr>
        <w:pStyle w:val="19"/>
        <w:spacing w:line="800" w:lineRule="atLeast"/>
        <w:ind w:left="0" w:leftChars="0"/>
        <w:rPr>
          <w:rFonts w:ascii="仿宋" w:hAnsi="仿宋" w:eastAsia="仿宋" w:cs="仿宋"/>
          <w:b/>
          <w:sz w:val="36"/>
          <w:szCs w:val="36"/>
          <w:highlight w:val="none"/>
        </w:rPr>
      </w:pPr>
    </w:p>
    <w:p>
      <w:pPr>
        <w:rPr>
          <w:rFonts w:ascii="仿宋" w:hAnsi="仿宋" w:eastAsia="仿宋" w:cs="仿宋"/>
          <w:b/>
          <w:sz w:val="30"/>
          <w:szCs w:val="30"/>
          <w:highlight w:val="none"/>
        </w:rPr>
      </w:pPr>
    </w:p>
    <w:p>
      <w:pPr>
        <w:rPr>
          <w:rFonts w:ascii="仿宋" w:hAnsi="仿宋" w:eastAsia="仿宋" w:cs="仿宋"/>
          <w:b/>
          <w:sz w:val="30"/>
          <w:szCs w:val="30"/>
          <w:highlight w:val="none"/>
        </w:rPr>
      </w:pPr>
    </w:p>
    <w:p>
      <w:pPr>
        <w:pageBreakBefore/>
        <w:rPr>
          <w:rFonts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rPr>
        <w:t>（采购单位名称）、（采购代理机构名称）</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 xml:space="preserve">填写招标编号：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我方同意在投标人</w:t>
      </w:r>
      <w:r>
        <w:rPr>
          <w:rFonts w:hint="eastAsia" w:ascii="仿宋" w:hAnsi="仿宋" w:eastAsia="仿宋" w:cs="仿宋"/>
          <w:kern w:val="44"/>
          <w:highlight w:val="none"/>
        </w:rPr>
        <w:t>须知</w:t>
      </w:r>
      <w:r>
        <w:rPr>
          <w:rFonts w:hint="eastAsia" w:ascii="仿宋" w:hAnsi="仿宋" w:eastAsia="仿宋" w:cs="仿宋"/>
          <w:highlight w:val="none"/>
        </w:rPr>
        <w:t>规定的开标日期起遵守本投标文件中的承诺且在投标有效期满之前均具有约束力</w:t>
      </w:r>
      <w:r>
        <w:rPr>
          <w:rFonts w:hint="eastAsia" w:ascii="仿宋" w:hAnsi="仿宋" w:eastAsia="仿宋" w:cs="仿宋"/>
          <w:szCs w:val="24"/>
          <w:highlight w:val="none"/>
        </w:rPr>
        <w:t>。</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2.我方承诺已经具备《中华人民共和国政府采购法》中规定的参加政府采购活动的投标人应当具备的条件。</w:t>
      </w:r>
    </w:p>
    <w:p>
      <w:pPr>
        <w:pStyle w:val="69"/>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69"/>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b)采取不正当手段诋毁、排挤其他投标人的；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c)与采购人、其它投标人或者采购代理机构恶意串通的；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投标人有前款第a)至e)项情形之一的，中标、成交无效。</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69"/>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法定代表人或其授权代表(签字或签章)：</w:t>
      </w:r>
    </w:p>
    <w:p>
      <w:pPr>
        <w:pStyle w:val="69"/>
        <w:spacing w:afterLines="0" w:line="440" w:lineRule="exact"/>
        <w:ind w:firstLine="480"/>
        <w:rPr>
          <w:rFonts w:ascii="仿宋" w:hAnsi="仿宋" w:eastAsia="仿宋" w:cs="仿宋"/>
          <w:b/>
          <w:sz w:val="30"/>
          <w:szCs w:val="30"/>
          <w:highlight w:val="none"/>
        </w:rPr>
      </w:pPr>
      <w:r>
        <w:rPr>
          <w:rFonts w:hint="eastAsia" w:ascii="仿宋" w:hAnsi="仿宋" w:eastAsia="仿宋" w:cs="仿宋"/>
          <w:szCs w:val="24"/>
          <w:highlight w:val="none"/>
        </w:rPr>
        <w:t xml:space="preserve">投标人(电子签章)：　　　　　　　　　日期：   </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ascii="仿宋" w:hAnsi="仿宋" w:eastAsia="仿宋" w:cs="仿宋"/>
          <w:sz w:val="24"/>
          <w:highlight w:val="none"/>
        </w:rPr>
      </w:pPr>
    </w:p>
    <w:p>
      <w:pPr>
        <w:spacing w:line="400" w:lineRule="exact"/>
        <w:rPr>
          <w:rFonts w:ascii="仿宋" w:hAnsi="仿宋" w:eastAsia="仿宋" w:cs="仿宋"/>
          <w:sz w:val="24"/>
          <w:highlight w:val="none"/>
          <w:u w:val="single"/>
        </w:rPr>
      </w:pPr>
      <w:r>
        <w:rPr>
          <w:rFonts w:hint="eastAsia" w:ascii="仿宋" w:hAnsi="仿宋" w:eastAsia="仿宋" w:cs="仿宋"/>
          <w:sz w:val="24"/>
          <w:highlight w:val="none"/>
        </w:rPr>
        <w:t>投标人名称：</w:t>
      </w:r>
      <w:r>
        <w:rPr>
          <w:rFonts w:hint="eastAsia" w:ascii="仿宋" w:hAnsi="仿宋" w:eastAsia="仿宋" w:cs="仿宋"/>
          <w:sz w:val="24"/>
          <w:highlight w:val="none"/>
          <w:u w:val="single"/>
        </w:rPr>
        <w:t xml:space="preserve">                        </w:t>
      </w:r>
    </w:p>
    <w:p>
      <w:pPr>
        <w:snapToGrid w:val="0"/>
        <w:spacing w:line="400" w:lineRule="exact"/>
        <w:rPr>
          <w:rFonts w:ascii="仿宋" w:hAnsi="仿宋" w:eastAsia="仿宋" w:cs="仿宋"/>
          <w:sz w:val="24"/>
          <w:highlight w:val="none"/>
          <w:u w:val="single"/>
        </w:rPr>
      </w:pPr>
      <w:r>
        <w:rPr>
          <w:rFonts w:hint="eastAsia" w:ascii="仿宋" w:hAnsi="仿宋" w:eastAsia="仿宋" w:cs="仿宋"/>
          <w:sz w:val="24"/>
          <w:highlight w:val="none"/>
        </w:rPr>
        <w:t>标    项：</w:t>
      </w:r>
      <w:r>
        <w:rPr>
          <w:rFonts w:hint="eastAsia" w:ascii="仿宋" w:hAnsi="仿宋" w:eastAsia="仿宋" w:cs="仿宋"/>
          <w:sz w:val="24"/>
          <w:highlight w:val="none"/>
          <w:u w:val="single"/>
        </w:rPr>
        <w:t xml:space="preserve">                          </w:t>
      </w:r>
    </w:p>
    <w:p>
      <w:pPr>
        <w:snapToGrid w:val="0"/>
        <w:spacing w:line="400" w:lineRule="exact"/>
        <w:rPr>
          <w:rFonts w:ascii="仿宋" w:hAnsi="仿宋" w:eastAsia="仿宋" w:cs="仿宋"/>
          <w:sz w:val="24"/>
          <w:highlight w:val="none"/>
          <w:u w:val="single"/>
        </w:rPr>
      </w:pPr>
      <w:r>
        <w:rPr>
          <w:rFonts w:hint="eastAsia" w:ascii="仿宋" w:hAnsi="仿宋" w:eastAsia="仿宋" w:cs="仿宋"/>
          <w:sz w:val="24"/>
          <w:highlight w:val="none"/>
        </w:rPr>
        <w:t>招标编号：</w:t>
      </w:r>
      <w:r>
        <w:rPr>
          <w:rFonts w:hint="eastAsia" w:ascii="仿宋" w:hAnsi="仿宋" w:eastAsia="仿宋" w:cs="仿宋"/>
          <w:sz w:val="24"/>
          <w:highlight w:val="none"/>
          <w:u w:val="single"/>
        </w:rPr>
        <w:t xml:space="preserve">                          </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项目名称和项目编号，中标投标人名称、地址和中标金额，主要中标标的的名称、规格型号、数量、单价、服务要求等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highlight w:val="none"/>
        </w:rPr>
      </w:pPr>
    </w:p>
    <w:p>
      <w:pPr>
        <w:spacing w:line="360" w:lineRule="auto"/>
        <w:ind w:left="-4" w:leftChars="-2" w:right="-817" w:rightChars="-389" w:firstLine="2"/>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auto"/>
        <w:outlineLvl w:val="0"/>
        <w:rPr>
          <w:rFonts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rPr>
          <w:rFonts w:ascii="仿宋" w:hAnsi="仿宋" w:eastAsia="仿宋" w:cs="仿宋"/>
          <w:b/>
          <w:sz w:val="32"/>
          <w:szCs w:val="32"/>
          <w:highlight w:val="none"/>
        </w:rPr>
      </w:pPr>
      <w:r>
        <w:rPr>
          <w:rFonts w:hint="eastAsia" w:ascii="仿宋" w:hAnsi="仿宋" w:eastAsia="仿宋" w:cs="仿宋"/>
          <w:b/>
          <w:sz w:val="32"/>
          <w:szCs w:val="32"/>
          <w:highlight w:val="none"/>
        </w:rPr>
        <w:t>3、中小企业声明函（二选一）</w:t>
      </w:r>
    </w:p>
    <w:p>
      <w:pPr>
        <w:jc w:val="center"/>
        <w:rPr>
          <w:rFonts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（采购单位名称） </w:t>
      </w:r>
      <w:r>
        <w:rPr>
          <w:rFonts w:hint="eastAsia" w:ascii="仿宋" w:hAnsi="仿宋" w:eastAsia="仿宋" w:cs="仿宋"/>
          <w:sz w:val="24"/>
          <w:highlight w:val="none"/>
        </w:rPr>
        <w:t>的</w:t>
      </w:r>
      <w:r>
        <w:rPr>
          <w:rFonts w:hint="eastAsia" w:ascii="仿宋" w:hAnsi="仿宋" w:eastAsia="仿宋" w:cs="仿宋"/>
          <w:b/>
          <w:bCs/>
          <w:sz w:val="24"/>
          <w:highlight w:val="none"/>
          <w:u w:val="single"/>
        </w:rPr>
        <w:t>（采购项目名称）</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ascii="仿宋" w:hAnsi="仿宋" w:eastAsia="仿宋" w:cs="仿宋"/>
          <w:b/>
          <w:sz w:val="18"/>
          <w:highlight w:val="none"/>
        </w:rPr>
      </w:pPr>
    </w:p>
    <w:p>
      <w:pPr>
        <w:jc w:val="center"/>
        <w:rPr>
          <w:rFonts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（采购单位名称） </w:t>
      </w:r>
      <w:r>
        <w:rPr>
          <w:rFonts w:hint="eastAsia" w:ascii="仿宋" w:hAnsi="仿宋" w:eastAsia="仿宋" w:cs="仿宋"/>
          <w:sz w:val="24"/>
          <w:highlight w:val="none"/>
        </w:rPr>
        <w:t>的</w:t>
      </w:r>
      <w:r>
        <w:rPr>
          <w:rFonts w:hint="eastAsia" w:ascii="仿宋" w:hAnsi="仿宋" w:eastAsia="仿宋" w:cs="仿宋"/>
          <w:b/>
          <w:bCs/>
          <w:sz w:val="24"/>
          <w:highlight w:val="none"/>
          <w:u w:val="single"/>
        </w:rPr>
        <w:t>（采购项目名称）</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ascii="仿宋" w:hAnsi="仿宋" w:eastAsia="仿宋" w:cs="仿宋"/>
          <w:sz w:val="24"/>
          <w:highlight w:val="none"/>
        </w:rPr>
      </w:pPr>
      <w:r>
        <w:rPr>
          <w:rFonts w:hint="eastAsia" w:ascii="仿宋" w:hAnsi="仿宋" w:eastAsia="仿宋" w:cs="仿宋"/>
          <w:sz w:val="24"/>
          <w:highlight w:val="none"/>
        </w:rPr>
        <w:t>注：</w:t>
      </w:r>
    </w:p>
    <w:p>
      <w:pPr>
        <w:rPr>
          <w:rFonts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highlight w:val="none"/>
        </w:rPr>
      </w:pPr>
      <w:r>
        <w:rPr>
          <w:rFonts w:hint="eastAsia" w:ascii="仿宋" w:hAnsi="仿宋" w:eastAsia="仿宋" w:cs="仿宋"/>
          <w:b/>
          <w:sz w:val="24"/>
          <w:highlight w:val="none"/>
        </w:rPr>
        <w:t>2、根据《政府采购促进中小企业发展管理办法》的通知（财库〔2020〕46号）规定，</w:t>
      </w:r>
      <w:r>
        <w:rPr>
          <w:rFonts w:hint="eastAsia" w:ascii="仿宋" w:hAnsi="仿宋" w:eastAsia="仿宋" w:cs="仿宋"/>
          <w:sz w:val="24"/>
          <w:highlight w:val="none"/>
        </w:rPr>
        <w:t>中标、成交投标人享受中小企业扶持政策的，采购代理机构将随中标、成交结果公开中标、成交投标人的《中小企业声明函》。</w:t>
      </w:r>
    </w:p>
    <w:p>
      <w:pPr>
        <w:rPr>
          <w:rFonts w:ascii="仿宋" w:hAnsi="仿宋" w:eastAsia="仿宋" w:cs="仿宋"/>
          <w:sz w:val="24"/>
          <w:highlight w:val="none"/>
        </w:rPr>
      </w:pPr>
      <w:r>
        <w:rPr>
          <w:rFonts w:hint="eastAsia" w:ascii="仿宋" w:hAnsi="仿宋" w:eastAsia="仿宋" w:cs="仿宋"/>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Style w:val="2"/>
        <w:rPr>
          <w:highlight w:val="none"/>
        </w:rPr>
      </w:pPr>
      <w:r>
        <w:rPr>
          <w:rFonts w:hint="eastAsia" w:ascii="仿宋_GB2312" w:hAnsi="仿宋_GB2312" w:eastAsia="仿宋_GB2312" w:cs="仿宋_GB2312"/>
          <w:highlight w:val="none"/>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ind w:firstLine="480" w:firstLineChars="200"/>
        <w:rPr>
          <w:rFonts w:ascii="仿宋" w:hAnsi="仿宋" w:eastAsia="仿宋" w:cs="仿宋"/>
          <w:sz w:val="24"/>
          <w:highlight w:val="none"/>
        </w:rPr>
      </w:pPr>
    </w:p>
    <w:p>
      <w:pPr>
        <w:ind w:firstLine="420" w:firstLineChars="200"/>
        <w:rPr>
          <w:rFonts w:ascii="仿宋" w:hAnsi="仿宋" w:eastAsia="仿宋" w:cs="仿宋"/>
          <w:highlight w:val="none"/>
        </w:rPr>
      </w:pPr>
    </w:p>
    <w:p>
      <w:pPr>
        <w:spacing w:line="588" w:lineRule="exact"/>
        <w:rPr>
          <w:rFonts w:ascii="仿宋" w:hAnsi="仿宋" w:eastAsia="仿宋" w:cs="仿宋"/>
          <w:sz w:val="24"/>
          <w:highlight w:val="none"/>
        </w:rPr>
      </w:pPr>
    </w:p>
    <w:p>
      <w:pPr>
        <w:pageBreakBefore/>
        <w:spacing w:line="588" w:lineRule="exac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p>
    <w:p>
      <w:pPr>
        <w:spacing w:line="588" w:lineRule="exact"/>
        <w:rPr>
          <w:rFonts w:ascii="仿宋" w:hAnsi="仿宋" w:eastAsia="仿宋" w:cs="仿宋"/>
          <w:b/>
          <w:spacing w:val="6"/>
          <w:sz w:val="30"/>
          <w:szCs w:val="30"/>
          <w:highlight w:val="none"/>
        </w:rPr>
      </w:pPr>
    </w:p>
    <w:p>
      <w:pPr>
        <w:spacing w:line="588"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（采购单位名称）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ascii="仿宋" w:hAnsi="仿宋" w:eastAsia="仿宋" w:cs="仿宋"/>
          <w:sz w:val="24"/>
          <w:highlight w:val="none"/>
        </w:rPr>
      </w:pPr>
    </w:p>
    <w:p>
      <w:pPr>
        <w:spacing w:line="588" w:lineRule="exact"/>
        <w:ind w:firstLine="480" w:firstLineChars="200"/>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ascii="仿宋" w:hAnsi="仿宋" w:eastAsia="仿宋" w:cs="仿宋"/>
          <w:highlight w:val="none"/>
        </w:rPr>
      </w:pPr>
    </w:p>
    <w:p>
      <w:pPr>
        <w:rPr>
          <w:rFonts w:ascii="仿宋" w:hAnsi="仿宋" w:eastAsia="仿宋" w:cs="仿宋"/>
          <w:highlight w:val="none"/>
        </w:rPr>
      </w:pPr>
    </w:p>
    <w:p>
      <w:pPr>
        <w:rPr>
          <w:rFonts w:ascii="仿宋" w:hAnsi="仿宋" w:eastAsia="仿宋" w:cs="仿宋"/>
          <w:highlight w:val="none"/>
        </w:rPr>
      </w:pPr>
    </w:p>
    <w:p>
      <w:pPr>
        <w:tabs>
          <w:tab w:val="left" w:pos="4860"/>
        </w:tabs>
        <w:spacing w:line="588" w:lineRule="exact"/>
        <w:ind w:right="1560"/>
        <w:rPr>
          <w:rFonts w:ascii="仿宋" w:hAnsi="仿宋" w:eastAsia="仿宋" w:cs="仿宋"/>
          <w:sz w:val="24"/>
          <w:highlight w:val="none"/>
        </w:rPr>
      </w:pPr>
      <w:r>
        <w:rPr>
          <w:rFonts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1" o:title=""/>
            <o:lock v:ext="edit" aspectratio="t"/>
            <w10:wrap type="square"/>
          </v:shape>
          <o:OLEObject Type="Embed" ProgID="Package" ShapeID="_x0000_s1026" DrawAspect="Content" ObjectID="_1468075725" r:id="rId10">
            <o:LockedField>false</o:LockedField>
          </o:OLEObject>
        </w:pict>
      </w: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（1）法定代表人授权书 …………………………………………………………（页码）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（2）授权代表社保证明（复印件）………………………………………………（页码）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（3）法定代表人及其授权代表的身份证（复印件）……………………………（页码）（4）法定代表人身份证明书………………………………………………………（页码）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（5）营业执照复印件……………………………………………………………（页码）</w:t>
      </w:r>
    </w:p>
    <w:p>
      <w:pPr>
        <w:snapToGrid w:val="0"/>
        <w:spacing w:line="420" w:lineRule="exact"/>
        <w:rPr>
          <w:rFonts w:ascii="仿宋" w:hAnsi="仿宋" w:eastAsia="仿宋" w:cs="仿宋"/>
          <w:kern w:val="0"/>
          <w:sz w:val="24"/>
          <w:highlight w:val="none"/>
        </w:rPr>
      </w:pPr>
      <w:r>
        <w:rPr>
          <w:rFonts w:hint="eastAsia" w:ascii="仿宋" w:hAnsi="仿宋" w:eastAsia="仿宋" w:cs="仿宋"/>
          <w:color w:val="000000" w:themeColor="text1"/>
          <w:sz w:val="24"/>
          <w:highlight w:val="none"/>
          <w14:textFill>
            <w14:solidFill>
              <w14:schemeClr w14:val="tx1"/>
            </w14:solidFill>
          </w14:textFill>
        </w:rPr>
        <w:t>（6）所有与符合性审查有关的资信文件（复印件）（营业执照、2021年度财务报表、纳税和社保缴纳证明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r>
        <w:rPr>
          <w:rFonts w:hint="eastAsia" w:ascii="仿宋" w:hAnsi="仿宋" w:eastAsia="仿宋" w:cs="仿宋"/>
          <w:sz w:val="24"/>
          <w:highlight w:val="none"/>
        </w:rPr>
        <w:t>（7）具有履</w:t>
      </w:r>
      <w:r>
        <w:rPr>
          <w:rFonts w:hint="eastAsia" w:ascii="仿宋" w:hAnsi="仿宋" w:eastAsia="仿宋" w:cs="仿宋"/>
          <w:kern w:val="0"/>
          <w:sz w:val="24"/>
          <w:highlight w:val="none"/>
        </w:rPr>
        <w:t>行合同所必需的设备和专业技术能力的承诺函……………………（页码）</w:t>
      </w:r>
    </w:p>
    <w:p>
      <w:pPr>
        <w:pStyle w:val="191"/>
        <w:spacing w:line="420" w:lineRule="exact"/>
        <w:ind w:firstLine="0" w:firstLineChars="0"/>
        <w:rPr>
          <w:rFonts w:ascii="仿宋" w:eastAsia="仿宋" w:cs="仿宋"/>
          <w:highlight w:val="none"/>
        </w:rPr>
      </w:pPr>
      <w:r>
        <w:rPr>
          <w:rFonts w:hint="eastAsia" w:ascii="仿宋" w:eastAsia="仿宋" w:cs="仿宋"/>
          <w:highlight w:val="none"/>
        </w:rPr>
        <w:t>（8）重大违法记录的声明</w:t>
      </w:r>
      <w:r>
        <w:rPr>
          <w:rFonts w:hint="eastAsia" w:ascii="仿宋" w:eastAsia="仿宋" w:cs="仿宋"/>
          <w:kern w:val="0"/>
          <w:highlight w:val="none"/>
        </w:rPr>
        <w:t xml:space="preserve"> …</w:t>
      </w:r>
      <w:r>
        <w:rPr>
          <w:rFonts w:hint="eastAsia" w:ascii="仿宋" w:eastAsia="仿宋" w:cs="仿宋"/>
          <w:highlight w:val="none"/>
        </w:rPr>
        <w:t>……………………………………………………</w:t>
      </w:r>
      <w:r>
        <w:rPr>
          <w:rFonts w:hint="eastAsia" w:ascii="仿宋" w:eastAsia="仿宋" w:cs="仿宋"/>
          <w:kern w:val="0"/>
          <w:highlight w:val="none"/>
        </w:rPr>
        <w:t>（页码）</w:t>
      </w:r>
      <w:r>
        <w:rPr>
          <w:rFonts w:hint="eastAsia" w:ascii="仿宋" w:eastAsia="仿宋" w:cs="仿宋"/>
          <w:highlight w:val="none"/>
        </w:rPr>
        <w:t>（9）符合特定资格条件（如果项目要求）的有关证明材料（复印件）……（页码）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（10）</w:t>
      </w:r>
      <w:r>
        <w:rPr>
          <w:rFonts w:hint="eastAsia" w:ascii="仿宋" w:eastAsia="仿宋" w:cs="仿宋"/>
          <w:snapToGrid w:val="0"/>
          <w:highlight w:val="none"/>
        </w:rPr>
        <w:t>非本地投标人售后服务机构证明材料</w:t>
      </w:r>
      <w:r>
        <w:rPr>
          <w:rFonts w:hint="eastAsia" w:ascii="仿宋" w:eastAsia="仿宋" w:cs="仿宋"/>
          <w:highlight w:val="none"/>
        </w:rPr>
        <w:t>……………………………………（页码）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（11）所有与符合性审查有关的资信文件（复印件）…………………………（页码）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（12）</w:t>
      </w:r>
      <w:r>
        <w:rPr>
          <w:rFonts w:hint="eastAsia" w:ascii="仿宋" w:eastAsia="仿宋" w:cs="仿宋"/>
          <w:highlight w:val="none"/>
          <w:lang w:val="zh-CN"/>
        </w:rPr>
        <w:t>主要业绩证明… ………………………………………………</w:t>
      </w:r>
      <w:r>
        <w:rPr>
          <w:rFonts w:hint="eastAsia" w:ascii="仿宋" w:eastAsia="仿宋" w:cs="仿宋"/>
          <w:highlight w:val="none"/>
        </w:rPr>
        <w:t>…………</w:t>
      </w:r>
      <w:r>
        <w:rPr>
          <w:rFonts w:hint="eastAsia" w:ascii="仿宋" w:eastAsia="仿宋" w:cs="仿宋"/>
          <w:highlight w:val="none"/>
          <w:lang w:val="zh-CN"/>
        </w:rPr>
        <w:t>…</w:t>
      </w:r>
      <w:r>
        <w:rPr>
          <w:rFonts w:hint="eastAsia" w:ascii="仿宋" w:eastAsia="仿宋" w:cs="仿宋"/>
          <w:highlight w:val="none"/>
        </w:rPr>
        <w:t>（页码）</w:t>
      </w:r>
    </w:p>
    <w:p>
      <w:pPr>
        <w:pStyle w:val="191"/>
        <w:spacing w:line="420" w:lineRule="exact"/>
        <w:ind w:left="0" w:firstLine="0" w:firstLineChars="0"/>
        <w:rPr>
          <w:rFonts w:ascii="仿宋" w:eastAsia="仿宋" w:cs="仿宋"/>
          <w:highlight w:val="none"/>
        </w:rPr>
      </w:pPr>
      <w:r>
        <w:rPr>
          <w:rFonts w:hint="eastAsia" w:ascii="仿宋" w:eastAsia="仿宋" w:cs="仿宋"/>
          <w:highlight w:val="none"/>
        </w:rPr>
        <w:t>（13）廉政承诺书 …………………………………………………………………（页码）</w:t>
      </w:r>
    </w:p>
    <w:p>
      <w:pPr>
        <w:spacing w:line="420" w:lineRule="exact"/>
        <w:outlineLvl w:val="0"/>
        <w:rPr>
          <w:rFonts w:ascii="仿宋" w:hAnsi="仿宋" w:eastAsia="仿宋" w:cs="仿宋"/>
          <w:kern w:val="0"/>
          <w:sz w:val="24"/>
          <w:highlight w:val="none"/>
        </w:rPr>
      </w:pPr>
      <w:r>
        <w:rPr>
          <w:rFonts w:hint="eastAsia" w:ascii="仿宋" w:hAnsi="仿宋" w:eastAsia="仿宋" w:cs="仿宋"/>
          <w:kern w:val="0"/>
          <w:sz w:val="24"/>
          <w:highlight w:val="none"/>
        </w:rPr>
        <w:t>（14）技术解决方案…………………………………………………</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420" w:lineRule="exact"/>
        <w:outlineLvl w:val="0"/>
        <w:rPr>
          <w:rFonts w:ascii="仿宋" w:hAnsi="仿宋" w:eastAsia="仿宋" w:cs="仿宋"/>
          <w:kern w:val="0"/>
          <w:sz w:val="24"/>
          <w:highlight w:val="none"/>
        </w:rPr>
      </w:pPr>
      <w:r>
        <w:rPr>
          <w:rFonts w:hint="eastAsia" w:ascii="仿宋" w:hAnsi="仿宋" w:eastAsia="仿宋" w:cs="仿宋"/>
          <w:kern w:val="0"/>
          <w:sz w:val="24"/>
          <w:highlight w:val="none"/>
        </w:rPr>
        <w:t>（15）技术偏离说明表………………………………………………</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420" w:lineRule="exact"/>
        <w:outlineLvl w:val="0"/>
        <w:rPr>
          <w:rFonts w:ascii="仿宋" w:hAnsi="仿宋" w:eastAsia="仿宋" w:cs="仿宋"/>
          <w:kern w:val="0"/>
          <w:sz w:val="24"/>
          <w:highlight w:val="none"/>
        </w:rPr>
      </w:pPr>
      <w:r>
        <w:rPr>
          <w:rFonts w:hint="eastAsia" w:ascii="仿宋" w:hAnsi="仿宋" w:eastAsia="仿宋" w:cs="仿宋"/>
          <w:kern w:val="0"/>
          <w:sz w:val="24"/>
          <w:highlight w:val="none"/>
        </w:rPr>
        <w:t>（16）组织实施方案……………………………………………</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（17）售后服务方案……………………………………………</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（18）项目小组人员名单………………………………………</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（19）</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（20）</w:t>
      </w:r>
      <w:r>
        <w:rPr>
          <w:rFonts w:hint="eastAsia" w:ascii="仿宋" w:hAnsi="仿宋" w:eastAsia="仿宋" w:cs="仿宋"/>
          <w:kern w:val="0"/>
          <w:sz w:val="24"/>
          <w:highlight w:val="none"/>
          <w:lang w:val="zh-CN"/>
        </w:rPr>
        <w:t>备品备件及供选择的配套零部件清单(如有)……………………………</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21</w:t>
      </w:r>
      <w:r>
        <w:rPr>
          <w:rFonts w:hint="eastAsia" w:ascii="仿宋" w:hAnsi="仿宋" w:eastAsia="仿宋" w:cs="仿宋"/>
          <w:kern w:val="0"/>
          <w:sz w:val="24"/>
          <w:highlight w:val="none"/>
          <w:lang w:val="zh-CN"/>
        </w:rPr>
        <w:t>）消耗品、维修零配件购买价格清单(如有)</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zh-CN"/>
        </w:rPr>
        <w:t>培训计划……………………………………………………………………</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rPr>
      </w:pPr>
      <w:r>
        <w:rPr>
          <w:rFonts w:hint="eastAsia" w:ascii="仿宋" w:hAnsi="仿宋" w:eastAsia="仿宋" w:cs="仿宋"/>
          <w:kern w:val="0"/>
          <w:sz w:val="24"/>
          <w:highlight w:val="none"/>
        </w:rPr>
        <w:t>（23）</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pPr>
        <w:spacing w:line="42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w:t>
      </w:r>
      <w:r>
        <w:rPr>
          <w:rFonts w:hint="eastAsia" w:ascii="仿宋" w:hAnsi="仿宋" w:eastAsia="仿宋" w:cs="仿宋"/>
          <w:kern w:val="0"/>
          <w:sz w:val="24"/>
          <w:highlight w:val="none"/>
        </w:rPr>
        <w:t>4</w:t>
      </w:r>
      <w:r>
        <w:rPr>
          <w:rFonts w:hint="eastAsia" w:ascii="仿宋" w:hAnsi="仿宋" w:eastAsia="仿宋" w:cs="仿宋"/>
          <w:kern w:val="0"/>
          <w:sz w:val="24"/>
          <w:highlight w:val="none"/>
          <w:lang w:val="zh-CN"/>
        </w:rPr>
        <w:t>）联合协议（</w:t>
      </w:r>
      <w:r>
        <w:rPr>
          <w:rFonts w:hint="eastAsia" w:ascii="仿宋" w:hAnsi="仿宋" w:eastAsia="仿宋" w:cs="仿宋"/>
          <w:kern w:val="0"/>
          <w:sz w:val="24"/>
          <w:highlight w:val="none"/>
        </w:rPr>
        <w:t>如有</w:t>
      </w:r>
      <w:r>
        <w:rPr>
          <w:rFonts w:hint="eastAsia" w:ascii="仿宋" w:hAnsi="仿宋" w:eastAsia="仿宋" w:cs="仿宋"/>
          <w:kern w:val="0"/>
          <w:sz w:val="24"/>
          <w:highlight w:val="none"/>
          <w:lang w:val="zh-CN"/>
        </w:rPr>
        <w:t>）…………………………………………………………（页码）</w:t>
      </w:r>
    </w:p>
    <w:p>
      <w:pPr>
        <w:spacing w:line="42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w:t>
      </w:r>
      <w:r>
        <w:rPr>
          <w:rFonts w:hint="eastAsia" w:ascii="仿宋" w:hAnsi="仿宋" w:eastAsia="仿宋" w:cs="仿宋"/>
          <w:kern w:val="0"/>
          <w:sz w:val="24"/>
          <w:highlight w:val="none"/>
        </w:rPr>
        <w:t>5</w:t>
      </w:r>
      <w:r>
        <w:rPr>
          <w:rFonts w:hint="eastAsia" w:ascii="仿宋" w:hAnsi="仿宋" w:eastAsia="仿宋" w:cs="仿宋"/>
          <w:kern w:val="0"/>
          <w:sz w:val="24"/>
          <w:highlight w:val="none"/>
          <w:lang w:val="zh-CN"/>
        </w:rPr>
        <w:t>）分包意向协议（</w:t>
      </w:r>
      <w:r>
        <w:rPr>
          <w:rFonts w:hint="eastAsia" w:ascii="仿宋" w:hAnsi="仿宋" w:eastAsia="仿宋" w:cs="仿宋"/>
          <w:kern w:val="0"/>
          <w:sz w:val="24"/>
          <w:highlight w:val="none"/>
        </w:rPr>
        <w:t>如有</w:t>
      </w:r>
      <w:r>
        <w:rPr>
          <w:rFonts w:hint="eastAsia" w:ascii="仿宋" w:hAnsi="仿宋" w:eastAsia="仿宋" w:cs="仿宋"/>
          <w:kern w:val="0"/>
          <w:sz w:val="24"/>
          <w:highlight w:val="none"/>
          <w:lang w:val="zh-CN"/>
        </w:rPr>
        <w:t>）……………………………………………………（页码）</w:t>
      </w:r>
    </w:p>
    <w:p>
      <w:pPr>
        <w:spacing w:line="42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26</w:t>
      </w:r>
      <w:r>
        <w:rPr>
          <w:rFonts w:hint="eastAsia" w:ascii="仿宋" w:hAnsi="仿宋" w:eastAsia="仿宋" w:cs="仿宋"/>
          <w:kern w:val="0"/>
          <w:sz w:val="24"/>
          <w:highlight w:val="none"/>
          <w:lang w:val="zh-CN"/>
        </w:rPr>
        <w:t>）落实政府采购政策需满足的资格要求（</w:t>
      </w:r>
      <w:r>
        <w:rPr>
          <w:rFonts w:hint="eastAsia" w:ascii="仿宋" w:hAnsi="仿宋" w:eastAsia="仿宋" w:cs="仿宋"/>
          <w:kern w:val="0"/>
          <w:sz w:val="24"/>
          <w:highlight w:val="none"/>
        </w:rPr>
        <w:t>如有</w:t>
      </w:r>
      <w:r>
        <w:rPr>
          <w:rFonts w:hint="eastAsia" w:ascii="仿宋" w:hAnsi="仿宋" w:eastAsia="仿宋" w:cs="仿宋"/>
          <w:kern w:val="0"/>
          <w:sz w:val="24"/>
          <w:highlight w:val="none"/>
          <w:lang w:val="zh-CN"/>
        </w:rPr>
        <w:t>）…………………………（页码）</w:t>
      </w:r>
    </w:p>
    <w:p>
      <w:pPr>
        <w:spacing w:line="42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w:t>
      </w:r>
      <w:r>
        <w:rPr>
          <w:rFonts w:hint="eastAsia" w:ascii="仿宋" w:hAnsi="仿宋" w:eastAsia="仿宋" w:cs="仿宋"/>
          <w:kern w:val="0"/>
          <w:sz w:val="24"/>
          <w:highlight w:val="none"/>
        </w:rPr>
        <w:t>7</w:t>
      </w:r>
      <w:r>
        <w:rPr>
          <w:rFonts w:hint="eastAsia" w:ascii="仿宋" w:hAnsi="仿宋" w:eastAsia="仿宋" w:cs="仿宋"/>
          <w:kern w:val="0"/>
          <w:sz w:val="24"/>
          <w:highlight w:val="none"/>
          <w:lang w:val="zh-CN"/>
        </w:rPr>
        <w:t>）认为需要的其他商务技术（资信）文件或说明…………………………（页码）</w:t>
      </w:r>
    </w:p>
    <w:p>
      <w:pPr>
        <w:spacing w:line="420" w:lineRule="exact"/>
        <w:rPr>
          <w:rFonts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注：以上目录是基本格式要求，各投标人可根据自身情况和评分标准进一步细化。</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rPr>
        <w:t>（采购项目名称）</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Style w:val="2"/>
        <w:rPr>
          <w:rFonts w:ascii="仿宋" w:hAnsi="仿宋" w:eastAsia="仿宋" w:cs="仿宋"/>
          <w:b/>
          <w:highlight w:val="none"/>
        </w:rPr>
      </w:pPr>
    </w:p>
    <w:p>
      <w:pPr>
        <w:pStyle w:val="2"/>
        <w:rPr>
          <w:rFonts w:ascii="仿宋" w:hAnsi="仿宋" w:eastAsia="仿宋" w:cs="仿宋"/>
          <w:b/>
          <w:highlight w:val="none"/>
        </w:rPr>
      </w:pPr>
    </w:p>
    <w:p>
      <w:pPr>
        <w:pStyle w:val="2"/>
        <w:rPr>
          <w:rFonts w:ascii="仿宋" w:hAnsi="仿宋" w:eastAsia="仿宋" w:cs="仿宋"/>
          <w:b/>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rPr>
        <w:t>（采购项目名称）</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2"/>
        <w:rPr>
          <w:rFonts w:ascii="仿宋" w:hAnsi="仿宋" w:eastAsia="仿宋" w:cs="仿宋"/>
          <w:b/>
          <w:highlight w:val="none"/>
        </w:rPr>
      </w:pP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出具距投标截止时间</w:t>
      </w:r>
      <w:r>
        <w:rPr>
          <w:rFonts w:hint="eastAsia" w:ascii="仿宋" w:hAnsi="仿宋" w:eastAsia="仿宋" w:cs="仿宋"/>
          <w:b/>
          <w:bCs/>
          <w:sz w:val="24"/>
          <w:highlight w:val="none"/>
          <w:u w:val="wave"/>
        </w:rPr>
        <w:t>前一个月以内</w:t>
      </w:r>
      <w:r>
        <w:rPr>
          <w:rFonts w:hint="eastAsia" w:ascii="仿宋" w:hAnsi="仿宋" w:eastAsia="仿宋" w:cs="仿宋"/>
          <w:sz w:val="24"/>
          <w:highlight w:val="none"/>
          <w:u w:val="wave"/>
        </w:rPr>
        <w:t>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ascii="仿宋" w:hAnsi="仿宋" w:eastAsia="仿宋" w:cs="仿宋"/>
          <w:sz w:val="24"/>
          <w:highlight w:val="none"/>
        </w:rPr>
      </w:pPr>
    </w:p>
    <w:p>
      <w:pPr>
        <w:spacing w:line="800" w:lineRule="exact"/>
        <w:ind w:firstLine="4337" w:firstLineChars="1800"/>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ascii="仿宋" w:hAnsi="仿宋" w:eastAsia="仿宋" w:cs="仿宋"/>
          <w:b/>
          <w:sz w:val="24"/>
          <w:highlight w:val="none"/>
        </w:rPr>
      </w:pPr>
    </w:p>
    <w:p>
      <w:pPr>
        <w:pStyle w:val="2"/>
        <w:rPr>
          <w:rFonts w:ascii="仿宋" w:hAnsi="仿宋" w:eastAsia="仿宋" w:cs="仿宋"/>
          <w:b/>
          <w:highlight w:val="none"/>
        </w:rPr>
      </w:pPr>
    </w:p>
    <w:p>
      <w:pPr>
        <w:pStyle w:val="2"/>
        <w:rPr>
          <w:rFonts w:ascii="仿宋" w:hAnsi="仿宋" w:eastAsia="仿宋" w:cs="仿宋"/>
          <w:b/>
          <w:highlight w:val="none"/>
        </w:rPr>
      </w:pPr>
    </w:p>
    <w:p>
      <w:pPr>
        <w:pStyle w:val="2"/>
        <w:rPr>
          <w:rFonts w:ascii="仿宋" w:hAnsi="仿宋" w:eastAsia="仿宋" w:cs="仿宋"/>
          <w:b/>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ascii="仿宋" w:hAnsi="仿宋" w:eastAsia="仿宋" w:cs="仿宋"/>
          <w:sz w:val="24"/>
          <w:highlight w:val="none"/>
        </w:rPr>
      </w:pPr>
    </w:p>
    <w:p>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pPr>
        <w:spacing w:line="360" w:lineRule="auto"/>
        <w:jc w:val="left"/>
        <w:rPr>
          <w:rFonts w:ascii="仿宋" w:hAnsi="仿宋" w:eastAsia="仿宋" w:cs="仿宋"/>
          <w:b/>
          <w:sz w:val="30"/>
          <w:szCs w:val="30"/>
          <w:highlight w:val="none"/>
        </w:rPr>
      </w:pPr>
      <w:r>
        <w:rPr>
          <w:rFonts w:hint="eastAsia" w:ascii="仿宋" w:hAnsi="仿宋" w:eastAsia="仿宋" w:cs="仿宋"/>
          <w:b/>
          <w:color w:val="000000" w:themeColor="text1"/>
          <w:sz w:val="30"/>
          <w:szCs w:val="30"/>
          <w:highlight w:val="none"/>
          <w14:textFill>
            <w14:solidFill>
              <w14:schemeClr w14:val="tx1"/>
            </w14:solidFill>
          </w14:textFill>
        </w:rPr>
        <w:t>5</w:t>
      </w:r>
      <w:r>
        <w:rPr>
          <w:rFonts w:hint="eastAsia" w:ascii="仿宋" w:hAnsi="仿宋" w:eastAsia="仿宋" w:cs="仿宋"/>
          <w:b/>
          <w:color w:val="000000" w:themeColor="text1"/>
          <w:kern w:val="0"/>
          <w:sz w:val="30"/>
          <w:szCs w:val="30"/>
          <w:highlight w:val="none"/>
          <w:lang w:val="zh-CN"/>
          <w14:textFill>
            <w14:solidFill>
              <w14:schemeClr w14:val="tx1"/>
            </w14:solidFill>
          </w14:textFill>
        </w:rPr>
        <w:t>、</w:t>
      </w:r>
      <w:r>
        <w:rPr>
          <w:rFonts w:hint="eastAsia" w:ascii="仿宋" w:hAnsi="仿宋" w:eastAsia="仿宋" w:cs="仿宋"/>
          <w:b/>
          <w:color w:val="000000" w:themeColor="text1"/>
          <w:sz w:val="30"/>
          <w:szCs w:val="30"/>
          <w:highlight w:val="none"/>
          <w14:textFill>
            <w14:solidFill>
              <w14:schemeClr w14:val="tx1"/>
            </w14:solidFill>
          </w14:textFill>
        </w:rPr>
        <w:t>与符合性审查有关的资信文件（复印件）</w:t>
      </w:r>
      <w:r>
        <w:rPr>
          <w:rFonts w:hint="eastAsia" w:ascii="仿宋" w:hAnsi="仿宋" w:eastAsia="仿宋" w:cs="仿宋"/>
          <w:b/>
          <w:color w:val="000000" w:themeColor="text1"/>
          <w:sz w:val="28"/>
          <w:szCs w:val="28"/>
          <w:highlight w:val="none"/>
          <w14:textFill>
            <w14:solidFill>
              <w14:schemeClr w14:val="tx1"/>
            </w14:solidFill>
          </w14:textFill>
        </w:rPr>
        <w:t>（1</w:t>
      </w:r>
      <w:r>
        <w:rPr>
          <w:rFonts w:hint="eastAsia" w:ascii="仿宋" w:hAnsi="仿宋" w:eastAsia="仿宋" w:cs="仿宋"/>
          <w:b/>
          <w:color w:val="000000" w:themeColor="text1"/>
          <w:kern w:val="0"/>
          <w:sz w:val="28"/>
          <w:szCs w:val="28"/>
          <w:highlight w:val="none"/>
          <w:lang w:val="zh-CN"/>
          <w14:textFill>
            <w14:solidFill>
              <w14:schemeClr w14:val="tx1"/>
            </w14:solidFill>
          </w14:textFill>
        </w:rPr>
        <w:t>.</w:t>
      </w:r>
      <w:r>
        <w:rPr>
          <w:rFonts w:hint="eastAsia" w:ascii="仿宋" w:hAnsi="仿宋" w:eastAsia="仿宋" w:cs="仿宋"/>
          <w:b/>
          <w:color w:val="000000" w:themeColor="text1"/>
          <w:sz w:val="28"/>
          <w:szCs w:val="28"/>
          <w:highlight w:val="none"/>
          <w14:textFill>
            <w14:solidFill>
              <w14:schemeClr w14:val="tx1"/>
            </w14:solidFill>
          </w14:textFill>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投标文件要求编制。）</w:t>
      </w: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napToGrid w:val="0"/>
        <w:spacing w:line="360" w:lineRule="auto"/>
        <w:ind w:right="48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6、具有履行合同所必需的设备和专业技术能力的承诺函</w:t>
      </w:r>
    </w:p>
    <w:p>
      <w:pPr>
        <w:snapToGrid w:val="0"/>
        <w:spacing w:line="360" w:lineRule="auto"/>
        <w:rPr>
          <w:rFonts w:ascii="仿宋" w:hAnsi="仿宋" w:eastAsia="仿宋" w:cs="仿宋"/>
          <w:sz w:val="24"/>
          <w:highlight w:val="none"/>
        </w:rPr>
      </w:pPr>
      <w:r>
        <w:rPr>
          <w:rFonts w:hint="eastAsia" w:ascii="仿宋" w:hAnsi="仿宋" w:eastAsia="仿宋" w:cs="仿宋"/>
          <w:b/>
          <w:bCs/>
          <w:sz w:val="24"/>
          <w:highlight w:val="none"/>
          <w:u w:val="single"/>
        </w:rPr>
        <w:t>(采购单位名称）、(采购代理机构)</w:t>
      </w:r>
      <w:r>
        <w:rPr>
          <w:rFonts w:hint="eastAsia" w:ascii="仿宋" w:hAnsi="仿宋" w:eastAsia="仿宋" w:cs="仿宋"/>
          <w:kern w:val="0"/>
          <w:sz w:val="24"/>
          <w:highlight w:val="none"/>
          <w:lang w:val="zh-CN"/>
        </w:rPr>
        <w:t>：</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我方郑重承诺，我方具有履行</w:t>
      </w:r>
      <w:r>
        <w:rPr>
          <w:rFonts w:hint="eastAsia" w:ascii="仿宋" w:hAnsi="仿宋" w:eastAsia="仿宋" w:cs="仿宋"/>
          <w:b/>
          <w:bCs/>
          <w:sz w:val="24"/>
          <w:highlight w:val="none"/>
          <w:u w:val="single"/>
        </w:rPr>
        <w:t xml:space="preserve">                    （采购项目名称）</w:t>
      </w:r>
      <w:r>
        <w:rPr>
          <w:rFonts w:hint="eastAsia" w:ascii="仿宋" w:hAnsi="仿宋" w:eastAsia="仿宋" w:cs="仿宋"/>
          <w:b/>
          <w:bCs/>
          <w:sz w:val="24"/>
          <w:highlight w:val="none"/>
        </w:rPr>
        <w:t>（招标编号:</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合同所必需的设备和专业技术能力。如中标，我方将保证合同顺利履行。</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center"/>
        <w:rPr>
          <w:rFonts w:ascii="仿宋" w:hAnsi="仿宋" w:eastAsia="仿宋" w:cs="仿宋"/>
          <w:b/>
          <w:kern w:val="0"/>
          <w:sz w:val="32"/>
          <w:szCs w:val="32"/>
          <w:highlight w:val="none"/>
        </w:rPr>
      </w:pPr>
    </w:p>
    <w:p>
      <w:pPr>
        <w:spacing w:line="360" w:lineRule="auto"/>
        <w:jc w:val="center"/>
        <w:rPr>
          <w:rFonts w:ascii="仿宋" w:hAnsi="仿宋" w:eastAsia="仿宋" w:cs="仿宋"/>
          <w:b/>
          <w:kern w:val="0"/>
          <w:sz w:val="32"/>
          <w:szCs w:val="32"/>
          <w:highlight w:val="none"/>
        </w:rPr>
      </w:pP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7、重大违法记录的声明</w:t>
      </w:r>
    </w:p>
    <w:p>
      <w:pPr>
        <w:snapToGrid w:val="0"/>
        <w:spacing w:line="360" w:lineRule="auto"/>
        <w:rPr>
          <w:rFonts w:ascii="仿宋" w:hAnsi="仿宋" w:eastAsia="仿宋" w:cs="仿宋"/>
          <w:sz w:val="24"/>
          <w:highlight w:val="none"/>
        </w:rPr>
      </w:pPr>
      <w:r>
        <w:rPr>
          <w:rFonts w:hint="eastAsia" w:ascii="仿宋" w:hAnsi="仿宋" w:eastAsia="仿宋" w:cs="仿宋"/>
          <w:b/>
          <w:bCs/>
          <w:sz w:val="24"/>
          <w:highlight w:val="none"/>
          <w:u w:val="single"/>
        </w:rPr>
        <w:t>(采购单位名称）、(采购代理机构)</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sz w:val="24"/>
          <w:szCs w:val="20"/>
          <w:highlight w:val="none"/>
        </w:rPr>
      </w:pP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，在</w:t>
      </w:r>
      <w:r>
        <w:rPr>
          <w:rFonts w:hint="eastAsia" w:ascii="仿宋_GB2312" w:hAnsi="仿宋_GB2312" w:eastAsia="仿宋_GB2312" w:cs="仿宋_GB2312"/>
          <w:kern w:val="0"/>
          <w:sz w:val="24"/>
          <w:highlight w:val="none"/>
        </w:rPr>
        <w:t>经营活动中</w:t>
      </w:r>
      <w:r>
        <w:rPr>
          <w:rFonts w:hint="eastAsia" w:ascii="仿宋_GB2312" w:hAnsi="仿宋_GB2312" w:eastAsia="仿宋_GB2312" w:cs="仿宋_GB2312"/>
          <w:sz w:val="24"/>
          <w:highlight w:val="none"/>
        </w:rPr>
        <w:t>没有重大违法记录</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rPr>
          <w:rFonts w:ascii="仿宋" w:hAnsi="仿宋" w:eastAsia="仿宋" w:cs="仿宋"/>
          <w:b/>
          <w:sz w:val="30"/>
          <w:szCs w:val="30"/>
          <w:highlight w:val="none"/>
        </w:rPr>
      </w:pPr>
    </w:p>
    <w:p>
      <w:pPr>
        <w:spacing w:line="360" w:lineRule="auto"/>
        <w:rPr>
          <w:rFonts w:ascii="仿宋" w:hAnsi="仿宋" w:eastAsia="仿宋" w:cs="仿宋"/>
          <w:b/>
          <w:sz w:val="32"/>
          <w:szCs w:val="32"/>
          <w:highlight w:val="none"/>
        </w:rPr>
      </w:pPr>
    </w:p>
    <w:p>
      <w:pPr>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8、特定资格条件要求的资质文件（复印件）</w:t>
      </w:r>
    </w:p>
    <w:p>
      <w:pPr>
        <w:widowControl/>
        <w:spacing w:line="360" w:lineRule="auto"/>
        <w:ind w:firstLine="480" w:firstLineChars="200"/>
        <w:jc w:val="left"/>
        <w:rPr>
          <w:rFonts w:ascii="仿宋" w:hAnsi="仿宋" w:eastAsia="仿宋" w:cs="仿宋"/>
          <w:b/>
          <w:bCs/>
          <w:sz w:val="32"/>
          <w:szCs w:val="32"/>
          <w:highlight w:val="none"/>
        </w:rPr>
      </w:pPr>
      <w:r>
        <w:rPr>
          <w:rFonts w:hint="eastAsia" w:ascii="仿宋" w:hAnsi="仿宋" w:eastAsia="仿宋" w:cs="仿宋"/>
          <w:sz w:val="24"/>
          <w:highlight w:val="none"/>
        </w:rPr>
        <w:t>（由投标人根据招标公告合格的投标人应具备的特定资格要求编制）</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9、非本地投标人售后服务机构证明材料</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（由非本地投标人根据采购需求及招标文件要求编制）</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10、</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sz w:val="24"/>
          <w:highlight w:val="none"/>
        </w:rPr>
      </w:pPr>
      <w:r>
        <w:rPr>
          <w:rFonts w:hint="eastAsia" w:ascii="仿宋" w:hAnsi="仿宋" w:eastAsia="仿宋" w:cs="仿宋"/>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pStyle w:val="192"/>
        <w:ind w:firstLine="0"/>
        <w:jc w:val="both"/>
        <w:rPr>
          <w:rFonts w:ascii="仿宋" w:eastAsia="仿宋" w:cs="仿宋"/>
          <w:highlight w:val="none"/>
        </w:rPr>
      </w:pPr>
    </w:p>
    <w:p>
      <w:pPr>
        <w:pStyle w:val="192"/>
        <w:pageBreakBefore/>
        <w:ind w:firstLine="0"/>
        <w:jc w:val="both"/>
        <w:rPr>
          <w:rFonts w:ascii="仿宋" w:eastAsia="仿宋" w:cs="仿宋"/>
          <w:highlight w:val="none"/>
        </w:rPr>
      </w:pPr>
      <w:r>
        <w:rPr>
          <w:rFonts w:hint="eastAsia" w:ascii="仿宋" w:eastAsia="仿宋" w:cs="仿宋"/>
          <w:highlight w:val="none"/>
        </w:rPr>
        <w:t>11、廉政承诺书</w:t>
      </w:r>
    </w:p>
    <w:p>
      <w:pPr>
        <w:snapToGrid w:val="0"/>
        <w:spacing w:line="360" w:lineRule="auto"/>
        <w:rPr>
          <w:rFonts w:ascii="仿宋" w:hAnsi="仿宋" w:eastAsia="仿宋" w:cs="仿宋"/>
          <w:sz w:val="24"/>
          <w:highlight w:val="none"/>
        </w:rPr>
      </w:pPr>
      <w:r>
        <w:rPr>
          <w:rFonts w:hint="eastAsia" w:ascii="仿宋" w:hAnsi="仿宋" w:eastAsia="仿宋" w:cs="仿宋"/>
          <w:b/>
          <w:bCs/>
          <w:sz w:val="24"/>
          <w:highlight w:val="none"/>
          <w:u w:val="single"/>
        </w:rPr>
        <w:t>(采购单位名称）</w:t>
      </w:r>
      <w:r>
        <w:rPr>
          <w:rFonts w:hint="eastAsia" w:ascii="仿宋" w:hAnsi="仿宋" w:eastAsia="仿宋" w:cs="仿宋"/>
          <w:kern w:val="0"/>
          <w:sz w:val="24"/>
          <w:highlight w:val="none"/>
          <w:lang w:val="zh-CN"/>
        </w:rPr>
        <w:t>：</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六、严格遵守政府采购法、</w:t>
      </w:r>
      <w:r>
        <w:rPr>
          <w:rFonts w:hint="eastAsia" w:ascii="仿宋" w:hAnsi="仿宋" w:eastAsia="仿宋" w:cs="仿宋"/>
          <w:kern w:val="0"/>
          <w:sz w:val="24"/>
          <w:highlight w:val="none"/>
        </w:rPr>
        <w:t>民法典</w:t>
      </w:r>
      <w:r>
        <w:rPr>
          <w:rFonts w:hint="eastAsia" w:ascii="仿宋" w:hAnsi="仿宋" w:eastAsia="仿宋" w:cs="仿宋"/>
          <w:kern w:val="0"/>
          <w:sz w:val="24"/>
          <w:highlight w:val="none"/>
          <w:lang w:val="zh-CN"/>
        </w:rPr>
        <w:t xml:space="preserve">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12、技术解决方案</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1pt;width:442.3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6" r:id="rId12">
            <o:LockedField>false</o:LockedField>
          </o:OLEObject>
        </w:object>
      </w:r>
      <w:r>
        <w:rPr>
          <w:rFonts w:hint="eastAsia" w:ascii="仿宋" w:hAnsi="仿宋" w:eastAsia="仿宋" w:cs="仿宋"/>
          <w:b/>
          <w:kern w:val="0"/>
          <w:sz w:val="28"/>
          <w:szCs w:val="28"/>
          <w:highlight w:val="none"/>
        </w:rPr>
        <w:object>
          <v:shape id="_x0000_i1026" o:spt="75" type="#_x0000_t75" style="height:42.1pt;width:441.3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7" r:id="rId14">
            <o:LockedField>false</o:LockedField>
          </o:OLEObject>
        </w:object>
      </w: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13、技术偏离说明表</w:t>
      </w:r>
    </w:p>
    <w:p>
      <w:pPr>
        <w:spacing w:line="360" w:lineRule="auto"/>
        <w:rPr>
          <w:rFonts w:ascii="仿宋" w:hAnsi="仿宋" w:eastAsia="仿宋" w:cs="仿宋"/>
          <w:b/>
          <w:bCs/>
          <w:sz w:val="32"/>
          <w:szCs w:val="32"/>
          <w:highlight w:val="none"/>
        </w:rPr>
      </w:pPr>
      <w:r>
        <w:rPr>
          <w:rFonts w:hint="eastAsia" w:ascii="仿宋" w:hAnsi="仿宋" w:eastAsia="仿宋" w:cs="仿宋"/>
          <w:sz w:val="24"/>
          <w:highlight w:val="none"/>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bl>
    <w:p>
      <w:pPr>
        <w:tabs>
          <w:tab w:val="left" w:pos="570"/>
        </w:tabs>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ascii="仿宋" w:hAnsi="仿宋" w:eastAsia="仿宋" w:cs="仿宋"/>
          <w:sz w:val="24"/>
          <w:highlight w:val="none"/>
        </w:rPr>
      </w:pPr>
      <w:r>
        <w:rPr>
          <w:rFonts w:hint="eastAsia" w:ascii="仿宋" w:hAnsi="仿宋" w:eastAsia="仿宋" w:cs="仿宋"/>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highlight w:val="none"/>
          <w:lang w:val="zh-CN"/>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w:t>
      </w:r>
      <w:r>
        <w:rPr>
          <w:rFonts w:hint="eastAsia" w:ascii="仿宋" w:hAnsi="仿宋" w:eastAsia="仿宋" w:cs="仿宋"/>
          <w:b/>
          <w:bCs/>
          <w:kern w:val="0"/>
          <w:sz w:val="32"/>
          <w:szCs w:val="32"/>
          <w:highlight w:val="none"/>
        </w:rPr>
        <w:t>4</w:t>
      </w:r>
      <w:r>
        <w:rPr>
          <w:rFonts w:hint="eastAsia" w:ascii="仿宋" w:hAnsi="仿宋" w:eastAsia="仿宋" w:cs="仿宋"/>
          <w:b/>
          <w:bCs/>
          <w:kern w:val="0"/>
          <w:sz w:val="32"/>
          <w:szCs w:val="32"/>
          <w:highlight w:val="none"/>
          <w:lang w:val="zh-CN"/>
        </w:rPr>
        <w:t>、组织实施方案</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highlight w:val="none"/>
              </w:rPr>
            </w:pPr>
            <w:r>
              <w:rPr>
                <w:rFonts w:hint="eastAsia" w:ascii="仿宋" w:hAnsi="仿宋" w:eastAsia="仿宋" w:cs="仿宋"/>
                <w:sz w:val="24"/>
                <w:highlight w:val="none"/>
              </w:rPr>
              <w:t xml:space="preserve">  工作日</w:t>
            </w:r>
          </w:p>
          <w:p>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pStyle w:val="51"/>
        <w:rPr>
          <w:rFonts w:ascii="仿宋" w:hAnsi="仿宋" w:eastAsia="仿宋" w:cs="仿宋"/>
          <w:highlight w:val="none"/>
          <w:lang w:val="zh-CN"/>
        </w:rPr>
      </w:pPr>
    </w:p>
    <w:p>
      <w:pPr>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15、售后服务方案</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bl>
    <w:p>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bl>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16、项目小组人员名单</w:t>
      </w:r>
    </w:p>
    <w:p>
      <w:pPr>
        <w:spacing w:line="360" w:lineRule="auto"/>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spacing w:line="360" w:lineRule="auto"/>
        <w:rPr>
          <w:rFonts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附表C:本项目的项目经理和小组人员社会保障资金记录情况表</w:t>
      </w:r>
      <w:r>
        <w:rPr>
          <w:rFonts w:hint="eastAsia" w:ascii="仿宋" w:hAnsi="仿宋" w:eastAsia="仿宋" w:cs="仿宋"/>
          <w:sz w:val="24"/>
          <w:highlight w:val="none"/>
        </w:rPr>
        <w:t>（以社保部门缴纳凭证作附件）</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17、</w:t>
      </w:r>
      <w:r>
        <w:rPr>
          <w:rFonts w:hint="eastAsia" w:ascii="仿宋" w:hAnsi="仿宋" w:eastAsia="仿宋" w:cs="仿宋"/>
          <w:b/>
          <w:kern w:val="0"/>
          <w:sz w:val="32"/>
          <w:szCs w:val="32"/>
          <w:highlight w:val="none"/>
          <w:lang w:val="zh-CN"/>
        </w:rPr>
        <w:t>优惠条件及特殊承诺</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18"/>
          <w:szCs w:val="18"/>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rPr>
          <w:rFonts w:ascii="仿宋" w:hAnsi="仿宋" w:eastAsia="仿宋" w:cs="仿宋"/>
          <w:b/>
          <w:bCs/>
          <w:sz w:val="18"/>
          <w:szCs w:val="18"/>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18、</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rPr>
        <w:t>如有</w:t>
      </w:r>
      <w:r>
        <w:rPr>
          <w:rFonts w:hint="eastAsia" w:ascii="仿宋" w:hAnsi="仿宋" w:eastAsia="仿宋" w:cs="仿宋"/>
          <w:b/>
          <w:kern w:val="0"/>
          <w:sz w:val="32"/>
          <w:szCs w:val="32"/>
          <w:highlight w:val="none"/>
          <w:lang w:val="zh-CN"/>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napToGrid w:val="0"/>
        <w:spacing w:line="360" w:lineRule="auto"/>
        <w:ind w:firstLine="5040" w:firstLineChars="2100"/>
        <w:rPr>
          <w:rFonts w:ascii="仿宋" w:hAnsi="仿宋" w:eastAsia="仿宋" w:cs="仿宋"/>
          <w:kern w:val="0"/>
          <w:sz w:val="24"/>
          <w:highlight w:val="none"/>
        </w:rPr>
      </w:pPr>
    </w:p>
    <w:p>
      <w:pPr>
        <w:snapToGrid w:val="0"/>
        <w:spacing w:line="360" w:lineRule="auto"/>
        <w:ind w:firstLine="5040" w:firstLineChars="2100"/>
        <w:rPr>
          <w:rFonts w:ascii="仿宋" w:hAnsi="仿宋" w:eastAsia="仿宋" w:cs="仿宋"/>
          <w:kern w:val="0"/>
          <w:sz w:val="24"/>
          <w:highlight w:val="none"/>
        </w:rPr>
      </w:pPr>
    </w:p>
    <w:p>
      <w:pPr>
        <w:snapToGrid w:val="0"/>
        <w:spacing w:line="360" w:lineRule="auto"/>
        <w:ind w:firstLine="5040" w:firstLineChars="2100"/>
        <w:rPr>
          <w:rFonts w:ascii="仿宋" w:hAnsi="仿宋" w:eastAsia="仿宋" w:cs="仿宋"/>
          <w:kern w:val="0"/>
          <w:sz w:val="24"/>
          <w:highlight w:val="none"/>
        </w:rPr>
      </w:pPr>
    </w:p>
    <w:p>
      <w:pPr>
        <w:snapToGrid w:val="0"/>
        <w:spacing w:line="360" w:lineRule="auto"/>
        <w:ind w:firstLine="5040" w:firstLineChars="2100"/>
        <w:rPr>
          <w:rFonts w:ascii="仿宋" w:hAnsi="仿宋" w:eastAsia="仿宋" w:cs="仿宋"/>
          <w:kern w:val="0"/>
          <w:sz w:val="24"/>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pacing w:line="360" w:lineRule="auto"/>
        <w:ind w:firstLine="5040" w:firstLineChars="2100"/>
        <w:rPr>
          <w:rFonts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rPr>
          <w:rFonts w:ascii="仿宋" w:hAnsi="仿宋" w:eastAsia="仿宋" w:cs="仿宋"/>
          <w:b/>
          <w:bCs/>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z w:val="32"/>
          <w:szCs w:val="32"/>
          <w:highlight w:val="none"/>
        </w:rPr>
      </w:pPr>
    </w:p>
    <w:p>
      <w:pPr>
        <w:spacing w:line="440" w:lineRule="exact"/>
        <w:rPr>
          <w:rFonts w:ascii="仿宋" w:hAnsi="仿宋" w:eastAsia="仿宋" w:cs="仿宋"/>
          <w:b/>
          <w:spacing w:val="20"/>
          <w:sz w:val="32"/>
          <w:szCs w:val="32"/>
          <w:highlight w:val="none"/>
        </w:rPr>
      </w:pPr>
      <w:r>
        <w:rPr>
          <w:rFonts w:hint="eastAsia" w:ascii="仿宋" w:hAnsi="仿宋" w:eastAsia="仿宋" w:cs="仿宋"/>
          <w:b/>
          <w:sz w:val="32"/>
          <w:szCs w:val="32"/>
          <w:highlight w:val="none"/>
        </w:rPr>
        <w:t>19、</w:t>
      </w:r>
      <w:r>
        <w:rPr>
          <w:rFonts w:hint="eastAsia" w:ascii="仿宋" w:hAnsi="仿宋" w:eastAsia="仿宋" w:cs="仿宋"/>
          <w:b/>
          <w:spacing w:val="20"/>
          <w:sz w:val="32"/>
          <w:szCs w:val="32"/>
          <w:highlight w:val="none"/>
        </w:rPr>
        <w:t>消耗品、维修零配件购买价格清单(如有)</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r>
              <w:rPr>
                <w:rFonts w:hint="eastAsia" w:ascii="仿宋" w:hAnsi="仿宋" w:eastAsia="仿宋" w:cs="仿宋"/>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cs="仿宋"/>
                <w:highlight w:val="none"/>
              </w:rPr>
            </w:pPr>
            <w:r>
              <w:rPr>
                <w:rFonts w:hint="eastAsia" w:ascii="仿宋" w:hAnsi="仿宋" w:eastAsia="仿宋" w:cs="仿宋"/>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cs="仿宋"/>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cs="仿宋"/>
                <w:highlight w:val="none"/>
              </w:rPr>
            </w:pPr>
          </w:p>
        </w:tc>
      </w:tr>
    </w:tbl>
    <w:p>
      <w:pPr>
        <w:adjustRightInd w:val="0"/>
        <w:snapToGrid w:val="0"/>
        <w:ind w:right="172" w:rightChars="82"/>
        <w:rPr>
          <w:rFonts w:ascii="仿宋" w:hAnsi="仿宋" w:eastAsia="仿宋" w:cs="仿宋"/>
          <w:szCs w:val="21"/>
          <w:highlight w:val="none"/>
        </w:rPr>
      </w:pPr>
      <w:r>
        <w:rPr>
          <w:rFonts w:hint="eastAsia" w:ascii="仿宋" w:hAnsi="仿宋" w:eastAsia="仿宋" w:cs="仿宋"/>
          <w:szCs w:val="21"/>
          <w:highlight w:val="none"/>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ind w:firstLine="3120" w:firstLineChars="1300"/>
        <w:rPr>
          <w:rFonts w:ascii="仿宋" w:hAnsi="仿宋" w:eastAsia="仿宋" w:cs="仿宋"/>
          <w:kern w:val="0"/>
          <w:sz w:val="24"/>
          <w:highlight w:val="none"/>
        </w:rPr>
      </w:pPr>
      <w:r>
        <w:rPr>
          <w:rFonts w:hint="eastAsia" w:ascii="仿宋" w:hAnsi="仿宋" w:eastAsia="仿宋" w:cs="仿宋"/>
          <w:kern w:val="0"/>
          <w:sz w:val="24"/>
          <w:highlight w:val="none"/>
          <w:lang w:val="zh-CN"/>
        </w:rPr>
        <w:t>法定代表人或其授权代表(签字或盖章)：</w:t>
      </w:r>
    </w:p>
    <w:p>
      <w:pPr>
        <w:spacing w:line="360" w:lineRule="auto"/>
        <w:ind w:firstLine="6240" w:firstLineChars="2600"/>
        <w:rPr>
          <w:rFonts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pStyle w:val="2"/>
        <w:rPr>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20、</w:t>
      </w:r>
      <w:r>
        <w:rPr>
          <w:rFonts w:hint="eastAsia" w:ascii="仿宋" w:hAnsi="仿宋" w:eastAsia="仿宋" w:cs="仿宋"/>
          <w:b/>
          <w:kern w:val="0"/>
          <w:sz w:val="32"/>
          <w:szCs w:val="32"/>
          <w:highlight w:val="none"/>
          <w:lang w:val="zh-CN"/>
        </w:rPr>
        <w:t>培训计划</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注：须随表提交相应的证书复印件并注明所在投标商务技术（资信）文件页码。</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21、验收方案</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ascii="仿宋" w:hAnsi="仿宋" w:eastAsia="仿宋" w:cs="仿宋"/>
          <w:sz w:val="24"/>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24"/>
          <w:highlight w:val="none"/>
        </w:rPr>
      </w:pPr>
    </w:p>
    <w:p>
      <w:pPr>
        <w:spacing w:line="360" w:lineRule="auto"/>
        <w:jc w:val="center"/>
        <w:rPr>
          <w:rFonts w:ascii="仿宋" w:hAnsi="仿宋" w:eastAsia="仿宋" w:cs="仿宋"/>
          <w:b/>
          <w:bCs/>
          <w:sz w:val="24"/>
          <w:highlight w:val="none"/>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rPr>
        <w:t>2</w:t>
      </w:r>
      <w:r>
        <w:rPr>
          <w:rFonts w:hint="eastAsia" w:ascii="仿宋_GB2312" w:hAnsi="仿宋_GB2312" w:eastAsia="仿宋_GB2312" w:cs="仿宋_GB2312"/>
          <w:b/>
          <w:kern w:val="0"/>
          <w:sz w:val="32"/>
          <w:szCs w:val="32"/>
          <w:highlight w:val="none"/>
          <w:lang w:val="zh-CN"/>
        </w:rPr>
        <w:t>、联合协议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w:t>
      </w:r>
      <w:r>
        <w:rPr>
          <w:rFonts w:ascii="仿宋_GB2312" w:hAnsi="仿宋" w:eastAsia="仿宋_GB2312" w:cs="仿宋_GB2312"/>
          <w:b/>
          <w:kern w:val="0"/>
          <w:sz w:val="24"/>
          <w:highlight w:val="none"/>
          <w:lang w:val="zh-CN"/>
        </w:rPr>
        <w:t>3%的扣除</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pStyle w:val="2"/>
        <w:rPr>
          <w:rFonts w:ascii="仿宋" w:hAnsi="仿宋" w:eastAsia="仿宋" w:cs="仿宋"/>
          <w:highlight w:val="none"/>
          <w:lang w:val="zh-CN"/>
        </w:rPr>
      </w:pPr>
      <w:r>
        <w:rPr>
          <w:rFonts w:ascii="仿宋_GB2312" w:hAnsi="仿宋" w:eastAsia="仿宋_GB2312" w:cs="仿宋_GB2312"/>
          <w:highlight w:val="none"/>
          <w:lang w:val="zh-CN"/>
        </w:rPr>
        <w:t xml:space="preserve">                                               日期：  年  月   日</w:t>
      </w:r>
    </w:p>
    <w:p>
      <w:pPr>
        <w:spacing w:line="360" w:lineRule="auto"/>
        <w:rPr>
          <w:rFonts w:ascii="仿宋" w:hAnsi="仿宋" w:eastAsia="仿宋" w:cs="仿宋"/>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rPr>
        <w:t>3</w:t>
      </w:r>
      <w:r>
        <w:rPr>
          <w:rFonts w:hint="eastAsia" w:ascii="仿宋_GB2312" w:hAnsi="仿宋_GB2312" w:eastAsia="仿宋_GB2312" w:cs="仿宋_GB2312"/>
          <w:b/>
          <w:kern w:val="0"/>
          <w:sz w:val="32"/>
          <w:szCs w:val="32"/>
          <w:highlight w:val="none"/>
          <w:lang w:val="zh-CN"/>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的中标投标人，将依法采取分包方式履行合同。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（所有分包投标人名称）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（某分包投标人名称）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（某分包投标人名称），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highlight w:val="none"/>
        </w:rPr>
      </w:pPr>
      <w:r>
        <w:rPr>
          <w:rFonts w:hint="eastAsia"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（分包投标人名称）提供的货物全部由小微企业制造，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（未预留份额专门面向中小企业采购的的采购项目，以及预留份额中的非预留部分采购包，允许分包的，分包投标人提供的货物全部由小微企业制造，且其合同份额占到合同总金额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的，对大中型企业的报价给予</w:t>
      </w:r>
      <w:r>
        <w:rPr>
          <w:rFonts w:ascii="仿宋_GB2312" w:hAnsi="仿宋" w:eastAsia="仿宋_GB2312" w:cs="仿宋_GB2312"/>
          <w:b/>
          <w:kern w:val="0"/>
          <w:sz w:val="24"/>
          <w:highlight w:val="none"/>
          <w:lang w:val="zh-CN"/>
        </w:rPr>
        <w:t>3%的扣除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分包投标人名称：</w:t>
      </w:r>
    </w:p>
    <w:p>
      <w:pPr>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24、落实政府采购政策需满足的资格要求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highlight w:val="none"/>
        </w:rPr>
        <w:t>5</w:t>
      </w:r>
      <w:r>
        <w:rPr>
          <w:rFonts w:hint="eastAsia" w:ascii="仿宋_GB2312" w:hAnsi="仿宋" w:eastAsia="仿宋_GB2312" w:cs="仿宋_GB2312"/>
          <w:sz w:val="24"/>
          <w:highlight w:val="none"/>
        </w:rPr>
        <w:t>）。</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要求以联合体形式参加的，提供联合协议和中小企业声明函（附件</w:t>
      </w:r>
      <w:r>
        <w:rPr>
          <w:rFonts w:ascii="仿宋_GB2312" w:hAnsi="仿宋" w:eastAsia="仿宋_GB2312" w:cs="仿宋_GB2312"/>
          <w:sz w:val="24"/>
          <w:highlight w:val="none"/>
        </w:rPr>
        <w:t>5</w:t>
      </w:r>
      <w:r>
        <w:rPr>
          <w:rFonts w:hint="eastAsia" w:ascii="仿宋_GB2312" w:hAnsi="仿宋" w:eastAsia="仿宋_GB2312" w:cs="仿宋_GB2312"/>
          <w:sz w:val="24"/>
          <w:highlight w:val="none"/>
        </w:rPr>
        <w:t>），联合协议中中小企业合同金额应当达到招标公告载明的比例；如果投标人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2"/>
        <w:rPr>
          <w:rFonts w:ascii="仿宋_GB2312" w:hAnsi="仿宋" w:eastAsia="仿宋_GB2312" w:cs="仿宋_GB2312"/>
          <w:highlight w:val="none"/>
          <w:lang w:val="zh-CN"/>
        </w:rPr>
      </w:pPr>
      <w:r>
        <w:rPr>
          <w:rFonts w:ascii="仿宋_GB2312" w:hAnsi="仿宋" w:eastAsia="仿宋_GB2312" w:cs="仿宋_GB2312"/>
          <w:highlight w:val="none"/>
          <w:lang w:val="zh-CN"/>
        </w:rPr>
        <w:t xml:space="preserve">                                               日期：</w:t>
      </w:r>
      <w:r>
        <w:rPr>
          <w:rFonts w:hint="eastAsia" w:ascii="仿宋_GB2312" w:hAnsi="仿宋" w:eastAsia="仿宋_GB2312" w:cs="仿宋_GB2312"/>
          <w:highlight w:val="none"/>
          <w:lang w:val="zh-CN"/>
        </w:rPr>
        <w:t xml:space="preserve"> </w:t>
      </w:r>
      <w:r>
        <w:rPr>
          <w:rFonts w:ascii="仿宋_GB2312" w:hAnsi="仿宋" w:eastAsia="仿宋_GB2312" w:cs="仿宋_GB2312"/>
          <w:highlight w:val="none"/>
          <w:lang w:val="zh-CN"/>
        </w:rPr>
        <w:t xml:space="preserve">  年</w:t>
      </w:r>
      <w:r>
        <w:rPr>
          <w:rFonts w:hint="eastAsia" w:ascii="仿宋_GB2312" w:hAnsi="仿宋" w:eastAsia="仿宋_GB2312" w:cs="仿宋_GB2312"/>
          <w:highlight w:val="none"/>
          <w:lang w:val="zh-CN"/>
        </w:rPr>
        <w:t xml:space="preserve"> </w:t>
      </w:r>
      <w:r>
        <w:rPr>
          <w:rFonts w:ascii="仿宋_GB2312" w:hAnsi="仿宋" w:eastAsia="仿宋_GB2312" w:cs="仿宋_GB2312"/>
          <w:highlight w:val="none"/>
          <w:lang w:val="zh-CN"/>
        </w:rPr>
        <w:t xml:space="preserve">  月 </w:t>
      </w:r>
      <w:r>
        <w:rPr>
          <w:rFonts w:hint="eastAsia" w:ascii="仿宋_GB2312" w:hAnsi="仿宋" w:eastAsia="仿宋_GB2312" w:cs="仿宋_GB2312"/>
          <w:highlight w:val="none"/>
          <w:lang w:val="zh-CN"/>
        </w:rPr>
        <w:t xml:space="preserve"> </w:t>
      </w:r>
      <w:r>
        <w:rPr>
          <w:rFonts w:ascii="仿宋_GB2312" w:hAnsi="仿宋" w:eastAsia="仿宋_GB2312" w:cs="仿宋_GB2312"/>
          <w:highlight w:val="none"/>
          <w:lang w:val="zh-CN"/>
        </w:rPr>
        <w:t xml:space="preserve">  日</w:t>
      </w: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Style w:val="2"/>
        <w:rPr>
          <w:rFonts w:ascii="仿宋_GB2312" w:hAnsi="仿宋" w:eastAsia="仿宋_GB2312" w:cs="仿宋_GB2312"/>
          <w:highlight w:val="none"/>
          <w:lang w:val="zh-CN"/>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中小企业声明函（附件），分包意向协议中中小企业合同金额应当达到招标公告载明的比例；如果投标人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的中标投标人，将依法采取分包方式履行合同。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（所有分包投标人名称）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（某分包投标人名称）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（某分包投标人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分包投标人名称：</w:t>
      </w:r>
    </w:p>
    <w:p>
      <w:pPr>
        <w:snapToGrid w:val="0"/>
        <w:spacing w:line="360" w:lineRule="auto"/>
        <w:ind w:firstLine="6000" w:firstLineChars="2500"/>
        <w:rPr>
          <w:highlight w:val="none"/>
        </w:rPr>
      </w:pPr>
      <w:r>
        <w:rPr>
          <w:rFonts w:hint="eastAsia" w:ascii="仿宋_GB2312" w:hAnsi="仿宋" w:eastAsia="仿宋_GB2312" w:cs="仿宋_GB2312"/>
          <w:kern w:val="0"/>
          <w:sz w:val="24"/>
          <w:highlight w:val="none"/>
          <w:lang w:val="zh-CN"/>
        </w:rPr>
        <w:t>……</w:t>
      </w:r>
    </w:p>
    <w:p>
      <w:pPr>
        <w:pStyle w:val="2"/>
        <w:rPr>
          <w:rFonts w:ascii="仿宋_GB2312" w:hAnsi="仿宋" w:eastAsia="仿宋_GB2312" w:cs="仿宋_GB2312"/>
          <w:highlight w:val="none"/>
          <w:lang w:val="zh-CN"/>
        </w:rPr>
      </w:pPr>
      <w:r>
        <w:rPr>
          <w:rFonts w:ascii="仿宋_GB2312" w:hAnsi="仿宋" w:eastAsia="仿宋_GB2312" w:cs="仿宋_GB2312"/>
          <w:highlight w:val="none"/>
          <w:lang w:val="zh-CN"/>
        </w:rPr>
        <w:t xml:space="preserve">                                        日期：  年</w:t>
      </w:r>
      <w:r>
        <w:rPr>
          <w:rFonts w:hint="eastAsia" w:ascii="仿宋_GB2312" w:hAnsi="仿宋" w:eastAsia="仿宋_GB2312" w:cs="仿宋_GB2312"/>
          <w:highlight w:val="none"/>
          <w:lang w:val="zh-CN"/>
        </w:rPr>
        <w:t xml:space="preserve"> </w:t>
      </w:r>
      <w:r>
        <w:rPr>
          <w:rFonts w:ascii="仿宋_GB2312" w:hAnsi="仿宋" w:eastAsia="仿宋_GB2312" w:cs="仿宋_GB2312"/>
          <w:highlight w:val="none"/>
          <w:lang w:val="zh-CN"/>
        </w:rPr>
        <w:t xml:space="preserve">  月   日</w:t>
      </w: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25、认为需要的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val="zh-CN"/>
        </w:rPr>
        <w:t xml:space="preserve">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pStyle w:val="2"/>
        <w:rPr>
          <w:rFonts w:ascii="仿宋" w:hAnsi="仿宋" w:eastAsia="仿宋" w:cs="仿宋"/>
          <w:highlight w:val="none"/>
          <w:lang w:val="zh-CN"/>
        </w:rPr>
      </w:pPr>
    </w:p>
    <w:p>
      <w:pPr>
        <w:pStyle w:val="2"/>
        <w:rPr>
          <w:rFonts w:ascii="仿宋" w:hAnsi="仿宋" w:eastAsia="仿宋" w:cs="仿宋"/>
          <w:highlight w:val="none"/>
          <w:lang w:val="zh-CN"/>
        </w:rPr>
      </w:pPr>
    </w:p>
    <w:p>
      <w:pPr>
        <w:pStyle w:val="2"/>
        <w:rPr>
          <w:rFonts w:ascii="仿宋" w:hAnsi="仿宋" w:eastAsia="仿宋" w:cs="仿宋"/>
          <w:highlight w:val="none"/>
          <w:lang w:val="zh-CN"/>
        </w:rPr>
      </w:pPr>
    </w:p>
    <w:p>
      <w:pPr>
        <w:pStyle w:val="2"/>
        <w:rPr>
          <w:rFonts w:ascii="仿宋_GB2312" w:hAnsi="仿宋" w:eastAsia="仿宋_GB2312" w:cs="仿宋_GB2312"/>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一、质疑投标人基本信息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质疑投标人：</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pStyle w:val="2"/>
        <w:rPr>
          <w:rFonts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rPr>
          <w:rFonts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1.投标人提出质疑时，应提交质疑函和必要的证明材料。</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2.质疑投标人若委托代理人进行质疑的，质疑函应按要求列明“授权代表”的有关内容，并在附件中提交由质疑</w:t>
      </w:r>
      <w:r>
        <w:rPr>
          <w:rFonts w:hint="eastAsia" w:ascii="仿宋" w:hAnsi="仿宋" w:eastAsia="仿宋" w:cs="仿宋"/>
          <w:kern w:val="0"/>
          <w:sz w:val="32"/>
          <w:szCs w:val="32"/>
          <w:highlight w:val="none"/>
        </w:rPr>
        <w:t>投标人签署的授权委托书。授权委托书应载明代理人的姓名或者名称、代理事项、具体权限、期限和相关事项。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3.质疑投标人若对项目的某一分包进行质疑，质疑函中应列明具体分包号。</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2"/>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6.质疑投标人为自然人的，质疑函应由本人签字；质疑投标人为法人或者其他组织的，质疑函应由法定代表人、主要负责人，或者其授权代表签字或者盖章，并加盖公章。</w:t>
      </w:r>
    </w:p>
    <w:p>
      <w:pPr>
        <w:pStyle w:val="2"/>
        <w:rPr>
          <w:rFonts w:ascii="仿宋_GB2312" w:eastAsia="仿宋_GB2312"/>
          <w:sz w:val="32"/>
          <w:szCs w:val="32"/>
          <w:highlight w:val="none"/>
          <w:lang w:val="zh-CN"/>
        </w:rPr>
      </w:pPr>
    </w:p>
    <w:p>
      <w:pPr>
        <w:pStyle w:val="2"/>
        <w:rPr>
          <w:rFonts w:ascii="仿宋_GB2312" w:eastAsia="仿宋_GB2312"/>
          <w:sz w:val="32"/>
          <w:szCs w:val="32"/>
          <w:highlight w:val="none"/>
          <w:lang w:val="zh-CN"/>
        </w:rPr>
      </w:pPr>
    </w:p>
    <w:p>
      <w:pPr>
        <w:pStyle w:val="2"/>
        <w:rPr>
          <w:rFonts w:ascii="仿宋_GB2312" w:eastAsia="仿宋_GB2312"/>
          <w:sz w:val="32"/>
          <w:szCs w:val="32"/>
          <w:highlight w:val="none"/>
          <w:lang w:val="zh-CN"/>
        </w:rPr>
      </w:pPr>
    </w:p>
    <w:p>
      <w:pPr>
        <w:pageBreakBefore/>
        <w:shd w:val="clear" w:color="auto" w:fill="FFFFFF"/>
        <w:spacing w:line="600" w:lineRule="atLeast"/>
        <w:jc w:val="center"/>
        <w:textAlignment w:val="baseline"/>
        <w:rPr>
          <w:rFonts w:ascii="宋体" w:hAnsi="宋体" w:cs="宋体"/>
          <w:b/>
          <w:bCs/>
          <w:kern w:val="0"/>
          <w:sz w:val="36"/>
          <w:szCs w:val="36"/>
          <w:highlight w:val="none"/>
        </w:rPr>
      </w:pPr>
      <w:r>
        <w:rPr>
          <w:rFonts w:hint="eastAsia" w:ascii="仿宋" w:hAnsi="仿宋" w:eastAsia="仿宋" w:cs="仿宋"/>
          <w:b/>
          <w:bCs/>
          <w:sz w:val="36"/>
          <w:szCs w:val="36"/>
          <w:highlight w:val="none"/>
        </w:rPr>
        <w:t>国家统计局关于印发《统计上</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大中小微型企业划分办法（2017）》的通知</w:t>
      </w:r>
    </w:p>
    <w:p>
      <w:pPr>
        <w:spacing w:line="360" w:lineRule="auto"/>
        <w:rPr>
          <w:rFonts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rPr>
          <w:rFonts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0" w:type="auto"/>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pStyle w:val="2"/>
        <w:rPr>
          <w:rFonts w:hAnsi="宋体"/>
          <w:sz w:val="18"/>
          <w:szCs w:val="18"/>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br w:type="textWrapping"/>
      </w:r>
    </w:p>
    <w:p>
      <w:pPr>
        <w:spacing w:line="360" w:lineRule="auto"/>
        <w:ind w:firstLine="480" w:firstLineChars="200"/>
        <w:rPr>
          <w:rFonts w:ascii="仿宋" w:hAnsi="仿宋" w:eastAsia="仿宋" w:cs="宋体"/>
          <w:sz w:val="24"/>
          <w:highlight w:val="none"/>
        </w:rPr>
      </w:pPr>
    </w:p>
    <w:p>
      <w:pPr>
        <w:spacing w:line="360" w:lineRule="auto"/>
        <w:ind w:firstLine="480" w:firstLineChars="200"/>
        <w:rPr>
          <w:rFonts w:ascii="仿宋" w:hAnsi="仿宋" w:eastAsia="仿宋" w:cs="宋体"/>
          <w:sz w:val="24"/>
          <w:highlight w:val="none"/>
        </w:rPr>
      </w:pPr>
    </w:p>
    <w:p>
      <w:pPr>
        <w:spacing w:line="360" w:lineRule="auto"/>
        <w:ind w:firstLine="480" w:firstLineChars="200"/>
        <w:rPr>
          <w:rFonts w:ascii="仿宋" w:hAnsi="仿宋" w:eastAsia="仿宋" w:cs="宋体"/>
          <w:sz w:val="24"/>
          <w:highlight w:val="none"/>
        </w:rPr>
      </w:pPr>
    </w:p>
    <w:p>
      <w:pPr>
        <w:spacing w:line="360" w:lineRule="auto"/>
        <w:ind w:firstLine="480" w:firstLineChars="200"/>
        <w:rPr>
          <w:rFonts w:ascii="仿宋" w:hAnsi="仿宋" w:eastAsia="仿宋" w:cs="宋体"/>
          <w:sz w:val="24"/>
          <w:highlight w:val="none"/>
        </w:rPr>
      </w:pPr>
    </w:p>
    <w:p>
      <w:pPr>
        <w:spacing w:line="360" w:lineRule="auto"/>
        <w:ind w:firstLine="480" w:firstLineChars="200"/>
        <w:rPr>
          <w:rFonts w:ascii="宋体" w:hAnsi="宋体" w:cs="宋体"/>
          <w:kern w:val="0"/>
          <w:sz w:val="24"/>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中国人民银行中国银行业监督管理委员会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中国证券监督管理委员会中国保险监督管理委员会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highlight w:val="none"/>
              </w:rPr>
            </w:pPr>
          </w:p>
        </w:tc>
        <w:tc>
          <w:tcPr>
            <w:tcW w:w="0" w:type="auto"/>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2"/>
        <w:rPr>
          <w:rFonts w:ascii="仿宋_GB2312" w:eastAsia="仿宋_GB2312"/>
          <w:sz w:val="32"/>
          <w:szCs w:val="32"/>
          <w:highlight w:val="none"/>
          <w:lang w:val="zh-CN"/>
        </w:rPr>
      </w:pPr>
    </w:p>
    <w:sectPr>
      <w:headerReference r:id="rId6" w:type="default"/>
      <w:footerReference r:id="rId7" w:type="default"/>
      <w:footerReference r:id="rId8"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103</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rPr>
      <w:t>绍兴市嘉华项目管理有限公司                  招标文件招标编</w:t>
    </w:r>
    <w:r>
      <w:rPr>
        <w:rFonts w:hint="eastAsia" w:ascii="仿宋" w:hAnsi="仿宋" w:eastAsia="仿宋" w:cs="仿宋"/>
        <w:sz w:val="21"/>
        <w:szCs w:val="21"/>
        <w:highlight w:val="none"/>
      </w:rPr>
      <w:t>号:SXJHCG-2022-N00</w:t>
    </w:r>
    <w:r>
      <w:rPr>
        <w:rFonts w:hint="eastAsia" w:ascii="仿宋" w:hAnsi="仿宋" w:eastAsia="仿宋" w:cs="仿宋"/>
        <w:sz w:val="21"/>
        <w:szCs w:val="21"/>
        <w:highlight w:val="none"/>
        <w:lang w:val="en-US" w:eastAsia="zh-CN"/>
      </w:rPr>
      <w:t>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ascii="仿宋" w:hAnsi="仿宋" w:eastAsia="仿宋" w:cs="仿宋"/>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eastAsia="仿宋"/>
        <w:highlight w:val="none"/>
        <w:lang w:val="en-US" w:eastAsia="zh-CN"/>
      </w:rPr>
    </w:pPr>
    <w:r>
      <w:rPr>
        <w:rFonts w:hint="eastAsia" w:ascii="仿宋" w:hAnsi="仿宋" w:eastAsia="仿宋" w:cs="仿宋"/>
        <w:sz w:val="21"/>
        <w:szCs w:val="21"/>
        <w:u w:val="single"/>
      </w:rPr>
      <w:t>绍兴市嘉华项目管理有限公司招标文件                      招标编号</w:t>
    </w:r>
    <w:r>
      <w:rPr>
        <w:rFonts w:hint="eastAsia" w:ascii="仿宋" w:hAnsi="仿宋" w:eastAsia="仿宋" w:cs="仿宋"/>
        <w:sz w:val="21"/>
        <w:szCs w:val="21"/>
        <w:highlight w:val="none"/>
        <w:u w:val="single"/>
      </w:rPr>
      <w:t>:SXJHCG-2022-N00</w:t>
    </w:r>
    <w:r>
      <w:rPr>
        <w:rFonts w:hint="eastAsia" w:ascii="仿宋" w:hAnsi="仿宋" w:eastAsia="仿宋" w:cs="仿宋"/>
        <w:sz w:val="21"/>
        <w:szCs w:val="21"/>
        <w:highlight w:val="none"/>
        <w:u w:val="single"/>
        <w:lang w:val="en-US" w:eastAsia="zh-CN"/>
      </w:rPr>
      <w:t>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57344"/>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46D2C"/>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948"/>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9747D9"/>
    <w:rsid w:val="02002F9C"/>
    <w:rsid w:val="03815940"/>
    <w:rsid w:val="05465845"/>
    <w:rsid w:val="05DF4353"/>
    <w:rsid w:val="0676641E"/>
    <w:rsid w:val="08940DDD"/>
    <w:rsid w:val="09817C01"/>
    <w:rsid w:val="0A1C68AD"/>
    <w:rsid w:val="0AD65610"/>
    <w:rsid w:val="0D7926A0"/>
    <w:rsid w:val="0F6D3AC7"/>
    <w:rsid w:val="0FC722E7"/>
    <w:rsid w:val="0FDF39C4"/>
    <w:rsid w:val="11A05C9A"/>
    <w:rsid w:val="11F32AD7"/>
    <w:rsid w:val="12343849"/>
    <w:rsid w:val="16A0383F"/>
    <w:rsid w:val="175806F0"/>
    <w:rsid w:val="175C390B"/>
    <w:rsid w:val="17D34247"/>
    <w:rsid w:val="184410C1"/>
    <w:rsid w:val="198442EC"/>
    <w:rsid w:val="1A6B5991"/>
    <w:rsid w:val="1AF5395E"/>
    <w:rsid w:val="1B35142C"/>
    <w:rsid w:val="1B506ABF"/>
    <w:rsid w:val="1BA824A4"/>
    <w:rsid w:val="1BBF66F2"/>
    <w:rsid w:val="1C0A3439"/>
    <w:rsid w:val="1C5A782B"/>
    <w:rsid w:val="1E0C3E64"/>
    <w:rsid w:val="1F9000F9"/>
    <w:rsid w:val="200801D8"/>
    <w:rsid w:val="20276142"/>
    <w:rsid w:val="20EB3B23"/>
    <w:rsid w:val="20FC55D0"/>
    <w:rsid w:val="21DC69CD"/>
    <w:rsid w:val="247D3F5C"/>
    <w:rsid w:val="259C4896"/>
    <w:rsid w:val="26FF175D"/>
    <w:rsid w:val="27014E2E"/>
    <w:rsid w:val="2762258F"/>
    <w:rsid w:val="278547E1"/>
    <w:rsid w:val="279A3A29"/>
    <w:rsid w:val="27DC4F51"/>
    <w:rsid w:val="28350CDD"/>
    <w:rsid w:val="28EB7333"/>
    <w:rsid w:val="29FF653A"/>
    <w:rsid w:val="2AA512D1"/>
    <w:rsid w:val="2B525784"/>
    <w:rsid w:val="2C171226"/>
    <w:rsid w:val="2D46556C"/>
    <w:rsid w:val="2D8D3B51"/>
    <w:rsid w:val="2ED65E75"/>
    <w:rsid w:val="2EDA424F"/>
    <w:rsid w:val="2FE22F1C"/>
    <w:rsid w:val="30CA0C03"/>
    <w:rsid w:val="3240150B"/>
    <w:rsid w:val="328238D1"/>
    <w:rsid w:val="350E55BE"/>
    <w:rsid w:val="35224A4E"/>
    <w:rsid w:val="35D34CA4"/>
    <w:rsid w:val="36E30CB5"/>
    <w:rsid w:val="37D02F81"/>
    <w:rsid w:val="393F12EC"/>
    <w:rsid w:val="394D6FF6"/>
    <w:rsid w:val="3A056A6D"/>
    <w:rsid w:val="3A7677B4"/>
    <w:rsid w:val="3B05516B"/>
    <w:rsid w:val="3BE74C41"/>
    <w:rsid w:val="3CE0723A"/>
    <w:rsid w:val="3D33459F"/>
    <w:rsid w:val="3D6721B7"/>
    <w:rsid w:val="404149E7"/>
    <w:rsid w:val="41E41EB2"/>
    <w:rsid w:val="422E1B06"/>
    <w:rsid w:val="439D440D"/>
    <w:rsid w:val="43DA6F7B"/>
    <w:rsid w:val="446B0425"/>
    <w:rsid w:val="46BF5FC9"/>
    <w:rsid w:val="478678A6"/>
    <w:rsid w:val="47BF595D"/>
    <w:rsid w:val="48496E2D"/>
    <w:rsid w:val="49482103"/>
    <w:rsid w:val="4B5A31E5"/>
    <w:rsid w:val="4B706AC1"/>
    <w:rsid w:val="4CCB7354"/>
    <w:rsid w:val="4F4C222F"/>
    <w:rsid w:val="500430CE"/>
    <w:rsid w:val="538B1E4B"/>
    <w:rsid w:val="54AF3865"/>
    <w:rsid w:val="54CF23BD"/>
    <w:rsid w:val="55EC4622"/>
    <w:rsid w:val="56676F90"/>
    <w:rsid w:val="56840E96"/>
    <w:rsid w:val="569F62E3"/>
    <w:rsid w:val="58E45767"/>
    <w:rsid w:val="5B023FB2"/>
    <w:rsid w:val="5BEE1344"/>
    <w:rsid w:val="5C2B4B5B"/>
    <w:rsid w:val="5C9D7661"/>
    <w:rsid w:val="5D3A6B58"/>
    <w:rsid w:val="5E096CE9"/>
    <w:rsid w:val="5E354E0C"/>
    <w:rsid w:val="5EBC6174"/>
    <w:rsid w:val="5F943D2E"/>
    <w:rsid w:val="611145C6"/>
    <w:rsid w:val="62D83F07"/>
    <w:rsid w:val="62DF2262"/>
    <w:rsid w:val="649B3B3E"/>
    <w:rsid w:val="6507054F"/>
    <w:rsid w:val="684962F8"/>
    <w:rsid w:val="695E4785"/>
    <w:rsid w:val="6C846341"/>
    <w:rsid w:val="6CF062AB"/>
    <w:rsid w:val="702C1DED"/>
    <w:rsid w:val="7033323F"/>
    <w:rsid w:val="70A932EF"/>
    <w:rsid w:val="71041F6B"/>
    <w:rsid w:val="714107A2"/>
    <w:rsid w:val="71867717"/>
    <w:rsid w:val="718A6727"/>
    <w:rsid w:val="71C821F3"/>
    <w:rsid w:val="71E62D28"/>
    <w:rsid w:val="72E87C49"/>
    <w:rsid w:val="73194E20"/>
    <w:rsid w:val="73444C1E"/>
    <w:rsid w:val="736F32D1"/>
    <w:rsid w:val="75823957"/>
    <w:rsid w:val="77263944"/>
    <w:rsid w:val="77531E4F"/>
    <w:rsid w:val="7AE93A1C"/>
    <w:rsid w:val="7C09049A"/>
    <w:rsid w:val="7D4B0424"/>
    <w:rsid w:val="7D834CB8"/>
    <w:rsid w:val="7D9931D0"/>
    <w:rsid w:val="7E7C007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40E340-D4C1-4A91-8458-588676BDD96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10334</Words>
  <Characters>58904</Characters>
  <Lines>490</Lines>
  <Paragraphs>138</Paragraphs>
  <TotalTime>7</TotalTime>
  <ScaleCrop>false</ScaleCrop>
  <LinksUpToDate>false</LinksUpToDate>
  <CharactersWithSpaces>69100</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2022-03-21T02:24:31Z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D5D3D5D5A9E5479FA4C69B354866F180</vt:lpwstr>
  </property>
</Properties>
</file>