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color w:val="000000"/>
          <w:sz w:val="44"/>
        </w:rPr>
      </w:pPr>
      <w:bookmarkStart w:id="17" w:name="_GoBack"/>
      <w:bookmarkEnd w:id="17"/>
      <w:r>
        <w:rPr>
          <w:rFonts w:hint="eastAsia" w:ascii="宋体" w:hAnsi="宋体" w:cs="宋体"/>
          <w:b/>
          <w:spacing w:val="-12"/>
          <w:sz w:val="48"/>
          <w:szCs w:val="48"/>
        </w:rPr>
        <w:t>绍兴市妇幼保健院医疗服务一卡通系统改造项目</w:t>
      </w:r>
    </w:p>
    <w:p>
      <w:pPr>
        <w:outlineLvl w:val="0"/>
        <w:rPr>
          <w:rFonts w:hint="eastAsia" w:ascii="宋体" w:hAnsi="宋体"/>
          <w:color w:val="000000"/>
          <w:sz w:val="44"/>
        </w:rPr>
      </w:pPr>
    </w:p>
    <w:p>
      <w:pPr>
        <w:outlineLvl w:val="0"/>
        <w:rPr>
          <w:rFonts w:hint="eastAsia" w:ascii="宋体" w:hAnsi="宋体"/>
          <w:color w:val="000000"/>
          <w:sz w:val="44"/>
        </w:rPr>
      </w:pPr>
    </w:p>
    <w:p>
      <w:pPr>
        <w:jc w:val="center"/>
        <w:outlineLvl w:val="0"/>
        <w:rPr>
          <w:rFonts w:hint="eastAsia" w:ascii="宋体" w:hAnsi="宋体" w:cs="Arial"/>
          <w:b/>
          <w:color w:val="000000"/>
          <w:sz w:val="72"/>
          <w:szCs w:val="72"/>
        </w:rPr>
      </w:pPr>
      <w:r>
        <w:rPr>
          <w:rFonts w:hint="eastAsia" w:ascii="宋体" w:hAnsi="宋体" w:cs="Arial"/>
          <w:b/>
          <w:color w:val="000000"/>
          <w:sz w:val="72"/>
          <w:szCs w:val="72"/>
        </w:rPr>
        <w:t>公</w:t>
      </w:r>
    </w:p>
    <w:p>
      <w:pPr>
        <w:jc w:val="center"/>
        <w:outlineLvl w:val="0"/>
        <w:rPr>
          <w:rFonts w:hint="eastAsia" w:ascii="宋体" w:hAnsi="宋体" w:cs="Arial"/>
          <w:b/>
          <w:color w:val="000000"/>
          <w:sz w:val="72"/>
          <w:szCs w:val="72"/>
        </w:rPr>
      </w:pPr>
      <w:r>
        <w:rPr>
          <w:rFonts w:hint="eastAsia" w:ascii="宋体" w:hAnsi="宋体" w:cs="Arial"/>
          <w:b/>
          <w:color w:val="000000"/>
          <w:sz w:val="72"/>
          <w:szCs w:val="72"/>
        </w:rPr>
        <w:t>开</w:t>
      </w:r>
    </w:p>
    <w:p>
      <w:pPr>
        <w:jc w:val="center"/>
        <w:outlineLvl w:val="0"/>
        <w:rPr>
          <w:rFonts w:hint="eastAsia" w:ascii="宋体" w:hAnsi="宋体" w:cs="Arial"/>
          <w:b/>
          <w:color w:val="000000"/>
          <w:sz w:val="72"/>
          <w:szCs w:val="72"/>
        </w:rPr>
      </w:pPr>
      <w:r>
        <w:rPr>
          <w:rFonts w:hint="eastAsia" w:ascii="宋体" w:hAnsi="宋体" w:cs="Arial"/>
          <w:b/>
          <w:color w:val="000000"/>
          <w:sz w:val="72"/>
          <w:szCs w:val="72"/>
        </w:rPr>
        <w:t>招</w:t>
      </w:r>
    </w:p>
    <w:p>
      <w:pPr>
        <w:jc w:val="center"/>
        <w:outlineLvl w:val="0"/>
        <w:rPr>
          <w:rFonts w:hint="eastAsia" w:ascii="宋体" w:hAnsi="宋体" w:cs="Arial"/>
          <w:b/>
          <w:color w:val="000000"/>
          <w:sz w:val="72"/>
          <w:szCs w:val="72"/>
        </w:rPr>
      </w:pPr>
      <w:r>
        <w:rPr>
          <w:rFonts w:hint="eastAsia" w:ascii="宋体" w:hAnsi="宋体" w:cs="Arial"/>
          <w:b/>
          <w:color w:val="000000"/>
          <w:sz w:val="72"/>
          <w:szCs w:val="72"/>
        </w:rPr>
        <w:t>标</w:t>
      </w:r>
    </w:p>
    <w:p>
      <w:pPr>
        <w:jc w:val="center"/>
        <w:outlineLvl w:val="0"/>
        <w:rPr>
          <w:rFonts w:hint="eastAsia" w:ascii="宋体" w:hAnsi="宋体"/>
          <w:b/>
          <w:color w:val="000000"/>
          <w:sz w:val="72"/>
          <w:szCs w:val="72"/>
        </w:rPr>
      </w:pPr>
      <w:r>
        <w:rPr>
          <w:rFonts w:hint="eastAsia" w:ascii="宋体" w:hAnsi="宋体"/>
          <w:b/>
          <w:color w:val="000000"/>
          <w:sz w:val="72"/>
          <w:szCs w:val="72"/>
        </w:rPr>
        <w:t>文</w:t>
      </w:r>
    </w:p>
    <w:p>
      <w:pPr>
        <w:jc w:val="center"/>
        <w:outlineLvl w:val="0"/>
        <w:rPr>
          <w:rFonts w:hint="eastAsia" w:ascii="宋体" w:hAnsi="宋体"/>
          <w:color w:val="000000"/>
          <w:sz w:val="44"/>
        </w:rPr>
      </w:pPr>
      <w:r>
        <w:rPr>
          <w:rFonts w:hint="eastAsia" w:ascii="宋体" w:hAnsi="宋体"/>
          <w:b/>
          <w:color w:val="000000"/>
          <w:sz w:val="72"/>
          <w:szCs w:val="72"/>
        </w:rPr>
        <w:t>件</w:t>
      </w:r>
      <w:r>
        <w:rPr>
          <w:rFonts w:hint="eastAsia" w:ascii="宋体" w:hAnsi="宋体"/>
          <w:color w:val="000000"/>
          <w:sz w:val="30"/>
        </w:rPr>
        <w:t xml:space="preserve"> </w:t>
      </w:r>
    </w:p>
    <w:p>
      <w:pPr>
        <w:jc w:val="center"/>
        <w:outlineLvl w:val="0"/>
        <w:rPr>
          <w:rFonts w:hint="eastAsia" w:ascii="宋体" w:hAnsi="宋体"/>
          <w:color w:val="000000"/>
          <w:sz w:val="44"/>
        </w:rPr>
      </w:pPr>
    </w:p>
    <w:p>
      <w:pPr>
        <w:jc w:val="center"/>
        <w:outlineLvl w:val="0"/>
        <w:rPr>
          <w:rFonts w:hint="eastAsia" w:ascii="宋体" w:hAnsi="宋体"/>
          <w:color w:val="000000"/>
          <w:sz w:val="44"/>
        </w:rPr>
      </w:pPr>
    </w:p>
    <w:p>
      <w:pPr>
        <w:jc w:val="center"/>
        <w:outlineLvl w:val="0"/>
        <w:rPr>
          <w:rFonts w:hint="eastAsia" w:ascii="宋体" w:hAnsi="宋体"/>
          <w:color w:val="000000"/>
          <w:sz w:val="44"/>
        </w:rPr>
      </w:pPr>
    </w:p>
    <w:p>
      <w:pPr>
        <w:outlineLvl w:val="0"/>
        <w:rPr>
          <w:rFonts w:hint="eastAsia" w:ascii="宋体" w:hAnsi="宋体"/>
          <w:color w:val="000000"/>
          <w:sz w:val="44"/>
        </w:rPr>
      </w:pPr>
    </w:p>
    <w:p>
      <w:pPr>
        <w:jc w:val="center"/>
        <w:rPr>
          <w:rFonts w:hint="eastAsia" w:ascii="宋体" w:hAnsi="宋体"/>
          <w:b/>
          <w:color w:val="000000"/>
          <w:sz w:val="28"/>
          <w:szCs w:val="28"/>
        </w:rPr>
      </w:pPr>
      <w:r>
        <w:rPr>
          <w:rFonts w:hint="eastAsia" w:ascii="宋体" w:hAnsi="宋体"/>
          <w:b/>
          <w:color w:val="000000"/>
          <w:sz w:val="28"/>
          <w:szCs w:val="28"/>
        </w:rPr>
        <w:t>招标编号:</w:t>
      </w:r>
      <w:r>
        <w:rPr>
          <w:rFonts w:ascii="宋体" w:hAnsi="宋体"/>
          <w:b/>
          <w:color w:val="000000"/>
          <w:sz w:val="28"/>
          <w:szCs w:val="28"/>
        </w:rPr>
        <w:t xml:space="preserve"> SXJHCG-2020-N0</w:t>
      </w:r>
      <w:r>
        <w:rPr>
          <w:rFonts w:hint="eastAsia" w:ascii="宋体" w:hAnsi="宋体"/>
          <w:b/>
          <w:color w:val="000000"/>
          <w:sz w:val="28"/>
          <w:szCs w:val="28"/>
        </w:rPr>
        <w:t>223</w:t>
      </w:r>
    </w:p>
    <w:tbl>
      <w:tblPr>
        <w:tblStyle w:val="48"/>
        <w:tblW w:w="0" w:type="auto"/>
        <w:jc w:val="center"/>
        <w:tblLayout w:type="fixed"/>
        <w:tblCellMar>
          <w:top w:w="0" w:type="dxa"/>
          <w:left w:w="108" w:type="dxa"/>
          <w:bottom w:w="0" w:type="dxa"/>
          <w:right w:w="108" w:type="dxa"/>
        </w:tblCellMar>
      </w:tblPr>
      <w:tblGrid>
        <w:gridCol w:w="2356"/>
        <w:gridCol w:w="5445"/>
      </w:tblGrid>
      <w:tr>
        <w:tblPrEx>
          <w:tblCellMar>
            <w:top w:w="0" w:type="dxa"/>
            <w:left w:w="108" w:type="dxa"/>
            <w:bottom w:w="0" w:type="dxa"/>
            <w:right w:w="108" w:type="dxa"/>
          </w:tblCellMar>
        </w:tblPrEx>
        <w:trPr>
          <w:wBefore w:w="0" w:type="dxa"/>
          <w:wAfter w:w="0" w:type="dxa"/>
          <w:trHeight w:val="443" w:hRule="atLeast"/>
          <w:jc w:val="center"/>
        </w:trPr>
        <w:tc>
          <w:tcPr>
            <w:tcW w:w="2356" w:type="dxa"/>
            <w:noWrap w:val="0"/>
            <w:vAlign w:val="top"/>
          </w:tcPr>
          <w:p>
            <w:pPr>
              <w:spacing w:after="100" w:afterAutospacing="1" w:line="440" w:lineRule="exact"/>
              <w:rPr>
                <w:rFonts w:hint="eastAsia" w:ascii="宋体" w:hAnsi="宋体"/>
                <w:color w:val="000000"/>
                <w:sz w:val="28"/>
                <w:szCs w:val="28"/>
              </w:rPr>
            </w:pPr>
            <w:r>
              <w:rPr>
                <w:rFonts w:hint="eastAsia" w:ascii="宋体" w:hAnsi="宋体"/>
                <w:color w:val="000000"/>
                <w:spacing w:val="93"/>
                <w:kern w:val="0"/>
                <w:sz w:val="28"/>
                <w:szCs w:val="28"/>
              </w:rPr>
              <w:t>采购单</w:t>
            </w:r>
            <w:r>
              <w:rPr>
                <w:rFonts w:hint="eastAsia" w:ascii="宋体" w:hAnsi="宋体"/>
                <w:color w:val="000000"/>
                <w:spacing w:val="1"/>
                <w:kern w:val="0"/>
                <w:sz w:val="28"/>
                <w:szCs w:val="28"/>
              </w:rPr>
              <w:t>位</w:t>
            </w:r>
            <w:r>
              <w:rPr>
                <w:rFonts w:hint="eastAsia" w:ascii="宋体" w:hAnsi="宋体"/>
                <w:color w:val="000000"/>
                <w:sz w:val="28"/>
                <w:szCs w:val="28"/>
              </w:rPr>
              <w:t>：</w:t>
            </w:r>
          </w:p>
        </w:tc>
        <w:tc>
          <w:tcPr>
            <w:tcW w:w="5445" w:type="dxa"/>
            <w:noWrap w:val="0"/>
            <w:vAlign w:val="center"/>
          </w:tcPr>
          <w:p>
            <w:pPr>
              <w:spacing w:line="320" w:lineRule="exact"/>
              <w:outlineLvl w:val="0"/>
              <w:rPr>
                <w:rFonts w:hint="eastAsia" w:ascii="宋体" w:hAnsi="宋体"/>
                <w:sz w:val="28"/>
                <w:szCs w:val="28"/>
              </w:rPr>
            </w:pPr>
            <w:r>
              <w:rPr>
                <w:rFonts w:hint="eastAsia" w:ascii="宋体" w:hAnsi="宋体"/>
                <w:sz w:val="28"/>
                <w:szCs w:val="28"/>
              </w:rPr>
              <w:t>绍兴市妇幼保健院</w:t>
            </w:r>
          </w:p>
        </w:tc>
      </w:tr>
      <w:tr>
        <w:tblPrEx>
          <w:tblCellMar>
            <w:top w:w="0" w:type="dxa"/>
            <w:left w:w="108" w:type="dxa"/>
            <w:bottom w:w="0" w:type="dxa"/>
            <w:right w:w="108" w:type="dxa"/>
          </w:tblCellMar>
        </w:tblPrEx>
        <w:trPr>
          <w:wBefore w:w="0" w:type="dxa"/>
          <w:wAfter w:w="0" w:type="dxa"/>
          <w:trHeight w:val="494" w:hRule="atLeast"/>
          <w:jc w:val="center"/>
        </w:trPr>
        <w:tc>
          <w:tcPr>
            <w:tcW w:w="2356" w:type="dxa"/>
            <w:noWrap w:val="0"/>
            <w:vAlign w:val="top"/>
          </w:tcPr>
          <w:p>
            <w:pPr>
              <w:spacing w:after="100" w:afterAutospacing="1" w:line="440" w:lineRule="exact"/>
              <w:rPr>
                <w:rFonts w:hint="eastAsia" w:ascii="宋体" w:hAnsi="宋体"/>
                <w:color w:val="000000"/>
                <w:sz w:val="28"/>
                <w:szCs w:val="28"/>
              </w:rPr>
            </w:pPr>
            <w:r>
              <w:rPr>
                <w:rFonts w:hint="eastAsia" w:ascii="宋体" w:hAnsi="宋体"/>
                <w:color w:val="000000"/>
                <w:spacing w:val="12"/>
                <w:w w:val="93"/>
                <w:kern w:val="0"/>
                <w:sz w:val="28"/>
                <w:szCs w:val="28"/>
              </w:rPr>
              <w:t>采购代理机</w:t>
            </w:r>
            <w:r>
              <w:rPr>
                <w:rFonts w:hint="eastAsia" w:ascii="宋体" w:hAnsi="宋体"/>
                <w:color w:val="000000"/>
                <w:w w:val="93"/>
                <w:kern w:val="0"/>
                <w:sz w:val="28"/>
                <w:szCs w:val="28"/>
              </w:rPr>
              <w:t>构</w:t>
            </w:r>
            <w:r>
              <w:rPr>
                <w:rFonts w:hint="eastAsia" w:ascii="宋体" w:hAnsi="宋体"/>
                <w:color w:val="000000"/>
                <w:sz w:val="28"/>
                <w:szCs w:val="28"/>
              </w:rPr>
              <w:t>：</w:t>
            </w:r>
          </w:p>
        </w:tc>
        <w:tc>
          <w:tcPr>
            <w:tcW w:w="5445" w:type="dxa"/>
            <w:noWrap w:val="0"/>
            <w:vAlign w:val="top"/>
          </w:tcPr>
          <w:p>
            <w:pPr>
              <w:spacing w:after="100" w:afterAutospacing="1" w:line="440" w:lineRule="exact"/>
              <w:rPr>
                <w:rFonts w:hint="eastAsia" w:ascii="宋体" w:hAnsi="宋体"/>
                <w:color w:val="000000"/>
                <w:sz w:val="28"/>
                <w:szCs w:val="28"/>
              </w:rPr>
            </w:pPr>
            <w:r>
              <w:rPr>
                <w:rFonts w:hint="eastAsia" w:ascii="宋体" w:hAnsi="宋体"/>
                <w:color w:val="000000"/>
                <w:sz w:val="28"/>
                <w:szCs w:val="28"/>
              </w:rPr>
              <w:t>绍兴市嘉华项目管理有限公司</w:t>
            </w:r>
          </w:p>
        </w:tc>
      </w:tr>
      <w:tr>
        <w:tblPrEx>
          <w:tblCellMar>
            <w:top w:w="0" w:type="dxa"/>
            <w:left w:w="108" w:type="dxa"/>
            <w:bottom w:w="0" w:type="dxa"/>
            <w:right w:w="108" w:type="dxa"/>
          </w:tblCellMar>
        </w:tblPrEx>
        <w:trPr>
          <w:wBefore w:w="0" w:type="dxa"/>
          <w:wAfter w:w="0" w:type="dxa"/>
          <w:trHeight w:val="397" w:hRule="atLeast"/>
          <w:jc w:val="center"/>
        </w:trPr>
        <w:tc>
          <w:tcPr>
            <w:tcW w:w="2356" w:type="dxa"/>
            <w:noWrap w:val="0"/>
            <w:vAlign w:val="center"/>
          </w:tcPr>
          <w:p>
            <w:pPr>
              <w:spacing w:after="100" w:afterAutospacing="1" w:line="440" w:lineRule="exact"/>
              <w:rPr>
                <w:rFonts w:hint="eastAsia" w:ascii="宋体" w:hAnsi="宋体"/>
                <w:sz w:val="28"/>
                <w:szCs w:val="28"/>
              </w:rPr>
            </w:pPr>
            <w:r>
              <w:rPr>
                <w:rFonts w:hint="eastAsia" w:ascii="宋体" w:hAnsi="宋体"/>
                <w:spacing w:val="93"/>
                <w:kern w:val="0"/>
                <w:sz w:val="28"/>
                <w:szCs w:val="28"/>
              </w:rPr>
              <w:t>监督单</w:t>
            </w:r>
            <w:r>
              <w:rPr>
                <w:rFonts w:hint="eastAsia" w:ascii="宋体" w:hAnsi="宋体"/>
                <w:spacing w:val="1"/>
                <w:kern w:val="0"/>
                <w:sz w:val="28"/>
                <w:szCs w:val="28"/>
              </w:rPr>
              <w:t>位</w:t>
            </w:r>
            <w:r>
              <w:rPr>
                <w:rFonts w:hint="eastAsia" w:ascii="宋体" w:hAnsi="宋体"/>
                <w:sz w:val="28"/>
                <w:szCs w:val="28"/>
              </w:rPr>
              <w:t>：</w:t>
            </w:r>
          </w:p>
        </w:tc>
        <w:tc>
          <w:tcPr>
            <w:tcW w:w="5445" w:type="dxa"/>
            <w:noWrap w:val="0"/>
            <w:vAlign w:val="top"/>
          </w:tcPr>
          <w:p>
            <w:pPr>
              <w:spacing w:after="100" w:afterAutospacing="1" w:line="440" w:lineRule="exact"/>
              <w:rPr>
                <w:rFonts w:hint="eastAsia" w:ascii="宋体" w:hAnsi="宋体"/>
                <w:sz w:val="28"/>
                <w:szCs w:val="28"/>
              </w:rPr>
            </w:pPr>
            <w:r>
              <w:rPr>
                <w:rFonts w:hint="eastAsia" w:ascii="宋体" w:hAnsi="宋体"/>
                <w:color w:val="000000"/>
                <w:sz w:val="28"/>
                <w:szCs w:val="28"/>
              </w:rPr>
              <w:t>绍兴市妇幼保健院纪检室</w:t>
            </w:r>
          </w:p>
        </w:tc>
      </w:tr>
      <w:tr>
        <w:tblPrEx>
          <w:tblCellMar>
            <w:top w:w="0" w:type="dxa"/>
            <w:left w:w="108" w:type="dxa"/>
            <w:bottom w:w="0" w:type="dxa"/>
            <w:right w:w="108" w:type="dxa"/>
          </w:tblCellMar>
        </w:tblPrEx>
        <w:trPr>
          <w:wBefore w:w="0" w:type="dxa"/>
          <w:wAfter w:w="0" w:type="dxa"/>
          <w:trHeight w:val="397" w:hRule="atLeast"/>
          <w:jc w:val="center"/>
        </w:trPr>
        <w:tc>
          <w:tcPr>
            <w:tcW w:w="7801" w:type="dxa"/>
            <w:gridSpan w:val="2"/>
            <w:noWrap w:val="0"/>
            <w:vAlign w:val="top"/>
          </w:tcPr>
          <w:p>
            <w:pPr>
              <w:spacing w:after="100" w:afterAutospacing="1" w:line="440" w:lineRule="exact"/>
              <w:jc w:val="center"/>
              <w:rPr>
                <w:rFonts w:hint="eastAsia" w:ascii="宋体" w:hAnsi="宋体"/>
                <w:sz w:val="28"/>
                <w:szCs w:val="28"/>
              </w:rPr>
            </w:pPr>
            <w:r>
              <w:rPr>
                <w:rFonts w:hint="eastAsia" w:ascii="宋体" w:hAnsi="宋体"/>
                <w:sz w:val="28"/>
                <w:szCs w:val="28"/>
              </w:rPr>
              <w:t>二○二○年十月</w:t>
            </w:r>
          </w:p>
        </w:tc>
      </w:tr>
    </w:tbl>
    <w:p>
      <w:pPr>
        <w:jc w:val="center"/>
        <w:rPr>
          <w:rFonts w:hint="eastAsia" w:ascii="宋体" w:hAnsi="宋体"/>
          <w:b/>
          <w:color w:val="000000"/>
          <w:sz w:val="44"/>
          <w:szCs w:val="44"/>
        </w:rPr>
      </w:pPr>
    </w:p>
    <w:p>
      <w:pPr>
        <w:jc w:val="center"/>
        <w:rPr>
          <w:rFonts w:hint="eastAsia" w:ascii="宋体" w:hAnsi="宋体"/>
          <w:b/>
          <w:color w:val="000000"/>
          <w:sz w:val="44"/>
          <w:szCs w:val="44"/>
        </w:rPr>
      </w:pPr>
    </w:p>
    <w:p>
      <w:pPr>
        <w:jc w:val="center"/>
        <w:rPr>
          <w:rFonts w:hint="eastAsia" w:ascii="宋体" w:hAnsi="宋体"/>
          <w:b/>
          <w:color w:val="000000"/>
          <w:sz w:val="44"/>
          <w:szCs w:val="44"/>
        </w:rPr>
      </w:pPr>
    </w:p>
    <w:p>
      <w:pPr>
        <w:jc w:val="center"/>
        <w:rPr>
          <w:rFonts w:hint="eastAsia" w:ascii="宋体" w:hAnsi="宋体"/>
          <w:b/>
          <w:color w:val="000000"/>
          <w:sz w:val="44"/>
          <w:szCs w:val="44"/>
        </w:rPr>
      </w:pPr>
    </w:p>
    <w:p>
      <w:pPr>
        <w:jc w:val="center"/>
        <w:rPr>
          <w:rFonts w:hint="eastAsia" w:ascii="宋体" w:hAnsi="宋体"/>
          <w:b/>
          <w:color w:val="000000"/>
          <w:sz w:val="44"/>
          <w:szCs w:val="44"/>
        </w:rPr>
      </w:pPr>
      <w:r>
        <w:rPr>
          <w:rFonts w:hint="eastAsia" w:ascii="宋体" w:hAnsi="宋体"/>
          <w:b/>
          <w:color w:val="000000"/>
          <w:sz w:val="44"/>
          <w:szCs w:val="44"/>
        </w:rPr>
        <w:t>目录</w:t>
      </w:r>
    </w:p>
    <w:p>
      <w:pPr>
        <w:jc w:val="center"/>
        <w:rPr>
          <w:rFonts w:hint="eastAsia" w:ascii="宋体" w:hAnsi="宋体"/>
          <w:b/>
          <w:color w:val="000000"/>
          <w:sz w:val="44"/>
          <w:szCs w:val="44"/>
        </w:rPr>
      </w:pPr>
    </w:p>
    <w:p>
      <w:pPr>
        <w:jc w:val="center"/>
        <w:rPr>
          <w:rFonts w:hint="eastAsia" w:ascii="宋体" w:hAnsi="宋体"/>
          <w:color w:val="000000"/>
        </w:rPr>
      </w:pPr>
    </w:p>
    <w:p>
      <w:pPr>
        <w:snapToGrid w:val="0"/>
        <w:spacing w:line="480" w:lineRule="auto"/>
        <w:ind w:firstLine="1807" w:firstLineChars="500"/>
        <w:jc w:val="left"/>
        <w:rPr>
          <w:rFonts w:hint="eastAsia" w:ascii="宋体" w:hAnsi="宋体"/>
          <w:b/>
          <w:color w:val="000000"/>
          <w:sz w:val="36"/>
          <w:szCs w:val="36"/>
        </w:rPr>
      </w:pPr>
      <w:r>
        <w:rPr>
          <w:rFonts w:hint="eastAsia" w:ascii="宋体" w:hAnsi="宋体"/>
          <w:b/>
          <w:color w:val="000000"/>
          <w:sz w:val="36"/>
          <w:szCs w:val="36"/>
        </w:rPr>
        <w:t>第一部分    招标公告</w:t>
      </w:r>
    </w:p>
    <w:p>
      <w:pPr>
        <w:snapToGrid w:val="0"/>
        <w:spacing w:line="480" w:lineRule="auto"/>
        <w:ind w:firstLine="1807" w:firstLineChars="500"/>
        <w:jc w:val="left"/>
        <w:rPr>
          <w:rFonts w:hint="eastAsia" w:ascii="宋体" w:hAnsi="宋体"/>
          <w:b/>
          <w:color w:val="000000"/>
          <w:sz w:val="36"/>
          <w:szCs w:val="36"/>
        </w:rPr>
      </w:pPr>
      <w:r>
        <w:rPr>
          <w:rFonts w:hint="eastAsia" w:ascii="宋体" w:hAnsi="宋体"/>
          <w:b/>
          <w:color w:val="000000"/>
          <w:sz w:val="36"/>
          <w:szCs w:val="36"/>
        </w:rPr>
        <w:t>第二部分    投标须知</w:t>
      </w:r>
    </w:p>
    <w:p>
      <w:pPr>
        <w:snapToGrid w:val="0"/>
        <w:spacing w:line="480" w:lineRule="auto"/>
        <w:ind w:firstLine="1807" w:firstLineChars="500"/>
        <w:jc w:val="left"/>
        <w:rPr>
          <w:rFonts w:hint="eastAsia" w:ascii="宋体" w:hAnsi="宋体"/>
          <w:b/>
          <w:color w:val="000000"/>
          <w:sz w:val="36"/>
          <w:szCs w:val="36"/>
        </w:rPr>
      </w:pPr>
      <w:r>
        <w:rPr>
          <w:rFonts w:hint="eastAsia" w:ascii="宋体" w:hAnsi="宋体"/>
          <w:b/>
          <w:color w:val="000000"/>
          <w:sz w:val="36"/>
          <w:szCs w:val="36"/>
        </w:rPr>
        <w:t>第三部分    招标项目范围及要求</w:t>
      </w:r>
    </w:p>
    <w:p>
      <w:pPr>
        <w:snapToGrid w:val="0"/>
        <w:spacing w:line="480" w:lineRule="auto"/>
        <w:ind w:firstLine="1807" w:firstLineChars="500"/>
        <w:jc w:val="left"/>
        <w:rPr>
          <w:rFonts w:hint="eastAsia" w:ascii="宋体" w:hAnsi="宋体"/>
          <w:b/>
          <w:color w:val="000000"/>
          <w:sz w:val="36"/>
          <w:szCs w:val="36"/>
        </w:rPr>
      </w:pPr>
      <w:r>
        <w:rPr>
          <w:rFonts w:hint="eastAsia" w:ascii="宋体" w:hAnsi="宋体"/>
          <w:b/>
          <w:color w:val="000000"/>
          <w:sz w:val="36"/>
          <w:szCs w:val="36"/>
        </w:rPr>
        <w:t>第四部分    合同的主要条款</w:t>
      </w:r>
    </w:p>
    <w:p>
      <w:pPr>
        <w:snapToGrid w:val="0"/>
        <w:spacing w:line="480" w:lineRule="auto"/>
        <w:ind w:firstLine="1807" w:firstLineChars="500"/>
        <w:jc w:val="left"/>
        <w:rPr>
          <w:rFonts w:hint="eastAsia" w:ascii="宋体" w:hAnsi="宋体"/>
          <w:b/>
          <w:color w:val="000000"/>
          <w:sz w:val="36"/>
          <w:szCs w:val="36"/>
        </w:rPr>
      </w:pPr>
      <w:r>
        <w:rPr>
          <w:rFonts w:hint="eastAsia" w:ascii="宋体" w:hAnsi="宋体"/>
          <w:b/>
          <w:color w:val="000000"/>
          <w:sz w:val="36"/>
          <w:szCs w:val="36"/>
        </w:rPr>
        <w:t>第五部分    评标方法及标准</w:t>
      </w:r>
    </w:p>
    <w:p>
      <w:pPr>
        <w:snapToGrid w:val="0"/>
        <w:spacing w:line="480" w:lineRule="auto"/>
        <w:ind w:firstLine="1807" w:firstLineChars="500"/>
        <w:jc w:val="left"/>
        <w:rPr>
          <w:rFonts w:hint="eastAsia" w:ascii="宋体" w:hAnsi="宋体"/>
          <w:b/>
          <w:color w:val="000000"/>
          <w:sz w:val="36"/>
          <w:szCs w:val="36"/>
        </w:rPr>
      </w:pPr>
      <w:r>
        <w:rPr>
          <w:rFonts w:hint="eastAsia" w:ascii="宋体" w:hAnsi="宋体"/>
          <w:b/>
          <w:color w:val="000000"/>
          <w:sz w:val="36"/>
          <w:szCs w:val="36"/>
        </w:rPr>
        <w:t>第六部分    投标响应文件及其附件格式</w:t>
      </w:r>
    </w:p>
    <w:p>
      <w:pPr>
        <w:snapToGrid w:val="0"/>
        <w:spacing w:line="480" w:lineRule="auto"/>
        <w:jc w:val="left"/>
        <w:rPr>
          <w:rFonts w:hint="eastAsia" w:ascii="宋体" w:hAnsi="宋体"/>
          <w:color w:val="000000"/>
          <w:sz w:val="36"/>
          <w:szCs w:val="36"/>
        </w:rPr>
      </w:pPr>
    </w:p>
    <w:p>
      <w:pPr>
        <w:snapToGrid w:val="0"/>
        <w:spacing w:line="480" w:lineRule="auto"/>
        <w:jc w:val="left"/>
        <w:rPr>
          <w:rFonts w:hint="eastAsia" w:ascii="宋体" w:hAnsi="宋体"/>
          <w:color w:val="000000"/>
          <w:sz w:val="36"/>
          <w:szCs w:val="36"/>
        </w:rPr>
      </w:pPr>
    </w:p>
    <w:p>
      <w:pPr>
        <w:snapToGrid w:val="0"/>
        <w:spacing w:line="480" w:lineRule="auto"/>
        <w:jc w:val="left"/>
        <w:rPr>
          <w:rFonts w:hint="eastAsia" w:ascii="宋体" w:hAnsi="宋体"/>
          <w:color w:val="000000"/>
          <w:sz w:val="36"/>
          <w:szCs w:val="36"/>
        </w:rPr>
      </w:pPr>
    </w:p>
    <w:p>
      <w:pPr>
        <w:snapToGrid w:val="0"/>
        <w:spacing w:line="480" w:lineRule="auto"/>
        <w:jc w:val="left"/>
        <w:rPr>
          <w:rFonts w:hint="eastAsia" w:ascii="宋体" w:hAnsi="宋体"/>
          <w:color w:val="000000"/>
          <w:sz w:val="36"/>
          <w:szCs w:val="36"/>
        </w:rPr>
      </w:pPr>
    </w:p>
    <w:p>
      <w:pPr>
        <w:snapToGrid w:val="0"/>
        <w:spacing w:line="480" w:lineRule="auto"/>
        <w:jc w:val="left"/>
        <w:rPr>
          <w:rFonts w:hint="eastAsia" w:ascii="宋体" w:hAnsi="宋体"/>
          <w:color w:val="000000"/>
          <w:sz w:val="36"/>
          <w:szCs w:val="36"/>
        </w:rPr>
      </w:pPr>
    </w:p>
    <w:p>
      <w:pPr>
        <w:snapToGrid w:val="0"/>
        <w:spacing w:line="400" w:lineRule="exact"/>
        <w:jc w:val="center"/>
        <w:rPr>
          <w:rFonts w:hint="eastAsia" w:ascii="宋体" w:hAnsi="宋体"/>
          <w:color w:val="000000"/>
          <w:sz w:val="36"/>
          <w:szCs w:val="36"/>
        </w:rPr>
      </w:pPr>
    </w:p>
    <w:p>
      <w:pPr>
        <w:snapToGrid w:val="0"/>
        <w:spacing w:line="400" w:lineRule="exact"/>
        <w:jc w:val="center"/>
        <w:rPr>
          <w:rFonts w:hint="eastAsia" w:ascii="宋体" w:hAnsi="宋体"/>
          <w:b/>
          <w:color w:val="000000"/>
          <w:sz w:val="36"/>
          <w:szCs w:val="36"/>
        </w:rPr>
      </w:pPr>
      <w:r>
        <w:rPr>
          <w:rFonts w:hint="eastAsia" w:ascii="宋体" w:hAnsi="宋体"/>
          <w:b/>
          <w:color w:val="000000"/>
          <w:sz w:val="36"/>
          <w:szCs w:val="36"/>
        </w:rPr>
        <w:t>第一部分 招标公告</w:t>
      </w:r>
    </w:p>
    <w:p>
      <w:pPr>
        <w:pStyle w:val="63"/>
        <w:spacing w:after="156" w:line="400" w:lineRule="exact"/>
        <w:ind w:firstLine="480"/>
        <w:rPr>
          <w:rFonts w:hint="eastAsia" w:ascii="宋体" w:hAnsi="宋体"/>
          <w:color w:val="000000"/>
          <w:szCs w:val="24"/>
        </w:rPr>
      </w:pPr>
      <w:r>
        <w:rPr>
          <w:rFonts w:hint="eastAsia" w:ascii="宋体" w:hAnsi="宋体"/>
          <w:color w:val="000000"/>
          <w:szCs w:val="24"/>
        </w:rPr>
        <w:t>绍兴市嘉华项目管理有限公司受</w:t>
      </w:r>
      <w:r>
        <w:rPr>
          <w:rFonts w:hint="eastAsia" w:ascii="宋体" w:hAnsi="宋体"/>
          <w:b/>
          <w:szCs w:val="24"/>
        </w:rPr>
        <w:t>绍兴市妇幼保健院</w:t>
      </w:r>
      <w:r>
        <w:rPr>
          <w:rFonts w:hint="eastAsia" w:ascii="宋体" w:hAnsi="宋体"/>
          <w:color w:val="000000"/>
          <w:szCs w:val="24"/>
        </w:rPr>
        <w:t>委托，就下列项目进行</w:t>
      </w:r>
      <w:r>
        <w:rPr>
          <w:rFonts w:hint="eastAsia" w:ascii="宋体" w:hAnsi="宋体"/>
          <w:b/>
          <w:color w:val="000000"/>
          <w:szCs w:val="24"/>
        </w:rPr>
        <w:t>公开招标</w:t>
      </w:r>
      <w:r>
        <w:rPr>
          <w:rFonts w:hint="eastAsia" w:ascii="宋体" w:hAnsi="宋体"/>
          <w:color w:val="000000"/>
          <w:szCs w:val="24"/>
        </w:rPr>
        <w:t>，特邀请国内合格的供应商前来投标，现将有关事项公告如下：</w:t>
      </w:r>
    </w:p>
    <w:p>
      <w:pPr>
        <w:spacing w:line="400" w:lineRule="exact"/>
        <w:ind w:firstLine="480" w:firstLineChars="200"/>
        <w:rPr>
          <w:rFonts w:hint="eastAsia" w:ascii="宋体" w:hAnsi="宋体" w:cs="Arial"/>
          <w:color w:val="000000"/>
          <w:sz w:val="24"/>
        </w:rPr>
      </w:pPr>
      <w:r>
        <w:rPr>
          <w:rFonts w:hint="eastAsia" w:ascii="宋体" w:hAnsi="宋体" w:cs="Arial"/>
          <w:color w:val="000000"/>
          <w:sz w:val="24"/>
        </w:rPr>
        <w:t>一、</w:t>
      </w:r>
      <w:r>
        <w:rPr>
          <w:rFonts w:hint="eastAsia" w:ascii="宋体" w:hAnsi="宋体" w:cs="Arial"/>
          <w:b/>
          <w:bCs/>
          <w:color w:val="000000"/>
          <w:sz w:val="24"/>
        </w:rPr>
        <w:t>招标编号：</w:t>
      </w:r>
      <w:r>
        <w:rPr>
          <w:rFonts w:ascii="宋体" w:hAnsi="宋体" w:cs="Arial"/>
          <w:sz w:val="24"/>
        </w:rPr>
        <w:t>SXJHCG-2020-N0</w:t>
      </w:r>
      <w:r>
        <w:rPr>
          <w:rFonts w:hint="eastAsia" w:ascii="宋体" w:hAnsi="宋体" w:cs="Arial"/>
          <w:sz w:val="24"/>
        </w:rPr>
        <w:t xml:space="preserve">223   </w:t>
      </w:r>
      <w:r>
        <w:rPr>
          <w:rFonts w:hint="eastAsia" w:ascii="宋体" w:hAnsi="宋体"/>
          <w:color w:val="000000"/>
          <w:kern w:val="0"/>
          <w:sz w:val="24"/>
        </w:rPr>
        <w:t xml:space="preserve"> </w:t>
      </w:r>
      <w:r>
        <w:rPr>
          <w:rFonts w:hint="eastAsia" w:ascii="宋体" w:hAnsi="宋体" w:cs="Arial"/>
          <w:color w:val="000000"/>
          <w:sz w:val="24"/>
        </w:rPr>
        <w:t xml:space="preserve">    采购组织类型：</w:t>
      </w:r>
      <w:r>
        <w:rPr>
          <w:rFonts w:hint="eastAsia" w:ascii="宋体" w:hAnsi="宋体" w:cs="Arial"/>
          <w:sz w:val="24"/>
        </w:rPr>
        <w:t>自行采购</w:t>
      </w:r>
    </w:p>
    <w:p>
      <w:pPr>
        <w:spacing w:line="400" w:lineRule="exact"/>
        <w:ind w:firstLine="480" w:firstLineChars="200"/>
        <w:rPr>
          <w:rFonts w:hint="eastAsia" w:ascii="宋体" w:hAnsi="宋体" w:cs="Arial"/>
          <w:color w:val="000000"/>
          <w:szCs w:val="21"/>
        </w:rPr>
      </w:pPr>
      <w:r>
        <w:rPr>
          <w:rFonts w:hint="eastAsia" w:ascii="宋体" w:hAnsi="宋体" w:cs="Arial"/>
          <w:color w:val="000000"/>
          <w:sz w:val="24"/>
        </w:rPr>
        <w:t>二、</w:t>
      </w:r>
      <w:r>
        <w:rPr>
          <w:rFonts w:hint="eastAsia" w:ascii="宋体" w:hAnsi="宋体" w:cs="Arial"/>
          <w:b/>
          <w:bCs/>
          <w:color w:val="000000"/>
          <w:sz w:val="24"/>
        </w:rPr>
        <w:t>招标项目名称及数量（</w:t>
      </w:r>
      <w:r>
        <w:rPr>
          <w:rFonts w:hint="eastAsia" w:ascii="宋体" w:hAnsi="宋体"/>
          <w:b/>
          <w:bCs/>
          <w:color w:val="000000"/>
          <w:sz w:val="24"/>
        </w:rPr>
        <w:t>详见招标文件</w:t>
      </w:r>
      <w:r>
        <w:rPr>
          <w:rFonts w:hint="eastAsia" w:ascii="宋体" w:hAnsi="宋体" w:cs="Arial"/>
          <w:b/>
          <w:bCs/>
          <w:color w:val="000000"/>
          <w:sz w:val="24"/>
        </w:rPr>
        <w:t>）</w:t>
      </w:r>
    </w:p>
    <w:tbl>
      <w:tblPr>
        <w:tblStyle w:val="48"/>
        <w:tblW w:w="48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2976"/>
        <w:gridCol w:w="226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2" w:hRule="atLeast"/>
        </w:trPr>
        <w:tc>
          <w:tcPr>
            <w:tcW w:w="872" w:type="pct"/>
            <w:noWrap w:val="0"/>
            <w:vAlign w:val="center"/>
          </w:tcPr>
          <w:p>
            <w:pPr>
              <w:jc w:val="center"/>
              <w:rPr>
                <w:rFonts w:hint="eastAsia" w:ascii="宋体" w:hAnsi="宋体" w:cs="Arial"/>
                <w:b/>
                <w:color w:val="000000"/>
                <w:sz w:val="24"/>
              </w:rPr>
            </w:pPr>
            <w:r>
              <w:rPr>
                <w:rFonts w:hint="eastAsia" w:ascii="宋体" w:hAnsi="宋体" w:cs="宋体"/>
                <w:b/>
                <w:color w:val="000000"/>
                <w:sz w:val="24"/>
              </w:rPr>
              <w:t>标项</w:t>
            </w:r>
          </w:p>
        </w:tc>
        <w:tc>
          <w:tcPr>
            <w:tcW w:w="1700" w:type="pct"/>
            <w:noWrap w:val="0"/>
            <w:vAlign w:val="center"/>
          </w:tcPr>
          <w:p>
            <w:pPr>
              <w:jc w:val="center"/>
              <w:rPr>
                <w:rFonts w:hint="eastAsia" w:ascii="宋体" w:hAnsi="宋体" w:cs="宋体"/>
                <w:b/>
                <w:color w:val="000000"/>
                <w:sz w:val="24"/>
              </w:rPr>
            </w:pPr>
            <w:r>
              <w:rPr>
                <w:rFonts w:hint="eastAsia" w:ascii="宋体" w:hAnsi="宋体" w:cs="宋体"/>
                <w:b/>
                <w:color w:val="000000"/>
                <w:sz w:val="24"/>
              </w:rPr>
              <w:t>标段名称及数量</w:t>
            </w:r>
          </w:p>
          <w:p>
            <w:pPr>
              <w:jc w:val="center"/>
              <w:rPr>
                <w:rFonts w:hint="eastAsia" w:ascii="宋体" w:hAnsi="宋体" w:cs="Arial"/>
                <w:b/>
                <w:color w:val="000000"/>
                <w:sz w:val="24"/>
              </w:rPr>
            </w:pPr>
            <w:r>
              <w:rPr>
                <w:rFonts w:hint="eastAsia" w:ascii="宋体" w:hAnsi="宋体"/>
                <w:b/>
                <w:bCs/>
                <w:color w:val="000000"/>
                <w:sz w:val="24"/>
              </w:rPr>
              <w:t>（详见招标文件）</w:t>
            </w:r>
          </w:p>
        </w:tc>
        <w:tc>
          <w:tcPr>
            <w:tcW w:w="1295" w:type="pct"/>
            <w:noWrap w:val="0"/>
            <w:vAlign w:val="center"/>
          </w:tcPr>
          <w:p>
            <w:pPr>
              <w:jc w:val="center"/>
              <w:rPr>
                <w:rFonts w:ascii="宋体" w:cs="宋体"/>
                <w:b/>
                <w:color w:val="000000"/>
                <w:kern w:val="0"/>
                <w:szCs w:val="21"/>
              </w:rPr>
            </w:pPr>
            <w:r>
              <w:rPr>
                <w:rFonts w:hint="eastAsia" w:ascii="宋体" w:hAnsi="宋体" w:cs="宋体"/>
                <w:b/>
                <w:color w:val="000000"/>
                <w:kern w:val="0"/>
                <w:szCs w:val="21"/>
              </w:rPr>
              <w:t>预算金额或上限价</w:t>
            </w:r>
          </w:p>
          <w:p>
            <w:pPr>
              <w:jc w:val="center"/>
              <w:rPr>
                <w:rFonts w:ascii="宋体" w:cs="宋体"/>
                <w:b/>
                <w:color w:val="000000"/>
                <w:kern w:val="0"/>
                <w:szCs w:val="21"/>
              </w:rPr>
            </w:pPr>
            <w:r>
              <w:rPr>
                <w:rFonts w:hint="eastAsia" w:ascii="宋体" w:hAnsi="宋体" w:cs="宋体"/>
                <w:b/>
                <w:color w:val="000000"/>
                <w:kern w:val="0"/>
                <w:szCs w:val="21"/>
              </w:rPr>
              <w:t>（单位：人民币元）</w:t>
            </w:r>
          </w:p>
        </w:tc>
        <w:tc>
          <w:tcPr>
            <w:tcW w:w="1133" w:type="pct"/>
            <w:noWrap w:val="0"/>
            <w:vAlign w:val="center"/>
          </w:tcPr>
          <w:p>
            <w:pPr>
              <w:jc w:val="center"/>
              <w:rPr>
                <w:rFonts w:ascii="宋体" w:cs="宋体"/>
                <w:b/>
                <w:color w:val="000000"/>
                <w:kern w:val="0"/>
                <w:szCs w:val="21"/>
              </w:rPr>
            </w:pPr>
            <w:r>
              <w:rPr>
                <w:rFonts w:hint="eastAsia" w:ascii="宋体" w:hAnsi="宋体" w:cs="宋体"/>
                <w:b/>
                <w:color w:val="000000"/>
                <w:kern w:val="0"/>
                <w:szCs w:val="21"/>
              </w:rPr>
              <w:t>投标保证金</w:t>
            </w:r>
          </w:p>
          <w:p>
            <w:pPr>
              <w:jc w:val="center"/>
              <w:rPr>
                <w:rFonts w:ascii="宋体" w:cs="宋体"/>
                <w:b/>
                <w:color w:val="000000"/>
                <w:kern w:val="0"/>
                <w:szCs w:val="21"/>
              </w:rPr>
            </w:pPr>
            <w:r>
              <w:rPr>
                <w:rFonts w:hint="eastAsia" w:ascii="宋体" w:hAnsi="宋体" w:cs="宋体"/>
                <w:b/>
                <w:color w:val="000000"/>
                <w:kern w:val="0"/>
                <w:szCs w:val="21"/>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4" w:hRule="atLeast"/>
        </w:trPr>
        <w:tc>
          <w:tcPr>
            <w:tcW w:w="872" w:type="pct"/>
            <w:noWrap w:val="0"/>
            <w:vAlign w:val="center"/>
          </w:tcPr>
          <w:p>
            <w:pPr>
              <w:jc w:val="center"/>
              <w:rPr>
                <w:rFonts w:ascii="宋体" w:hAnsi="宋体" w:cs="Arial"/>
                <w:sz w:val="24"/>
                <w:highlight w:val="yellow"/>
              </w:rPr>
            </w:pPr>
            <w:r>
              <w:rPr>
                <w:rFonts w:hint="eastAsia" w:ascii="宋体" w:hAnsi="宋体" w:cs="Arial"/>
                <w:sz w:val="24"/>
              </w:rPr>
              <w:t>01标</w:t>
            </w:r>
          </w:p>
        </w:tc>
        <w:tc>
          <w:tcPr>
            <w:tcW w:w="1700" w:type="pct"/>
            <w:noWrap w:val="0"/>
            <w:vAlign w:val="center"/>
          </w:tcPr>
          <w:p>
            <w:pPr>
              <w:jc w:val="center"/>
              <w:rPr>
                <w:rFonts w:hint="eastAsia" w:ascii="宋体" w:hAnsi="宋体" w:cs="Arial"/>
                <w:sz w:val="24"/>
                <w:highlight w:val="yellow"/>
              </w:rPr>
            </w:pPr>
            <w:r>
              <w:rPr>
                <w:rFonts w:hint="eastAsia" w:ascii="宋体" w:hAnsi="宋体" w:cs="Arial"/>
                <w:sz w:val="24"/>
              </w:rPr>
              <w:t>绍兴市妇幼保健院医疗服务一卡通系统改造项目</w:t>
            </w:r>
          </w:p>
        </w:tc>
        <w:tc>
          <w:tcPr>
            <w:tcW w:w="1295" w:type="pct"/>
            <w:noWrap w:val="0"/>
            <w:vAlign w:val="center"/>
          </w:tcPr>
          <w:p>
            <w:pPr>
              <w:jc w:val="center"/>
              <w:rPr>
                <w:rFonts w:ascii="宋体" w:hAnsi="宋体" w:cs="Arial"/>
                <w:color w:val="000000"/>
                <w:szCs w:val="21"/>
              </w:rPr>
            </w:pPr>
            <w:r>
              <w:rPr>
                <w:rFonts w:hint="eastAsia" w:ascii="宋体" w:hAnsi="宋体" w:cs="Arial"/>
                <w:color w:val="000000"/>
                <w:szCs w:val="21"/>
              </w:rPr>
              <w:t>￥150000.00元</w:t>
            </w:r>
          </w:p>
        </w:tc>
        <w:tc>
          <w:tcPr>
            <w:tcW w:w="1133" w:type="pct"/>
            <w:noWrap w:val="0"/>
            <w:vAlign w:val="center"/>
          </w:tcPr>
          <w:p>
            <w:pPr>
              <w:jc w:val="center"/>
              <w:rPr>
                <w:rFonts w:ascii="宋体" w:hAnsi="宋体" w:cs="Arial"/>
                <w:color w:val="000000"/>
                <w:szCs w:val="21"/>
              </w:rPr>
            </w:pPr>
            <w:r>
              <w:rPr>
                <w:rFonts w:hint="eastAsia" w:ascii="宋体" w:hAnsi="宋体" w:cs="Arial"/>
                <w:color w:val="000000"/>
                <w:szCs w:val="21"/>
              </w:rPr>
              <w:t>￥0</w:t>
            </w:r>
            <w:r>
              <w:rPr>
                <w:rFonts w:ascii="宋体" w:hAnsi="宋体" w:cs="Arial"/>
                <w:color w:val="000000"/>
                <w:szCs w:val="21"/>
              </w:rPr>
              <w:t>.00</w:t>
            </w:r>
          </w:p>
        </w:tc>
      </w:tr>
    </w:tbl>
    <w:p>
      <w:pPr>
        <w:spacing w:line="440" w:lineRule="exact"/>
        <w:ind w:firstLine="472" w:firstLineChars="196"/>
        <w:rPr>
          <w:rFonts w:hint="eastAsia" w:ascii="宋体" w:hAnsi="宋体" w:cs="Arial"/>
          <w:color w:val="000000"/>
          <w:sz w:val="24"/>
        </w:rPr>
      </w:pPr>
      <w:r>
        <w:rPr>
          <w:rFonts w:hint="eastAsia" w:ascii="宋体" w:hAnsi="宋体" w:cs="Arial"/>
          <w:b/>
          <w:color w:val="000000"/>
          <w:sz w:val="24"/>
        </w:rPr>
        <w:t>三、</w:t>
      </w:r>
      <w:r>
        <w:rPr>
          <w:rFonts w:hint="eastAsia" w:ascii="宋体" w:hAnsi="宋体" w:cs="Arial"/>
          <w:b/>
          <w:bCs/>
          <w:color w:val="000000"/>
          <w:sz w:val="24"/>
        </w:rPr>
        <w:t>投标供应商的资格要求</w:t>
      </w:r>
    </w:p>
    <w:p>
      <w:pPr>
        <w:spacing w:line="440" w:lineRule="exact"/>
        <w:ind w:firstLine="422" w:firstLineChars="176"/>
        <w:rPr>
          <w:rFonts w:hint="eastAsia" w:ascii="宋体" w:hAnsi="宋体" w:cs="Arial"/>
          <w:bCs/>
          <w:color w:val="000000"/>
          <w:sz w:val="24"/>
        </w:rPr>
      </w:pPr>
      <w:r>
        <w:rPr>
          <w:rFonts w:hint="eastAsia" w:ascii="宋体" w:hAnsi="宋体" w:cs="Arial"/>
          <w:bCs/>
          <w:color w:val="000000"/>
          <w:sz w:val="24"/>
        </w:rPr>
        <w:t>1. 符合政府采购法第二十二条之供应商资格规定；</w:t>
      </w:r>
    </w:p>
    <w:p>
      <w:pPr>
        <w:spacing w:line="440" w:lineRule="exact"/>
        <w:ind w:firstLine="422" w:firstLineChars="176"/>
        <w:rPr>
          <w:rFonts w:hint="eastAsia" w:ascii="宋体" w:hAnsi="宋体" w:cs="Arial"/>
          <w:bCs/>
          <w:sz w:val="24"/>
        </w:rPr>
      </w:pPr>
      <w:r>
        <w:rPr>
          <w:rFonts w:hint="eastAsia" w:ascii="宋体" w:hAnsi="宋体" w:cs="Arial"/>
          <w:bCs/>
          <w:sz w:val="24"/>
        </w:rPr>
        <w:t>2.未被“信用中国”（www.creditchina.gov.cn）、中国政府采购网（www.ccgp.gov.cn）列入失信被执行人、重大税收违法案件当事人名单、政府采购严重违法失信行为记录名单；</w:t>
      </w:r>
    </w:p>
    <w:p>
      <w:pPr>
        <w:spacing w:line="440" w:lineRule="exact"/>
        <w:ind w:firstLine="540" w:firstLineChars="225"/>
        <w:rPr>
          <w:rFonts w:hint="eastAsia" w:ascii="宋体" w:hAnsi="宋体" w:cs="Arial"/>
          <w:bCs/>
          <w:color w:val="000000"/>
          <w:sz w:val="24"/>
        </w:rPr>
      </w:pPr>
      <w:r>
        <w:rPr>
          <w:rFonts w:hint="eastAsia" w:ascii="宋体" w:hAnsi="宋体" w:cs="Arial"/>
          <w:bCs/>
          <w:color w:val="000000"/>
          <w:sz w:val="24"/>
        </w:rPr>
        <w:t>3. 不接受联合体投标。</w:t>
      </w:r>
    </w:p>
    <w:p>
      <w:pPr>
        <w:spacing w:line="440" w:lineRule="exact"/>
        <w:ind w:firstLine="424" w:firstLineChars="176"/>
        <w:rPr>
          <w:rFonts w:hint="eastAsia" w:ascii="宋体" w:hAnsi="宋体" w:cs="Arial"/>
          <w:b/>
          <w:bCs/>
          <w:color w:val="000000"/>
          <w:sz w:val="24"/>
        </w:rPr>
      </w:pPr>
      <w:r>
        <w:rPr>
          <w:rFonts w:hint="eastAsia" w:ascii="宋体" w:hAnsi="宋体" w:cs="Arial"/>
          <w:b/>
          <w:bCs/>
          <w:color w:val="000000"/>
          <w:sz w:val="24"/>
        </w:rPr>
        <w:t>四、资格审查方式：</w:t>
      </w:r>
    </w:p>
    <w:p>
      <w:pPr>
        <w:spacing w:line="440" w:lineRule="exact"/>
        <w:ind w:firstLine="540" w:firstLineChars="225"/>
        <w:rPr>
          <w:rFonts w:hint="eastAsia" w:ascii="宋体" w:hAnsi="宋体" w:cs="Arial"/>
          <w:bCs/>
          <w:color w:val="000000"/>
          <w:sz w:val="24"/>
        </w:rPr>
      </w:pPr>
      <w:r>
        <w:rPr>
          <w:rFonts w:hint="eastAsia" w:ascii="宋体" w:hAnsi="宋体" w:cs="Arial"/>
          <w:bCs/>
          <w:color w:val="000000"/>
          <w:sz w:val="24"/>
        </w:rPr>
        <w:t>1、资格后审。</w:t>
      </w:r>
    </w:p>
    <w:p>
      <w:pPr>
        <w:spacing w:line="440" w:lineRule="exact"/>
        <w:ind w:firstLine="540" w:firstLineChars="225"/>
        <w:rPr>
          <w:rFonts w:hint="eastAsia" w:ascii="宋体" w:hAnsi="宋体" w:cs="Arial"/>
          <w:bCs/>
          <w:sz w:val="24"/>
        </w:rPr>
      </w:pPr>
      <w:r>
        <w:rPr>
          <w:rFonts w:hint="eastAsia" w:ascii="宋体" w:hAnsi="宋体" w:cs="Arial"/>
          <w:bCs/>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供应商公章的委托代理协议复印件）。</w:t>
      </w:r>
    </w:p>
    <w:p>
      <w:pPr>
        <w:spacing w:line="440" w:lineRule="exact"/>
        <w:ind w:firstLine="540" w:firstLineChars="225"/>
        <w:rPr>
          <w:rFonts w:hint="eastAsia" w:ascii="宋体" w:hAnsi="宋体" w:cs="Arial"/>
          <w:b/>
          <w:bCs/>
          <w:sz w:val="24"/>
        </w:rPr>
      </w:pPr>
      <w:r>
        <w:rPr>
          <w:rFonts w:hint="eastAsia" w:ascii="宋体" w:hAnsi="宋体" w:cs="Arial"/>
          <w:bCs/>
          <w:sz w:val="24"/>
        </w:rPr>
        <w:t>3、未在招标代理机构报名并购买招标文件的单位均无资格参加本次投标。</w:t>
      </w:r>
    </w:p>
    <w:p>
      <w:pPr>
        <w:spacing w:line="440" w:lineRule="exact"/>
        <w:ind w:firstLine="472" w:firstLineChars="196"/>
        <w:rPr>
          <w:rFonts w:hint="eastAsia" w:ascii="宋体" w:hAnsi="宋体" w:cs="Arial"/>
          <w:b/>
          <w:sz w:val="24"/>
        </w:rPr>
      </w:pPr>
      <w:r>
        <w:rPr>
          <w:rFonts w:hint="eastAsia" w:ascii="宋体" w:hAnsi="宋体" w:cs="Arial"/>
          <w:b/>
          <w:bCs/>
          <w:sz w:val="24"/>
        </w:rPr>
        <w:t>五、招标文件提供方式、时间等：</w:t>
      </w:r>
    </w:p>
    <w:p>
      <w:pPr>
        <w:spacing w:line="440" w:lineRule="exact"/>
        <w:ind w:firstLine="540" w:firstLineChars="225"/>
        <w:rPr>
          <w:rFonts w:hint="eastAsia" w:ascii="宋体" w:hAnsi="宋体" w:cs="Arial"/>
          <w:bCs/>
          <w:sz w:val="24"/>
        </w:rPr>
      </w:pPr>
      <w:r>
        <w:rPr>
          <w:rFonts w:hint="eastAsia" w:ascii="宋体" w:hAnsi="宋体" w:cs="Arial"/>
          <w:bCs/>
          <w:sz w:val="24"/>
        </w:rPr>
        <w:t>1.招标文件提供期限：</w:t>
      </w:r>
      <w:r>
        <w:rPr>
          <w:rFonts w:hint="eastAsia" w:ascii="宋体" w:hAnsi="宋体" w:cs="Arial"/>
          <w:sz w:val="24"/>
        </w:rPr>
        <w:t>2020年  月  日至2020年  月  日上午8:30 — 11:30；下午14:00 — 16:30 (双休日及法定节假日除外）</w:t>
      </w:r>
    </w:p>
    <w:p>
      <w:pPr>
        <w:spacing w:line="440" w:lineRule="exact"/>
        <w:ind w:firstLine="540" w:firstLineChars="225"/>
        <w:rPr>
          <w:rFonts w:hint="eastAsia" w:ascii="宋体" w:hAnsi="宋体" w:cs="Arial"/>
          <w:bCs/>
          <w:sz w:val="24"/>
        </w:rPr>
      </w:pPr>
      <w:r>
        <w:rPr>
          <w:rFonts w:hint="eastAsia" w:ascii="宋体" w:hAnsi="宋体" w:cs="Arial"/>
          <w:bCs/>
          <w:sz w:val="24"/>
        </w:rPr>
        <w:t>2.招标文件获取方式：绍兴市越城区二环北路88号5联印象城2楼2F-202-B（</w:t>
      </w:r>
      <w:r>
        <w:rPr>
          <w:rFonts w:hint="eastAsia" w:ascii="宋体" w:hAnsi="宋体" w:cs="宋体"/>
          <w:sz w:val="24"/>
        </w:rPr>
        <w:t>位于二楼东南角</w:t>
      </w:r>
      <w:r>
        <w:rPr>
          <w:rFonts w:hint="eastAsia" w:ascii="宋体" w:hAnsi="宋体" w:cs="Arial"/>
          <w:bCs/>
          <w:sz w:val="24"/>
        </w:rPr>
        <w:t>）现场</w:t>
      </w:r>
      <w:r>
        <w:rPr>
          <w:rFonts w:ascii="宋体" w:hAnsi="宋体" w:cs="Arial"/>
          <w:bCs/>
          <w:sz w:val="24"/>
        </w:rPr>
        <w:t>报名</w:t>
      </w:r>
      <w:r>
        <w:rPr>
          <w:rFonts w:hint="eastAsia" w:ascii="宋体" w:hAnsi="宋体" w:cs="Arial"/>
          <w:bCs/>
          <w:sz w:val="24"/>
        </w:rPr>
        <w:t>(接受邮寄报名，邮寄地址：绍兴市越城区二环北路88号5联印象城2楼2F-202-B（位于二楼东南角）</w:t>
      </w:r>
      <w:r>
        <w:rPr>
          <w:rFonts w:hint="eastAsia" w:ascii="宋体" w:hAnsi="宋体" w:cs="Arial"/>
          <w:sz w:val="24"/>
        </w:rPr>
        <w:t>绍兴市嘉华项目管理有限公司；收件人：许静丽；联系电话：15068509660</w:t>
      </w:r>
      <w:r>
        <w:rPr>
          <w:rFonts w:hint="eastAsia" w:ascii="宋体" w:hAnsi="宋体" w:cs="Arial"/>
          <w:bCs/>
          <w:sz w:val="24"/>
        </w:rPr>
        <w:t>）。</w:t>
      </w:r>
    </w:p>
    <w:p>
      <w:pPr>
        <w:spacing w:line="440" w:lineRule="exact"/>
        <w:ind w:firstLine="540" w:firstLineChars="225"/>
        <w:rPr>
          <w:rFonts w:hint="eastAsia" w:ascii="宋体" w:hAnsi="宋体" w:cs="Arial"/>
          <w:sz w:val="24"/>
        </w:rPr>
      </w:pPr>
      <w:r>
        <w:rPr>
          <w:rFonts w:hint="eastAsia" w:ascii="宋体" w:hAnsi="宋体" w:cs="Arial"/>
          <w:bCs/>
          <w:sz w:val="24"/>
        </w:rPr>
        <w:t>3.报名资料：供应商报名登记表、营业执照副本复印件、授权委托书或单位介绍信、授权委托人身份证复印件等（加盖公章）。</w:t>
      </w:r>
    </w:p>
    <w:p>
      <w:pPr>
        <w:spacing w:line="440" w:lineRule="exact"/>
        <w:ind w:firstLine="540" w:firstLineChars="225"/>
        <w:rPr>
          <w:rFonts w:hint="eastAsia" w:ascii="宋体" w:hAnsi="宋体" w:cs="Arial"/>
          <w:bCs/>
          <w:sz w:val="24"/>
        </w:rPr>
      </w:pPr>
      <w:r>
        <w:rPr>
          <w:rFonts w:hint="eastAsia" w:ascii="宋体" w:hAnsi="宋体" w:cs="Arial"/>
          <w:bCs/>
          <w:sz w:val="24"/>
        </w:rPr>
        <w:t>4.</w:t>
      </w:r>
      <w:r>
        <w:rPr>
          <w:rFonts w:ascii="宋体" w:hAnsi="宋体" w:cs="Arial"/>
          <w:bCs/>
          <w:sz w:val="24"/>
        </w:rPr>
        <w:t>联系电话：</w:t>
      </w:r>
      <w:r>
        <w:rPr>
          <w:rFonts w:hint="eastAsia" w:ascii="宋体" w:hAnsi="宋体" w:cs="Arial"/>
          <w:bCs/>
          <w:sz w:val="24"/>
        </w:rPr>
        <w:t>15068509660</w:t>
      </w:r>
      <w:r>
        <w:rPr>
          <w:rFonts w:ascii="宋体" w:hAnsi="宋体" w:cs="Arial"/>
          <w:bCs/>
          <w:sz w:val="24"/>
        </w:rPr>
        <w:t>。</w:t>
      </w:r>
    </w:p>
    <w:p>
      <w:pPr>
        <w:spacing w:line="440" w:lineRule="exact"/>
        <w:ind w:firstLine="540" w:firstLineChars="225"/>
        <w:rPr>
          <w:rFonts w:hint="eastAsia" w:ascii="宋体" w:hAnsi="宋体" w:cs="Arial"/>
          <w:bCs/>
          <w:sz w:val="24"/>
        </w:rPr>
      </w:pPr>
      <w:r>
        <w:rPr>
          <w:rFonts w:hint="eastAsia" w:ascii="宋体" w:hAnsi="宋体" w:cs="Arial"/>
          <w:bCs/>
          <w:sz w:val="24"/>
        </w:rPr>
        <w:t>5.提示：</w:t>
      </w:r>
    </w:p>
    <w:p>
      <w:pPr>
        <w:pStyle w:val="63"/>
        <w:spacing w:afterLines="0" w:line="440" w:lineRule="exact"/>
        <w:ind w:firstLine="480"/>
        <w:rPr>
          <w:rFonts w:hint="eastAsia" w:ascii="宋体" w:hAnsi="宋体" w:cs="Arial"/>
        </w:rPr>
      </w:pPr>
      <w:r>
        <w:rPr>
          <w:rFonts w:hint="eastAsia" w:ascii="宋体" w:hAnsi="宋体" w:cs="Arial"/>
        </w:rPr>
        <w:t>（1）采购代理机构将拒绝接受未获取招标文件供应商的投标文件。</w:t>
      </w:r>
    </w:p>
    <w:p>
      <w:pPr>
        <w:pStyle w:val="63"/>
        <w:spacing w:afterLines="0" w:line="440" w:lineRule="exact"/>
        <w:ind w:firstLine="480"/>
        <w:rPr>
          <w:rFonts w:hint="eastAsia" w:ascii="宋体" w:hAnsi="宋体" w:cs="Arial"/>
        </w:rPr>
      </w:pPr>
      <w:r>
        <w:rPr>
          <w:rFonts w:hint="eastAsia" w:ascii="宋体" w:hAnsi="宋体" w:cs="Arial"/>
        </w:rPr>
        <w:t xml:space="preserve">（2）招标文件的提供期限截止之日之后有潜在供应商提出获取招标文件的，采购代理机构将允许其获取。 </w:t>
      </w:r>
    </w:p>
    <w:p>
      <w:pPr>
        <w:pStyle w:val="63"/>
        <w:spacing w:afterLines="0" w:line="440" w:lineRule="exact"/>
        <w:ind w:firstLine="480"/>
        <w:rPr>
          <w:rFonts w:hint="eastAsia" w:ascii="宋体" w:hAnsi="宋体" w:cs="Arial"/>
        </w:rPr>
      </w:pPr>
      <w:r>
        <w:rPr>
          <w:rFonts w:hint="eastAsia" w:ascii="宋体" w:hAnsi="宋体" w:cs="Arial"/>
        </w:rPr>
        <w:t>（3）供应商认为采购文件使自己的权益受到损害的，可以自获取采购文件之日或者采购公告期限届满之日（公告期限届满后获取采购文件的，以公告期限届满之日为准）起7个工作日内，以书面形式向采购人和采购代理机构提出质疑。对未按上述方式获取招标文件的供应商对该文件提出的质疑，采购人或采购代理机构将不予处理。</w:t>
      </w:r>
    </w:p>
    <w:p>
      <w:pPr>
        <w:snapToGrid w:val="0"/>
        <w:spacing w:line="440" w:lineRule="exact"/>
        <w:ind w:firstLine="480" w:firstLineChars="200"/>
        <w:jc w:val="left"/>
        <w:rPr>
          <w:rFonts w:hint="eastAsia" w:ascii="宋体" w:hAnsi="宋体" w:cs="Arial"/>
          <w:kern w:val="0"/>
          <w:sz w:val="24"/>
          <w:szCs w:val="20"/>
        </w:rPr>
      </w:pPr>
      <w:r>
        <w:rPr>
          <w:rFonts w:hint="eastAsia" w:ascii="宋体" w:hAnsi="宋体" w:cs="Arial"/>
          <w:kern w:val="0"/>
          <w:sz w:val="24"/>
          <w:szCs w:val="20"/>
        </w:rPr>
        <w:t>（4）更正补充公告请自行登录浙江政府采购网查看。</w:t>
      </w:r>
    </w:p>
    <w:p>
      <w:pPr>
        <w:snapToGrid w:val="0"/>
        <w:spacing w:line="440" w:lineRule="exact"/>
        <w:ind w:firstLine="482" w:firstLineChars="200"/>
        <w:jc w:val="left"/>
        <w:rPr>
          <w:rFonts w:hint="eastAsia" w:ascii="宋体" w:hAnsi="宋体"/>
          <w:sz w:val="24"/>
        </w:rPr>
      </w:pPr>
      <w:r>
        <w:rPr>
          <w:rFonts w:hint="eastAsia" w:ascii="宋体" w:hAnsi="宋体" w:cs="Arial"/>
          <w:b/>
          <w:bCs/>
          <w:sz w:val="24"/>
        </w:rPr>
        <w:t>六、投标截止时间及地点</w:t>
      </w:r>
      <w:r>
        <w:rPr>
          <w:rFonts w:hint="eastAsia" w:ascii="宋体" w:hAnsi="宋体" w:cs="Arial"/>
          <w:sz w:val="24"/>
        </w:rPr>
        <w:t>：</w:t>
      </w:r>
      <w:r>
        <w:rPr>
          <w:rFonts w:hint="eastAsia" w:ascii="宋体" w:hAnsi="宋体"/>
          <w:sz w:val="24"/>
        </w:rPr>
        <w:t>供应商应于2020年  月  日9:30时整以前将投标响应文件密封送交到</w:t>
      </w:r>
      <w:r>
        <w:rPr>
          <w:rFonts w:hint="eastAsia" w:ascii="宋体" w:hAnsi="宋体" w:cs="Arial"/>
          <w:bCs/>
          <w:sz w:val="24"/>
        </w:rPr>
        <w:t>绍兴市越城区二环北路88号5联印象城2楼2F-202-B（位于二楼东南角）</w:t>
      </w:r>
      <w:r>
        <w:rPr>
          <w:rFonts w:hint="eastAsia" w:ascii="宋体" w:hAnsi="宋体" w:cs="Arial"/>
          <w:sz w:val="24"/>
        </w:rPr>
        <w:t>绍兴市嘉华项目管理有限公司</w:t>
      </w:r>
      <w:r>
        <w:rPr>
          <w:rFonts w:hint="eastAsia" w:ascii="宋体" w:hAnsi="宋体"/>
          <w:sz w:val="24"/>
        </w:rPr>
        <w:t>，逾期送达作无效投标处理。</w:t>
      </w:r>
    </w:p>
    <w:p>
      <w:pPr>
        <w:spacing w:line="440" w:lineRule="exact"/>
        <w:ind w:firstLine="482" w:firstLineChars="200"/>
        <w:rPr>
          <w:rFonts w:hint="eastAsia" w:ascii="宋体" w:hAnsi="宋体" w:cs="Arial"/>
          <w:sz w:val="24"/>
        </w:rPr>
      </w:pPr>
      <w:r>
        <w:rPr>
          <w:rFonts w:hint="eastAsia" w:ascii="宋体" w:hAnsi="宋体" w:cs="Arial"/>
          <w:b/>
          <w:bCs/>
          <w:sz w:val="24"/>
        </w:rPr>
        <w:t>七、开标时间及地点</w:t>
      </w:r>
      <w:r>
        <w:rPr>
          <w:rFonts w:hint="eastAsia" w:ascii="宋体" w:hAnsi="宋体" w:cs="Arial"/>
          <w:sz w:val="24"/>
        </w:rPr>
        <w:t>：</w:t>
      </w:r>
      <w:r>
        <w:rPr>
          <w:rFonts w:hint="eastAsia" w:ascii="宋体" w:hAnsi="宋体"/>
          <w:sz w:val="24"/>
        </w:rPr>
        <w:t>2020年  月  日9:30时</w:t>
      </w:r>
      <w:r>
        <w:rPr>
          <w:rFonts w:hint="eastAsia" w:ascii="宋体" w:hAnsi="宋体" w:cs="Arial"/>
          <w:sz w:val="24"/>
        </w:rPr>
        <w:t>整在</w:t>
      </w:r>
      <w:r>
        <w:rPr>
          <w:rFonts w:hint="eastAsia" w:ascii="宋体" w:hAnsi="宋体" w:cs="Arial"/>
          <w:bCs/>
          <w:sz w:val="24"/>
        </w:rPr>
        <w:t>绍兴市越城区二环北路88号5联印象城2楼2F-202-B（位于二楼东南角）</w:t>
      </w:r>
      <w:r>
        <w:rPr>
          <w:rFonts w:hint="eastAsia" w:ascii="宋体" w:hAnsi="宋体" w:cs="Arial"/>
          <w:sz w:val="24"/>
        </w:rPr>
        <w:t>绍兴市嘉华项目管理有限公司开标,法定代表人或其授权委托人需出席开标会议。</w:t>
      </w:r>
    </w:p>
    <w:p>
      <w:pPr>
        <w:spacing w:line="440" w:lineRule="exact"/>
        <w:ind w:firstLine="482" w:firstLineChars="200"/>
        <w:rPr>
          <w:rFonts w:hint="eastAsia" w:ascii="宋体" w:hAnsi="宋体" w:cs="Arial"/>
          <w:b/>
          <w:sz w:val="24"/>
        </w:rPr>
      </w:pPr>
      <w:r>
        <w:rPr>
          <w:rFonts w:hint="eastAsia" w:ascii="宋体" w:hAnsi="宋体" w:cs="Arial"/>
          <w:b/>
          <w:bCs/>
          <w:sz w:val="24"/>
        </w:rPr>
        <w:t>八、</w:t>
      </w:r>
      <w:r>
        <w:rPr>
          <w:rFonts w:hint="eastAsia" w:ascii="宋体" w:hAnsi="宋体" w:cs="Arial"/>
          <w:b/>
          <w:sz w:val="24"/>
        </w:rPr>
        <w:t>招标公告发布：</w:t>
      </w:r>
      <w:r>
        <w:rPr>
          <w:rFonts w:hint="eastAsia" w:ascii="宋体" w:hAnsi="宋体"/>
          <w:sz w:val="24"/>
        </w:rPr>
        <w:fldChar w:fldCharType="begin"/>
      </w:r>
      <w:r>
        <w:rPr>
          <w:rFonts w:hint="eastAsia" w:ascii="宋体" w:hAnsi="宋体"/>
          <w:sz w:val="24"/>
        </w:rPr>
        <w:instrText xml:space="preserve"> HYPERLINK "http://www.zjzfcg.gov.cn" </w:instrText>
      </w:r>
      <w:r>
        <w:rPr>
          <w:rFonts w:hint="eastAsia" w:ascii="宋体" w:hAnsi="宋体"/>
          <w:sz w:val="24"/>
        </w:rPr>
        <w:fldChar w:fldCharType="separate"/>
      </w:r>
      <w:r>
        <w:rPr>
          <w:rStyle w:val="55"/>
          <w:rFonts w:hint="eastAsia" w:ascii="宋体" w:hAnsi="宋体"/>
          <w:color w:val="auto"/>
          <w:sz w:val="24"/>
          <w:u w:val="none"/>
        </w:rPr>
        <w:t>http://www.zjzfcg.gov.cn</w:t>
      </w:r>
      <w:r>
        <w:rPr>
          <w:rFonts w:hint="eastAsia" w:ascii="宋体" w:hAnsi="宋体"/>
          <w:sz w:val="24"/>
        </w:rPr>
        <w:fldChar w:fldCharType="end"/>
      </w:r>
    </w:p>
    <w:p>
      <w:pPr>
        <w:spacing w:line="440" w:lineRule="exact"/>
        <w:ind w:firstLine="482" w:firstLineChars="200"/>
        <w:rPr>
          <w:rFonts w:hint="eastAsia" w:ascii="宋体" w:hAnsi="宋体"/>
          <w:b/>
          <w:sz w:val="24"/>
        </w:rPr>
      </w:pPr>
      <w:r>
        <w:rPr>
          <w:rFonts w:hint="eastAsia" w:ascii="宋体" w:hAnsi="宋体"/>
          <w:b/>
          <w:sz w:val="24"/>
        </w:rPr>
        <w:t>九、质疑和投诉：</w:t>
      </w:r>
    </w:p>
    <w:p>
      <w:pPr>
        <w:spacing w:line="440" w:lineRule="exact"/>
        <w:ind w:firstLine="480" w:firstLineChars="200"/>
        <w:rPr>
          <w:rFonts w:hint="eastAsia" w:ascii="宋体" w:hAnsi="宋体"/>
          <w:sz w:val="24"/>
        </w:rPr>
      </w:pPr>
      <w:r>
        <w:rPr>
          <w:rFonts w:hint="eastAsia" w:ascii="宋体" w:hAnsi="宋体"/>
          <w:sz w:val="24"/>
        </w:rPr>
        <w:t>供应商认为招标文件、采购过程和中标、成交结果使自己的权益受到损害的，可以在知道或者应知其权益受到损害之日起七个工作日内，以书面形式向采购人或采购代理机构提出质疑。供应商对采购人或采购代理机构的质疑答复不满意或者采购人或采购代理机构未在规定时间内作出答复的，可以在答复期满后十五个工作日内向同级政府采购监督管理部门投诉。</w:t>
      </w:r>
    </w:p>
    <w:p>
      <w:pPr>
        <w:spacing w:line="440" w:lineRule="exact"/>
        <w:ind w:firstLine="472" w:firstLineChars="196"/>
        <w:rPr>
          <w:rFonts w:hint="eastAsia" w:ascii="宋体" w:hAnsi="宋体"/>
          <w:b/>
          <w:sz w:val="24"/>
        </w:rPr>
      </w:pPr>
      <w:r>
        <w:rPr>
          <w:rFonts w:hint="eastAsia" w:ascii="宋体" w:hAnsi="宋体"/>
          <w:b/>
          <w:sz w:val="24"/>
        </w:rPr>
        <w:t>十、联系方式：</w:t>
      </w:r>
    </w:p>
    <w:p>
      <w:pPr>
        <w:spacing w:line="440" w:lineRule="exact"/>
        <w:ind w:firstLine="470" w:firstLineChars="196"/>
        <w:rPr>
          <w:rFonts w:hint="eastAsia" w:ascii="宋体" w:hAnsi="宋体"/>
          <w:sz w:val="24"/>
        </w:rPr>
      </w:pPr>
      <w:r>
        <w:rPr>
          <w:rFonts w:hint="eastAsia" w:ascii="宋体" w:hAnsi="宋体"/>
          <w:sz w:val="24"/>
        </w:rPr>
        <w:t>1、采购人：绍兴市妇幼保健院，姚新琴，85081491</w:t>
      </w:r>
    </w:p>
    <w:p>
      <w:pPr>
        <w:spacing w:line="440" w:lineRule="exact"/>
        <w:ind w:firstLine="470" w:firstLineChars="196"/>
        <w:rPr>
          <w:rFonts w:hint="eastAsia" w:ascii="宋体" w:hAnsi="宋体"/>
          <w:color w:val="000000"/>
          <w:sz w:val="24"/>
        </w:rPr>
      </w:pPr>
      <w:r>
        <w:rPr>
          <w:rFonts w:hint="eastAsia" w:ascii="宋体" w:hAnsi="宋体"/>
          <w:sz w:val="24"/>
        </w:rPr>
        <w:t>2、</w:t>
      </w:r>
      <w:r>
        <w:rPr>
          <w:rFonts w:hint="eastAsia" w:ascii="宋体" w:hAnsi="宋体"/>
          <w:sz w:val="24"/>
        </w:rPr>
        <w:tab/>
      </w:r>
      <w:r>
        <w:rPr>
          <w:rFonts w:hint="eastAsia" w:ascii="宋体" w:hAnsi="宋体"/>
          <w:sz w:val="24"/>
        </w:rPr>
        <w:t>采购代理机构：绍兴市嘉华项目管理有限公司，许静丽，15068509660</w:t>
      </w:r>
    </w:p>
    <w:p>
      <w:pPr>
        <w:spacing w:line="440" w:lineRule="exact"/>
        <w:jc w:val="right"/>
        <w:rPr>
          <w:rFonts w:hint="eastAsia" w:ascii="宋体" w:hAnsi="宋体"/>
          <w:sz w:val="24"/>
        </w:rPr>
      </w:pPr>
      <w:r>
        <w:rPr>
          <w:rFonts w:hint="eastAsia" w:ascii="宋体" w:hAnsi="宋体"/>
          <w:color w:val="000000"/>
        </w:rPr>
        <w:t xml:space="preserve">                                    　　　　　　　</w:t>
      </w:r>
      <w:r>
        <w:rPr>
          <w:rFonts w:hint="eastAsia" w:ascii="宋体" w:hAnsi="宋体"/>
          <w:sz w:val="24"/>
        </w:rPr>
        <w:t>绍兴市妇幼保健院</w:t>
      </w:r>
    </w:p>
    <w:p>
      <w:pPr>
        <w:spacing w:line="440" w:lineRule="exact"/>
        <w:jc w:val="right"/>
        <w:rPr>
          <w:rFonts w:hint="eastAsia" w:ascii="宋体" w:hAnsi="宋体"/>
          <w:color w:val="000000"/>
          <w:sz w:val="24"/>
        </w:rPr>
      </w:pPr>
      <w:r>
        <w:rPr>
          <w:rFonts w:hint="eastAsia" w:ascii="宋体" w:hAnsi="宋体"/>
          <w:color w:val="000000"/>
          <w:sz w:val="24"/>
        </w:rPr>
        <w:t>绍兴市嘉华项目管理有限公司</w:t>
      </w:r>
    </w:p>
    <w:p>
      <w:pPr>
        <w:wordWrap w:val="0"/>
        <w:spacing w:line="440" w:lineRule="exact"/>
        <w:ind w:right="-78" w:rightChars="-37" w:firstLine="120" w:firstLineChars="50"/>
        <w:jc w:val="right"/>
        <w:rPr>
          <w:rFonts w:hint="eastAsia" w:ascii="宋体" w:hAnsi="宋体"/>
        </w:rPr>
      </w:pPr>
      <w:r>
        <w:rPr>
          <w:rFonts w:hint="eastAsia" w:ascii="宋体" w:hAnsi="宋体"/>
          <w:sz w:val="24"/>
        </w:rPr>
        <w:t xml:space="preserve">                                 　　　　　　　    2020年  月  日</w:t>
      </w:r>
    </w:p>
    <w:p>
      <w:pPr>
        <w:ind w:left="238"/>
        <w:jc w:val="center"/>
        <w:rPr>
          <w:rFonts w:hint="eastAsia" w:ascii="宋体" w:hAnsi="宋体"/>
          <w:b/>
          <w:color w:val="000000"/>
          <w:sz w:val="36"/>
          <w:szCs w:val="36"/>
        </w:rPr>
      </w:pPr>
    </w:p>
    <w:p>
      <w:pPr>
        <w:ind w:left="238"/>
        <w:jc w:val="center"/>
        <w:rPr>
          <w:rFonts w:hint="eastAsia" w:ascii="宋体" w:hAnsi="宋体"/>
          <w:b/>
          <w:color w:val="000000"/>
          <w:sz w:val="36"/>
          <w:szCs w:val="36"/>
        </w:rPr>
      </w:pPr>
    </w:p>
    <w:p>
      <w:pPr>
        <w:ind w:left="238"/>
        <w:jc w:val="center"/>
        <w:rPr>
          <w:rFonts w:hint="eastAsia" w:ascii="宋体" w:hAnsi="宋体"/>
          <w:b/>
          <w:color w:val="000000"/>
          <w:sz w:val="36"/>
          <w:szCs w:val="36"/>
        </w:rPr>
      </w:pPr>
      <w:r>
        <w:rPr>
          <w:rFonts w:hint="eastAsia" w:ascii="宋体" w:hAnsi="宋体"/>
          <w:b/>
          <w:color w:val="000000"/>
          <w:sz w:val="36"/>
          <w:szCs w:val="36"/>
        </w:rPr>
        <w:t>第二部分 投标须知</w:t>
      </w:r>
    </w:p>
    <w:p>
      <w:pPr>
        <w:ind w:left="238"/>
        <w:jc w:val="center"/>
        <w:rPr>
          <w:rFonts w:hint="eastAsia" w:ascii="宋体" w:hAnsi="宋体"/>
          <w:b/>
          <w:color w:val="000000"/>
          <w:sz w:val="30"/>
          <w:szCs w:val="36"/>
        </w:rPr>
      </w:pPr>
      <w:r>
        <w:rPr>
          <w:rFonts w:hint="eastAsia" w:ascii="宋体" w:hAnsi="宋体"/>
          <w:b/>
          <w:color w:val="000000"/>
          <w:sz w:val="30"/>
          <w:szCs w:val="36"/>
        </w:rPr>
        <w:t>前附表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7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1153" w:type="dxa"/>
            <w:noWrap w:val="0"/>
            <w:vAlign w:val="center"/>
          </w:tcPr>
          <w:p>
            <w:pPr>
              <w:spacing w:before="156" w:beforeLines="50" w:after="93" w:afterLines="30" w:line="300" w:lineRule="exact"/>
              <w:jc w:val="center"/>
              <w:rPr>
                <w:rFonts w:hint="eastAsia" w:ascii="宋体" w:hAnsi="宋体"/>
                <w:color w:val="000000"/>
                <w:sz w:val="24"/>
              </w:rPr>
            </w:pPr>
            <w:r>
              <w:rPr>
                <w:rFonts w:hint="eastAsia" w:ascii="宋体" w:hAnsi="宋体"/>
                <w:color w:val="000000"/>
                <w:sz w:val="24"/>
              </w:rPr>
              <w:t>序号</w:t>
            </w:r>
          </w:p>
        </w:tc>
        <w:tc>
          <w:tcPr>
            <w:tcW w:w="7805" w:type="dxa"/>
            <w:noWrap w:val="0"/>
            <w:vAlign w:val="center"/>
          </w:tcPr>
          <w:p>
            <w:pPr>
              <w:spacing w:before="156" w:beforeLines="50" w:after="93" w:afterLines="30" w:line="300" w:lineRule="exact"/>
              <w:jc w:val="center"/>
              <w:rPr>
                <w:rFonts w:hint="eastAsia" w:ascii="宋体" w:hAnsi="宋体"/>
                <w:color w:val="000000"/>
                <w:sz w:val="24"/>
              </w:rPr>
            </w:pPr>
            <w:r>
              <w:rPr>
                <w:rFonts w:hint="eastAsia" w:ascii="宋体" w:hAnsi="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5" w:hRule="atLeast"/>
        </w:trPr>
        <w:tc>
          <w:tcPr>
            <w:tcW w:w="1153" w:type="dxa"/>
            <w:noWrap w:val="0"/>
            <w:vAlign w:val="center"/>
          </w:tcPr>
          <w:p>
            <w:pPr>
              <w:spacing w:line="340" w:lineRule="exact"/>
              <w:jc w:val="center"/>
              <w:rPr>
                <w:rFonts w:hint="eastAsia" w:ascii="宋体" w:hAnsi="宋体"/>
                <w:color w:val="000000"/>
                <w:sz w:val="24"/>
              </w:rPr>
            </w:pPr>
            <w:r>
              <w:rPr>
                <w:rFonts w:hint="eastAsia" w:ascii="宋体" w:hAnsi="宋体"/>
                <w:color w:val="000000"/>
                <w:sz w:val="24"/>
              </w:rPr>
              <w:t>1</w:t>
            </w:r>
          </w:p>
        </w:tc>
        <w:tc>
          <w:tcPr>
            <w:tcW w:w="7805" w:type="dxa"/>
            <w:noWrap w:val="0"/>
            <w:vAlign w:val="center"/>
          </w:tcPr>
          <w:p>
            <w:pPr>
              <w:spacing w:line="340" w:lineRule="exact"/>
              <w:rPr>
                <w:rFonts w:hint="eastAsia" w:ascii="宋体" w:hAnsi="宋体"/>
                <w:sz w:val="24"/>
                <w:u w:val="single"/>
              </w:rPr>
            </w:pPr>
            <w:r>
              <w:rPr>
                <w:rFonts w:hint="eastAsia" w:ascii="宋体" w:hAnsi="宋体"/>
                <w:b/>
                <w:color w:val="000000"/>
                <w:sz w:val="24"/>
              </w:rPr>
              <w:t>项目名称</w:t>
            </w:r>
            <w:r>
              <w:rPr>
                <w:rFonts w:hint="eastAsia" w:ascii="宋体" w:hAnsi="宋体"/>
                <w:color w:val="000000"/>
                <w:sz w:val="24"/>
              </w:rPr>
              <w:t>：</w:t>
            </w:r>
            <w:r>
              <w:rPr>
                <w:rFonts w:hint="eastAsia" w:ascii="宋体" w:hAnsi="宋体" w:cs="Arial"/>
                <w:sz w:val="24"/>
              </w:rPr>
              <w:t>绍兴市妇幼保健院医疗服务一卡通系统改造项目</w:t>
            </w:r>
          </w:p>
          <w:p>
            <w:pPr>
              <w:spacing w:line="340" w:lineRule="exact"/>
              <w:rPr>
                <w:rFonts w:hint="eastAsia" w:ascii="宋体" w:hAnsi="宋体"/>
                <w:sz w:val="24"/>
                <w:u w:val="single"/>
              </w:rPr>
            </w:pPr>
            <w:r>
              <w:rPr>
                <w:rFonts w:hint="eastAsia" w:ascii="宋体" w:hAnsi="宋体"/>
                <w:b/>
                <w:sz w:val="24"/>
              </w:rPr>
              <w:t>项目的实施规模、范围：</w:t>
            </w:r>
            <w:r>
              <w:rPr>
                <w:rFonts w:hint="eastAsia" w:ascii="宋体" w:hAnsi="宋体"/>
                <w:sz w:val="24"/>
              </w:rPr>
              <w:t>进行</w:t>
            </w:r>
            <w:r>
              <w:rPr>
                <w:rFonts w:hint="eastAsia" w:ascii="宋体" w:hAnsi="宋体" w:cs="Arial"/>
                <w:sz w:val="24"/>
              </w:rPr>
              <w:t>绍兴市妇幼保健院医疗服务一卡通系统改造项目</w:t>
            </w:r>
            <w:r>
              <w:rPr>
                <w:rFonts w:hint="eastAsia" w:ascii="宋体" w:hAnsi="宋体"/>
                <w:color w:val="000000"/>
                <w:sz w:val="24"/>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6" w:hRule="atLeast"/>
        </w:trPr>
        <w:tc>
          <w:tcPr>
            <w:tcW w:w="1153" w:type="dxa"/>
            <w:noWrap w:val="0"/>
            <w:vAlign w:val="center"/>
          </w:tcPr>
          <w:p>
            <w:pPr>
              <w:spacing w:line="340" w:lineRule="exact"/>
              <w:jc w:val="center"/>
              <w:rPr>
                <w:rFonts w:hint="eastAsia" w:ascii="宋体" w:hAnsi="宋体"/>
                <w:color w:val="000000"/>
                <w:sz w:val="24"/>
              </w:rPr>
            </w:pPr>
            <w:r>
              <w:rPr>
                <w:rFonts w:hint="eastAsia" w:ascii="宋体" w:hAnsi="宋体"/>
                <w:color w:val="000000"/>
                <w:sz w:val="24"/>
              </w:rPr>
              <w:t>2</w:t>
            </w:r>
          </w:p>
        </w:tc>
        <w:tc>
          <w:tcPr>
            <w:tcW w:w="7805" w:type="dxa"/>
            <w:noWrap w:val="0"/>
            <w:vAlign w:val="center"/>
          </w:tcPr>
          <w:p>
            <w:pPr>
              <w:autoSpaceDE w:val="0"/>
              <w:autoSpaceDN w:val="0"/>
              <w:spacing w:line="340" w:lineRule="exact"/>
              <w:textAlignment w:val="bottom"/>
              <w:rPr>
                <w:rFonts w:hint="eastAsia" w:ascii="宋体" w:hAnsi="宋体"/>
                <w:color w:val="000000"/>
                <w:sz w:val="24"/>
              </w:rPr>
            </w:pPr>
            <w:r>
              <w:rPr>
                <w:rFonts w:hint="eastAsia" w:ascii="宋体" w:hAnsi="宋体"/>
                <w:b/>
                <w:color w:val="000000"/>
                <w:sz w:val="24"/>
              </w:rPr>
              <w:t>投标有效期：</w:t>
            </w:r>
            <w:r>
              <w:rPr>
                <w:rFonts w:hint="eastAsia" w:ascii="宋体" w:hAnsi="宋体"/>
                <w:color w:val="000000"/>
                <w:sz w:val="24"/>
              </w:rPr>
              <w:t>自投标截止日起45天。如采购人认为必要，可延长至总计最长不超过60天。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trPr>
        <w:tc>
          <w:tcPr>
            <w:tcW w:w="1153" w:type="dxa"/>
            <w:noWrap w:val="0"/>
            <w:vAlign w:val="center"/>
          </w:tcPr>
          <w:p>
            <w:pPr>
              <w:spacing w:line="340" w:lineRule="exact"/>
              <w:jc w:val="center"/>
              <w:rPr>
                <w:rFonts w:hint="eastAsia" w:ascii="宋体" w:hAnsi="宋体"/>
                <w:color w:val="000000"/>
                <w:sz w:val="24"/>
              </w:rPr>
            </w:pPr>
            <w:r>
              <w:rPr>
                <w:rFonts w:hint="eastAsia" w:ascii="宋体" w:hAnsi="宋体"/>
                <w:color w:val="000000"/>
                <w:sz w:val="24"/>
              </w:rPr>
              <w:t>3</w:t>
            </w:r>
          </w:p>
        </w:tc>
        <w:tc>
          <w:tcPr>
            <w:tcW w:w="7805" w:type="dxa"/>
            <w:noWrap w:val="0"/>
            <w:vAlign w:val="center"/>
          </w:tcPr>
          <w:p>
            <w:pPr>
              <w:spacing w:line="340" w:lineRule="exact"/>
              <w:rPr>
                <w:rFonts w:hint="eastAsia" w:ascii="宋体" w:hAnsi="宋体"/>
                <w:color w:val="000000"/>
                <w:sz w:val="24"/>
              </w:rPr>
            </w:pPr>
            <w:r>
              <w:rPr>
                <w:rFonts w:hint="eastAsia" w:ascii="宋体" w:hAnsi="宋体"/>
                <w:b/>
                <w:color w:val="000000"/>
                <w:sz w:val="24"/>
              </w:rPr>
              <w:t>投标响应文件份数：</w:t>
            </w:r>
            <w:r>
              <w:rPr>
                <w:rFonts w:hint="eastAsia" w:ascii="宋体" w:hAnsi="宋体"/>
                <w:color w:val="000000"/>
                <w:sz w:val="24"/>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5" w:hRule="atLeast"/>
        </w:trPr>
        <w:tc>
          <w:tcPr>
            <w:tcW w:w="1153" w:type="dxa"/>
            <w:noWrap w:val="0"/>
            <w:vAlign w:val="center"/>
          </w:tcPr>
          <w:p>
            <w:pPr>
              <w:spacing w:line="340" w:lineRule="exact"/>
              <w:jc w:val="center"/>
              <w:rPr>
                <w:rFonts w:hint="eastAsia" w:ascii="宋体" w:hAnsi="宋体"/>
                <w:color w:val="000000"/>
                <w:sz w:val="24"/>
              </w:rPr>
            </w:pPr>
            <w:r>
              <w:rPr>
                <w:rFonts w:hint="eastAsia" w:ascii="宋体" w:hAnsi="宋体"/>
                <w:color w:val="000000"/>
                <w:sz w:val="24"/>
              </w:rPr>
              <w:t>4</w:t>
            </w:r>
          </w:p>
        </w:tc>
        <w:tc>
          <w:tcPr>
            <w:tcW w:w="7805" w:type="dxa"/>
            <w:noWrap w:val="0"/>
            <w:vAlign w:val="center"/>
          </w:tcPr>
          <w:p>
            <w:pPr>
              <w:autoSpaceDE w:val="0"/>
              <w:autoSpaceDN w:val="0"/>
              <w:spacing w:line="340" w:lineRule="exact"/>
              <w:textAlignment w:val="bottom"/>
              <w:rPr>
                <w:rFonts w:hint="eastAsia" w:ascii="宋体" w:hAnsi="宋体"/>
                <w:color w:val="000000"/>
                <w:sz w:val="24"/>
              </w:rPr>
            </w:pPr>
            <w:r>
              <w:rPr>
                <w:rFonts w:hint="eastAsia" w:ascii="宋体" w:hAnsi="宋体"/>
                <w:b/>
                <w:color w:val="000000"/>
                <w:sz w:val="24"/>
              </w:rPr>
              <w:t>投标响应文件接收单位：</w:t>
            </w:r>
            <w:r>
              <w:rPr>
                <w:rFonts w:hint="eastAsia" w:ascii="宋体" w:hAnsi="宋体"/>
                <w:sz w:val="24"/>
              </w:rPr>
              <w:t>绍兴市嘉华项目管理有限公司。</w:t>
            </w:r>
          </w:p>
          <w:p>
            <w:pPr>
              <w:pStyle w:val="45"/>
              <w:autoSpaceDE w:val="0"/>
              <w:autoSpaceDN w:val="0"/>
              <w:spacing w:after="0" w:afterLines="0" w:line="340" w:lineRule="exact"/>
              <w:textAlignment w:val="bottom"/>
              <w:rPr>
                <w:rFonts w:hint="eastAsia" w:ascii="宋体" w:hAnsi="宋体"/>
                <w:b w:val="0"/>
                <w:bCs w:val="0"/>
                <w:color w:val="000000"/>
                <w:kern w:val="0"/>
                <w:lang w:val="en-US" w:eastAsia="zh-CN"/>
              </w:rPr>
            </w:pPr>
            <w:r>
              <w:rPr>
                <w:rFonts w:hint="eastAsia" w:ascii="宋体" w:hAnsi="宋体"/>
                <w:color w:val="000000"/>
                <w:kern w:val="0"/>
                <w:lang w:val="en-US" w:eastAsia="zh-CN"/>
              </w:rPr>
              <w:t>投标响应文件送达地址：</w:t>
            </w:r>
            <w:r>
              <w:rPr>
                <w:rFonts w:hint="eastAsia" w:ascii="宋体" w:hAnsi="宋体" w:cs="Arial"/>
                <w:b w:val="0"/>
                <w:bCs w:val="0"/>
                <w:kern w:val="0"/>
                <w:szCs w:val="20"/>
                <w:lang w:val="en-US" w:eastAsia="zh-CN"/>
              </w:rPr>
              <w:t>绍兴市越城区二环北路88号5联印象城2楼2F-202-B（</w:t>
            </w:r>
            <w:r>
              <w:rPr>
                <w:rFonts w:hint="eastAsia" w:ascii="宋体" w:hAnsi="宋体" w:cs="宋体"/>
                <w:b w:val="0"/>
                <w:bCs w:val="0"/>
                <w:kern w:val="0"/>
                <w:szCs w:val="20"/>
                <w:lang w:val="en-US" w:eastAsia="zh-CN"/>
              </w:rPr>
              <w:t>位于二楼东南角）</w:t>
            </w:r>
            <w:r>
              <w:rPr>
                <w:rFonts w:hint="eastAsia" w:ascii="宋体" w:hAnsi="宋体" w:cs="Arial"/>
                <w:b w:val="0"/>
                <w:bCs w:val="0"/>
                <w:kern w:val="0"/>
                <w:szCs w:val="20"/>
                <w:lang w:val="en-US" w:eastAsia="zh-CN"/>
              </w:rPr>
              <w:t>。</w:t>
            </w:r>
          </w:p>
          <w:p>
            <w:pPr>
              <w:autoSpaceDE w:val="0"/>
              <w:autoSpaceDN w:val="0"/>
              <w:spacing w:line="340" w:lineRule="exact"/>
              <w:textAlignment w:val="bottom"/>
              <w:rPr>
                <w:rFonts w:hint="eastAsia" w:ascii="宋体" w:hAnsi="宋体"/>
                <w:color w:val="000000"/>
                <w:sz w:val="24"/>
              </w:rPr>
            </w:pPr>
            <w:r>
              <w:rPr>
                <w:rFonts w:hint="eastAsia" w:ascii="宋体" w:hAnsi="宋体"/>
                <w:b/>
                <w:bCs/>
                <w:color w:val="000000"/>
                <w:sz w:val="24"/>
              </w:rPr>
              <w:t>商务文件资料、技术文件资料必须单独封装。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 w:hRule="atLeast"/>
        </w:trPr>
        <w:tc>
          <w:tcPr>
            <w:tcW w:w="1153" w:type="dxa"/>
            <w:noWrap w:val="0"/>
            <w:vAlign w:val="center"/>
          </w:tcPr>
          <w:p>
            <w:pPr>
              <w:spacing w:line="340" w:lineRule="exact"/>
              <w:jc w:val="center"/>
              <w:rPr>
                <w:rFonts w:hint="eastAsia" w:ascii="宋体" w:hAnsi="宋体"/>
                <w:color w:val="000000"/>
                <w:sz w:val="24"/>
              </w:rPr>
            </w:pPr>
            <w:r>
              <w:rPr>
                <w:rFonts w:hint="eastAsia" w:ascii="宋体" w:hAnsi="宋体"/>
                <w:color w:val="000000"/>
                <w:sz w:val="24"/>
              </w:rPr>
              <w:t>5</w:t>
            </w:r>
          </w:p>
        </w:tc>
        <w:tc>
          <w:tcPr>
            <w:tcW w:w="7805" w:type="dxa"/>
            <w:noWrap w:val="0"/>
            <w:vAlign w:val="center"/>
          </w:tcPr>
          <w:p>
            <w:pPr>
              <w:autoSpaceDE w:val="0"/>
              <w:autoSpaceDN w:val="0"/>
              <w:spacing w:line="340" w:lineRule="exact"/>
              <w:textAlignment w:val="bottom"/>
              <w:rPr>
                <w:rFonts w:hint="eastAsia" w:ascii="宋体" w:hAnsi="宋体"/>
                <w:b/>
                <w:color w:val="000000"/>
                <w:sz w:val="24"/>
              </w:rPr>
            </w:pPr>
            <w:r>
              <w:rPr>
                <w:rFonts w:hint="eastAsia" w:ascii="宋体" w:hAnsi="宋体"/>
                <w:b/>
                <w:color w:val="000000"/>
                <w:sz w:val="24"/>
              </w:rPr>
              <w:t>投标截止时间：</w:t>
            </w:r>
            <w:r>
              <w:rPr>
                <w:rFonts w:hint="eastAsia" w:ascii="宋体" w:hAnsi="宋体"/>
                <w:sz w:val="24"/>
              </w:rPr>
              <w:t>2020年  月  日9:30时整。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9" w:hRule="atLeast"/>
        </w:trPr>
        <w:tc>
          <w:tcPr>
            <w:tcW w:w="1153" w:type="dxa"/>
            <w:noWrap w:val="0"/>
            <w:vAlign w:val="center"/>
          </w:tcPr>
          <w:p>
            <w:pPr>
              <w:spacing w:line="340" w:lineRule="exact"/>
              <w:jc w:val="center"/>
              <w:rPr>
                <w:rFonts w:hint="eastAsia" w:ascii="宋体" w:hAnsi="宋体"/>
                <w:color w:val="000000"/>
                <w:sz w:val="24"/>
              </w:rPr>
            </w:pPr>
            <w:r>
              <w:rPr>
                <w:rFonts w:hint="eastAsia" w:ascii="宋体" w:hAnsi="宋体"/>
                <w:color w:val="000000"/>
                <w:sz w:val="24"/>
              </w:rPr>
              <w:t>6</w:t>
            </w:r>
          </w:p>
        </w:tc>
        <w:tc>
          <w:tcPr>
            <w:tcW w:w="7805" w:type="dxa"/>
            <w:noWrap w:val="0"/>
            <w:vAlign w:val="center"/>
          </w:tcPr>
          <w:p>
            <w:pPr>
              <w:spacing w:line="340" w:lineRule="exact"/>
              <w:rPr>
                <w:rFonts w:hint="eastAsia" w:ascii="宋体" w:hAnsi="宋体"/>
                <w:sz w:val="24"/>
              </w:rPr>
            </w:pPr>
            <w:r>
              <w:rPr>
                <w:rFonts w:hint="eastAsia" w:ascii="宋体" w:hAnsi="宋体"/>
                <w:b/>
                <w:color w:val="000000"/>
                <w:sz w:val="24"/>
              </w:rPr>
              <w:t>开标时间：</w:t>
            </w:r>
            <w:r>
              <w:rPr>
                <w:rFonts w:hint="eastAsia" w:ascii="宋体" w:hAnsi="宋体"/>
                <w:sz w:val="24"/>
              </w:rPr>
              <w:t>2020年  月  日9:30时整。</w:t>
            </w:r>
          </w:p>
          <w:p>
            <w:pPr>
              <w:spacing w:line="340" w:lineRule="exact"/>
              <w:rPr>
                <w:rFonts w:hint="eastAsia" w:ascii="宋体" w:hAnsi="宋体"/>
                <w:b/>
                <w:color w:val="000000"/>
                <w:sz w:val="24"/>
              </w:rPr>
            </w:pPr>
            <w:r>
              <w:rPr>
                <w:rFonts w:hint="eastAsia" w:ascii="宋体" w:hAnsi="宋体"/>
                <w:b/>
                <w:sz w:val="24"/>
              </w:rPr>
              <w:t>开标地点：</w:t>
            </w:r>
            <w:r>
              <w:rPr>
                <w:rFonts w:hint="eastAsia" w:ascii="宋体" w:hAnsi="宋体" w:cs="Arial"/>
                <w:bCs/>
                <w:sz w:val="24"/>
              </w:rPr>
              <w:t>绍兴市越城区二环北路88号5联印象城2楼2F-202-B</w:t>
            </w:r>
            <w:r>
              <w:rPr>
                <w:rFonts w:hint="eastAsia" w:ascii="宋体" w:hAnsi="宋体" w:cs="Arial"/>
              </w:rPr>
              <w:t>（</w:t>
            </w:r>
            <w:r>
              <w:rPr>
                <w:rFonts w:hint="eastAsia" w:ascii="宋体" w:hAnsi="宋体" w:cs="宋体"/>
                <w:sz w:val="24"/>
              </w:rPr>
              <w:t>位于二楼东南角）</w:t>
            </w:r>
            <w:r>
              <w:rPr>
                <w:rFonts w:hint="eastAsia" w:ascii="宋体" w:hAnsi="宋体"/>
                <w:sz w:val="24"/>
              </w:rPr>
              <w:t>绍兴市嘉华项目管理有限公司。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2" w:hRule="atLeast"/>
        </w:trPr>
        <w:tc>
          <w:tcPr>
            <w:tcW w:w="1153" w:type="dxa"/>
            <w:noWrap w:val="0"/>
            <w:vAlign w:val="center"/>
          </w:tcPr>
          <w:p>
            <w:pPr>
              <w:spacing w:line="340" w:lineRule="exact"/>
              <w:jc w:val="center"/>
              <w:rPr>
                <w:rFonts w:hint="eastAsia" w:ascii="宋体" w:hAnsi="宋体"/>
                <w:color w:val="000000"/>
                <w:sz w:val="24"/>
              </w:rPr>
            </w:pPr>
            <w:r>
              <w:rPr>
                <w:rFonts w:hint="eastAsia" w:ascii="宋体" w:hAnsi="宋体"/>
                <w:color w:val="000000"/>
                <w:sz w:val="24"/>
              </w:rPr>
              <w:t>7</w:t>
            </w:r>
          </w:p>
        </w:tc>
        <w:tc>
          <w:tcPr>
            <w:tcW w:w="7805" w:type="dxa"/>
            <w:noWrap w:val="0"/>
            <w:vAlign w:val="center"/>
          </w:tcPr>
          <w:p>
            <w:pPr>
              <w:spacing w:line="340" w:lineRule="exact"/>
              <w:rPr>
                <w:rFonts w:hint="eastAsia" w:ascii="宋体" w:hAnsi="宋体"/>
                <w:color w:val="000000"/>
                <w:sz w:val="24"/>
              </w:rPr>
            </w:pPr>
            <w:r>
              <w:rPr>
                <w:rFonts w:hint="eastAsia" w:ascii="宋体" w:hAnsi="宋体"/>
                <w:b/>
                <w:sz w:val="24"/>
              </w:rPr>
              <w:t>现场踏勘：</w:t>
            </w:r>
            <w:r>
              <w:rPr>
                <w:rFonts w:hint="eastAsia" w:ascii="宋体" w:hAnsi="宋体"/>
                <w:sz w:val="24"/>
              </w:rPr>
              <w:t>本采购项目不组织统一现场踏勘，各供应商自行联系采购人进行现场踏勘。现场踏勘所发生的费用由供应商自行承担，踏勘过程中的安全责任供应商自负。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2" w:hRule="atLeast"/>
        </w:trPr>
        <w:tc>
          <w:tcPr>
            <w:tcW w:w="1153" w:type="dxa"/>
            <w:noWrap w:val="0"/>
            <w:vAlign w:val="center"/>
          </w:tcPr>
          <w:p>
            <w:pPr>
              <w:spacing w:line="340" w:lineRule="exact"/>
              <w:jc w:val="center"/>
              <w:rPr>
                <w:rFonts w:ascii="宋体" w:hAnsi="宋体"/>
                <w:b/>
                <w:bCs/>
                <w:color w:val="000000"/>
                <w:sz w:val="24"/>
              </w:rPr>
            </w:pPr>
            <w:r>
              <w:rPr>
                <w:rFonts w:hint="eastAsia" w:ascii="宋体" w:hAnsi="宋体"/>
                <w:color w:val="000000"/>
                <w:sz w:val="24"/>
              </w:rPr>
              <w:t>8</w:t>
            </w:r>
          </w:p>
        </w:tc>
        <w:tc>
          <w:tcPr>
            <w:tcW w:w="7805" w:type="dxa"/>
            <w:noWrap w:val="0"/>
            <w:vAlign w:val="center"/>
          </w:tcPr>
          <w:p>
            <w:pPr>
              <w:shd w:val="clear" w:color="auto" w:fill="FFFFFF"/>
              <w:spacing w:line="340" w:lineRule="exact"/>
              <w:rPr>
                <w:rFonts w:hint="eastAsia" w:ascii="宋体" w:hAnsi="宋体"/>
                <w:b/>
                <w:sz w:val="24"/>
              </w:rPr>
            </w:pPr>
            <w:r>
              <w:rPr>
                <w:rFonts w:hint="eastAsia" w:ascii="宋体" w:hAnsi="宋体"/>
                <w:b/>
                <w:sz w:val="24"/>
              </w:rPr>
              <w:t>中标单位需支付以下费用，并在投标报价中自行考虑：</w:t>
            </w:r>
          </w:p>
          <w:p>
            <w:pPr>
              <w:shd w:val="clear" w:color="auto" w:fill="FFFFFF"/>
              <w:spacing w:line="340" w:lineRule="exact"/>
              <w:ind w:firstLine="480" w:firstLineChars="200"/>
              <w:rPr>
                <w:rFonts w:hint="eastAsia" w:ascii="宋体" w:hAnsi="宋体"/>
                <w:sz w:val="24"/>
              </w:rPr>
            </w:pPr>
            <w:r>
              <w:rPr>
                <w:rFonts w:hint="eastAsia" w:ascii="宋体" w:hAnsi="宋体"/>
                <w:sz w:val="24"/>
              </w:rPr>
              <w:t>中标人须向采购代理机构按如下标准和规定交纳中标服务费：</w:t>
            </w:r>
          </w:p>
          <w:p>
            <w:pPr>
              <w:shd w:val="clear" w:color="auto" w:fill="FFFFFF"/>
              <w:spacing w:line="340" w:lineRule="exact"/>
              <w:ind w:firstLine="480" w:firstLineChars="200"/>
              <w:rPr>
                <w:rFonts w:hint="eastAsia" w:ascii="宋体" w:hAnsi="宋体"/>
                <w:sz w:val="24"/>
              </w:rPr>
            </w:pPr>
            <w:r>
              <w:rPr>
                <w:rFonts w:hint="eastAsia" w:ascii="宋体" w:hAnsi="宋体"/>
                <w:sz w:val="24"/>
              </w:rPr>
              <w:t>①以中标通知书中确定的中标金额作为服务费的计算基数，具体比例参照《国家计委关于印发&lt;招标代理服务费管理暂行办法&gt;的通知》（计价格[2002]1980号）文件收费标准执行；本项目代理服务费不足2000元的，按2000元计算</w:t>
            </w:r>
          </w:p>
          <w:p>
            <w:pPr>
              <w:shd w:val="clear" w:color="auto" w:fill="FFFFFF"/>
              <w:spacing w:line="340" w:lineRule="exact"/>
              <w:ind w:firstLine="480" w:firstLineChars="200"/>
              <w:rPr>
                <w:rFonts w:hint="eastAsia" w:ascii="宋体" w:hAnsi="宋体"/>
                <w:sz w:val="24"/>
              </w:rPr>
            </w:pPr>
            <w:r>
              <w:rPr>
                <w:rFonts w:hint="eastAsia" w:ascii="宋体" w:hAnsi="宋体"/>
                <w:sz w:val="24"/>
              </w:rPr>
              <w:t>②中标服务费的交纳方式：</w:t>
            </w:r>
          </w:p>
          <w:p>
            <w:pPr>
              <w:shd w:val="clear" w:color="auto" w:fill="FFFFFF"/>
              <w:spacing w:line="340" w:lineRule="exact"/>
              <w:ind w:firstLine="480" w:firstLineChars="200"/>
              <w:rPr>
                <w:rFonts w:hint="eastAsia" w:ascii="宋体" w:hAnsi="宋体"/>
                <w:sz w:val="24"/>
              </w:rPr>
            </w:pPr>
            <w:r>
              <w:rPr>
                <w:rFonts w:hint="eastAsia" w:ascii="宋体" w:hAnsi="宋体"/>
                <w:sz w:val="24"/>
              </w:rPr>
              <w:t>用银行支票、汇票、电汇、现金等付款方式直接交纳中标服务费。</w:t>
            </w:r>
          </w:p>
          <w:p>
            <w:pPr>
              <w:shd w:val="clear" w:color="auto" w:fill="FFFFFF"/>
              <w:spacing w:line="340" w:lineRule="exact"/>
              <w:ind w:firstLine="480" w:firstLineChars="200"/>
              <w:rPr>
                <w:rFonts w:hint="eastAsia" w:ascii="宋体" w:hAnsi="宋体"/>
                <w:sz w:val="24"/>
              </w:rPr>
            </w:pPr>
            <w:r>
              <w:rPr>
                <w:rFonts w:hint="eastAsia" w:ascii="宋体" w:hAnsi="宋体"/>
                <w:sz w:val="24"/>
              </w:rPr>
              <w:t>公司名称：</w:t>
            </w:r>
            <w:r>
              <w:rPr>
                <w:rFonts w:hint="eastAsia" w:ascii="宋体" w:hAnsi="宋体" w:cs="Arial"/>
                <w:sz w:val="24"/>
              </w:rPr>
              <w:t>绍兴市嘉华项目管理有限公司</w:t>
            </w:r>
          </w:p>
          <w:p>
            <w:pPr>
              <w:shd w:val="clear" w:color="auto" w:fill="FFFFFF"/>
              <w:spacing w:line="340" w:lineRule="exact"/>
              <w:ind w:firstLine="480" w:firstLineChars="200"/>
              <w:rPr>
                <w:rFonts w:hint="eastAsia" w:ascii="宋体" w:hAnsi="宋体"/>
                <w:sz w:val="24"/>
              </w:rPr>
            </w:pPr>
            <w:r>
              <w:rPr>
                <w:rFonts w:hint="eastAsia" w:ascii="宋体" w:hAnsi="宋体"/>
                <w:sz w:val="24"/>
              </w:rPr>
              <w:t>开户行：</w:t>
            </w:r>
            <w:r>
              <w:rPr>
                <w:rFonts w:hint="eastAsia" w:ascii="宋体" w:hAnsi="宋体" w:cs="宋体"/>
                <w:sz w:val="24"/>
              </w:rPr>
              <w:t>绍兴银行越城支行</w:t>
            </w:r>
          </w:p>
          <w:p>
            <w:pPr>
              <w:shd w:val="clear" w:color="auto" w:fill="FFFFFF"/>
              <w:spacing w:line="340" w:lineRule="exact"/>
              <w:ind w:firstLine="480" w:firstLineChars="200"/>
              <w:rPr>
                <w:rFonts w:hint="eastAsia" w:ascii="宋体" w:hAnsi="宋体"/>
                <w:sz w:val="24"/>
              </w:rPr>
            </w:pPr>
            <w:r>
              <w:rPr>
                <w:rFonts w:hint="eastAsia" w:ascii="宋体" w:hAnsi="宋体"/>
                <w:sz w:val="24"/>
              </w:rPr>
              <w:t>账  号：</w:t>
            </w:r>
            <w:r>
              <w:rPr>
                <w:rFonts w:hint="eastAsia" w:ascii="宋体" w:hAnsi="宋体" w:cs="宋体"/>
                <w:sz w:val="24"/>
              </w:rPr>
              <w:t>2003968202000011</w:t>
            </w:r>
          </w:p>
          <w:p>
            <w:pPr>
              <w:spacing w:line="340" w:lineRule="exact"/>
              <w:ind w:firstLine="480" w:firstLineChars="200"/>
              <w:rPr>
                <w:rFonts w:hint="eastAsia" w:ascii="宋体" w:hAnsi="宋体"/>
                <w:sz w:val="24"/>
              </w:rPr>
            </w:pPr>
            <w:r>
              <w:rPr>
                <w:rFonts w:hint="eastAsia" w:ascii="宋体" w:hAnsi="宋体"/>
                <w:sz w:val="24"/>
              </w:rPr>
              <w:t>③中标服务费的交纳时间：领取中标通知书前交纳。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2" w:hRule="atLeast"/>
        </w:trPr>
        <w:tc>
          <w:tcPr>
            <w:tcW w:w="1153" w:type="dxa"/>
            <w:noWrap w:val="0"/>
            <w:vAlign w:val="center"/>
          </w:tcPr>
          <w:p>
            <w:pPr>
              <w:spacing w:line="340" w:lineRule="exact"/>
              <w:jc w:val="center"/>
              <w:rPr>
                <w:rFonts w:ascii="宋体" w:hAnsi="宋体"/>
                <w:color w:val="000000"/>
                <w:sz w:val="24"/>
              </w:rPr>
            </w:pPr>
            <w:r>
              <w:rPr>
                <w:rFonts w:hint="eastAsia" w:ascii="宋体" w:hAnsi="宋体"/>
                <w:color w:val="000000"/>
                <w:sz w:val="24"/>
              </w:rPr>
              <w:t>9</w:t>
            </w:r>
          </w:p>
        </w:tc>
        <w:tc>
          <w:tcPr>
            <w:tcW w:w="7805" w:type="dxa"/>
            <w:noWrap w:val="0"/>
            <w:vAlign w:val="center"/>
          </w:tcPr>
          <w:p>
            <w:pPr>
              <w:spacing w:line="440" w:lineRule="exact"/>
              <w:rPr>
                <w:rFonts w:hint="eastAsia" w:ascii="宋体" w:hAnsi="宋体"/>
                <w:sz w:val="24"/>
              </w:rPr>
            </w:pPr>
            <w:r>
              <w:rPr>
                <w:rFonts w:hint="eastAsia" w:ascii="宋体" w:hAnsi="宋体" w:cs="Arial"/>
                <w:b/>
                <w:color w:val="000000"/>
                <w:sz w:val="24"/>
              </w:rPr>
              <w:t>联系方式：</w:t>
            </w:r>
            <w:r>
              <w:rPr>
                <w:rFonts w:hint="eastAsia" w:ascii="宋体" w:hAnsi="宋体"/>
                <w:sz w:val="24"/>
              </w:rPr>
              <w:t>绍兴市妇幼保健院               姚新琴  85081491</w:t>
            </w:r>
          </w:p>
          <w:p>
            <w:pPr>
              <w:ind w:firstLine="1200" w:firstLineChars="500"/>
              <w:rPr>
                <w:rFonts w:hint="eastAsia" w:ascii="宋体" w:hAnsi="宋体"/>
                <w:b/>
                <w:sz w:val="24"/>
              </w:rPr>
            </w:pPr>
            <w:r>
              <w:rPr>
                <w:rFonts w:hint="eastAsia" w:ascii="宋体" w:hAnsi="宋体"/>
                <w:sz w:val="24"/>
              </w:rPr>
              <w:t xml:space="preserve">绍兴市嘉华项目管理有限公司     许静丽  </w:t>
            </w:r>
            <w:r>
              <w:rPr>
                <w:rFonts w:hint="eastAsia" w:ascii="宋体" w:hAnsi="宋体" w:cs="Arial"/>
                <w:bCs/>
                <w:sz w:val="24"/>
              </w:rPr>
              <w:t>15068509660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8958" w:type="dxa"/>
            <w:gridSpan w:val="2"/>
            <w:noWrap w:val="0"/>
            <w:vAlign w:val="center"/>
          </w:tcPr>
          <w:p>
            <w:pPr>
              <w:spacing w:line="340" w:lineRule="exact"/>
              <w:rPr>
                <w:rFonts w:hint="eastAsia" w:ascii="宋体" w:hAnsi="宋体"/>
                <w:color w:val="000000"/>
                <w:sz w:val="24"/>
              </w:rPr>
            </w:pPr>
            <w:r>
              <w:rPr>
                <w:rFonts w:hint="eastAsia" w:ascii="宋体" w:hAnsi="宋体"/>
                <w:color w:val="000000"/>
                <w:sz w:val="24"/>
              </w:rPr>
              <w:t>解释：</w:t>
            </w:r>
            <w:r>
              <w:rPr>
                <w:rFonts w:hint="eastAsia" w:ascii="宋体" w:hAnsi="宋体"/>
                <w:sz w:val="24"/>
              </w:rPr>
              <w:t>凡涉及本招标文件的解释权属于采购人、采购代理机构。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8958" w:type="dxa"/>
            <w:gridSpan w:val="2"/>
            <w:noWrap w:val="0"/>
            <w:vAlign w:val="center"/>
          </w:tcPr>
          <w:p>
            <w:pPr>
              <w:spacing w:line="340" w:lineRule="exact"/>
              <w:rPr>
                <w:rFonts w:hint="eastAsia" w:ascii="宋体" w:hAnsi="宋体"/>
                <w:b/>
                <w:color w:val="000000"/>
                <w:sz w:val="24"/>
              </w:rPr>
            </w:pPr>
            <w:r>
              <w:rPr>
                <w:rFonts w:hint="eastAsia" w:ascii="宋体" w:hAnsi="宋体"/>
                <w:b/>
                <w:color w:val="000000"/>
                <w:sz w:val="24"/>
              </w:rPr>
              <w:t>注：排名第一的预中标候选人放弃中标资格或因质疑、投诉被取消预中标资格或不能履行合同的，本项目重新组织采购。</w:t>
            </w:r>
          </w:p>
        </w:tc>
      </w:tr>
    </w:tbl>
    <w:p>
      <w:pPr>
        <w:ind w:left="238"/>
        <w:jc w:val="center"/>
        <w:rPr>
          <w:rFonts w:hint="eastAsia" w:ascii="宋体" w:hAnsi="宋体"/>
          <w:color w:val="000000"/>
          <w:sz w:val="24"/>
        </w:rPr>
      </w:pPr>
    </w:p>
    <w:p>
      <w:pPr>
        <w:pStyle w:val="39"/>
        <w:widowControl w:val="0"/>
        <w:spacing w:after="0" w:afterLines="0" w:line="560" w:lineRule="exact"/>
        <w:jc w:val="both"/>
        <w:rPr>
          <w:rFonts w:hint="eastAsia" w:ascii="宋体" w:hAnsi="宋体" w:eastAsia="宋体"/>
          <w:b/>
          <w:bCs w:val="0"/>
          <w:color w:val="000000"/>
          <w:sz w:val="48"/>
        </w:rPr>
      </w:pPr>
      <w:r>
        <w:rPr>
          <w:rFonts w:hint="eastAsia" w:ascii="宋体" w:hAnsi="宋体" w:eastAsia="宋体"/>
          <w:b/>
          <w:bCs w:val="0"/>
          <w:color w:val="000000"/>
          <w:sz w:val="48"/>
        </w:rPr>
        <w:t>注：</w:t>
      </w:r>
    </w:p>
    <w:p>
      <w:pPr>
        <w:pStyle w:val="39"/>
        <w:tabs>
          <w:tab w:val="left" w:pos="993"/>
          <w:tab w:val="left" w:pos="1260"/>
        </w:tabs>
        <w:spacing w:after="0" w:afterLines="0" w:line="560" w:lineRule="exact"/>
        <w:ind w:left="358" w:hanging="358" w:hangingChars="119"/>
        <w:jc w:val="left"/>
        <w:rPr>
          <w:rFonts w:hint="eastAsia" w:ascii="宋体" w:hAnsi="宋体" w:eastAsia="宋体"/>
          <w:b/>
          <w:bCs w:val="0"/>
          <w:color w:val="000000"/>
          <w:sz w:val="30"/>
          <w:szCs w:val="30"/>
        </w:rPr>
      </w:pPr>
      <w:r>
        <w:rPr>
          <w:rFonts w:hint="eastAsia" w:ascii="宋体" w:hAnsi="宋体" w:eastAsia="宋体"/>
          <w:b/>
          <w:bCs w:val="0"/>
          <w:color w:val="000000"/>
          <w:sz w:val="30"/>
          <w:szCs w:val="30"/>
        </w:rPr>
        <w:t>1.为维护交易市场的正常秩序，进一步遏制串标、抬标行为，保护交易各方的合法权益，凡在同一招标项目的评标中，发现</w:t>
      </w:r>
      <w:r>
        <w:rPr>
          <w:rFonts w:hint="eastAsia" w:ascii="宋体" w:hAnsi="宋体" w:eastAsia="宋体"/>
          <w:b/>
          <w:bCs w:val="0"/>
          <w:i/>
          <w:color w:val="000000"/>
          <w:sz w:val="30"/>
          <w:szCs w:val="30"/>
          <w:u w:val="double"/>
        </w:rPr>
        <w:t>①有二份及二份以上投标响应文件的相互之间有特别相同或相似之处</w:t>
      </w:r>
      <w:r>
        <w:rPr>
          <w:rFonts w:hint="eastAsia" w:ascii="宋体" w:hAnsi="宋体" w:eastAsia="宋体"/>
          <w:b/>
          <w:bCs w:val="0"/>
          <w:i/>
          <w:color w:val="0000FF"/>
          <w:sz w:val="30"/>
          <w:szCs w:val="30"/>
          <w:u w:val="double"/>
        </w:rPr>
        <w:t>②两家或两家以上供应商提供的投标响应文件出自同一终端设备的，或在相同Internet主机分配地址（相同IP地址）报名或网上投标的</w:t>
      </w:r>
      <w:r>
        <w:rPr>
          <w:rFonts w:hint="eastAsia" w:ascii="宋体" w:hAnsi="宋体" w:eastAsia="宋体"/>
          <w:b/>
          <w:bCs w:val="0"/>
          <w:color w:val="0000FF"/>
          <w:sz w:val="30"/>
          <w:szCs w:val="30"/>
        </w:rPr>
        <w:t>，</w:t>
      </w:r>
      <w:r>
        <w:rPr>
          <w:rFonts w:hint="eastAsia" w:ascii="宋体" w:hAnsi="宋体" w:eastAsia="宋体"/>
          <w:b/>
          <w:bCs w:val="0"/>
          <w:color w:val="000000"/>
          <w:sz w:val="30"/>
          <w:szCs w:val="30"/>
        </w:rPr>
        <w:t>且经询标澄清供应商无令人信服的理由和可靠证据证明其合理性的，经评标委员会半数以上成员确认有</w:t>
      </w:r>
      <w:r>
        <w:rPr>
          <w:rFonts w:hint="eastAsia" w:ascii="宋体" w:hAnsi="宋体" w:eastAsia="宋体"/>
          <w:b/>
          <w:bCs w:val="0"/>
          <w:color w:val="0000FF"/>
          <w:sz w:val="30"/>
          <w:szCs w:val="30"/>
          <w:u w:val="double"/>
        </w:rPr>
        <w:t>串通投标</w:t>
      </w:r>
      <w:r>
        <w:rPr>
          <w:rFonts w:hint="eastAsia" w:ascii="宋体" w:hAnsi="宋体" w:eastAsia="宋体"/>
          <w:b/>
          <w:bCs w:val="0"/>
          <w:color w:val="000000"/>
          <w:sz w:val="30"/>
          <w:szCs w:val="30"/>
        </w:rPr>
        <w:t>嫌疑的，其投标响应文件按</w:t>
      </w:r>
      <w:r>
        <w:rPr>
          <w:rFonts w:hint="eastAsia" w:ascii="宋体" w:hAnsi="宋体" w:eastAsia="宋体"/>
          <w:b/>
          <w:bCs w:val="0"/>
          <w:color w:val="0000FF"/>
          <w:sz w:val="30"/>
          <w:szCs w:val="30"/>
          <w:u w:val="double"/>
        </w:rPr>
        <w:t>无效投标处理</w:t>
      </w:r>
      <w:r>
        <w:rPr>
          <w:rFonts w:hint="eastAsia" w:ascii="宋体" w:hAnsi="宋体" w:eastAsia="宋体"/>
          <w:b/>
          <w:bCs w:val="0"/>
          <w:color w:val="000000"/>
          <w:sz w:val="30"/>
          <w:szCs w:val="30"/>
        </w:rPr>
        <w:t>，不再对其进行评审，也不影响招标工作继续评标。</w:t>
      </w:r>
    </w:p>
    <w:p>
      <w:pPr>
        <w:snapToGrid w:val="0"/>
        <w:spacing w:line="560" w:lineRule="exact"/>
        <w:rPr>
          <w:rFonts w:hint="eastAsia" w:ascii="宋体" w:hAnsi="宋体"/>
          <w:b/>
          <w:color w:val="000000"/>
          <w:kern w:val="0"/>
          <w:sz w:val="30"/>
          <w:szCs w:val="30"/>
        </w:rPr>
      </w:pPr>
      <w:r>
        <w:rPr>
          <w:rFonts w:hint="eastAsia" w:ascii="宋体" w:hAnsi="宋体"/>
          <w:b/>
          <w:color w:val="000000"/>
          <w:kern w:val="0"/>
          <w:sz w:val="30"/>
          <w:szCs w:val="30"/>
        </w:rPr>
        <w:t>2.报名后不参加投标的供应商，须提供书面说明。</w:t>
      </w:r>
    </w:p>
    <w:p>
      <w:pPr>
        <w:snapToGrid w:val="0"/>
        <w:spacing w:line="300" w:lineRule="auto"/>
        <w:jc w:val="center"/>
        <w:rPr>
          <w:rFonts w:hint="eastAsia" w:ascii="宋体" w:hAnsi="宋体"/>
          <w:b/>
          <w:color w:val="000000"/>
          <w:sz w:val="36"/>
          <w:szCs w:val="36"/>
        </w:rPr>
      </w:pPr>
      <w:r>
        <w:rPr>
          <w:rFonts w:hint="eastAsia" w:ascii="宋体" w:hAnsi="宋体"/>
          <w:b/>
          <w:color w:val="000000"/>
          <w:kern w:val="0"/>
          <w:sz w:val="30"/>
          <w:szCs w:val="30"/>
        </w:rPr>
        <w:br w:type="page"/>
      </w:r>
      <w:r>
        <w:rPr>
          <w:rFonts w:hint="eastAsia" w:ascii="宋体" w:hAnsi="宋体"/>
          <w:b/>
          <w:color w:val="000000"/>
          <w:sz w:val="36"/>
          <w:szCs w:val="36"/>
        </w:rPr>
        <w:t>一、总则</w:t>
      </w:r>
    </w:p>
    <w:p>
      <w:pPr>
        <w:snapToGrid w:val="0"/>
        <w:spacing w:line="440" w:lineRule="exact"/>
        <w:jc w:val="left"/>
        <w:rPr>
          <w:rFonts w:hint="eastAsia" w:ascii="宋体" w:hAnsi="宋体"/>
          <w:b/>
          <w:color w:val="000000"/>
          <w:sz w:val="24"/>
        </w:rPr>
      </w:pPr>
      <w:r>
        <w:rPr>
          <w:rFonts w:hint="eastAsia" w:ascii="宋体" w:hAnsi="宋体"/>
          <w:b/>
          <w:color w:val="000000"/>
          <w:sz w:val="24"/>
        </w:rPr>
        <w:t>1. 适用范围</w:t>
      </w:r>
    </w:p>
    <w:p>
      <w:pPr>
        <w:snapToGrid w:val="0"/>
        <w:spacing w:line="440" w:lineRule="exact"/>
        <w:jc w:val="left"/>
        <w:rPr>
          <w:rFonts w:hint="eastAsia" w:ascii="宋体" w:hAnsi="宋体"/>
          <w:sz w:val="24"/>
        </w:rPr>
      </w:pPr>
      <w:r>
        <w:rPr>
          <w:rFonts w:hint="eastAsia" w:ascii="宋体" w:hAnsi="宋体"/>
          <w:sz w:val="24"/>
        </w:rPr>
        <w:t>1.1本招标文件适用于本次所述项目的招标。</w:t>
      </w:r>
    </w:p>
    <w:p>
      <w:pPr>
        <w:snapToGrid w:val="0"/>
        <w:spacing w:line="440" w:lineRule="exact"/>
        <w:jc w:val="left"/>
        <w:rPr>
          <w:rFonts w:hint="eastAsia" w:ascii="宋体" w:hAnsi="宋体"/>
          <w:sz w:val="24"/>
        </w:rPr>
      </w:pPr>
      <w:r>
        <w:rPr>
          <w:rFonts w:hint="eastAsia" w:ascii="宋体" w:hAnsi="宋体"/>
          <w:sz w:val="24"/>
        </w:rPr>
        <w:t>1.2供应商一旦参与本次招标活动，即被视为接受了本招标文件的所有内容，如有任何异议，均应在法定时间内提出。</w:t>
      </w:r>
    </w:p>
    <w:p>
      <w:pPr>
        <w:snapToGrid w:val="0"/>
        <w:spacing w:line="440" w:lineRule="exact"/>
        <w:jc w:val="left"/>
        <w:rPr>
          <w:rFonts w:hint="eastAsia" w:ascii="宋体" w:hAnsi="宋体"/>
          <w:sz w:val="24"/>
        </w:rPr>
      </w:pPr>
      <w:r>
        <w:rPr>
          <w:rFonts w:hint="eastAsia" w:ascii="宋体" w:hAnsi="宋体"/>
          <w:sz w:val="24"/>
        </w:rPr>
        <w:t>1.3供应商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440" w:lineRule="exact"/>
        <w:jc w:val="left"/>
        <w:rPr>
          <w:rFonts w:hint="eastAsia" w:ascii="宋体" w:hAnsi="宋体"/>
          <w:color w:val="000000"/>
          <w:sz w:val="24"/>
        </w:rPr>
      </w:pPr>
      <w:r>
        <w:rPr>
          <w:rFonts w:hint="eastAsia" w:ascii="宋体" w:hAnsi="宋体"/>
          <w:sz w:val="24"/>
        </w:rPr>
        <w:t>1.4本招标文件所称公章是指单位法定名称章或者冠以法定名称的投标业务专用章。</w:t>
      </w:r>
    </w:p>
    <w:p>
      <w:pPr>
        <w:snapToGrid w:val="0"/>
        <w:spacing w:line="440" w:lineRule="exact"/>
        <w:jc w:val="left"/>
        <w:rPr>
          <w:rFonts w:hint="eastAsia" w:ascii="宋体" w:hAnsi="宋体"/>
          <w:b/>
          <w:color w:val="000000"/>
          <w:sz w:val="24"/>
        </w:rPr>
      </w:pPr>
      <w:r>
        <w:rPr>
          <w:rFonts w:hint="eastAsia" w:ascii="宋体" w:hAnsi="宋体"/>
          <w:b/>
          <w:color w:val="000000"/>
          <w:sz w:val="24"/>
        </w:rPr>
        <w:t>2. 定义</w:t>
      </w:r>
    </w:p>
    <w:p>
      <w:pPr>
        <w:snapToGrid w:val="0"/>
        <w:spacing w:line="440" w:lineRule="exact"/>
        <w:jc w:val="left"/>
        <w:rPr>
          <w:rFonts w:hint="eastAsia" w:ascii="宋体" w:hAnsi="宋体"/>
          <w:b/>
          <w:color w:val="000000"/>
          <w:sz w:val="24"/>
        </w:rPr>
      </w:pPr>
      <w:r>
        <w:rPr>
          <w:rFonts w:hint="eastAsia" w:ascii="宋体" w:hAnsi="宋体" w:cs="仿宋_GB2312"/>
          <w:sz w:val="24"/>
        </w:rPr>
        <w:t>2.1政府采购当事人及监管部门：绍兴市妇幼保健院为本项目的采购人（合同中的甲方），绍兴市嘉华项目管理有限公司为采购代理机构，响应招标、参加投标竞争的法人、其他组织或者自然人为供应商，经评审产生并经批准的供应商为中标候选人，经公告无异议，并签订合同后的中标供应商为供应商（合同中的乙方），绍兴市妇幼保健院纪检室为政府采购监督管理部门。</w:t>
      </w:r>
    </w:p>
    <w:p>
      <w:pPr>
        <w:snapToGrid w:val="0"/>
        <w:spacing w:line="440" w:lineRule="exact"/>
        <w:jc w:val="left"/>
        <w:rPr>
          <w:rFonts w:hint="eastAsia" w:ascii="宋体" w:hAnsi="宋体"/>
          <w:color w:val="000000"/>
          <w:sz w:val="24"/>
        </w:rPr>
      </w:pPr>
      <w:r>
        <w:rPr>
          <w:rFonts w:hint="eastAsia" w:ascii="宋体" w:hAnsi="宋体"/>
          <w:color w:val="000000"/>
          <w:sz w:val="24"/>
        </w:rPr>
        <w:t>2.2 “招标人”系指组织本次招标的招标单位(或采购人/采购单位)。</w:t>
      </w:r>
    </w:p>
    <w:p>
      <w:pPr>
        <w:snapToGrid w:val="0"/>
        <w:spacing w:line="440" w:lineRule="exact"/>
        <w:jc w:val="left"/>
        <w:rPr>
          <w:rFonts w:hint="eastAsia" w:ascii="宋体" w:hAnsi="宋体"/>
          <w:sz w:val="24"/>
        </w:rPr>
      </w:pPr>
      <w:r>
        <w:rPr>
          <w:rFonts w:hint="eastAsia" w:ascii="宋体" w:hAnsi="宋体"/>
          <w:color w:val="000000"/>
          <w:sz w:val="24"/>
        </w:rPr>
        <w:t xml:space="preserve">2.3 </w:t>
      </w:r>
      <w:r>
        <w:rPr>
          <w:rFonts w:hint="eastAsia" w:ascii="宋体" w:hAnsi="宋体"/>
          <w:sz w:val="24"/>
        </w:rPr>
        <w:t>“供应商”或“投标单位”</w:t>
      </w:r>
      <w:r>
        <w:rPr>
          <w:rFonts w:hint="eastAsia" w:ascii="宋体" w:hAnsi="宋体"/>
          <w:color w:val="000000"/>
          <w:sz w:val="24"/>
        </w:rPr>
        <w:t>系指向招标方提</w:t>
      </w:r>
      <w:r>
        <w:rPr>
          <w:rFonts w:hint="eastAsia" w:ascii="宋体" w:hAnsi="宋体"/>
          <w:sz w:val="24"/>
        </w:rPr>
        <w:t>交投标响应文件的制造商或集成商(供应商)。</w:t>
      </w:r>
    </w:p>
    <w:p>
      <w:pPr>
        <w:snapToGrid w:val="0"/>
        <w:spacing w:line="440" w:lineRule="exact"/>
        <w:jc w:val="left"/>
        <w:rPr>
          <w:rFonts w:hint="eastAsia" w:ascii="宋体" w:hAnsi="宋体"/>
          <w:sz w:val="24"/>
        </w:rPr>
      </w:pPr>
      <w:r>
        <w:rPr>
          <w:rFonts w:hint="eastAsia" w:ascii="宋体" w:hAnsi="宋体"/>
          <w:sz w:val="24"/>
        </w:rPr>
        <w:t>2.4 “产品”系指供方按招标文件规定，经合法途径取得的，须向采购人提供的一切产品、保险、税金、安装、施工、调试、备品备件、工具、手册及其它有关技术资料和材料。</w:t>
      </w:r>
    </w:p>
    <w:p>
      <w:pPr>
        <w:snapToGrid w:val="0"/>
        <w:spacing w:line="440" w:lineRule="exact"/>
        <w:jc w:val="left"/>
        <w:rPr>
          <w:rFonts w:hint="eastAsia" w:ascii="宋体" w:hAnsi="宋体"/>
          <w:sz w:val="24"/>
        </w:rPr>
      </w:pPr>
      <w:r>
        <w:rPr>
          <w:rFonts w:hint="eastAsia" w:ascii="宋体" w:hAnsi="宋体"/>
          <w:sz w:val="24"/>
        </w:rPr>
        <w:t>2.5 “服务”系指招标文件规定供应商须承担的安装、调试、技术协助、校准、培训、技术指导以及其他类似的义务。</w:t>
      </w:r>
    </w:p>
    <w:p>
      <w:pPr>
        <w:snapToGrid w:val="0"/>
        <w:spacing w:line="440" w:lineRule="exact"/>
        <w:jc w:val="left"/>
        <w:rPr>
          <w:rFonts w:hint="eastAsia" w:ascii="宋体" w:hAnsi="宋体"/>
          <w:color w:val="000000"/>
          <w:sz w:val="24"/>
        </w:rPr>
      </w:pPr>
      <w:r>
        <w:rPr>
          <w:rFonts w:hint="eastAsia" w:ascii="宋体" w:hAnsi="宋体"/>
          <w:sz w:val="24"/>
        </w:rPr>
        <w:t>2.6 “项目”系指供应商按招标文件规定向采购人提供的产品和</w:t>
      </w:r>
      <w:r>
        <w:rPr>
          <w:rFonts w:hint="eastAsia" w:ascii="宋体" w:hAnsi="宋体"/>
          <w:color w:val="000000"/>
          <w:sz w:val="24"/>
        </w:rPr>
        <w:t>服务。</w:t>
      </w:r>
    </w:p>
    <w:p>
      <w:pPr>
        <w:snapToGrid w:val="0"/>
        <w:spacing w:line="440" w:lineRule="exact"/>
        <w:jc w:val="left"/>
        <w:rPr>
          <w:rFonts w:hint="eastAsia" w:ascii="宋体" w:hAnsi="宋体"/>
          <w:sz w:val="24"/>
        </w:rPr>
      </w:pPr>
      <w:r>
        <w:rPr>
          <w:rFonts w:hint="eastAsia" w:ascii="宋体" w:hAnsi="宋体"/>
          <w:sz w:val="24"/>
        </w:rPr>
        <w:t>2.7 “授权代表”系指法定代表人的被授权委托人。</w:t>
      </w:r>
    </w:p>
    <w:p>
      <w:pPr>
        <w:snapToGrid w:val="0"/>
        <w:spacing w:line="440" w:lineRule="exact"/>
        <w:jc w:val="left"/>
        <w:rPr>
          <w:rFonts w:hint="eastAsia" w:ascii="宋体" w:hAnsi="宋体"/>
          <w:color w:val="000000"/>
          <w:sz w:val="24"/>
        </w:rPr>
      </w:pPr>
      <w:r>
        <w:rPr>
          <w:rFonts w:hint="eastAsia" w:ascii="宋体" w:hAnsi="宋体"/>
          <w:sz w:val="24"/>
        </w:rPr>
        <w:t>2.8</w:t>
      </w:r>
      <w:r>
        <w:rPr>
          <w:rFonts w:hint="eastAsia" w:ascii="宋体" w:hAnsi="宋体"/>
          <w:color w:val="000000"/>
          <w:sz w:val="24"/>
        </w:rPr>
        <w:t>　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响应文件中提供的，其投标可能会被拒绝（或作无效投标）。</w:t>
      </w:r>
    </w:p>
    <w:p>
      <w:pPr>
        <w:snapToGrid w:val="0"/>
        <w:spacing w:line="440" w:lineRule="exact"/>
        <w:jc w:val="center"/>
        <w:rPr>
          <w:rFonts w:hint="eastAsia" w:ascii="宋体" w:hAnsi="宋体"/>
          <w:color w:val="000000"/>
          <w:sz w:val="24"/>
        </w:rPr>
      </w:pPr>
      <w:r>
        <w:rPr>
          <w:rFonts w:hint="eastAsia" w:ascii="宋体" w:hAnsi="宋体"/>
          <w:b/>
          <w:sz w:val="36"/>
          <w:szCs w:val="36"/>
        </w:rPr>
        <w:t>二、招标文件</w:t>
      </w:r>
    </w:p>
    <w:p>
      <w:pPr>
        <w:snapToGrid w:val="0"/>
        <w:spacing w:line="440" w:lineRule="exact"/>
        <w:jc w:val="left"/>
        <w:rPr>
          <w:rFonts w:hint="eastAsia" w:ascii="宋体" w:hAnsi="宋体"/>
          <w:b/>
          <w:color w:val="000000"/>
          <w:sz w:val="24"/>
        </w:rPr>
      </w:pPr>
      <w:r>
        <w:rPr>
          <w:rFonts w:hint="eastAsia" w:ascii="宋体" w:hAnsi="宋体"/>
          <w:b/>
          <w:color w:val="000000"/>
          <w:sz w:val="24"/>
        </w:rPr>
        <w:t>3．招标方式</w:t>
      </w:r>
    </w:p>
    <w:p>
      <w:pPr>
        <w:snapToGrid w:val="0"/>
        <w:spacing w:line="440" w:lineRule="exact"/>
        <w:jc w:val="left"/>
        <w:rPr>
          <w:rFonts w:hint="eastAsia" w:ascii="宋体" w:hAnsi="宋体"/>
          <w:color w:val="000000"/>
          <w:sz w:val="24"/>
        </w:rPr>
      </w:pPr>
      <w:r>
        <w:rPr>
          <w:rFonts w:hint="eastAsia" w:ascii="宋体" w:hAnsi="宋体"/>
          <w:color w:val="000000"/>
          <w:sz w:val="24"/>
        </w:rPr>
        <w:t>3.1 本次招标采用</w:t>
      </w:r>
      <w:r>
        <w:rPr>
          <w:rFonts w:hint="eastAsia" w:ascii="宋体" w:hAnsi="宋体"/>
          <w:b/>
          <w:color w:val="000000"/>
          <w:kern w:val="0"/>
          <w:sz w:val="24"/>
        </w:rPr>
        <w:t>公开招标</w:t>
      </w:r>
      <w:r>
        <w:rPr>
          <w:rFonts w:hint="eastAsia" w:ascii="宋体" w:hAnsi="宋体"/>
          <w:color w:val="000000"/>
          <w:sz w:val="24"/>
        </w:rPr>
        <w:t>方式进行。</w:t>
      </w:r>
    </w:p>
    <w:p>
      <w:pPr>
        <w:snapToGrid w:val="0"/>
        <w:spacing w:line="440" w:lineRule="exact"/>
        <w:jc w:val="left"/>
        <w:rPr>
          <w:rFonts w:hint="eastAsia" w:ascii="宋体" w:hAnsi="宋体"/>
          <w:b/>
          <w:color w:val="000000"/>
          <w:sz w:val="24"/>
        </w:rPr>
      </w:pPr>
      <w:r>
        <w:rPr>
          <w:rFonts w:hint="eastAsia" w:ascii="宋体" w:hAnsi="宋体"/>
          <w:color w:val="000000"/>
          <w:sz w:val="24"/>
        </w:rPr>
        <w:t>3.2 如某一标项供应商或实质性响应招标文件的供应商不足三家时，由采购人重新组织招标或按有关规定实施。</w:t>
      </w:r>
    </w:p>
    <w:p>
      <w:pPr>
        <w:snapToGrid w:val="0"/>
        <w:spacing w:line="440" w:lineRule="exact"/>
        <w:jc w:val="left"/>
        <w:rPr>
          <w:rFonts w:hint="eastAsia" w:ascii="宋体" w:hAnsi="宋体"/>
          <w:color w:val="000000"/>
          <w:sz w:val="24"/>
        </w:rPr>
      </w:pPr>
      <w:r>
        <w:rPr>
          <w:rFonts w:hint="eastAsia" w:ascii="宋体" w:hAnsi="宋体"/>
          <w:color w:val="000000"/>
          <w:sz w:val="24"/>
        </w:rPr>
        <w:t>3.3 本次招标设定上限价，上限价即招标公告中公布的各分标项预算金额。（各分标项之间的预算金额不能互相调整）</w:t>
      </w:r>
    </w:p>
    <w:p>
      <w:pPr>
        <w:snapToGrid w:val="0"/>
        <w:spacing w:line="440" w:lineRule="exact"/>
        <w:jc w:val="left"/>
        <w:rPr>
          <w:rFonts w:hint="eastAsia" w:ascii="宋体" w:hAnsi="宋体"/>
          <w:b/>
          <w:color w:val="000000"/>
          <w:sz w:val="24"/>
        </w:rPr>
      </w:pPr>
      <w:r>
        <w:rPr>
          <w:rFonts w:hint="eastAsia" w:ascii="宋体" w:hAnsi="宋体"/>
          <w:b/>
          <w:color w:val="000000"/>
          <w:sz w:val="24"/>
        </w:rPr>
        <w:t>4. 投标委托</w:t>
      </w:r>
    </w:p>
    <w:p>
      <w:pPr>
        <w:pStyle w:val="20"/>
        <w:snapToGrid w:val="0"/>
        <w:spacing w:after="0" w:line="440" w:lineRule="exact"/>
        <w:ind w:left="0" w:leftChars="0" w:firstLine="480" w:firstLineChars="200"/>
        <w:jc w:val="left"/>
        <w:rPr>
          <w:rFonts w:hint="eastAsia" w:ascii="宋体" w:hAnsi="宋体"/>
          <w:sz w:val="24"/>
        </w:rPr>
      </w:pPr>
      <w:r>
        <w:rPr>
          <w:rFonts w:hint="eastAsia" w:ascii="宋体" w:hAnsi="宋体"/>
          <w:color w:val="000000"/>
          <w:sz w:val="24"/>
        </w:rPr>
        <w:t>法定代表人参加开标会的须携带个人身份证明(原件：本人身份证原件、户口本原件、本人驾驶证原件等)。如</w:t>
      </w:r>
      <w:r>
        <w:rPr>
          <w:rFonts w:hint="eastAsia" w:ascii="宋体" w:hAnsi="宋体"/>
          <w:sz w:val="24"/>
        </w:rPr>
        <w:t>授权代表参加投标的，则须有法定代表人出具的授权委托书及授权代表的个人身份证明(原件：本人身份证原件、户口本原件、本人驾驶证原件等)。</w:t>
      </w:r>
    </w:p>
    <w:p>
      <w:pPr>
        <w:snapToGrid w:val="0"/>
        <w:spacing w:line="440" w:lineRule="exact"/>
        <w:jc w:val="left"/>
        <w:rPr>
          <w:rFonts w:hint="eastAsia" w:ascii="宋体" w:hAnsi="宋体"/>
          <w:b/>
          <w:color w:val="000000"/>
          <w:sz w:val="24"/>
        </w:rPr>
      </w:pPr>
      <w:r>
        <w:rPr>
          <w:rFonts w:hint="eastAsia" w:ascii="宋体" w:hAnsi="宋体"/>
          <w:b/>
          <w:color w:val="000000"/>
          <w:sz w:val="24"/>
        </w:rPr>
        <w:t>5. 投标费用</w:t>
      </w:r>
    </w:p>
    <w:p>
      <w:pPr>
        <w:pStyle w:val="14"/>
        <w:numPr>
          <w:ilvl w:val="0"/>
          <w:numId w:val="0"/>
        </w:numPr>
        <w:spacing w:after="0" w:afterLines="0" w:line="440" w:lineRule="exact"/>
        <w:ind w:firstLine="480" w:firstLineChars="200"/>
        <w:rPr>
          <w:rFonts w:hint="eastAsia" w:ascii="宋体" w:hAnsi="宋体"/>
          <w:color w:val="000000"/>
        </w:rPr>
      </w:pPr>
      <w:r>
        <w:rPr>
          <w:rFonts w:hint="eastAsia" w:ascii="宋体" w:hAnsi="宋体"/>
          <w:color w:val="000000"/>
        </w:rPr>
        <w:t>供应商应自行承担编制投标响应文件及参加本次投标所涉及的一切费用。不管投标结果如何，招标人对上述费用不负任何责任。中标人需支付</w:t>
      </w:r>
      <w:r>
        <w:rPr>
          <w:rFonts w:hint="eastAsia" w:ascii="宋体" w:hAnsi="宋体"/>
        </w:rPr>
        <w:t>采购代理服务费和专家评审费</w:t>
      </w:r>
      <w:r>
        <w:rPr>
          <w:rFonts w:hint="eastAsia" w:ascii="宋体" w:hAnsi="宋体"/>
          <w:color w:val="000000"/>
        </w:rPr>
        <w:t>。</w:t>
      </w:r>
    </w:p>
    <w:p>
      <w:pPr>
        <w:snapToGrid w:val="0"/>
        <w:spacing w:line="440" w:lineRule="exact"/>
        <w:jc w:val="left"/>
        <w:rPr>
          <w:rFonts w:hint="eastAsia" w:ascii="宋体" w:hAnsi="宋体"/>
          <w:b/>
          <w:color w:val="000000"/>
          <w:sz w:val="24"/>
        </w:rPr>
      </w:pPr>
      <w:r>
        <w:rPr>
          <w:rFonts w:hint="eastAsia" w:ascii="宋体" w:hAnsi="宋体"/>
          <w:b/>
          <w:color w:val="000000"/>
          <w:sz w:val="24"/>
        </w:rPr>
        <w:t>6. 招标文件</w:t>
      </w:r>
    </w:p>
    <w:p>
      <w:pPr>
        <w:spacing w:line="440" w:lineRule="exact"/>
        <w:jc w:val="left"/>
        <w:rPr>
          <w:rFonts w:hint="eastAsia" w:ascii="宋体" w:hAnsi="宋体"/>
          <w:color w:val="000000"/>
          <w:sz w:val="24"/>
        </w:rPr>
      </w:pPr>
      <w:r>
        <w:rPr>
          <w:rFonts w:hint="eastAsia" w:ascii="宋体" w:hAnsi="宋体"/>
          <w:color w:val="000000"/>
          <w:sz w:val="24"/>
        </w:rPr>
        <w:t xml:space="preserve">6.1 </w:t>
      </w:r>
      <w:r>
        <w:rPr>
          <w:rFonts w:hint="eastAsia" w:ascii="宋体" w:hAnsi="宋体"/>
          <w:bCs/>
          <w:color w:val="000000"/>
          <w:sz w:val="24"/>
        </w:rPr>
        <w:t>招标文件包括本招标文件及所有按6.2所述的招标答疑记录和6.3发出的补充通知</w:t>
      </w:r>
      <w:r>
        <w:rPr>
          <w:rFonts w:hint="eastAsia" w:ascii="宋体" w:hAnsi="宋体"/>
          <w:color w:val="000000"/>
          <w:sz w:val="24"/>
        </w:rPr>
        <w:t>组成。</w:t>
      </w:r>
    </w:p>
    <w:p>
      <w:pPr>
        <w:pStyle w:val="14"/>
        <w:widowControl w:val="0"/>
        <w:numPr>
          <w:ilvl w:val="0"/>
          <w:numId w:val="0"/>
        </w:numPr>
        <w:spacing w:after="0" w:afterLines="0" w:line="440" w:lineRule="exact"/>
        <w:rPr>
          <w:rFonts w:hint="eastAsia" w:ascii="宋体" w:hAnsi="宋体"/>
          <w:color w:val="000000"/>
        </w:rPr>
      </w:pPr>
      <w:r>
        <w:rPr>
          <w:rFonts w:hint="eastAsia" w:ascii="宋体" w:hAnsi="宋体"/>
          <w:color w:val="000000"/>
        </w:rPr>
        <w:t xml:space="preserve">6.2招标文件的澄清 </w:t>
      </w:r>
    </w:p>
    <w:p>
      <w:pPr>
        <w:pStyle w:val="14"/>
        <w:widowControl w:val="0"/>
        <w:numPr>
          <w:ilvl w:val="0"/>
          <w:numId w:val="0"/>
        </w:numPr>
        <w:spacing w:after="0" w:afterLines="0" w:line="440" w:lineRule="exact"/>
        <w:ind w:firstLine="480" w:firstLineChars="200"/>
        <w:rPr>
          <w:rFonts w:hint="eastAsia" w:ascii="宋体" w:hAnsi="宋体"/>
          <w:color w:val="000000"/>
        </w:rPr>
      </w:pPr>
      <w:r>
        <w:rPr>
          <w:rFonts w:hint="eastAsia" w:ascii="宋体" w:hAnsi="宋体"/>
        </w:rPr>
        <w:t>供应商对招标文件如有疑点要求澄清，可用书面形式（包括并不仅限于纸质、信件和数据电文(包括电报、电传、传真、电子数据交换和电子邮件）等可以有形地表现所载内容的形式，下同）通知采购人、采购代理机构，但通知不得迟于开标截止前7日使采购人、采购代理机构收到，采购人、采购代理机构将用书面形式予以答复。如有必要，可将不说明来源的答复发给所有供应商。</w:t>
      </w:r>
    </w:p>
    <w:p>
      <w:pPr>
        <w:pStyle w:val="14"/>
        <w:numPr>
          <w:ilvl w:val="0"/>
          <w:numId w:val="0"/>
        </w:numPr>
        <w:spacing w:after="0" w:afterLines="0" w:line="440" w:lineRule="exact"/>
        <w:rPr>
          <w:rFonts w:hint="eastAsia" w:ascii="宋体" w:hAnsi="宋体"/>
          <w:color w:val="000000"/>
        </w:rPr>
      </w:pPr>
      <w:r>
        <w:rPr>
          <w:rFonts w:hint="eastAsia" w:ascii="宋体" w:hAnsi="宋体"/>
          <w:color w:val="000000"/>
        </w:rPr>
        <w:t>6.3招标文件的修改</w:t>
      </w:r>
    </w:p>
    <w:p>
      <w:pPr>
        <w:pStyle w:val="14"/>
        <w:numPr>
          <w:ilvl w:val="0"/>
          <w:numId w:val="0"/>
        </w:numPr>
        <w:spacing w:after="0" w:afterLines="0" w:line="440" w:lineRule="exact"/>
        <w:rPr>
          <w:rFonts w:hint="eastAsia" w:ascii="宋体" w:hAnsi="宋体"/>
          <w:color w:val="000000"/>
        </w:rPr>
      </w:pPr>
      <w:r>
        <w:rPr>
          <w:rFonts w:hint="eastAsia" w:ascii="宋体" w:hAnsi="宋体"/>
          <w:color w:val="000000"/>
        </w:rPr>
        <w:t>6.3.1</w:t>
      </w:r>
      <w:r>
        <w:rPr>
          <w:rFonts w:hint="eastAsia" w:ascii="宋体" w:hAnsi="宋体"/>
        </w:rPr>
        <w:t>在投标截止时间前规定时间内，采购人、采购代理机构有权修改招标文件，并以书面形式通知所有供应商，通知中没有注明更改投标截止时间的视为截止时间不变。修改的文件作为招标文件的补充和组成部分，对所有供应商均有约束力。供应商应在两天内以书面形式确认已收到的修改文件，并需附法定代表人或其授权代表的签字加盖公章，逾期不确认的视同认可。</w:t>
      </w:r>
    </w:p>
    <w:p>
      <w:pPr>
        <w:snapToGrid w:val="0"/>
        <w:spacing w:line="440" w:lineRule="exact"/>
        <w:jc w:val="left"/>
        <w:rPr>
          <w:rFonts w:hint="eastAsia" w:ascii="宋体" w:hAnsi="宋体"/>
          <w:color w:val="000000"/>
          <w:sz w:val="24"/>
        </w:rPr>
      </w:pPr>
      <w:r>
        <w:rPr>
          <w:rFonts w:hint="eastAsia" w:ascii="宋体" w:hAnsi="宋体"/>
          <w:sz w:val="24"/>
        </w:rPr>
        <w:t>6.3.2为使供应商有足够的时间按修改文件要求修正投标响应文件，采购人、采购代理机构可酌情推迟投标截止时间和开标时间，并将此变更通知供应商。在这种情况下，采购人、采购代理机构与供应商以前在投标截止期方面的全部权力、责任和义务，将适用于延长后新的投标截止期。</w:t>
      </w:r>
    </w:p>
    <w:p>
      <w:pPr>
        <w:snapToGrid w:val="0"/>
        <w:spacing w:line="440" w:lineRule="exact"/>
        <w:jc w:val="left"/>
        <w:rPr>
          <w:rFonts w:hint="eastAsia" w:ascii="宋体" w:hAnsi="宋体"/>
          <w:sz w:val="24"/>
        </w:rPr>
      </w:pPr>
      <w:r>
        <w:rPr>
          <w:rFonts w:hint="eastAsia" w:ascii="宋体" w:hAnsi="宋体"/>
          <w:sz w:val="24"/>
        </w:rPr>
        <w:t>7.本项目各标段内，如出现打有“★”的指标为实质性指标，任意一条出现负偏离的均视同为实质性不响应招标文件要求，作无效投标处理；如打有“▲”的指标则为重要指标，出现正、负偏离按评标办法内说明执行。</w:t>
      </w:r>
    </w:p>
    <w:p>
      <w:pPr>
        <w:snapToGrid w:val="0"/>
        <w:spacing w:line="800" w:lineRule="exact"/>
        <w:jc w:val="center"/>
        <w:rPr>
          <w:rFonts w:hint="eastAsia" w:ascii="宋体" w:hAnsi="宋体"/>
          <w:b/>
          <w:color w:val="000000"/>
          <w:sz w:val="36"/>
          <w:szCs w:val="36"/>
        </w:rPr>
      </w:pPr>
      <w:r>
        <w:rPr>
          <w:rFonts w:hint="eastAsia" w:ascii="宋体" w:hAnsi="宋体"/>
          <w:b/>
          <w:color w:val="000000"/>
          <w:sz w:val="36"/>
          <w:szCs w:val="36"/>
        </w:rPr>
        <w:t>三、投标响应文件</w:t>
      </w:r>
    </w:p>
    <w:p>
      <w:pPr>
        <w:numPr>
          <w:ilvl w:val="0"/>
          <w:numId w:val="9"/>
        </w:numPr>
        <w:snapToGrid w:val="0"/>
        <w:spacing w:line="440" w:lineRule="exact"/>
        <w:jc w:val="left"/>
        <w:rPr>
          <w:rFonts w:hint="eastAsia" w:ascii="宋体" w:hAnsi="宋体"/>
          <w:b/>
          <w:color w:val="000000"/>
          <w:sz w:val="24"/>
        </w:rPr>
      </w:pPr>
      <w:r>
        <w:rPr>
          <w:rFonts w:hint="eastAsia" w:ascii="宋体" w:hAnsi="宋体"/>
          <w:b/>
          <w:color w:val="000000"/>
          <w:sz w:val="24"/>
        </w:rPr>
        <w:t>投标响应文件的语言及计量单位</w:t>
      </w:r>
    </w:p>
    <w:p>
      <w:pPr>
        <w:snapToGrid w:val="0"/>
        <w:spacing w:line="440" w:lineRule="exact"/>
        <w:jc w:val="left"/>
        <w:rPr>
          <w:rFonts w:hint="eastAsia" w:ascii="宋体" w:hAnsi="宋体"/>
          <w:color w:val="000000"/>
          <w:sz w:val="24"/>
        </w:rPr>
      </w:pPr>
      <w:r>
        <w:rPr>
          <w:rFonts w:hint="eastAsia" w:ascii="宋体" w:hAnsi="宋体"/>
          <w:color w:val="000000"/>
          <w:sz w:val="24"/>
        </w:rPr>
        <w:t>1.1供应商应仔细阅读招标文件中的所有内容，按照招标文件要求，详细编制投标响应文件，并保证投标响应文件的正确性和真实性。</w:t>
      </w:r>
    </w:p>
    <w:p>
      <w:pPr>
        <w:snapToGrid w:val="0"/>
        <w:spacing w:line="440" w:lineRule="exact"/>
        <w:jc w:val="left"/>
        <w:rPr>
          <w:rFonts w:hint="eastAsia" w:ascii="宋体" w:hAnsi="宋体"/>
          <w:color w:val="000000"/>
          <w:sz w:val="24"/>
        </w:rPr>
      </w:pPr>
      <w:r>
        <w:rPr>
          <w:rFonts w:hint="eastAsia" w:ascii="宋体" w:hAnsi="宋体"/>
          <w:color w:val="000000"/>
          <w:sz w:val="24"/>
        </w:rPr>
        <w:t>1.2 投标响应文件以及投标方与招标方就有关投标事宜的所有来往函电，均应以中文书写（技术术语除外）。</w:t>
      </w:r>
    </w:p>
    <w:p>
      <w:pPr>
        <w:snapToGrid w:val="0"/>
        <w:spacing w:line="440" w:lineRule="exact"/>
        <w:jc w:val="left"/>
        <w:rPr>
          <w:rFonts w:hint="eastAsia" w:ascii="宋体" w:hAnsi="宋体"/>
          <w:color w:val="000000"/>
          <w:sz w:val="24"/>
        </w:rPr>
      </w:pPr>
      <w:r>
        <w:rPr>
          <w:rFonts w:hint="eastAsia" w:ascii="宋体" w:hAnsi="宋体"/>
          <w:color w:val="000000"/>
          <w:sz w:val="24"/>
        </w:rPr>
        <w:t>1.3 投标计量单位，除招标文件中有特殊要求外，应采用中华人民共和国法定计量单位，货币单位：人民币元。</w:t>
      </w:r>
    </w:p>
    <w:p>
      <w:pPr>
        <w:snapToGrid w:val="0"/>
        <w:spacing w:line="440" w:lineRule="exact"/>
        <w:jc w:val="left"/>
        <w:rPr>
          <w:rFonts w:hint="eastAsia" w:ascii="宋体" w:hAnsi="宋体"/>
          <w:color w:val="000000"/>
          <w:sz w:val="24"/>
        </w:rPr>
      </w:pPr>
      <w:r>
        <w:rPr>
          <w:rFonts w:hint="eastAsia" w:ascii="宋体" w:hAnsi="宋体"/>
          <w:color w:val="000000"/>
          <w:sz w:val="24"/>
        </w:rPr>
        <w:t>1.4不按招标文件的要求提供的投标响应文件可能导致被拒绝。</w:t>
      </w:r>
    </w:p>
    <w:p>
      <w:pPr>
        <w:snapToGrid w:val="0"/>
        <w:spacing w:line="440" w:lineRule="exact"/>
        <w:jc w:val="left"/>
        <w:rPr>
          <w:rFonts w:hint="eastAsia" w:ascii="宋体" w:hAnsi="宋体"/>
          <w:b/>
          <w:color w:val="000000"/>
          <w:sz w:val="24"/>
        </w:rPr>
      </w:pPr>
      <w:r>
        <w:rPr>
          <w:rFonts w:hint="eastAsia" w:ascii="宋体" w:hAnsi="宋体"/>
          <w:b/>
          <w:color w:val="000000"/>
          <w:sz w:val="24"/>
        </w:rPr>
        <w:t>2. 投标响应文件的组成</w:t>
      </w:r>
    </w:p>
    <w:p>
      <w:pPr>
        <w:spacing w:line="440" w:lineRule="exact"/>
        <w:ind w:firstLine="480" w:firstLineChars="200"/>
        <w:jc w:val="left"/>
        <w:rPr>
          <w:rFonts w:hint="eastAsia" w:ascii="宋体" w:hAnsi="宋体"/>
          <w:color w:val="000000"/>
          <w:sz w:val="24"/>
        </w:rPr>
      </w:pPr>
      <w:r>
        <w:rPr>
          <w:rFonts w:hint="eastAsia" w:ascii="宋体" w:hAnsi="宋体"/>
          <w:color w:val="000000"/>
          <w:sz w:val="24"/>
        </w:rPr>
        <w:t>投标响应文件由“商务文件资料”和“技术文件资料”二部分文件组成：</w:t>
      </w:r>
    </w:p>
    <w:p>
      <w:pPr>
        <w:spacing w:line="440" w:lineRule="exact"/>
        <w:jc w:val="left"/>
        <w:rPr>
          <w:rFonts w:hint="eastAsia" w:ascii="宋体" w:hAnsi="宋体"/>
          <w:color w:val="000000"/>
          <w:sz w:val="24"/>
        </w:rPr>
      </w:pPr>
      <w:r>
        <w:rPr>
          <w:rFonts w:hint="eastAsia" w:ascii="宋体" w:hAnsi="宋体"/>
          <w:color w:val="000000"/>
          <w:sz w:val="24"/>
        </w:rPr>
        <w:t>2.1 “商务文件资料”应至少包含以下内容（正本用原件）：</w:t>
      </w:r>
    </w:p>
    <w:p>
      <w:pPr>
        <w:tabs>
          <w:tab w:val="left" w:pos="3870"/>
          <w:tab w:val="left" w:pos="4085"/>
        </w:tabs>
        <w:snapToGrid w:val="0"/>
        <w:spacing w:line="440" w:lineRule="exact"/>
        <w:jc w:val="left"/>
        <w:rPr>
          <w:rFonts w:hint="eastAsia" w:ascii="宋体" w:hAnsi="宋体"/>
          <w:sz w:val="24"/>
        </w:rPr>
      </w:pPr>
      <w:r>
        <w:rPr>
          <w:rFonts w:hint="eastAsia" w:ascii="宋体" w:hAnsi="宋体"/>
          <w:sz w:val="24"/>
        </w:rPr>
        <w:t xml:space="preserve">2.1.1投标函（格式见第六部分附件）； </w:t>
      </w:r>
    </w:p>
    <w:p>
      <w:pPr>
        <w:snapToGrid w:val="0"/>
        <w:spacing w:line="440" w:lineRule="exact"/>
        <w:jc w:val="left"/>
        <w:rPr>
          <w:rFonts w:hint="eastAsia" w:ascii="宋体" w:hAnsi="宋体"/>
          <w:sz w:val="24"/>
        </w:rPr>
      </w:pPr>
      <w:r>
        <w:rPr>
          <w:rFonts w:hint="eastAsia" w:ascii="宋体" w:hAnsi="宋体"/>
          <w:sz w:val="24"/>
        </w:rPr>
        <w:t>2.1.2开标一览表（格式见第六部分附件）；</w:t>
      </w:r>
    </w:p>
    <w:p>
      <w:pPr>
        <w:snapToGrid w:val="0"/>
        <w:spacing w:line="440" w:lineRule="exact"/>
        <w:jc w:val="left"/>
        <w:rPr>
          <w:rFonts w:hint="eastAsia" w:ascii="宋体" w:hAnsi="宋体"/>
          <w:sz w:val="24"/>
        </w:rPr>
      </w:pPr>
      <w:r>
        <w:rPr>
          <w:rFonts w:hint="eastAsia" w:ascii="宋体" w:hAnsi="宋体"/>
          <w:sz w:val="24"/>
        </w:rPr>
        <w:t>2.1.3供应商需要说明的其他文件和说明（格式自拟）。</w:t>
      </w:r>
    </w:p>
    <w:p>
      <w:pPr>
        <w:tabs>
          <w:tab w:val="left" w:pos="3870"/>
          <w:tab w:val="left" w:pos="4085"/>
        </w:tabs>
        <w:snapToGrid w:val="0"/>
        <w:spacing w:line="440" w:lineRule="exact"/>
        <w:ind w:firstLine="480" w:firstLineChars="200"/>
        <w:jc w:val="left"/>
        <w:rPr>
          <w:rFonts w:hint="eastAsia" w:ascii="宋体" w:hAnsi="宋体"/>
          <w:sz w:val="24"/>
        </w:rPr>
      </w:pPr>
      <w:r>
        <w:rPr>
          <w:rFonts w:hint="eastAsia" w:ascii="宋体" w:hAnsi="宋体"/>
          <w:color w:val="000000"/>
          <w:sz w:val="24"/>
        </w:rPr>
        <w:t>以上文件组成“商务文件资料”。供应商在“商务文件资料”中应对招标文件作实质性响应，该项内容将</w:t>
      </w:r>
      <w:r>
        <w:rPr>
          <w:rFonts w:hint="eastAsia" w:ascii="宋体" w:hAnsi="宋体"/>
          <w:sz w:val="24"/>
        </w:rPr>
        <w:t>作为评标重要指标。</w:t>
      </w:r>
    </w:p>
    <w:p>
      <w:pPr>
        <w:pStyle w:val="21"/>
        <w:numPr>
          <w:ilvl w:val="0"/>
          <w:numId w:val="0"/>
        </w:numPr>
        <w:tabs>
          <w:tab w:val="left" w:pos="1854"/>
        </w:tabs>
        <w:spacing w:after="0" w:afterLines="0" w:line="440" w:lineRule="exact"/>
        <w:rPr>
          <w:rFonts w:hint="eastAsia" w:ascii="宋体" w:hAnsi="宋体"/>
        </w:rPr>
      </w:pPr>
      <w:r>
        <w:rPr>
          <w:rFonts w:hint="eastAsia" w:ascii="宋体" w:hAnsi="宋体"/>
        </w:rPr>
        <w:t>2.2 “技术文件资料”至少应包括以下内容（正本用原件）：</w:t>
      </w:r>
    </w:p>
    <w:p>
      <w:pPr>
        <w:snapToGrid w:val="0"/>
        <w:spacing w:line="440" w:lineRule="exact"/>
        <w:jc w:val="left"/>
        <w:rPr>
          <w:rFonts w:hint="eastAsia" w:ascii="宋体" w:hAnsi="宋体"/>
          <w:sz w:val="24"/>
        </w:rPr>
      </w:pPr>
      <w:r>
        <w:rPr>
          <w:rFonts w:hint="eastAsia" w:ascii="宋体" w:hAnsi="宋体"/>
          <w:sz w:val="24"/>
        </w:rPr>
        <w:t>2.2.1法定代表人授权委托书(格式见第六部分附件)；</w:t>
      </w:r>
    </w:p>
    <w:p>
      <w:pPr>
        <w:snapToGrid w:val="0"/>
        <w:spacing w:line="440" w:lineRule="exact"/>
        <w:jc w:val="left"/>
        <w:rPr>
          <w:rFonts w:hint="eastAsia" w:ascii="宋体" w:hAnsi="宋体"/>
          <w:sz w:val="24"/>
        </w:rPr>
      </w:pPr>
      <w:r>
        <w:rPr>
          <w:rFonts w:hint="eastAsia" w:ascii="宋体" w:hAnsi="宋体"/>
          <w:sz w:val="24"/>
        </w:rPr>
        <w:t>2.2.2授权代表社保证明（格式见第六部分附件）；</w:t>
      </w:r>
    </w:p>
    <w:p>
      <w:pPr>
        <w:snapToGrid w:val="0"/>
        <w:spacing w:line="440" w:lineRule="exact"/>
        <w:jc w:val="left"/>
        <w:rPr>
          <w:rFonts w:hint="eastAsia" w:ascii="宋体" w:hAnsi="宋体"/>
          <w:sz w:val="24"/>
        </w:rPr>
      </w:pPr>
      <w:r>
        <w:rPr>
          <w:rFonts w:hint="eastAsia" w:ascii="宋体" w:hAnsi="宋体"/>
          <w:sz w:val="24"/>
        </w:rPr>
        <w:t>2.2.3法定代表人身份证明书（格式见第六部分附件）；</w:t>
      </w:r>
    </w:p>
    <w:p>
      <w:pPr>
        <w:snapToGrid w:val="0"/>
        <w:spacing w:line="440" w:lineRule="exact"/>
        <w:jc w:val="left"/>
        <w:rPr>
          <w:rFonts w:hint="eastAsia" w:ascii="宋体" w:hAnsi="宋体"/>
          <w:sz w:val="24"/>
        </w:rPr>
      </w:pPr>
      <w:r>
        <w:rPr>
          <w:rFonts w:hint="eastAsia" w:ascii="宋体" w:hAnsi="宋体"/>
          <w:sz w:val="24"/>
        </w:rPr>
        <w:t>2.2.4 企业法人营业执照副本复印件（加盖单位公章）；</w:t>
      </w:r>
    </w:p>
    <w:p>
      <w:pPr>
        <w:tabs>
          <w:tab w:val="left" w:pos="3870"/>
          <w:tab w:val="left" w:pos="4085"/>
        </w:tabs>
        <w:snapToGrid w:val="0"/>
        <w:spacing w:line="440" w:lineRule="exact"/>
        <w:jc w:val="left"/>
        <w:rPr>
          <w:rFonts w:hint="eastAsia" w:ascii="宋体" w:hAnsi="宋体"/>
          <w:sz w:val="24"/>
        </w:rPr>
      </w:pPr>
      <w:r>
        <w:rPr>
          <w:rFonts w:hint="eastAsia" w:ascii="宋体" w:hAnsi="宋体"/>
          <w:sz w:val="24"/>
        </w:rPr>
        <w:t>2.2.5相关资质证明或文件复印件（如有，加盖单位公章）；</w:t>
      </w:r>
    </w:p>
    <w:p>
      <w:pPr>
        <w:tabs>
          <w:tab w:val="left" w:pos="3870"/>
          <w:tab w:val="left" w:pos="4085"/>
        </w:tabs>
        <w:snapToGrid w:val="0"/>
        <w:spacing w:line="440" w:lineRule="exact"/>
        <w:jc w:val="left"/>
        <w:rPr>
          <w:rFonts w:hint="eastAsia" w:ascii="宋体" w:hAnsi="宋体"/>
          <w:sz w:val="24"/>
        </w:rPr>
      </w:pPr>
      <w:r>
        <w:rPr>
          <w:rFonts w:hint="eastAsia" w:ascii="宋体" w:hAnsi="宋体"/>
          <w:sz w:val="24"/>
        </w:rPr>
        <w:t>2.2.6技术偏离表（格式见第六部分附件）；</w:t>
      </w:r>
    </w:p>
    <w:p>
      <w:pPr>
        <w:tabs>
          <w:tab w:val="left" w:pos="3870"/>
          <w:tab w:val="left" w:pos="4085"/>
        </w:tabs>
        <w:snapToGrid w:val="0"/>
        <w:spacing w:line="440" w:lineRule="exact"/>
        <w:jc w:val="left"/>
        <w:rPr>
          <w:rFonts w:hint="eastAsia" w:ascii="宋体" w:hAnsi="宋体"/>
          <w:sz w:val="24"/>
        </w:rPr>
      </w:pPr>
      <w:r>
        <w:rPr>
          <w:rFonts w:hint="eastAsia" w:ascii="宋体" w:hAnsi="宋体"/>
          <w:sz w:val="24"/>
        </w:rPr>
        <w:t>2.2.7技术服务、售后服务的内容和措施、技术培训，距招标人最近的服务网点的详细介绍，包括资质资格、技术力量、工作业绩、服务内容及承诺；</w:t>
      </w:r>
    </w:p>
    <w:p>
      <w:pPr>
        <w:tabs>
          <w:tab w:val="left" w:pos="3870"/>
          <w:tab w:val="left" w:pos="4085"/>
        </w:tabs>
        <w:snapToGrid w:val="0"/>
        <w:spacing w:line="440" w:lineRule="exact"/>
        <w:jc w:val="left"/>
        <w:rPr>
          <w:rFonts w:hint="eastAsia" w:ascii="宋体" w:hAnsi="宋体"/>
          <w:sz w:val="24"/>
        </w:rPr>
      </w:pPr>
      <w:r>
        <w:rPr>
          <w:rFonts w:hint="eastAsia" w:ascii="宋体" w:hAnsi="宋体"/>
          <w:sz w:val="24"/>
        </w:rPr>
        <w:t>2.2.8优惠条件：供应商承诺给予招标人的各种优惠条件，包括设备价格、运输、保险、安装调试、付款条件、技术服务、售后服务等方面的优惠；当优惠条件涉及“报价单”中的各项费用时，必须与投标价格相统一；（如有）</w:t>
      </w:r>
    </w:p>
    <w:p>
      <w:pPr>
        <w:tabs>
          <w:tab w:val="left" w:pos="3870"/>
          <w:tab w:val="left" w:pos="4085"/>
        </w:tabs>
        <w:snapToGrid w:val="0"/>
        <w:spacing w:line="440" w:lineRule="exact"/>
        <w:jc w:val="left"/>
        <w:rPr>
          <w:rFonts w:hint="eastAsia" w:ascii="宋体" w:hAnsi="宋体"/>
          <w:sz w:val="24"/>
        </w:rPr>
      </w:pPr>
      <w:r>
        <w:rPr>
          <w:rFonts w:hint="eastAsia" w:ascii="宋体" w:hAnsi="宋体"/>
          <w:sz w:val="24"/>
        </w:rPr>
        <w:t>2.2.9供应商情况介绍；</w:t>
      </w:r>
    </w:p>
    <w:p>
      <w:pPr>
        <w:widowControl/>
        <w:snapToGrid w:val="0"/>
        <w:spacing w:line="440" w:lineRule="exact"/>
        <w:jc w:val="left"/>
        <w:rPr>
          <w:rFonts w:hint="eastAsia" w:ascii="宋体" w:hAnsi="宋体"/>
          <w:sz w:val="24"/>
        </w:rPr>
      </w:pPr>
      <w:r>
        <w:rPr>
          <w:rFonts w:hint="eastAsia" w:ascii="宋体" w:hAnsi="宋体"/>
          <w:sz w:val="24"/>
        </w:rPr>
        <w:t>2.2.10投标响应承诺书（格式见第六部分附件）</w:t>
      </w:r>
    </w:p>
    <w:p>
      <w:pPr>
        <w:snapToGrid w:val="0"/>
        <w:spacing w:line="440" w:lineRule="exact"/>
        <w:jc w:val="left"/>
        <w:rPr>
          <w:rFonts w:hint="eastAsia" w:ascii="宋体" w:hAnsi="宋体"/>
          <w:sz w:val="24"/>
        </w:rPr>
      </w:pPr>
      <w:r>
        <w:rPr>
          <w:rFonts w:hint="eastAsia" w:ascii="宋体" w:hAnsi="宋体"/>
          <w:sz w:val="24"/>
        </w:rPr>
        <w:t>2.2.11</w:t>
      </w:r>
      <w:r>
        <w:rPr>
          <w:rFonts w:hint="eastAsia" w:ascii="宋体" w:hAnsi="宋体"/>
          <w:sz w:val="24"/>
          <w:u w:val="wave"/>
        </w:rPr>
        <w:t>未尽事宜请各投标单位按评分细则和相对应标项相关要求制作(重要)</w:t>
      </w:r>
      <w:r>
        <w:rPr>
          <w:rFonts w:hint="eastAsia" w:ascii="宋体" w:hAnsi="宋体"/>
          <w:sz w:val="24"/>
        </w:rPr>
        <w:t>；</w:t>
      </w:r>
    </w:p>
    <w:p>
      <w:pPr>
        <w:pStyle w:val="21"/>
        <w:numPr>
          <w:ilvl w:val="0"/>
          <w:numId w:val="0"/>
        </w:numPr>
        <w:tabs>
          <w:tab w:val="left" w:pos="1854"/>
        </w:tabs>
        <w:spacing w:after="0" w:afterLines="0" w:line="440" w:lineRule="exact"/>
        <w:rPr>
          <w:rFonts w:hint="eastAsia" w:ascii="宋体" w:hAnsi="宋体"/>
        </w:rPr>
      </w:pPr>
      <w:r>
        <w:rPr>
          <w:rFonts w:hint="eastAsia" w:ascii="宋体" w:hAnsi="宋体"/>
        </w:rPr>
        <w:t>2.2.12供应商需要说明的其他文件和说明（格式自拟）。</w:t>
      </w:r>
    </w:p>
    <w:p>
      <w:pPr>
        <w:tabs>
          <w:tab w:val="left" w:pos="3870"/>
          <w:tab w:val="left" w:pos="4085"/>
        </w:tabs>
        <w:snapToGrid w:val="0"/>
        <w:spacing w:line="440" w:lineRule="exact"/>
        <w:ind w:firstLine="480" w:firstLineChars="200"/>
        <w:jc w:val="left"/>
        <w:rPr>
          <w:rFonts w:hint="eastAsia" w:ascii="宋体" w:hAnsi="宋体"/>
          <w:color w:val="000000"/>
          <w:sz w:val="24"/>
        </w:rPr>
      </w:pPr>
      <w:r>
        <w:rPr>
          <w:rFonts w:hint="eastAsia" w:ascii="宋体" w:hAnsi="宋体"/>
          <w:color w:val="000000"/>
          <w:sz w:val="24"/>
        </w:rPr>
        <w:t>以上文件组成“技术文件资料”。供应商在“技术文件资料”中应对招标文件作实质性响应，该项内容将作为评标重要指标。</w:t>
      </w:r>
    </w:p>
    <w:p>
      <w:pPr>
        <w:pStyle w:val="21"/>
        <w:numPr>
          <w:ilvl w:val="0"/>
          <w:numId w:val="0"/>
        </w:numPr>
        <w:tabs>
          <w:tab w:val="left" w:pos="1854"/>
        </w:tabs>
        <w:spacing w:after="0" w:afterLines="0" w:line="440" w:lineRule="exact"/>
        <w:ind w:right="-78" w:rightChars="-37" w:firstLine="480" w:firstLineChars="200"/>
        <w:rPr>
          <w:rFonts w:hint="eastAsia" w:ascii="宋体" w:hAnsi="宋体"/>
          <w:b/>
        </w:rPr>
      </w:pPr>
      <w:r>
        <w:rPr>
          <w:rFonts w:hint="eastAsia" w:ascii="宋体" w:hAnsi="宋体"/>
          <w:color w:val="000000"/>
        </w:rPr>
        <w:t>供应商不按招标文件的要求提供的投标响应文件，将视为没有实质性响应，可能导致该投标响应文件被拒绝，其风险应由供应商自行承担。</w:t>
      </w:r>
    </w:p>
    <w:p>
      <w:pPr>
        <w:tabs>
          <w:tab w:val="left" w:pos="3870"/>
        </w:tabs>
        <w:snapToGrid w:val="0"/>
        <w:spacing w:line="440" w:lineRule="exact"/>
        <w:jc w:val="left"/>
        <w:rPr>
          <w:rFonts w:hint="eastAsia" w:ascii="宋体" w:hAnsi="宋体"/>
          <w:b/>
          <w:color w:val="000000"/>
          <w:sz w:val="24"/>
        </w:rPr>
      </w:pPr>
      <w:r>
        <w:rPr>
          <w:rFonts w:hint="eastAsia" w:ascii="宋体" w:hAnsi="宋体"/>
          <w:b/>
          <w:color w:val="000000"/>
          <w:sz w:val="24"/>
        </w:rPr>
        <w:t>注：复印件应加盖供应商公章</w:t>
      </w:r>
    </w:p>
    <w:p>
      <w:pPr>
        <w:spacing w:line="440" w:lineRule="exact"/>
        <w:jc w:val="left"/>
        <w:rPr>
          <w:rFonts w:hint="eastAsia" w:ascii="宋体" w:hAnsi="宋体"/>
          <w:b/>
          <w:color w:val="000000"/>
          <w:sz w:val="24"/>
        </w:rPr>
      </w:pPr>
      <w:r>
        <w:rPr>
          <w:rFonts w:hint="eastAsia" w:ascii="宋体" w:hAnsi="宋体"/>
          <w:b/>
          <w:color w:val="000000"/>
          <w:sz w:val="24"/>
        </w:rPr>
        <w:t>3. 投标报价</w:t>
      </w:r>
    </w:p>
    <w:p>
      <w:pPr>
        <w:pStyle w:val="25"/>
        <w:spacing w:line="440" w:lineRule="exact"/>
        <w:jc w:val="left"/>
        <w:rPr>
          <w:rFonts w:hint="eastAsia" w:hAnsi="宋体"/>
          <w:sz w:val="24"/>
        </w:rPr>
      </w:pPr>
      <w:r>
        <w:rPr>
          <w:rFonts w:hint="eastAsia" w:hAnsi="宋体"/>
          <w:color w:val="000000"/>
          <w:sz w:val="24"/>
        </w:rPr>
        <w:t>3.1供应商应按招标</w:t>
      </w:r>
      <w:r>
        <w:rPr>
          <w:rFonts w:hint="eastAsia" w:hAnsi="宋体"/>
          <w:sz w:val="24"/>
        </w:rPr>
        <w:t>文件中《开标一览表》等附表要求填写。</w:t>
      </w:r>
    </w:p>
    <w:p>
      <w:pPr>
        <w:pStyle w:val="25"/>
        <w:spacing w:line="440" w:lineRule="exact"/>
        <w:jc w:val="left"/>
        <w:rPr>
          <w:rFonts w:hint="eastAsia" w:hAnsi="宋体"/>
          <w:sz w:val="24"/>
          <w:szCs w:val="24"/>
        </w:rPr>
      </w:pPr>
      <w:r>
        <w:rPr>
          <w:rFonts w:hint="eastAsia" w:hAnsi="宋体"/>
          <w:sz w:val="24"/>
          <w:szCs w:val="24"/>
        </w:rPr>
        <w:t>3.2投标报价为采购人可以合格使用产品的价格，包括货款、包装、运输、保险、货到就位以及安装、调试、培训、保修及产品知识产权等一切费用。</w:t>
      </w:r>
    </w:p>
    <w:p>
      <w:pPr>
        <w:pStyle w:val="25"/>
        <w:spacing w:line="440" w:lineRule="exact"/>
        <w:jc w:val="left"/>
        <w:rPr>
          <w:rFonts w:hint="eastAsia" w:hAnsi="宋体"/>
          <w:sz w:val="24"/>
          <w:szCs w:val="24"/>
        </w:rPr>
      </w:pPr>
      <w:r>
        <w:rPr>
          <w:rFonts w:hint="eastAsia" w:hAnsi="宋体"/>
          <w:sz w:val="24"/>
          <w:szCs w:val="24"/>
        </w:rPr>
        <w:t>3.3招标文件未列明，而供应商认为必需的费用也需列入报价。</w:t>
      </w:r>
    </w:p>
    <w:p>
      <w:pPr>
        <w:pStyle w:val="25"/>
        <w:spacing w:line="440" w:lineRule="exact"/>
        <w:jc w:val="left"/>
        <w:rPr>
          <w:rFonts w:hint="eastAsia" w:hAnsi="宋体"/>
          <w:sz w:val="24"/>
          <w:szCs w:val="24"/>
        </w:rPr>
      </w:pPr>
      <w:r>
        <w:rPr>
          <w:rFonts w:hint="eastAsia" w:hAnsi="宋体"/>
          <w:sz w:val="24"/>
          <w:szCs w:val="24"/>
        </w:rPr>
        <w:t>3.4对于可能有配件、耗材、选件和特殊工具的服务，还应填报投标设备配件、耗材、选件表和备件及特殊工具清单，注明品牌、型号、产地、功能、单价、批量折扣等内容，该表格的格式由供应商自行设计。</w:t>
      </w:r>
    </w:p>
    <w:p>
      <w:pPr>
        <w:tabs>
          <w:tab w:val="left" w:pos="525"/>
        </w:tabs>
        <w:spacing w:line="440" w:lineRule="exact"/>
        <w:jc w:val="left"/>
        <w:rPr>
          <w:rFonts w:hint="eastAsia" w:ascii="宋体" w:hAnsi="宋体"/>
          <w:b/>
          <w:i/>
          <w:sz w:val="24"/>
        </w:rPr>
      </w:pPr>
      <w:r>
        <w:rPr>
          <w:rFonts w:hint="eastAsia" w:ascii="宋体" w:hAnsi="宋体"/>
          <w:sz w:val="24"/>
        </w:rPr>
        <w:t>3.5</w:t>
      </w:r>
      <w:r>
        <w:rPr>
          <w:rFonts w:hint="eastAsia" w:ascii="宋体" w:hAnsi="宋体"/>
          <w:b/>
          <w:i/>
          <w:sz w:val="24"/>
        </w:rPr>
        <w:t>投标报价只允许有一个报价，有选择的报价将不予接受（除指定外）。</w:t>
      </w:r>
    </w:p>
    <w:p>
      <w:pPr>
        <w:pStyle w:val="14"/>
        <w:numPr>
          <w:ilvl w:val="0"/>
          <w:numId w:val="0"/>
        </w:numPr>
        <w:spacing w:after="0" w:afterLines="0" w:line="440" w:lineRule="atLeast"/>
        <w:rPr>
          <w:rFonts w:hint="eastAsia" w:ascii="宋体" w:hAnsi="宋体"/>
          <w:b/>
          <w:color w:val="000000"/>
          <w:szCs w:val="24"/>
        </w:rPr>
      </w:pPr>
      <w:r>
        <w:rPr>
          <w:rFonts w:hint="eastAsia" w:ascii="宋体" w:hAnsi="宋体"/>
          <w:b/>
          <w:color w:val="000000"/>
          <w:szCs w:val="24"/>
        </w:rPr>
        <w:t>4.投标响应文件的有效期</w:t>
      </w:r>
    </w:p>
    <w:p>
      <w:pPr>
        <w:pStyle w:val="14"/>
        <w:numPr>
          <w:ilvl w:val="0"/>
          <w:numId w:val="0"/>
        </w:numPr>
        <w:spacing w:after="0" w:afterLines="0" w:line="440" w:lineRule="atLeast"/>
        <w:rPr>
          <w:rFonts w:hint="eastAsia" w:ascii="宋体" w:hAnsi="宋体"/>
          <w:color w:val="000000"/>
          <w:szCs w:val="24"/>
        </w:rPr>
      </w:pPr>
      <w:r>
        <w:rPr>
          <w:rFonts w:hint="eastAsia" w:ascii="宋体" w:hAnsi="宋体"/>
          <w:color w:val="000000"/>
          <w:szCs w:val="24"/>
        </w:rPr>
        <w:t>4.1</w:t>
      </w:r>
      <w:r>
        <w:rPr>
          <w:rFonts w:hint="eastAsia" w:ascii="宋体" w:hAnsi="宋体"/>
        </w:rPr>
        <w:t>自投标截止日起45天</w:t>
      </w:r>
      <w:r>
        <w:rPr>
          <w:rFonts w:hint="eastAsia" w:ascii="宋体" w:hAnsi="宋体"/>
          <w:szCs w:val="24"/>
        </w:rPr>
        <w:t>投标响应文件应保持有效</w:t>
      </w:r>
      <w:r>
        <w:rPr>
          <w:rFonts w:hint="eastAsia" w:ascii="宋体" w:hAnsi="宋体"/>
        </w:rPr>
        <w:t>。如采购人认为必要，可延长至总计最长不超过60天</w:t>
      </w:r>
      <w:r>
        <w:rPr>
          <w:rFonts w:hint="eastAsia" w:ascii="宋体" w:hAnsi="宋体"/>
          <w:szCs w:val="24"/>
        </w:rPr>
        <w:t>。有效期短于这个规定期限的投标响应文件将被拒绝。</w:t>
      </w:r>
    </w:p>
    <w:p>
      <w:pPr>
        <w:pStyle w:val="14"/>
        <w:numPr>
          <w:ilvl w:val="0"/>
          <w:numId w:val="0"/>
        </w:numPr>
        <w:spacing w:after="0" w:afterLines="0" w:line="440" w:lineRule="atLeast"/>
        <w:rPr>
          <w:rFonts w:hint="eastAsia" w:ascii="宋体" w:hAnsi="宋体"/>
          <w:color w:val="000000"/>
          <w:szCs w:val="24"/>
        </w:rPr>
      </w:pPr>
      <w:r>
        <w:rPr>
          <w:rFonts w:hint="eastAsia" w:ascii="宋体" w:hAnsi="宋体"/>
          <w:color w:val="000000"/>
          <w:szCs w:val="24"/>
        </w:rPr>
        <w:t>4.2</w:t>
      </w:r>
      <w:r>
        <w:rPr>
          <w:rFonts w:hint="eastAsia" w:ascii="宋体" w:hAnsi="宋体"/>
          <w:szCs w:val="24"/>
        </w:rPr>
        <w:t>在特殊情况下，采购人、采购代理机构可与供应商协商延长投标响应文件的有效期，这种要求和答复均以书面形式进行。</w:t>
      </w:r>
    </w:p>
    <w:p>
      <w:pPr>
        <w:pStyle w:val="14"/>
        <w:numPr>
          <w:ilvl w:val="0"/>
          <w:numId w:val="0"/>
        </w:numPr>
        <w:spacing w:after="0" w:afterLines="0" w:line="440" w:lineRule="atLeast"/>
        <w:rPr>
          <w:rFonts w:hint="eastAsia" w:ascii="宋体" w:hAnsi="宋体"/>
          <w:color w:val="000000"/>
          <w:szCs w:val="24"/>
        </w:rPr>
      </w:pPr>
      <w:r>
        <w:rPr>
          <w:rFonts w:hint="eastAsia" w:ascii="宋体" w:hAnsi="宋体"/>
          <w:color w:val="000000"/>
          <w:szCs w:val="24"/>
        </w:rPr>
        <w:t>4.3</w:t>
      </w:r>
      <w:r>
        <w:rPr>
          <w:rFonts w:hint="eastAsia" w:ascii="宋体" w:hAnsi="宋体"/>
          <w:szCs w:val="24"/>
        </w:rPr>
        <w:t>供应商可拒绝接受延期要求而不会导致投标保证金被没收。同意延长有效期的供应商不能修改投标响应文件。</w:t>
      </w:r>
    </w:p>
    <w:p>
      <w:pPr>
        <w:snapToGrid w:val="0"/>
        <w:spacing w:line="440" w:lineRule="exact"/>
        <w:jc w:val="left"/>
        <w:rPr>
          <w:rFonts w:hint="eastAsia" w:ascii="宋体" w:hAnsi="宋体"/>
          <w:b/>
          <w:color w:val="000000"/>
          <w:sz w:val="24"/>
        </w:rPr>
      </w:pPr>
      <w:r>
        <w:rPr>
          <w:rFonts w:hint="eastAsia" w:ascii="宋体" w:hAnsi="宋体"/>
          <w:b/>
          <w:color w:val="000000"/>
          <w:sz w:val="24"/>
        </w:rPr>
        <w:t>5.投标响应文件的份数和规定</w:t>
      </w:r>
    </w:p>
    <w:p>
      <w:pPr>
        <w:snapToGrid w:val="0"/>
        <w:spacing w:line="440" w:lineRule="exact"/>
        <w:jc w:val="left"/>
        <w:rPr>
          <w:rFonts w:hint="eastAsia" w:ascii="宋体" w:hAnsi="宋体"/>
          <w:sz w:val="24"/>
        </w:rPr>
      </w:pPr>
      <w:r>
        <w:rPr>
          <w:rFonts w:hint="eastAsia" w:ascii="宋体" w:hAnsi="宋体"/>
          <w:color w:val="000000"/>
          <w:sz w:val="24"/>
        </w:rPr>
        <w:t>5.1</w:t>
      </w:r>
      <w:r>
        <w:rPr>
          <w:rFonts w:hint="eastAsia" w:ascii="宋体" w:hAnsi="宋体"/>
          <w:sz w:val="24"/>
        </w:rPr>
        <w:t>投标响应文件的正本需打印或用不褪色的墨水填写，不允许行间插字，并注明“正本”字样，投标响应文件正本除本招标须知中规定的可提供复印件外均须提供原件。副本为正本的复印件。</w:t>
      </w:r>
    </w:p>
    <w:p>
      <w:pPr>
        <w:pStyle w:val="25"/>
        <w:spacing w:line="440" w:lineRule="exact"/>
        <w:jc w:val="left"/>
        <w:rPr>
          <w:rFonts w:hint="eastAsia" w:hAnsi="宋体"/>
          <w:sz w:val="24"/>
          <w:szCs w:val="24"/>
        </w:rPr>
      </w:pPr>
      <w:r>
        <w:rPr>
          <w:rFonts w:hint="eastAsia" w:hAnsi="宋体"/>
          <w:sz w:val="24"/>
          <w:szCs w:val="24"/>
        </w:rPr>
        <w:t>5.2投标响应文件由“技术文件资料”和“商务文件资料”两部分文件组成，应按统一格式填写，装订成册。并在封面处明确注明“技术文件资料”或“商务文件资料”。</w:t>
      </w:r>
    </w:p>
    <w:p>
      <w:pPr>
        <w:pStyle w:val="25"/>
        <w:spacing w:line="440" w:lineRule="exact"/>
        <w:jc w:val="left"/>
        <w:rPr>
          <w:rFonts w:hint="eastAsia" w:hAnsi="宋体"/>
          <w:color w:val="000000"/>
          <w:sz w:val="24"/>
          <w:szCs w:val="24"/>
        </w:rPr>
      </w:pPr>
      <w:r>
        <w:rPr>
          <w:rFonts w:hint="eastAsia" w:hAnsi="宋体"/>
          <w:color w:val="000000"/>
          <w:sz w:val="24"/>
          <w:szCs w:val="24"/>
        </w:rPr>
        <w:t>5.3投标响应文件一式五份，其中正本一份，副本四份。</w:t>
      </w:r>
    </w:p>
    <w:p>
      <w:pPr>
        <w:pStyle w:val="25"/>
        <w:spacing w:line="440" w:lineRule="exact"/>
        <w:jc w:val="left"/>
        <w:rPr>
          <w:rFonts w:hint="eastAsia" w:hAnsi="宋体"/>
          <w:color w:val="000000"/>
          <w:sz w:val="24"/>
          <w:szCs w:val="24"/>
        </w:rPr>
      </w:pPr>
      <w:r>
        <w:rPr>
          <w:rFonts w:hint="eastAsia" w:hAnsi="宋体"/>
          <w:color w:val="000000"/>
          <w:sz w:val="24"/>
          <w:szCs w:val="24"/>
        </w:rPr>
        <w:t>5.4投标响应文件须由供应商在规定位置盖章并由</w:t>
      </w:r>
      <w:r>
        <w:rPr>
          <w:rFonts w:hint="eastAsia" w:hAnsi="宋体"/>
          <w:sz w:val="24"/>
          <w:szCs w:val="24"/>
        </w:rPr>
        <w:t>法定代表人或其授权代表</w:t>
      </w:r>
      <w:r>
        <w:rPr>
          <w:rFonts w:hint="eastAsia" w:hAnsi="宋体"/>
          <w:color w:val="000000"/>
          <w:sz w:val="24"/>
          <w:szCs w:val="24"/>
        </w:rPr>
        <w:t xml:space="preserve">签署，供应商应写全称。 </w:t>
      </w:r>
    </w:p>
    <w:p>
      <w:pPr>
        <w:pStyle w:val="25"/>
        <w:spacing w:line="440" w:lineRule="exact"/>
        <w:jc w:val="left"/>
        <w:rPr>
          <w:rFonts w:hint="eastAsia" w:hAnsi="宋体"/>
          <w:sz w:val="24"/>
          <w:szCs w:val="24"/>
        </w:rPr>
      </w:pPr>
      <w:r>
        <w:rPr>
          <w:rFonts w:hint="eastAsia" w:hAnsi="宋体"/>
          <w:color w:val="000000"/>
          <w:sz w:val="24"/>
          <w:szCs w:val="24"/>
        </w:rPr>
        <w:t>5.5投标响应文件不得涂改，若有修改错漏处，须加盖单位公章或者</w:t>
      </w:r>
      <w:r>
        <w:rPr>
          <w:rFonts w:hint="eastAsia" w:hAnsi="宋体"/>
          <w:sz w:val="24"/>
          <w:szCs w:val="24"/>
        </w:rPr>
        <w:t>法定代表人或其授权代表签字或盖章。</w:t>
      </w:r>
    </w:p>
    <w:p>
      <w:pPr>
        <w:snapToGrid w:val="0"/>
        <w:spacing w:line="440" w:lineRule="exact"/>
        <w:jc w:val="left"/>
        <w:rPr>
          <w:rFonts w:hint="eastAsia" w:ascii="宋体" w:hAnsi="宋体"/>
          <w:color w:val="000000"/>
          <w:sz w:val="24"/>
        </w:rPr>
      </w:pPr>
      <w:r>
        <w:rPr>
          <w:rFonts w:hint="eastAsia" w:ascii="宋体" w:hAnsi="宋体"/>
          <w:color w:val="000000"/>
          <w:sz w:val="24"/>
        </w:rPr>
        <w:t>5.6投标响应文件因字迹潦草或表达不清所引起的后果由供应商负责。</w:t>
      </w:r>
    </w:p>
    <w:p>
      <w:pPr>
        <w:spacing w:line="440" w:lineRule="exact"/>
        <w:jc w:val="left"/>
        <w:rPr>
          <w:rFonts w:hint="eastAsia" w:ascii="宋体" w:hAnsi="宋体"/>
          <w:color w:val="000000"/>
          <w:sz w:val="24"/>
        </w:rPr>
      </w:pPr>
      <w:r>
        <w:rPr>
          <w:rFonts w:hint="eastAsia" w:ascii="宋体" w:hAnsi="宋体"/>
          <w:color w:val="000000"/>
          <w:sz w:val="24"/>
        </w:rPr>
        <w:t>5.7供应商应认真阅读招标文件中所有的内容。如果供应商编制的投标响应文件实质上不响应招标文件的要求，其投标响应文件将被招标人拒绝。</w:t>
      </w:r>
    </w:p>
    <w:p>
      <w:pPr>
        <w:spacing w:line="440" w:lineRule="exact"/>
        <w:jc w:val="left"/>
        <w:rPr>
          <w:rFonts w:hint="eastAsia" w:ascii="宋体" w:hAnsi="宋体"/>
          <w:color w:val="000000"/>
          <w:sz w:val="24"/>
        </w:rPr>
      </w:pPr>
      <w:r>
        <w:rPr>
          <w:rFonts w:hint="eastAsia" w:ascii="宋体" w:hAnsi="宋体"/>
          <w:color w:val="000000"/>
          <w:sz w:val="24"/>
        </w:rPr>
        <w:t>5.8</w:t>
      </w:r>
      <w:r>
        <w:rPr>
          <w:rFonts w:hint="eastAsia" w:ascii="宋体" w:hAnsi="宋体" w:cs="仿宋_GB2312"/>
          <w:sz w:val="24"/>
        </w:rPr>
        <w:t>投标响应文件建议采用A4幅面，按顺序统一编目编码装订成册。</w:t>
      </w:r>
      <w:r>
        <w:rPr>
          <w:rFonts w:hint="eastAsia" w:ascii="宋体" w:hAnsi="宋体" w:cs="仿宋_GB2312"/>
          <w:b/>
          <w:sz w:val="24"/>
        </w:rPr>
        <w:t>提倡双面打印</w:t>
      </w:r>
      <w:r>
        <w:rPr>
          <w:rFonts w:hint="eastAsia" w:ascii="宋体" w:hAnsi="宋体" w:cs="仿宋_GB2312"/>
          <w:sz w:val="24"/>
        </w:rPr>
        <w:t>。</w:t>
      </w:r>
    </w:p>
    <w:p>
      <w:pPr>
        <w:snapToGrid w:val="0"/>
        <w:spacing w:line="440" w:lineRule="exact"/>
        <w:jc w:val="left"/>
        <w:rPr>
          <w:rFonts w:hint="eastAsia" w:ascii="宋体" w:hAnsi="宋体"/>
          <w:b/>
          <w:sz w:val="24"/>
        </w:rPr>
      </w:pPr>
      <w:r>
        <w:rPr>
          <w:rFonts w:hint="eastAsia" w:ascii="宋体" w:hAnsi="宋体"/>
          <w:b/>
          <w:sz w:val="24"/>
        </w:rPr>
        <w:t>6. 投标响应文件的密封、盖章和签署</w:t>
      </w:r>
    </w:p>
    <w:p>
      <w:pPr>
        <w:pStyle w:val="25"/>
        <w:spacing w:line="440" w:lineRule="exact"/>
        <w:ind w:firstLine="480" w:firstLineChars="200"/>
        <w:jc w:val="left"/>
        <w:rPr>
          <w:rFonts w:hint="eastAsia" w:hAnsi="宋体"/>
          <w:kern w:val="0"/>
          <w:sz w:val="24"/>
        </w:rPr>
      </w:pPr>
      <w:r>
        <w:rPr>
          <w:rFonts w:hint="eastAsia" w:hAnsi="宋体"/>
          <w:sz w:val="24"/>
        </w:rPr>
        <w:t xml:space="preserve"> “技术文件资料”、“商务文件资料”</w:t>
      </w:r>
      <w:r>
        <w:rPr>
          <w:rFonts w:hint="eastAsia" w:hAnsi="宋体"/>
          <w:b/>
          <w:sz w:val="24"/>
        </w:rPr>
        <w:t>应分二部份分别密封封装</w:t>
      </w:r>
      <w:r>
        <w:rPr>
          <w:rFonts w:hint="eastAsia" w:hAnsi="宋体"/>
          <w:sz w:val="24"/>
        </w:rPr>
        <w:t>，</w:t>
      </w:r>
      <w:r>
        <w:rPr>
          <w:rFonts w:hint="eastAsia" w:hAnsi="宋体"/>
          <w:b/>
          <w:sz w:val="24"/>
        </w:rPr>
        <w:t>按统一格式填写，装订成册。</w:t>
      </w:r>
      <w:r>
        <w:rPr>
          <w:rFonts w:hint="eastAsia" w:hAnsi="宋体"/>
          <w:sz w:val="24"/>
        </w:rPr>
        <w:t>各供应商在编制投标响应文件时请按照招标文件第六部分规定的格式进行，混乱的编排导致投标响应文件被误读或评标委员会查找不到有效  文件是供应商的风险。并明确注明“技术文件资料或商务文件资料、项目名称、供应商名称”字样，同时封口处加盖骑缝单位公章和法定代表人或授权委托人签字或盖章。</w:t>
      </w:r>
    </w:p>
    <w:p>
      <w:pPr>
        <w:widowControl/>
        <w:snapToGrid w:val="0"/>
        <w:spacing w:line="440" w:lineRule="exact"/>
        <w:rPr>
          <w:rFonts w:hint="eastAsia" w:ascii="宋体" w:hAnsi="宋体"/>
          <w:b/>
          <w:kern w:val="0"/>
          <w:sz w:val="24"/>
        </w:rPr>
      </w:pPr>
      <w:r>
        <w:rPr>
          <w:rFonts w:hint="eastAsia" w:ascii="宋体" w:hAnsi="宋体"/>
          <w:b/>
          <w:sz w:val="24"/>
        </w:rPr>
        <w:t>7．</w:t>
      </w:r>
      <w:r>
        <w:rPr>
          <w:rFonts w:hint="eastAsia" w:ascii="宋体" w:hAnsi="宋体"/>
          <w:b/>
          <w:kern w:val="0"/>
          <w:sz w:val="24"/>
        </w:rPr>
        <w:t>投标响应文件的补充和修改</w:t>
      </w:r>
    </w:p>
    <w:p>
      <w:pPr>
        <w:widowControl/>
        <w:snapToGrid w:val="0"/>
        <w:spacing w:line="440" w:lineRule="exact"/>
        <w:ind w:firstLine="480" w:firstLineChars="200"/>
        <w:rPr>
          <w:rFonts w:hint="eastAsia" w:ascii="宋体" w:hAnsi="宋体"/>
          <w:kern w:val="0"/>
          <w:sz w:val="24"/>
        </w:rPr>
      </w:pPr>
      <w:r>
        <w:rPr>
          <w:rFonts w:hint="eastAsia" w:ascii="宋体" w:hAnsi="宋体"/>
          <w:kern w:val="0"/>
          <w:sz w:val="24"/>
        </w:rPr>
        <w:t>投标截止时间前，供应商可以书面形式向采购人、采购代理机构提出对投标响应文件进行补充和修改，相应部分以最后的补充和修改为准。该书面材料应密封，</w:t>
      </w:r>
      <w:r>
        <w:rPr>
          <w:rFonts w:hint="eastAsia" w:ascii="宋体" w:hAnsi="宋体"/>
          <w:sz w:val="24"/>
        </w:rPr>
        <w:t>并明确注明“</w:t>
      </w:r>
      <w:r>
        <w:rPr>
          <w:rFonts w:hint="eastAsia" w:ascii="宋体" w:hAnsi="宋体"/>
          <w:kern w:val="0"/>
          <w:sz w:val="24"/>
        </w:rPr>
        <w:t>修改（或补充）技术文件资料或商务文件资料、项目名称、供应商名称</w:t>
      </w:r>
      <w:r>
        <w:rPr>
          <w:rFonts w:hint="eastAsia" w:ascii="宋体" w:hAnsi="宋体"/>
          <w:sz w:val="24"/>
        </w:rPr>
        <w:t>”</w:t>
      </w:r>
      <w:r>
        <w:rPr>
          <w:rFonts w:hint="eastAsia" w:ascii="宋体" w:hAnsi="宋体"/>
          <w:kern w:val="0"/>
          <w:sz w:val="24"/>
        </w:rPr>
        <w:t>字样</w:t>
      </w:r>
      <w:r>
        <w:rPr>
          <w:rFonts w:hint="eastAsia" w:ascii="宋体" w:hAnsi="宋体"/>
          <w:sz w:val="24"/>
        </w:rPr>
        <w:t>，</w:t>
      </w:r>
      <w:r>
        <w:rPr>
          <w:rFonts w:hint="eastAsia" w:ascii="宋体" w:hAnsi="宋体"/>
          <w:kern w:val="0"/>
          <w:sz w:val="24"/>
        </w:rPr>
        <w:t>同时</w:t>
      </w:r>
      <w:r>
        <w:rPr>
          <w:rFonts w:hint="eastAsia" w:ascii="宋体" w:hAnsi="宋体"/>
          <w:sz w:val="24"/>
        </w:rPr>
        <w:t>封口处</w:t>
      </w:r>
      <w:r>
        <w:rPr>
          <w:rFonts w:hint="eastAsia" w:ascii="宋体" w:hAnsi="宋体"/>
          <w:kern w:val="0"/>
          <w:sz w:val="24"/>
        </w:rPr>
        <w:t>由</w:t>
      </w:r>
      <w:r>
        <w:rPr>
          <w:rFonts w:hint="eastAsia" w:ascii="宋体" w:hAnsi="宋体"/>
          <w:sz w:val="24"/>
        </w:rPr>
        <w:t>法定代表人或其授权代表签字或盖章</w:t>
      </w:r>
      <w:r>
        <w:rPr>
          <w:rFonts w:hint="eastAsia" w:ascii="宋体" w:hAnsi="宋体"/>
          <w:kern w:val="0"/>
          <w:sz w:val="24"/>
        </w:rPr>
        <w:t>。</w:t>
      </w:r>
    </w:p>
    <w:p>
      <w:pPr>
        <w:jc w:val="center"/>
        <w:rPr>
          <w:rFonts w:hint="eastAsia" w:ascii="宋体" w:hAnsi="宋体"/>
          <w:b/>
          <w:color w:val="000000"/>
          <w:sz w:val="32"/>
          <w:szCs w:val="32"/>
        </w:rPr>
      </w:pPr>
      <w:r>
        <w:rPr>
          <w:rFonts w:hint="eastAsia" w:ascii="宋体" w:hAnsi="宋体"/>
          <w:b/>
          <w:color w:val="000000"/>
          <w:sz w:val="32"/>
          <w:szCs w:val="32"/>
        </w:rPr>
        <w:t>四、开标和评标</w:t>
      </w:r>
    </w:p>
    <w:p>
      <w:pPr>
        <w:snapToGrid w:val="0"/>
        <w:spacing w:line="440" w:lineRule="exact"/>
        <w:jc w:val="left"/>
        <w:rPr>
          <w:rFonts w:ascii="宋体" w:hAnsi="宋体"/>
          <w:b/>
          <w:kern w:val="0"/>
          <w:sz w:val="24"/>
        </w:rPr>
      </w:pPr>
      <w:r>
        <w:rPr>
          <w:rFonts w:hint="eastAsia" w:ascii="宋体" w:hAnsi="宋体"/>
          <w:b/>
          <w:kern w:val="0"/>
          <w:sz w:val="24"/>
        </w:rPr>
        <w:t>1．开标</w:t>
      </w:r>
    </w:p>
    <w:p>
      <w:pPr>
        <w:snapToGrid w:val="0"/>
        <w:spacing w:line="480" w:lineRule="exact"/>
        <w:jc w:val="left"/>
        <w:rPr>
          <w:rFonts w:ascii="宋体" w:hAnsi="宋体"/>
          <w:kern w:val="0"/>
          <w:sz w:val="24"/>
        </w:rPr>
      </w:pPr>
      <w:r>
        <w:rPr>
          <w:rFonts w:hint="eastAsia" w:ascii="宋体" w:hAnsi="宋体"/>
          <w:kern w:val="0"/>
          <w:sz w:val="24"/>
        </w:rPr>
        <w:t>1.1 投标人的法定代表人或其授权代表需出席开标会议。</w:t>
      </w:r>
    </w:p>
    <w:p>
      <w:pPr>
        <w:snapToGrid w:val="0"/>
        <w:spacing w:line="480" w:lineRule="exact"/>
        <w:jc w:val="left"/>
        <w:rPr>
          <w:rFonts w:ascii="宋体" w:hAnsi="宋体"/>
          <w:kern w:val="0"/>
          <w:sz w:val="24"/>
        </w:rPr>
      </w:pPr>
      <w:r>
        <w:rPr>
          <w:rFonts w:hint="eastAsia" w:ascii="宋体" w:hAnsi="宋体"/>
          <w:kern w:val="0"/>
          <w:sz w:val="24"/>
        </w:rPr>
        <w:t>2.开标会由采购代理机构主持。</w:t>
      </w:r>
    </w:p>
    <w:p>
      <w:pPr>
        <w:snapToGrid w:val="0"/>
        <w:spacing w:line="480" w:lineRule="exact"/>
        <w:jc w:val="left"/>
        <w:rPr>
          <w:rFonts w:ascii="宋体" w:hAnsi="宋体"/>
          <w:kern w:val="0"/>
          <w:sz w:val="24"/>
        </w:rPr>
      </w:pPr>
      <w:r>
        <w:rPr>
          <w:rFonts w:hint="eastAsia" w:ascii="宋体" w:hAnsi="宋体"/>
          <w:kern w:val="0"/>
          <w:sz w:val="24"/>
        </w:rPr>
        <w:t>3.投标文件启封前，投标人应书面提出对参加开标会对主持人、唱读人、记录人和监督人是否有回避的请求。</w:t>
      </w:r>
    </w:p>
    <w:p>
      <w:pPr>
        <w:snapToGrid w:val="0"/>
        <w:spacing w:line="480" w:lineRule="exact"/>
        <w:jc w:val="left"/>
        <w:rPr>
          <w:rFonts w:ascii="宋体" w:hAnsi="宋体"/>
          <w:b/>
          <w:kern w:val="0"/>
          <w:sz w:val="24"/>
        </w:rPr>
      </w:pPr>
      <w:r>
        <w:rPr>
          <w:rFonts w:hint="eastAsia" w:ascii="宋体" w:hAnsi="宋体"/>
          <w:b/>
          <w:kern w:val="0"/>
          <w:sz w:val="24"/>
        </w:rPr>
        <w:t>4．开标大会程序</w:t>
      </w:r>
    </w:p>
    <w:p>
      <w:pPr>
        <w:snapToGrid w:val="0"/>
        <w:spacing w:line="480" w:lineRule="exact"/>
        <w:jc w:val="left"/>
        <w:rPr>
          <w:rFonts w:ascii="宋体" w:hAnsi="宋体"/>
          <w:kern w:val="0"/>
          <w:sz w:val="24"/>
        </w:rPr>
      </w:pPr>
      <w:r>
        <w:rPr>
          <w:rFonts w:hint="eastAsia" w:ascii="宋体" w:hAnsi="宋体"/>
          <w:kern w:val="0"/>
          <w:sz w:val="24"/>
        </w:rPr>
        <w:t>4.1主持人宣布开标会开始，介绍到会单位和人员。</w:t>
      </w:r>
    </w:p>
    <w:p>
      <w:pPr>
        <w:snapToGrid w:val="0"/>
        <w:spacing w:line="480" w:lineRule="exact"/>
        <w:jc w:val="left"/>
        <w:rPr>
          <w:rFonts w:ascii="宋体" w:hAnsi="宋体"/>
          <w:kern w:val="0"/>
          <w:sz w:val="24"/>
        </w:rPr>
      </w:pPr>
      <w:r>
        <w:rPr>
          <w:rFonts w:hint="eastAsia" w:ascii="宋体" w:hAnsi="宋体"/>
          <w:kern w:val="0"/>
          <w:sz w:val="24"/>
        </w:rPr>
        <w:t>4.2投标人代表检查投标文件密封情况。</w:t>
      </w:r>
    </w:p>
    <w:p>
      <w:pPr>
        <w:snapToGrid w:val="0"/>
        <w:spacing w:line="480" w:lineRule="exact"/>
        <w:jc w:val="left"/>
        <w:rPr>
          <w:rFonts w:ascii="宋体" w:hAnsi="宋体"/>
          <w:kern w:val="0"/>
          <w:sz w:val="24"/>
        </w:rPr>
      </w:pPr>
      <w:r>
        <w:rPr>
          <w:rFonts w:hint="eastAsia" w:ascii="宋体" w:hAnsi="宋体"/>
          <w:kern w:val="0"/>
          <w:sz w:val="24"/>
        </w:rPr>
        <w:t>4.3启封投标文件技术部分资料，并对法定代表人或其授权代表的身份进行核验。</w:t>
      </w:r>
    </w:p>
    <w:p>
      <w:pPr>
        <w:snapToGrid w:val="0"/>
        <w:spacing w:line="480" w:lineRule="exact"/>
        <w:jc w:val="left"/>
        <w:rPr>
          <w:rFonts w:ascii="宋体" w:hAnsi="宋体"/>
          <w:kern w:val="0"/>
          <w:sz w:val="24"/>
        </w:rPr>
      </w:pPr>
      <w:r>
        <w:rPr>
          <w:rFonts w:hint="eastAsia" w:ascii="宋体" w:hAnsi="宋体"/>
          <w:kern w:val="0"/>
          <w:sz w:val="24"/>
        </w:rPr>
        <w:t>4.4按照抽签方式确定各供应商演示顺序。演示时请自带电脑及相关演示设备（如有要求）。</w:t>
      </w:r>
    </w:p>
    <w:p>
      <w:pPr>
        <w:snapToGrid w:val="0"/>
        <w:spacing w:line="480" w:lineRule="exact"/>
        <w:jc w:val="left"/>
        <w:rPr>
          <w:rFonts w:ascii="宋体" w:hAnsi="宋体"/>
          <w:kern w:val="0"/>
          <w:sz w:val="24"/>
        </w:rPr>
      </w:pPr>
      <w:r>
        <w:rPr>
          <w:rFonts w:hint="eastAsia" w:ascii="宋体" w:hAnsi="宋体"/>
          <w:kern w:val="0"/>
          <w:sz w:val="24"/>
        </w:rPr>
        <w:t>4.5评标委员会对技术标进行评审 (评标委员会按照招标文件要求对入围商务评审的投标人资质原件及合同原件进行最终核验)。</w:t>
      </w:r>
    </w:p>
    <w:p>
      <w:pPr>
        <w:snapToGrid w:val="0"/>
        <w:spacing w:line="480" w:lineRule="exact"/>
        <w:jc w:val="left"/>
        <w:rPr>
          <w:rFonts w:ascii="宋体" w:hAnsi="宋体"/>
          <w:kern w:val="0"/>
          <w:sz w:val="24"/>
        </w:rPr>
      </w:pPr>
      <w:r>
        <w:rPr>
          <w:rFonts w:hint="eastAsia" w:ascii="宋体" w:hAnsi="宋体"/>
          <w:kern w:val="0"/>
          <w:sz w:val="24"/>
        </w:rPr>
        <w:t>4.6主持人宣布技术得分（如有）及无效（废）投标情形，无效投标人可收回未拆封的报价文件并签字确认；公布经技术评审符合采购需求的投标人名单及其技术得分。</w:t>
      </w:r>
    </w:p>
    <w:p>
      <w:pPr>
        <w:snapToGrid w:val="0"/>
        <w:spacing w:line="480" w:lineRule="exact"/>
        <w:jc w:val="left"/>
        <w:rPr>
          <w:rFonts w:ascii="宋体" w:hAnsi="宋体"/>
          <w:kern w:val="0"/>
          <w:sz w:val="24"/>
        </w:rPr>
      </w:pPr>
      <w:r>
        <w:rPr>
          <w:rFonts w:hint="eastAsia" w:ascii="宋体" w:hAnsi="宋体"/>
          <w:kern w:val="0"/>
          <w:sz w:val="24"/>
        </w:rPr>
        <w:t>4.7启封商务标，由唱读人当众宣读投标人名称、投标价格和投标文件的其他内容。未宣读的投标报价和招标文件未允许提供的备选投标方案等实质性内容，评标时不予承认。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ascii="宋体" w:hAnsi="宋体"/>
          <w:kern w:val="0"/>
          <w:sz w:val="24"/>
        </w:rPr>
      </w:pPr>
      <w:r>
        <w:rPr>
          <w:rFonts w:hint="eastAsia" w:ascii="宋体" w:hAnsi="宋体"/>
          <w:kern w:val="0"/>
          <w:sz w:val="24"/>
        </w:rPr>
        <w:t>4.8唱读结束后，参加开标会的法定代表人或其授权代表应对唱读的内容和记录结果进行校核和签字确认。</w:t>
      </w:r>
    </w:p>
    <w:p>
      <w:pPr>
        <w:snapToGrid w:val="0"/>
        <w:spacing w:line="480" w:lineRule="exact"/>
        <w:jc w:val="left"/>
        <w:rPr>
          <w:rFonts w:ascii="宋体" w:hAnsi="宋体"/>
          <w:kern w:val="0"/>
          <w:sz w:val="24"/>
        </w:rPr>
      </w:pPr>
      <w:r>
        <w:rPr>
          <w:rFonts w:hint="eastAsia" w:ascii="宋体" w:hAnsi="宋体"/>
          <w:kern w:val="0"/>
          <w:sz w:val="24"/>
        </w:rPr>
        <w:t>4.9评标委员会对投标文件商务部分进行评审，核准商务报价及计算商务分，汇总技术分、商务分，根据得分排序确定中标候选人。</w:t>
      </w:r>
    </w:p>
    <w:p>
      <w:pPr>
        <w:snapToGrid w:val="0"/>
        <w:spacing w:line="480" w:lineRule="exact"/>
        <w:jc w:val="left"/>
        <w:rPr>
          <w:rFonts w:ascii="宋体" w:hAnsi="宋体"/>
          <w:kern w:val="0"/>
          <w:sz w:val="24"/>
        </w:rPr>
      </w:pPr>
      <w:r>
        <w:rPr>
          <w:rFonts w:hint="eastAsia" w:ascii="宋体" w:hAnsi="宋体"/>
          <w:kern w:val="0"/>
          <w:sz w:val="24"/>
        </w:rPr>
        <w:t>4.10主持人向投标单位公布评标结果。</w:t>
      </w:r>
    </w:p>
    <w:p>
      <w:pPr>
        <w:snapToGrid w:val="0"/>
        <w:spacing w:line="440" w:lineRule="exact"/>
        <w:jc w:val="left"/>
        <w:rPr>
          <w:rFonts w:ascii="宋体" w:hAnsi="宋体"/>
          <w:b/>
          <w:kern w:val="0"/>
          <w:sz w:val="24"/>
        </w:rPr>
      </w:pPr>
      <w:r>
        <w:rPr>
          <w:rFonts w:hint="eastAsia" w:ascii="宋体" w:hAnsi="宋体"/>
          <w:b/>
          <w:kern w:val="0"/>
          <w:sz w:val="24"/>
        </w:rPr>
        <w:t>5．评标</w:t>
      </w:r>
    </w:p>
    <w:p>
      <w:pPr>
        <w:spacing w:line="480" w:lineRule="exact"/>
        <w:jc w:val="left"/>
        <w:rPr>
          <w:rFonts w:ascii="宋体" w:hAnsi="宋体"/>
          <w:kern w:val="0"/>
          <w:sz w:val="24"/>
        </w:rPr>
      </w:pPr>
      <w:r>
        <w:rPr>
          <w:rFonts w:hint="eastAsia" w:ascii="宋体" w:hAnsi="宋体"/>
          <w:kern w:val="0"/>
          <w:sz w:val="24"/>
        </w:rPr>
        <w:t>5.1评标委员会由招标采购单位依法组建，负责评标活动。评标委员会遵循公开、公平、公正、科学合理、竞争择优的原则。</w:t>
      </w:r>
    </w:p>
    <w:p>
      <w:pPr>
        <w:spacing w:line="480" w:lineRule="exact"/>
        <w:jc w:val="left"/>
        <w:rPr>
          <w:rFonts w:ascii="宋体" w:hAnsi="宋体"/>
          <w:kern w:val="0"/>
          <w:sz w:val="24"/>
        </w:rPr>
      </w:pPr>
      <w:r>
        <w:rPr>
          <w:rFonts w:hint="eastAsia" w:ascii="宋体" w:hAnsi="宋体"/>
          <w:kern w:val="0"/>
          <w:sz w:val="24"/>
        </w:rPr>
        <w:t>5.2评标委员会由采购人代表和有关方面的专家组成，成员人数为五人以上单数。</w:t>
      </w:r>
    </w:p>
    <w:p>
      <w:pPr>
        <w:spacing w:line="480" w:lineRule="exact"/>
        <w:jc w:val="left"/>
        <w:rPr>
          <w:rFonts w:ascii="宋体" w:hAnsi="宋体"/>
          <w:kern w:val="0"/>
          <w:sz w:val="24"/>
        </w:rPr>
      </w:pPr>
      <w:r>
        <w:rPr>
          <w:rFonts w:hint="eastAsia" w:ascii="宋体" w:hAnsi="宋体"/>
          <w:kern w:val="0"/>
          <w:sz w:val="24"/>
        </w:rPr>
        <w:t>5.3评标委员会负责对投标人资格的最终审定。</w:t>
      </w:r>
    </w:p>
    <w:p>
      <w:pPr>
        <w:spacing w:line="480" w:lineRule="exact"/>
        <w:jc w:val="left"/>
        <w:rPr>
          <w:rFonts w:ascii="宋体" w:hAnsi="宋体"/>
          <w:kern w:val="0"/>
          <w:sz w:val="24"/>
        </w:rPr>
      </w:pPr>
      <w:r>
        <w:rPr>
          <w:rFonts w:hint="eastAsia" w:ascii="宋体" w:hAnsi="宋体"/>
          <w:kern w:val="0"/>
          <w:sz w:val="24"/>
        </w:rPr>
        <w:t>5.4评标委员会可以要求投标人对其投标文件中含义不明确的内容作必要的澄清或者说明，但澄清或者说明不得超过投标文件的范围或者改变投标文件的实质性内容。</w:t>
      </w:r>
    </w:p>
    <w:p>
      <w:pPr>
        <w:widowControl/>
        <w:snapToGrid w:val="0"/>
        <w:spacing w:line="480" w:lineRule="exact"/>
        <w:rPr>
          <w:rFonts w:ascii="宋体" w:hAnsi="宋体"/>
          <w:kern w:val="0"/>
          <w:sz w:val="24"/>
        </w:rPr>
      </w:pPr>
      <w:r>
        <w:rPr>
          <w:rFonts w:hint="eastAsia" w:ascii="宋体" w:hAnsi="宋体"/>
          <w:kern w:val="0"/>
          <w:sz w:val="24"/>
        </w:rPr>
        <w:t>5.5评标委员会对投标文件的判定，只依据投标文件和招标文件内容本身，不依据任何外来证明。</w:t>
      </w:r>
    </w:p>
    <w:p>
      <w:pPr>
        <w:widowControl/>
        <w:snapToGrid w:val="0"/>
        <w:spacing w:line="480" w:lineRule="exact"/>
        <w:rPr>
          <w:rFonts w:ascii="宋体" w:hAnsi="宋体"/>
          <w:kern w:val="0"/>
          <w:sz w:val="24"/>
        </w:rPr>
      </w:pPr>
      <w:r>
        <w:rPr>
          <w:rFonts w:hint="eastAsia" w:ascii="宋体" w:hAnsi="宋体"/>
          <w:kern w:val="0"/>
          <w:sz w:val="24"/>
        </w:rPr>
        <w:t>5.6评标委员会不向落标方解释落标的原因，不退还投标文件。</w:t>
      </w:r>
    </w:p>
    <w:p>
      <w:pPr>
        <w:snapToGrid w:val="0"/>
        <w:spacing w:line="480" w:lineRule="exact"/>
        <w:jc w:val="left"/>
        <w:rPr>
          <w:rFonts w:ascii="宋体" w:hAnsi="宋体"/>
          <w:b/>
          <w:kern w:val="0"/>
          <w:sz w:val="24"/>
        </w:rPr>
      </w:pPr>
      <w:r>
        <w:rPr>
          <w:rFonts w:hint="eastAsia" w:ascii="宋体" w:hAnsi="宋体"/>
          <w:b/>
          <w:kern w:val="0"/>
          <w:sz w:val="24"/>
        </w:rPr>
        <w:t>6．投标文件的初审鉴定</w:t>
      </w:r>
    </w:p>
    <w:p>
      <w:pPr>
        <w:snapToGrid w:val="0"/>
        <w:spacing w:line="480" w:lineRule="exact"/>
        <w:jc w:val="left"/>
        <w:rPr>
          <w:rFonts w:ascii="宋体" w:hAnsi="宋体"/>
          <w:kern w:val="0"/>
          <w:sz w:val="24"/>
        </w:rPr>
      </w:pPr>
      <w:r>
        <w:rPr>
          <w:rFonts w:hint="eastAsia" w:ascii="宋体" w:hAnsi="宋体"/>
          <w:kern w:val="0"/>
          <w:sz w:val="24"/>
        </w:rPr>
        <w:t>6.1资格性审查</w:t>
      </w:r>
    </w:p>
    <w:p>
      <w:pPr>
        <w:snapToGrid w:val="0"/>
        <w:spacing w:line="480" w:lineRule="exact"/>
        <w:jc w:val="left"/>
        <w:rPr>
          <w:rFonts w:ascii="宋体" w:hAnsi="宋体"/>
          <w:kern w:val="0"/>
          <w:sz w:val="24"/>
        </w:rPr>
      </w:pPr>
      <w:r>
        <w:rPr>
          <w:rFonts w:hint="eastAsia" w:ascii="宋体" w:hAnsi="宋体"/>
          <w:kern w:val="0"/>
          <w:sz w:val="24"/>
        </w:rPr>
        <w:t>6.1.1依据法律、法规和招标文件规定，评标委员会对投标人进行资格审查，以确定投标人是否具备投标资格。</w:t>
      </w:r>
    </w:p>
    <w:p>
      <w:pPr>
        <w:spacing w:line="480" w:lineRule="exact"/>
        <w:jc w:val="left"/>
        <w:rPr>
          <w:rFonts w:ascii="宋体" w:hAnsi="宋体"/>
          <w:kern w:val="0"/>
          <w:sz w:val="24"/>
        </w:rPr>
      </w:pPr>
      <w:r>
        <w:rPr>
          <w:rFonts w:hint="eastAsia" w:ascii="宋体" w:hAnsi="宋体"/>
          <w:kern w:val="0"/>
          <w:sz w:val="24"/>
        </w:rPr>
        <w:t>6.2符合性审查</w:t>
      </w:r>
    </w:p>
    <w:p>
      <w:pPr>
        <w:spacing w:line="480" w:lineRule="exact"/>
        <w:jc w:val="left"/>
        <w:rPr>
          <w:rFonts w:ascii="宋体" w:hAnsi="宋体"/>
          <w:kern w:val="0"/>
          <w:sz w:val="24"/>
        </w:rPr>
      </w:pPr>
      <w:r>
        <w:rPr>
          <w:rFonts w:hint="eastAsia" w:ascii="宋体" w:hAnsi="宋体"/>
          <w:kern w:val="0"/>
          <w:sz w:val="24"/>
        </w:rPr>
        <w:t>6.2.1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ascii="宋体" w:hAnsi="宋体"/>
          <w:kern w:val="0"/>
          <w:sz w:val="24"/>
        </w:rPr>
      </w:pPr>
      <w:r>
        <w:rPr>
          <w:rFonts w:hint="eastAsia" w:ascii="宋体" w:hAnsi="宋体"/>
          <w:kern w:val="0"/>
          <w:sz w:val="24"/>
        </w:rPr>
        <w:t>6.3如果投标文件实质不响应招标文件的各项要求，评标委员会将予以拒绝，并且不允许投标人通过修改或撤销其不符合要求的差异或保留，使之成为具有实质性响应的投标。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ascii="宋体" w:hAnsi="宋体"/>
          <w:b/>
          <w:kern w:val="0"/>
          <w:sz w:val="24"/>
        </w:rPr>
      </w:pPr>
      <w:r>
        <w:rPr>
          <w:rFonts w:hint="eastAsia" w:ascii="宋体" w:hAnsi="宋体"/>
          <w:b/>
          <w:kern w:val="0"/>
          <w:sz w:val="24"/>
        </w:rPr>
        <w:t xml:space="preserve">7. 投标文件报价出现前后不一致的，按照下列规定修正： </w:t>
      </w:r>
    </w:p>
    <w:p>
      <w:pPr>
        <w:spacing w:line="440" w:lineRule="exact"/>
        <w:jc w:val="left"/>
        <w:rPr>
          <w:rFonts w:ascii="宋体" w:hAnsi="宋体"/>
          <w:kern w:val="0"/>
          <w:sz w:val="24"/>
        </w:rPr>
      </w:pPr>
      <w:r>
        <w:rPr>
          <w:rFonts w:hint="eastAsia" w:ascii="宋体" w:hAnsi="宋体"/>
          <w:kern w:val="0"/>
          <w:sz w:val="24"/>
        </w:rPr>
        <w:t>7.1投标文件中开标一览表（报价表）内容与投标文件中相应内容不一致的，以开标一览表（报价表）为准；</w:t>
      </w:r>
    </w:p>
    <w:p>
      <w:pPr>
        <w:spacing w:line="440" w:lineRule="exact"/>
        <w:jc w:val="left"/>
        <w:rPr>
          <w:rFonts w:ascii="宋体" w:hAnsi="宋体"/>
          <w:kern w:val="0"/>
          <w:sz w:val="24"/>
        </w:rPr>
      </w:pPr>
      <w:r>
        <w:rPr>
          <w:rFonts w:hint="eastAsia" w:ascii="宋体" w:hAnsi="宋体"/>
          <w:kern w:val="0"/>
          <w:sz w:val="24"/>
        </w:rPr>
        <w:t>7.2大写金额和小写金额不一致的，以大写金额为准；</w:t>
      </w:r>
    </w:p>
    <w:p>
      <w:pPr>
        <w:spacing w:line="440" w:lineRule="exact"/>
        <w:jc w:val="left"/>
        <w:rPr>
          <w:rFonts w:ascii="宋体" w:hAnsi="宋体"/>
          <w:kern w:val="0"/>
          <w:sz w:val="24"/>
        </w:rPr>
      </w:pPr>
      <w:r>
        <w:rPr>
          <w:rFonts w:hint="eastAsia" w:ascii="宋体" w:hAnsi="宋体"/>
          <w:kern w:val="0"/>
          <w:sz w:val="24"/>
        </w:rPr>
        <w:t>7.3单价金额小数点或者百分比有明显错位的，以开标一览表的总价为准，并修改单价；</w:t>
      </w:r>
    </w:p>
    <w:p>
      <w:pPr>
        <w:spacing w:line="440" w:lineRule="exact"/>
        <w:jc w:val="left"/>
        <w:rPr>
          <w:rFonts w:ascii="宋体" w:hAnsi="宋体"/>
          <w:kern w:val="0"/>
          <w:sz w:val="24"/>
        </w:rPr>
      </w:pPr>
      <w:r>
        <w:rPr>
          <w:rFonts w:hint="eastAsia" w:ascii="宋体" w:hAnsi="宋体"/>
          <w:kern w:val="0"/>
          <w:sz w:val="24"/>
        </w:rPr>
        <w:t>7.4总价金额与按单价汇总金额不一致的，以单价金额计算结果为准。</w:t>
      </w:r>
    </w:p>
    <w:p>
      <w:pPr>
        <w:spacing w:line="440" w:lineRule="exact"/>
        <w:ind w:firstLine="480"/>
        <w:jc w:val="left"/>
        <w:rPr>
          <w:rFonts w:ascii="宋体" w:hAnsi="宋体"/>
          <w:kern w:val="0"/>
          <w:sz w:val="24"/>
        </w:rPr>
      </w:pPr>
      <w:r>
        <w:rPr>
          <w:rFonts w:hint="eastAsia" w:ascii="宋体" w:hAnsi="宋体"/>
          <w:kern w:val="0"/>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spacing w:line="440" w:lineRule="exact"/>
        <w:jc w:val="left"/>
        <w:rPr>
          <w:rFonts w:ascii="宋体" w:hAnsi="宋体"/>
          <w:b/>
          <w:kern w:val="0"/>
          <w:sz w:val="24"/>
        </w:rPr>
      </w:pPr>
      <w:r>
        <w:rPr>
          <w:rFonts w:hint="eastAsia" w:ascii="宋体" w:hAnsi="宋体"/>
          <w:b/>
          <w:kern w:val="0"/>
          <w:sz w:val="24"/>
        </w:rPr>
        <w:t>8.投标文件的评审、比较和否决</w:t>
      </w:r>
    </w:p>
    <w:p>
      <w:pPr>
        <w:spacing w:line="480" w:lineRule="exact"/>
        <w:jc w:val="left"/>
        <w:rPr>
          <w:rFonts w:ascii="宋体" w:hAnsi="宋体"/>
          <w:kern w:val="0"/>
          <w:sz w:val="24"/>
        </w:rPr>
      </w:pPr>
      <w:r>
        <w:rPr>
          <w:rFonts w:hint="eastAsia" w:ascii="宋体" w:hAnsi="宋体"/>
          <w:kern w:val="0"/>
          <w:sz w:val="24"/>
        </w:rPr>
        <w:t>8.1评标委员会将对在实质上响应招标文件要求的投标文件进行评估和比较。</w:t>
      </w:r>
    </w:p>
    <w:p>
      <w:pPr>
        <w:spacing w:line="480" w:lineRule="exact"/>
        <w:jc w:val="left"/>
        <w:rPr>
          <w:rFonts w:ascii="宋体" w:hAnsi="宋体"/>
          <w:kern w:val="0"/>
          <w:sz w:val="24"/>
        </w:rPr>
      </w:pPr>
      <w:r>
        <w:rPr>
          <w:rFonts w:hint="eastAsia" w:ascii="宋体" w:hAnsi="宋体"/>
          <w:kern w:val="0"/>
          <w:sz w:val="24"/>
        </w:rPr>
        <w:t>8.2在评审过程中，评标委员会可以书面形式要求投标人就投标文件含义不明确的内容进行书面说明并提供相关材料，但不得超过投标文件的范围或者改变投标文件的实质性内容。</w:t>
      </w:r>
    </w:p>
    <w:p>
      <w:pPr>
        <w:spacing w:line="480" w:lineRule="exact"/>
        <w:jc w:val="left"/>
        <w:rPr>
          <w:rFonts w:ascii="宋体" w:hAnsi="宋体"/>
          <w:kern w:val="0"/>
          <w:sz w:val="24"/>
        </w:rPr>
      </w:pPr>
      <w:r>
        <w:rPr>
          <w:rFonts w:hint="eastAsia" w:ascii="宋体" w:hAnsi="宋体"/>
          <w:kern w:val="0"/>
          <w:sz w:val="24"/>
        </w:rPr>
        <w:t>8.3在评标过程中，如发现与招标文件要求相偏离的，评标委员会可对其偏离情形进行必要的核实。</w:t>
      </w:r>
    </w:p>
    <w:p>
      <w:pPr>
        <w:spacing w:line="480" w:lineRule="exact"/>
        <w:jc w:val="left"/>
        <w:rPr>
          <w:rFonts w:ascii="宋体" w:hAnsi="宋体"/>
          <w:kern w:val="0"/>
          <w:sz w:val="24"/>
        </w:rPr>
      </w:pPr>
      <w:r>
        <w:rPr>
          <w:rFonts w:hint="eastAsia" w:ascii="宋体" w:hAnsi="宋体"/>
          <w:kern w:val="0"/>
          <w:sz w:val="24"/>
        </w:rPr>
        <w:t>8.4在评审过程中，如属于实质性偏离或符合无效响应条件的，应当询问相关投标人，并可对其进行书面确认，但不允许对偏离条款进行补充、修正或撤回。</w:t>
      </w:r>
    </w:p>
    <w:p>
      <w:pPr>
        <w:spacing w:line="480" w:lineRule="exact"/>
        <w:jc w:val="left"/>
        <w:rPr>
          <w:rFonts w:ascii="宋体" w:hAnsi="宋体"/>
          <w:kern w:val="0"/>
          <w:sz w:val="24"/>
        </w:rPr>
      </w:pPr>
      <w:r>
        <w:rPr>
          <w:rFonts w:hint="eastAsia" w:ascii="宋体" w:hAnsi="宋体"/>
          <w:kern w:val="0"/>
          <w:sz w:val="24"/>
        </w:rPr>
        <w:t>8.5</w:t>
      </w:r>
      <w:r>
        <w:rPr>
          <w:rFonts w:ascii="宋体" w:hAnsi="宋体"/>
          <w:kern w:val="0"/>
          <w:sz w:val="24"/>
        </w:rPr>
        <w:t>比较与评价</w:t>
      </w:r>
      <w:r>
        <w:rPr>
          <w:rFonts w:hint="eastAsia" w:ascii="宋体" w:hAnsi="宋体"/>
          <w:kern w:val="0"/>
          <w:sz w:val="24"/>
        </w:rPr>
        <w:t>。评</w:t>
      </w:r>
      <w:r>
        <w:rPr>
          <w:rFonts w:ascii="宋体" w:hAnsi="宋体"/>
          <w:kern w:val="0"/>
          <w:sz w:val="24"/>
        </w:rPr>
        <w:t>标委员会应当按照评标标准，对符合性审查合格的投标文件进行商务和技术评估，综合比较与评价。</w:t>
      </w:r>
    </w:p>
    <w:p>
      <w:pPr>
        <w:spacing w:line="480" w:lineRule="exact"/>
        <w:jc w:val="left"/>
        <w:rPr>
          <w:rFonts w:ascii="宋体" w:hAnsi="宋体"/>
          <w:kern w:val="0"/>
          <w:sz w:val="24"/>
        </w:rPr>
      </w:pPr>
      <w:r>
        <w:rPr>
          <w:rFonts w:hint="eastAsia" w:ascii="宋体" w:hAnsi="宋体"/>
          <w:kern w:val="0"/>
          <w:sz w:val="24"/>
        </w:rPr>
        <w:t>8.6</w:t>
      </w:r>
      <w:r>
        <w:rPr>
          <w:rFonts w:ascii="宋体" w:hAnsi="宋体"/>
          <w:kern w:val="0"/>
          <w:sz w:val="24"/>
        </w:rPr>
        <w:t>汇总</w:t>
      </w:r>
      <w:r>
        <w:rPr>
          <w:rFonts w:hint="eastAsia" w:ascii="宋体" w:hAnsi="宋体"/>
          <w:kern w:val="0"/>
          <w:sz w:val="24"/>
        </w:rPr>
        <w:t>（商务技术得分情况）。</w:t>
      </w:r>
      <w:r>
        <w:rPr>
          <w:rFonts w:ascii="宋体" w:hAnsi="宋体"/>
          <w:kern w:val="0"/>
          <w:sz w:val="24"/>
        </w:rPr>
        <w:t>评标委员会各成员应当独立对每个投标人的</w:t>
      </w:r>
      <w:r>
        <w:rPr>
          <w:rFonts w:hint="eastAsia" w:ascii="宋体" w:hAnsi="宋体"/>
          <w:kern w:val="0"/>
          <w:sz w:val="24"/>
        </w:rPr>
        <w:t>商务和技术</w:t>
      </w:r>
      <w:r>
        <w:rPr>
          <w:rFonts w:ascii="宋体" w:hAnsi="宋体"/>
          <w:kern w:val="0"/>
          <w:sz w:val="24"/>
        </w:rPr>
        <w:t>文件进行评价，并汇总</w:t>
      </w:r>
      <w:r>
        <w:rPr>
          <w:rFonts w:hint="eastAsia" w:ascii="宋体" w:hAnsi="宋体"/>
          <w:kern w:val="0"/>
          <w:sz w:val="24"/>
        </w:rPr>
        <w:t>商务技术得分情况</w:t>
      </w:r>
      <w:r>
        <w:rPr>
          <w:rFonts w:ascii="宋体" w:hAnsi="宋体"/>
          <w:kern w:val="0"/>
          <w:sz w:val="24"/>
        </w:rPr>
        <w:t>。</w:t>
      </w:r>
    </w:p>
    <w:p>
      <w:pPr>
        <w:spacing w:line="480" w:lineRule="exact"/>
        <w:jc w:val="left"/>
        <w:rPr>
          <w:rFonts w:ascii="宋体" w:hAnsi="宋体"/>
          <w:kern w:val="0"/>
          <w:sz w:val="24"/>
        </w:rPr>
      </w:pPr>
      <w:r>
        <w:rPr>
          <w:rFonts w:hint="eastAsia" w:ascii="宋体" w:hAnsi="宋体"/>
          <w:kern w:val="0"/>
          <w:sz w:val="24"/>
        </w:rPr>
        <w:t>8.7 报价审核。对经商务和技术评审符合采购需求的投标人的报价的合理性、准确性等进行审查核实。</w:t>
      </w:r>
    </w:p>
    <w:p>
      <w:pPr>
        <w:spacing w:line="480" w:lineRule="exact"/>
        <w:jc w:val="left"/>
        <w:rPr>
          <w:rFonts w:ascii="宋体" w:hAnsi="宋体"/>
          <w:kern w:val="0"/>
          <w:sz w:val="24"/>
        </w:rPr>
      </w:pPr>
      <w:r>
        <w:rPr>
          <w:rFonts w:hint="eastAsia" w:ascii="宋体" w:hAnsi="宋体"/>
          <w:kern w:val="0"/>
          <w:sz w:val="24"/>
        </w:rPr>
        <w:t>8.7.1评标委员会认为投标人的报价明显低于其他通过符合性审查投标人的报价，有可能影响产品质量或者不能诚信履约的，应当要求其在评标现场合理的时间内提供书面说明，必要时提交相关证明材料。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80" w:lineRule="exact"/>
        <w:jc w:val="left"/>
        <w:rPr>
          <w:rFonts w:ascii="宋体" w:hAnsi="宋体"/>
          <w:kern w:val="0"/>
          <w:sz w:val="24"/>
        </w:rPr>
      </w:pPr>
      <w:r>
        <w:rPr>
          <w:rFonts w:hint="eastAsia" w:ascii="宋体" w:hAnsi="宋体"/>
          <w:kern w:val="0"/>
          <w:sz w:val="24"/>
        </w:rPr>
        <w:t>8.7.2如需投标价格修正，按财政部87号令第五十九条的规定对投标价格进行修正。</w:t>
      </w:r>
    </w:p>
    <w:p>
      <w:pPr>
        <w:spacing w:line="480" w:lineRule="exact"/>
        <w:jc w:val="left"/>
        <w:rPr>
          <w:rFonts w:ascii="宋体" w:hAnsi="宋体"/>
          <w:kern w:val="0"/>
          <w:sz w:val="24"/>
        </w:rPr>
      </w:pPr>
      <w:r>
        <w:rPr>
          <w:rFonts w:hint="eastAsia" w:ascii="宋体" w:hAnsi="宋体"/>
          <w:kern w:val="0"/>
          <w:sz w:val="24"/>
        </w:rPr>
        <w:t>8.8评标委员会依据招标文件规定的评标标准和方法，对投标文件进行评审和比较，向本中心提供书面评标报告，并按得分高低排序推荐中标候选供应商。</w:t>
      </w:r>
    </w:p>
    <w:p>
      <w:pPr>
        <w:pStyle w:val="14"/>
        <w:numPr>
          <w:ilvl w:val="0"/>
          <w:numId w:val="0"/>
        </w:numPr>
        <w:tabs>
          <w:tab w:val="clear" w:pos="454"/>
        </w:tabs>
        <w:spacing w:afterLines="0" w:line="440" w:lineRule="exact"/>
        <w:rPr>
          <w:rFonts w:ascii="宋体" w:hAnsi="宋体"/>
          <w:b/>
          <w:szCs w:val="24"/>
        </w:rPr>
      </w:pPr>
      <w:r>
        <w:rPr>
          <w:rFonts w:hint="eastAsia" w:ascii="宋体" w:hAnsi="宋体"/>
          <w:b/>
          <w:szCs w:val="24"/>
        </w:rPr>
        <w:t>9.投标文件的澄清</w:t>
      </w:r>
    </w:p>
    <w:p>
      <w:pPr>
        <w:pStyle w:val="14"/>
        <w:numPr>
          <w:ilvl w:val="0"/>
          <w:numId w:val="0"/>
        </w:numPr>
        <w:tabs>
          <w:tab w:val="clear" w:pos="454"/>
        </w:tabs>
        <w:spacing w:afterLines="0" w:line="440" w:lineRule="exact"/>
        <w:ind w:firstLine="480" w:firstLineChars="200"/>
        <w:rPr>
          <w:rFonts w:ascii="宋体" w:hAnsi="宋体"/>
          <w:szCs w:val="24"/>
        </w:rPr>
      </w:pPr>
      <w:r>
        <w:rPr>
          <w:rFonts w:hint="eastAsia" w:ascii="宋体" w:hAnsi="宋体"/>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25"/>
        <w:snapToGrid w:val="0"/>
        <w:spacing w:line="440" w:lineRule="exact"/>
        <w:jc w:val="left"/>
        <w:rPr>
          <w:rFonts w:hAnsi="宋体"/>
          <w:b/>
          <w:kern w:val="0"/>
          <w:sz w:val="24"/>
          <w:szCs w:val="24"/>
        </w:rPr>
      </w:pPr>
      <w:r>
        <w:rPr>
          <w:rFonts w:hint="eastAsia" w:hAnsi="宋体"/>
          <w:b/>
          <w:kern w:val="0"/>
          <w:sz w:val="24"/>
          <w:szCs w:val="24"/>
        </w:rPr>
        <w:t>10．无效投标的情形</w:t>
      </w:r>
    </w:p>
    <w:p>
      <w:pPr>
        <w:tabs>
          <w:tab w:val="left" w:pos="4085"/>
        </w:tabs>
        <w:snapToGrid w:val="0"/>
        <w:spacing w:line="440" w:lineRule="exact"/>
        <w:ind w:firstLine="480" w:firstLineChars="200"/>
        <w:jc w:val="left"/>
        <w:rPr>
          <w:rFonts w:ascii="宋体" w:hAnsi="宋体"/>
          <w:kern w:val="0"/>
          <w:sz w:val="24"/>
        </w:rPr>
      </w:pPr>
      <w:r>
        <w:rPr>
          <w:rFonts w:hint="eastAsia" w:ascii="宋体" w:hAnsi="宋体"/>
          <w:kern w:val="0"/>
          <w:sz w:val="24"/>
        </w:rPr>
        <w:t>投标文件有下列情形之一的作无效投标处理：</w:t>
      </w:r>
    </w:p>
    <w:p>
      <w:pPr>
        <w:snapToGrid w:val="0"/>
        <w:spacing w:line="440" w:lineRule="exact"/>
        <w:jc w:val="left"/>
        <w:rPr>
          <w:rFonts w:ascii="宋体" w:hAnsi="宋体"/>
          <w:b/>
          <w:kern w:val="0"/>
          <w:sz w:val="24"/>
        </w:rPr>
      </w:pPr>
      <w:r>
        <w:rPr>
          <w:rFonts w:hint="eastAsia" w:ascii="宋体" w:hAnsi="宋体"/>
          <w:b/>
          <w:kern w:val="0"/>
          <w:sz w:val="24"/>
        </w:rPr>
        <w:t>10.1未按照招标文件规定要求密封封装、签署、盖章、装订、份数不足的；</w:t>
      </w:r>
    </w:p>
    <w:p>
      <w:pPr>
        <w:snapToGrid w:val="0"/>
        <w:spacing w:line="440" w:lineRule="exact"/>
        <w:jc w:val="left"/>
        <w:rPr>
          <w:rFonts w:ascii="宋体" w:hAnsi="宋体"/>
          <w:b/>
          <w:kern w:val="0"/>
          <w:sz w:val="24"/>
        </w:rPr>
      </w:pPr>
      <w:r>
        <w:rPr>
          <w:rFonts w:hint="eastAsia" w:ascii="宋体" w:hAnsi="宋体"/>
          <w:b/>
          <w:kern w:val="0"/>
          <w:sz w:val="24"/>
        </w:rPr>
        <w:t>10.2单位负责人为同一人或者存在直接控股、管理关系的不同供应商参加同一合同项下的政府采购活动的（均无效）；</w:t>
      </w:r>
    </w:p>
    <w:p>
      <w:pPr>
        <w:snapToGrid w:val="0"/>
        <w:spacing w:line="440" w:lineRule="exact"/>
        <w:jc w:val="left"/>
        <w:rPr>
          <w:rFonts w:ascii="宋体" w:hAnsi="宋体"/>
          <w:b/>
          <w:kern w:val="0"/>
          <w:sz w:val="24"/>
        </w:rPr>
      </w:pPr>
      <w:r>
        <w:rPr>
          <w:rFonts w:hint="eastAsia" w:ascii="宋体" w:hAnsi="宋体"/>
          <w:b/>
          <w:kern w:val="0"/>
          <w:sz w:val="24"/>
        </w:rPr>
        <w:t xml:space="preserve">10.3为采购项目提供整体设计、规范编制或者项目管理、监理、检测等服务的供应商再参加该采购项目的其他采购活动的； </w:t>
      </w:r>
    </w:p>
    <w:p>
      <w:pPr>
        <w:snapToGrid w:val="0"/>
        <w:spacing w:line="440" w:lineRule="exact"/>
        <w:jc w:val="left"/>
        <w:rPr>
          <w:rFonts w:ascii="宋体" w:hAnsi="宋体"/>
          <w:b/>
          <w:kern w:val="0"/>
          <w:sz w:val="24"/>
        </w:rPr>
      </w:pPr>
      <w:r>
        <w:rPr>
          <w:rFonts w:hint="eastAsia" w:ascii="宋体" w:hAnsi="宋体"/>
          <w:b/>
          <w:kern w:val="0"/>
          <w:sz w:val="24"/>
        </w:rPr>
        <w:t>10.4投标人不具备招标文件中规定的资格要求的（投标人未提供有效的资格证明文件的，视为投标人不具备招标文件中规定的资格要求）；</w:t>
      </w:r>
    </w:p>
    <w:p>
      <w:pPr>
        <w:snapToGrid w:val="0"/>
        <w:spacing w:line="440" w:lineRule="exact"/>
        <w:jc w:val="left"/>
        <w:rPr>
          <w:rFonts w:ascii="宋体" w:hAnsi="宋体"/>
          <w:b/>
          <w:kern w:val="0"/>
          <w:sz w:val="24"/>
        </w:rPr>
      </w:pPr>
      <w:r>
        <w:rPr>
          <w:rFonts w:hint="eastAsia" w:ascii="宋体" w:hAnsi="宋体"/>
          <w:b/>
          <w:kern w:val="0"/>
          <w:sz w:val="24"/>
        </w:rPr>
        <w:t>10.5授权代表无《法定代表人授权委托书》或未能出具身份证明的；</w:t>
      </w:r>
    </w:p>
    <w:p>
      <w:pPr>
        <w:snapToGrid w:val="0"/>
        <w:spacing w:line="440" w:lineRule="exact"/>
        <w:jc w:val="left"/>
        <w:rPr>
          <w:rFonts w:ascii="宋体" w:hAnsi="宋体"/>
          <w:b/>
          <w:kern w:val="0"/>
          <w:sz w:val="24"/>
        </w:rPr>
      </w:pPr>
      <w:r>
        <w:rPr>
          <w:rFonts w:hint="eastAsia" w:ascii="宋体" w:hAnsi="宋体"/>
          <w:b/>
          <w:kern w:val="0"/>
          <w:sz w:val="24"/>
        </w:rPr>
        <w:t>10.6《法定代表人授权委托书》或《法定代表人身份证明书》填写不全、错误、未加盖公章(《法定代表人授权委托书》要求公章和签字或盖章缺一不可）；法定代表人参加开标会，未能出具身份证明或与《法定代表人身份证明书》不符的；</w:t>
      </w:r>
    </w:p>
    <w:p>
      <w:pPr>
        <w:snapToGrid w:val="0"/>
        <w:spacing w:line="440" w:lineRule="exact"/>
        <w:jc w:val="left"/>
        <w:rPr>
          <w:rFonts w:ascii="宋体" w:hAnsi="宋体"/>
          <w:b/>
          <w:kern w:val="0"/>
          <w:sz w:val="24"/>
        </w:rPr>
      </w:pPr>
      <w:r>
        <w:rPr>
          <w:rFonts w:hint="eastAsia" w:ascii="宋体" w:hAnsi="宋体"/>
          <w:b/>
          <w:kern w:val="0"/>
          <w:sz w:val="24"/>
        </w:rPr>
        <w:t>10.7授权代表非投标单位正式职工的（以</w:t>
      </w:r>
      <w:r>
        <w:rPr>
          <w:rFonts w:ascii="宋体" w:hAnsi="宋体"/>
          <w:b/>
          <w:kern w:val="0"/>
          <w:sz w:val="24"/>
        </w:rPr>
        <w:t>社保证明</w:t>
      </w:r>
      <w:r>
        <w:rPr>
          <w:rFonts w:hint="eastAsia" w:ascii="宋体" w:hAnsi="宋体"/>
          <w:b/>
          <w:kern w:val="0"/>
          <w:sz w:val="24"/>
        </w:rPr>
        <w:t>为准，如授权代表为</w:t>
      </w:r>
      <w:r>
        <w:rPr>
          <w:rFonts w:ascii="宋体" w:hAnsi="宋体"/>
          <w:b/>
          <w:kern w:val="0"/>
          <w:sz w:val="24"/>
        </w:rPr>
        <w:t>离退休返聘人员的，</w:t>
      </w:r>
      <w:r>
        <w:rPr>
          <w:rFonts w:hint="eastAsia" w:ascii="宋体" w:hAnsi="宋体"/>
          <w:b/>
          <w:kern w:val="0"/>
          <w:sz w:val="24"/>
        </w:rPr>
        <w:t>需提供</w:t>
      </w:r>
      <w:r>
        <w:rPr>
          <w:rFonts w:ascii="宋体" w:hAnsi="宋体"/>
          <w:b/>
          <w:kern w:val="0"/>
          <w:sz w:val="24"/>
        </w:rPr>
        <w:t>退休证明及单位聘用证明</w:t>
      </w:r>
      <w:r>
        <w:rPr>
          <w:rFonts w:hint="eastAsia" w:ascii="宋体" w:hAnsi="宋体"/>
          <w:b/>
          <w:kern w:val="0"/>
          <w:sz w:val="24"/>
        </w:rPr>
        <w:t>），法定代表人参加开标会及个体工商户除外；</w:t>
      </w:r>
    </w:p>
    <w:p>
      <w:pPr>
        <w:snapToGrid w:val="0"/>
        <w:spacing w:line="440" w:lineRule="exact"/>
        <w:jc w:val="left"/>
        <w:rPr>
          <w:rFonts w:ascii="宋体" w:hAnsi="宋体"/>
          <w:b/>
          <w:kern w:val="0"/>
          <w:sz w:val="24"/>
        </w:rPr>
      </w:pPr>
      <w:r>
        <w:rPr>
          <w:rFonts w:hint="eastAsia" w:ascii="宋体" w:hAnsi="宋体"/>
          <w:b/>
          <w:kern w:val="0"/>
          <w:sz w:val="24"/>
        </w:rPr>
        <w:t>10.8参加开标会的个体工商户提供的身份证明与营业执照不一致的；</w:t>
      </w:r>
    </w:p>
    <w:p>
      <w:pPr>
        <w:tabs>
          <w:tab w:val="left" w:pos="3870"/>
          <w:tab w:val="left" w:pos="4085"/>
        </w:tabs>
        <w:snapToGrid w:val="0"/>
        <w:spacing w:line="440" w:lineRule="exact"/>
        <w:jc w:val="left"/>
        <w:rPr>
          <w:rFonts w:ascii="宋体" w:hAnsi="宋体"/>
          <w:b/>
          <w:kern w:val="0"/>
          <w:sz w:val="24"/>
        </w:rPr>
      </w:pPr>
      <w:r>
        <w:rPr>
          <w:rFonts w:hint="eastAsia" w:ascii="宋体" w:hAnsi="宋体"/>
          <w:b/>
          <w:kern w:val="0"/>
          <w:sz w:val="24"/>
        </w:rPr>
        <w:t>10.9投标文件中的投标函未加盖投标人的企业公章或填写不全的；</w:t>
      </w:r>
    </w:p>
    <w:p>
      <w:pPr>
        <w:tabs>
          <w:tab w:val="left" w:pos="3870"/>
          <w:tab w:val="left" w:pos="4085"/>
        </w:tabs>
        <w:snapToGrid w:val="0"/>
        <w:spacing w:line="440" w:lineRule="exact"/>
        <w:jc w:val="left"/>
        <w:rPr>
          <w:rFonts w:ascii="宋体" w:hAnsi="宋体"/>
          <w:b/>
          <w:kern w:val="0"/>
          <w:sz w:val="24"/>
        </w:rPr>
      </w:pPr>
      <w:r>
        <w:rPr>
          <w:rFonts w:hint="eastAsia" w:ascii="宋体" w:hAnsi="宋体"/>
          <w:b/>
          <w:kern w:val="0"/>
          <w:sz w:val="24"/>
        </w:rPr>
        <w:t>10.10投标人递交两份或两份以上内容不同的投标书，且未声明哪一份有效的；</w:t>
      </w:r>
    </w:p>
    <w:p>
      <w:pPr>
        <w:tabs>
          <w:tab w:val="left" w:pos="3870"/>
          <w:tab w:val="left" w:pos="4085"/>
        </w:tabs>
        <w:snapToGrid w:val="0"/>
        <w:spacing w:line="440" w:lineRule="exact"/>
        <w:jc w:val="left"/>
        <w:rPr>
          <w:rFonts w:ascii="宋体" w:hAnsi="宋体"/>
          <w:b/>
          <w:kern w:val="0"/>
          <w:sz w:val="24"/>
        </w:rPr>
      </w:pPr>
      <w:r>
        <w:rPr>
          <w:rFonts w:hint="eastAsia" w:ascii="宋体" w:hAnsi="宋体"/>
          <w:b/>
          <w:kern w:val="0"/>
          <w:sz w:val="24"/>
        </w:rPr>
        <w:t>10.11报价一经涂改，未在涂改处加盖投标单位公章或者未经法定代表人或其授权代表签字或盖章的；</w:t>
      </w:r>
    </w:p>
    <w:p>
      <w:pPr>
        <w:tabs>
          <w:tab w:val="left" w:pos="3870"/>
          <w:tab w:val="left" w:pos="4085"/>
        </w:tabs>
        <w:snapToGrid w:val="0"/>
        <w:spacing w:line="440" w:lineRule="exact"/>
        <w:jc w:val="left"/>
        <w:rPr>
          <w:rFonts w:ascii="宋体" w:hAnsi="宋体"/>
          <w:b/>
          <w:kern w:val="0"/>
          <w:sz w:val="24"/>
        </w:rPr>
      </w:pPr>
      <w:r>
        <w:rPr>
          <w:rFonts w:hint="eastAsia" w:ascii="宋体" w:hAnsi="宋体"/>
          <w:b/>
          <w:kern w:val="0"/>
          <w:sz w:val="24"/>
        </w:rPr>
        <w:t>10.12因未按招标文件规定的格式填写，或对招标服务或技术或产品等要求未详细应答或应答内容不全、有缺失的,经评标委员会认定为无法评审的；</w:t>
      </w:r>
    </w:p>
    <w:p>
      <w:pPr>
        <w:pStyle w:val="25"/>
        <w:snapToGrid w:val="0"/>
        <w:spacing w:line="440" w:lineRule="exact"/>
        <w:jc w:val="left"/>
        <w:rPr>
          <w:rFonts w:hAnsi="宋体"/>
          <w:b/>
          <w:kern w:val="0"/>
          <w:sz w:val="24"/>
          <w:szCs w:val="24"/>
        </w:rPr>
      </w:pPr>
      <w:r>
        <w:rPr>
          <w:rFonts w:hint="eastAsia" w:hAnsi="宋体"/>
          <w:b/>
          <w:kern w:val="0"/>
          <w:sz w:val="24"/>
          <w:szCs w:val="24"/>
        </w:rPr>
        <w:t>10.13出现同一标的物或本次招标产品(服务)内的主要产品(重要组成部分)出现技术、商务描述不一致或前后描述不一致，经评标委员会认定后为无法评审的；</w:t>
      </w:r>
    </w:p>
    <w:p>
      <w:pPr>
        <w:pStyle w:val="25"/>
        <w:snapToGrid w:val="0"/>
        <w:spacing w:line="440" w:lineRule="exact"/>
        <w:jc w:val="left"/>
        <w:rPr>
          <w:rFonts w:hAnsi="宋体"/>
          <w:b/>
          <w:kern w:val="0"/>
          <w:sz w:val="24"/>
          <w:szCs w:val="24"/>
        </w:rPr>
      </w:pPr>
      <w:r>
        <w:rPr>
          <w:rFonts w:hint="eastAsia" w:hAnsi="宋体"/>
          <w:b/>
          <w:kern w:val="0"/>
          <w:sz w:val="24"/>
          <w:szCs w:val="24"/>
        </w:rPr>
        <w:t>10.14投标详细配置清单响应表不真实填写或弄虚作假的；</w:t>
      </w:r>
    </w:p>
    <w:p>
      <w:pPr>
        <w:tabs>
          <w:tab w:val="left" w:pos="3870"/>
          <w:tab w:val="left" w:pos="4085"/>
        </w:tabs>
        <w:snapToGrid w:val="0"/>
        <w:spacing w:line="440" w:lineRule="exact"/>
        <w:jc w:val="left"/>
        <w:rPr>
          <w:rFonts w:ascii="宋体" w:hAnsi="宋体"/>
          <w:b/>
          <w:kern w:val="0"/>
          <w:sz w:val="24"/>
        </w:rPr>
      </w:pPr>
      <w:r>
        <w:rPr>
          <w:rFonts w:hint="eastAsia" w:ascii="宋体" w:hAnsi="宋体"/>
          <w:b/>
          <w:kern w:val="0"/>
          <w:sz w:val="24"/>
        </w:rPr>
        <w:t>10.15投标文件含有采购人不能接受的附加条件；</w:t>
      </w:r>
    </w:p>
    <w:p>
      <w:pPr>
        <w:tabs>
          <w:tab w:val="left" w:pos="3870"/>
          <w:tab w:val="left" w:pos="4085"/>
        </w:tabs>
        <w:snapToGrid w:val="0"/>
        <w:spacing w:line="440" w:lineRule="exact"/>
        <w:jc w:val="left"/>
        <w:rPr>
          <w:rFonts w:ascii="宋体" w:hAnsi="宋体"/>
          <w:b/>
          <w:kern w:val="0"/>
          <w:sz w:val="24"/>
        </w:rPr>
      </w:pPr>
      <w:r>
        <w:rPr>
          <w:rFonts w:hint="eastAsia" w:ascii="宋体" w:hAnsi="宋体"/>
          <w:b/>
          <w:kern w:val="0"/>
          <w:sz w:val="24"/>
        </w:rPr>
        <w:t>10.16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宋体" w:hAnsi="宋体"/>
          <w:b/>
          <w:kern w:val="0"/>
          <w:sz w:val="24"/>
        </w:rPr>
      </w:pPr>
      <w:r>
        <w:rPr>
          <w:rFonts w:hint="eastAsia" w:ascii="宋体" w:hAnsi="宋体"/>
          <w:b/>
          <w:kern w:val="0"/>
          <w:sz w:val="24"/>
        </w:rPr>
        <w:t>10.17报价超过招标文件中规定的预算金额或最高限价的；</w:t>
      </w:r>
    </w:p>
    <w:p>
      <w:pPr>
        <w:tabs>
          <w:tab w:val="left" w:pos="3870"/>
          <w:tab w:val="left" w:pos="4085"/>
        </w:tabs>
        <w:snapToGrid w:val="0"/>
        <w:spacing w:line="440" w:lineRule="exact"/>
        <w:jc w:val="left"/>
        <w:rPr>
          <w:rFonts w:ascii="宋体" w:hAnsi="宋体"/>
          <w:b/>
          <w:kern w:val="0"/>
          <w:sz w:val="24"/>
        </w:rPr>
      </w:pPr>
      <w:r>
        <w:rPr>
          <w:rFonts w:hint="eastAsia" w:ascii="宋体" w:hAnsi="宋体"/>
          <w:b/>
          <w:kern w:val="0"/>
          <w:sz w:val="24"/>
        </w:rPr>
        <w:t>10.18投标文件“技术文件资料”部分中出现《开标一览表》或《投标报价明细表》相关内容的；</w:t>
      </w:r>
    </w:p>
    <w:p>
      <w:pPr>
        <w:tabs>
          <w:tab w:val="left" w:pos="3870"/>
          <w:tab w:val="left" w:pos="4085"/>
        </w:tabs>
        <w:snapToGrid w:val="0"/>
        <w:spacing w:line="440" w:lineRule="exact"/>
        <w:jc w:val="left"/>
        <w:rPr>
          <w:rFonts w:ascii="宋体" w:hAnsi="宋体"/>
          <w:b/>
          <w:kern w:val="0"/>
          <w:sz w:val="24"/>
        </w:rPr>
      </w:pPr>
      <w:r>
        <w:rPr>
          <w:rFonts w:hint="eastAsia" w:ascii="宋体" w:hAnsi="宋体"/>
          <w:b/>
          <w:kern w:val="0"/>
          <w:sz w:val="24"/>
        </w:rPr>
        <w:t>10.19</w:t>
      </w:r>
      <w:r>
        <w:rPr>
          <w:rFonts w:ascii="宋体" w:hAnsi="宋体"/>
          <w:b/>
          <w:kern w:val="0"/>
          <w:sz w:val="24"/>
        </w:rPr>
        <w:t>采购人拟采购的产品属于</w:t>
      </w:r>
      <w:r>
        <w:rPr>
          <w:rFonts w:hint="eastAsia" w:ascii="宋体" w:hAnsi="宋体"/>
          <w:b/>
          <w:kern w:val="0"/>
          <w:sz w:val="24"/>
        </w:rPr>
        <w:t>政府强制采购的节能产品品目清单范围的，投标人未按招标文件要求提供国家确定的认证机构出具的、处于有效期之内的节能产品认证证书的；</w:t>
      </w:r>
    </w:p>
    <w:p>
      <w:pPr>
        <w:tabs>
          <w:tab w:val="left" w:pos="3870"/>
          <w:tab w:val="left" w:pos="4085"/>
        </w:tabs>
        <w:snapToGrid w:val="0"/>
        <w:spacing w:line="440" w:lineRule="exact"/>
        <w:jc w:val="left"/>
        <w:rPr>
          <w:rFonts w:ascii="宋体" w:hAnsi="宋体"/>
          <w:b/>
          <w:kern w:val="0"/>
          <w:sz w:val="24"/>
        </w:rPr>
      </w:pPr>
      <w:r>
        <w:rPr>
          <w:rFonts w:hint="eastAsia" w:ascii="宋体" w:hAnsi="宋体"/>
          <w:b/>
          <w:kern w:val="0"/>
          <w:sz w:val="24"/>
        </w:rPr>
        <w:t>10.20《投标（开标）一览表》填写不完整或字迹不能辨认或有漏项的；</w:t>
      </w:r>
    </w:p>
    <w:p>
      <w:pPr>
        <w:tabs>
          <w:tab w:val="left" w:pos="3870"/>
          <w:tab w:val="left" w:pos="4085"/>
        </w:tabs>
        <w:snapToGrid w:val="0"/>
        <w:spacing w:line="440" w:lineRule="exact"/>
        <w:jc w:val="left"/>
        <w:rPr>
          <w:rFonts w:ascii="宋体" w:hAnsi="宋体"/>
          <w:b/>
          <w:kern w:val="0"/>
          <w:sz w:val="24"/>
        </w:rPr>
      </w:pPr>
      <w:r>
        <w:rPr>
          <w:rFonts w:hint="eastAsia" w:ascii="宋体" w:hAnsi="宋体"/>
          <w:b/>
          <w:kern w:val="0"/>
          <w:sz w:val="24"/>
        </w:rPr>
        <w:t>10.21投标人对根据修正原则修正后的报价不确认的；</w:t>
      </w:r>
    </w:p>
    <w:p>
      <w:pPr>
        <w:tabs>
          <w:tab w:val="left" w:pos="3870"/>
          <w:tab w:val="left" w:pos="4085"/>
        </w:tabs>
        <w:snapToGrid w:val="0"/>
        <w:spacing w:line="440" w:lineRule="exact"/>
        <w:jc w:val="left"/>
        <w:rPr>
          <w:rFonts w:ascii="宋体" w:hAnsi="宋体"/>
          <w:b/>
          <w:kern w:val="0"/>
          <w:sz w:val="24"/>
        </w:rPr>
      </w:pPr>
      <w:r>
        <w:rPr>
          <w:rFonts w:hint="eastAsia" w:ascii="宋体" w:hAnsi="宋体"/>
          <w:b/>
          <w:kern w:val="0"/>
          <w:sz w:val="24"/>
        </w:rPr>
        <w:t>10.22评标委员会认定有重大偏差或实质性不响应招标文件要求的；</w:t>
      </w:r>
    </w:p>
    <w:p>
      <w:pPr>
        <w:spacing w:line="440" w:lineRule="exact"/>
        <w:rPr>
          <w:rFonts w:ascii="宋体" w:hAnsi="宋体"/>
          <w:b/>
          <w:kern w:val="0"/>
          <w:sz w:val="24"/>
        </w:rPr>
      </w:pPr>
      <w:r>
        <w:rPr>
          <w:rFonts w:hint="eastAsia" w:ascii="宋体" w:hAnsi="宋体"/>
          <w:b/>
          <w:kern w:val="0"/>
          <w:sz w:val="24"/>
        </w:rPr>
        <w:t>10.23其他违反法律、法规的情形。</w:t>
      </w:r>
    </w:p>
    <w:p>
      <w:pPr>
        <w:snapToGrid w:val="0"/>
        <w:spacing w:line="440" w:lineRule="exact"/>
        <w:rPr>
          <w:rFonts w:ascii="宋体" w:hAnsi="宋体"/>
          <w:b/>
          <w:kern w:val="0"/>
          <w:sz w:val="24"/>
        </w:rPr>
      </w:pPr>
      <w:r>
        <w:rPr>
          <w:rFonts w:hint="eastAsia" w:ascii="宋体" w:hAnsi="宋体"/>
          <w:b/>
          <w:kern w:val="0"/>
          <w:sz w:val="24"/>
        </w:rPr>
        <w:t>11. 评标过程保密</w:t>
      </w:r>
    </w:p>
    <w:p>
      <w:pPr>
        <w:snapToGrid w:val="0"/>
        <w:spacing w:line="440" w:lineRule="exact"/>
        <w:rPr>
          <w:rFonts w:ascii="宋体" w:hAnsi="宋体"/>
          <w:kern w:val="0"/>
          <w:sz w:val="24"/>
        </w:rPr>
      </w:pPr>
      <w:r>
        <w:rPr>
          <w:rFonts w:hint="eastAsia" w:ascii="宋体" w:hAnsi="宋体"/>
          <w:kern w:val="0"/>
          <w:sz w:val="24"/>
        </w:rPr>
        <w:t>11.1 开标之后，直到授予投标人合同止，凡是属于审查、澄清、评价和比较投标的有关资料以及授标意向及投标人的投标文件等，均不得向投标人或其他无关的人员透露。</w:t>
      </w:r>
    </w:p>
    <w:p>
      <w:pPr>
        <w:snapToGrid w:val="0"/>
        <w:spacing w:line="440" w:lineRule="exact"/>
        <w:rPr>
          <w:rFonts w:hint="eastAsia" w:ascii="宋体" w:hAnsi="宋体"/>
          <w:kern w:val="0"/>
          <w:sz w:val="24"/>
        </w:rPr>
      </w:pPr>
      <w:r>
        <w:rPr>
          <w:rFonts w:hint="eastAsia" w:ascii="宋体" w:hAnsi="宋体"/>
          <w:kern w:val="0"/>
          <w:sz w:val="24"/>
        </w:rPr>
        <w:t>11.2 在评标期间，投标人企图影响招标人或评标委员会的任何活动，都将导致投标被拒绝，并由其承担相应的法律责任。</w:t>
      </w:r>
    </w:p>
    <w:p>
      <w:pPr>
        <w:snapToGrid w:val="0"/>
        <w:spacing w:line="440" w:lineRule="exact"/>
        <w:rPr>
          <w:rFonts w:hint="eastAsia" w:ascii="宋体" w:hAnsi="宋体"/>
          <w:b/>
          <w:color w:val="000000"/>
          <w:sz w:val="36"/>
          <w:szCs w:val="36"/>
          <w:highlight w:val="yellow"/>
        </w:rPr>
      </w:pPr>
    </w:p>
    <w:p>
      <w:pPr>
        <w:jc w:val="center"/>
        <w:rPr>
          <w:rFonts w:ascii="宋体" w:hAnsi="宋体"/>
          <w:b/>
          <w:color w:val="000000"/>
          <w:sz w:val="32"/>
          <w:szCs w:val="32"/>
        </w:rPr>
      </w:pPr>
      <w:bookmarkStart w:id="0" w:name="_Toc81372953"/>
      <w:bookmarkStart w:id="1" w:name="_Toc81372776"/>
      <w:bookmarkStart w:id="2" w:name="_Toc84325929"/>
      <w:r>
        <w:rPr>
          <w:rFonts w:hint="eastAsia" w:ascii="宋体" w:hAnsi="宋体"/>
          <w:b/>
          <w:color w:val="000000"/>
          <w:sz w:val="32"/>
          <w:szCs w:val="32"/>
        </w:rPr>
        <w:t>五、授予合同</w:t>
      </w:r>
    </w:p>
    <w:p>
      <w:pPr>
        <w:pStyle w:val="14"/>
        <w:numPr>
          <w:ilvl w:val="0"/>
          <w:numId w:val="0"/>
        </w:numPr>
        <w:tabs>
          <w:tab w:val="clear" w:pos="454"/>
        </w:tabs>
        <w:spacing w:afterLines="0" w:line="440" w:lineRule="exact"/>
        <w:rPr>
          <w:rFonts w:ascii="宋体" w:hAnsi="宋体"/>
          <w:b/>
          <w:kern w:val="2"/>
        </w:rPr>
      </w:pPr>
      <w:r>
        <w:rPr>
          <w:rFonts w:hint="eastAsia" w:ascii="宋体" w:hAnsi="宋体"/>
          <w:b/>
          <w:kern w:val="2"/>
        </w:rPr>
        <w:t>1.中标条件</w:t>
      </w:r>
    </w:p>
    <w:p>
      <w:pPr>
        <w:pStyle w:val="14"/>
        <w:numPr>
          <w:ilvl w:val="0"/>
          <w:numId w:val="0"/>
        </w:numPr>
        <w:tabs>
          <w:tab w:val="clear" w:pos="454"/>
        </w:tabs>
        <w:spacing w:afterLines="0" w:line="440" w:lineRule="exact"/>
        <w:rPr>
          <w:rFonts w:ascii="宋体" w:hAnsi="宋体"/>
          <w:kern w:val="2"/>
        </w:rPr>
      </w:pPr>
      <w:r>
        <w:rPr>
          <w:rFonts w:hint="eastAsia" w:ascii="宋体" w:hAnsi="宋体"/>
          <w:kern w:val="2"/>
        </w:rPr>
        <w:t>1.1投标文件基本符合招标文件要求；</w:t>
      </w:r>
    </w:p>
    <w:p>
      <w:pPr>
        <w:pStyle w:val="14"/>
        <w:numPr>
          <w:ilvl w:val="0"/>
          <w:numId w:val="0"/>
        </w:numPr>
        <w:tabs>
          <w:tab w:val="clear" w:pos="454"/>
        </w:tabs>
        <w:spacing w:afterLines="0" w:line="440" w:lineRule="exact"/>
        <w:rPr>
          <w:rFonts w:ascii="宋体" w:hAnsi="宋体"/>
          <w:kern w:val="2"/>
        </w:rPr>
      </w:pPr>
      <w:r>
        <w:rPr>
          <w:rFonts w:hint="eastAsia" w:ascii="宋体" w:hAnsi="宋体"/>
          <w:kern w:val="2"/>
        </w:rPr>
        <w:t>1.2投标人有很好的执行合同的能力；</w:t>
      </w:r>
    </w:p>
    <w:p>
      <w:pPr>
        <w:pStyle w:val="14"/>
        <w:numPr>
          <w:ilvl w:val="0"/>
          <w:numId w:val="0"/>
        </w:numPr>
        <w:tabs>
          <w:tab w:val="clear" w:pos="454"/>
        </w:tabs>
        <w:spacing w:afterLines="0" w:line="440" w:lineRule="exact"/>
        <w:rPr>
          <w:rFonts w:ascii="宋体" w:hAnsi="宋体"/>
          <w:kern w:val="2"/>
        </w:rPr>
      </w:pPr>
      <w:r>
        <w:rPr>
          <w:rFonts w:hint="eastAsia" w:ascii="宋体" w:hAnsi="宋体"/>
          <w:kern w:val="2"/>
        </w:rPr>
        <w:t>1.3实施方案最合理并对招标人最为有利，最大限度满足招标文件的要求；</w:t>
      </w:r>
    </w:p>
    <w:p>
      <w:pPr>
        <w:pStyle w:val="14"/>
        <w:numPr>
          <w:ilvl w:val="0"/>
          <w:numId w:val="0"/>
        </w:numPr>
        <w:tabs>
          <w:tab w:val="clear" w:pos="454"/>
        </w:tabs>
        <w:spacing w:afterLines="0" w:line="440" w:lineRule="exact"/>
        <w:rPr>
          <w:rFonts w:ascii="宋体" w:hAnsi="宋体"/>
          <w:kern w:val="2"/>
        </w:rPr>
      </w:pPr>
      <w:r>
        <w:rPr>
          <w:rFonts w:hint="eastAsia" w:ascii="宋体" w:hAnsi="宋体"/>
          <w:kern w:val="2"/>
        </w:rPr>
        <w:t>1.4投标人能够提供质量技术、商务经济占综合优势的系统及服务。</w:t>
      </w:r>
    </w:p>
    <w:p>
      <w:pPr>
        <w:spacing w:line="440" w:lineRule="exact"/>
        <w:jc w:val="left"/>
        <w:rPr>
          <w:rFonts w:ascii="宋体" w:hAnsi="宋体"/>
          <w:sz w:val="24"/>
          <w:szCs w:val="20"/>
        </w:rPr>
      </w:pPr>
      <w:r>
        <w:rPr>
          <w:rFonts w:hint="eastAsia" w:ascii="宋体" w:hAnsi="宋体"/>
          <w:sz w:val="24"/>
          <w:szCs w:val="20"/>
        </w:rPr>
        <w:t>1.5招标人将把中标通知书授予最佳投标者，但最低价不是中标的绝对保证。</w:t>
      </w:r>
    </w:p>
    <w:p>
      <w:pPr>
        <w:spacing w:line="440" w:lineRule="exact"/>
        <w:jc w:val="left"/>
        <w:rPr>
          <w:rFonts w:ascii="宋体" w:hAnsi="宋体"/>
          <w:b/>
          <w:sz w:val="24"/>
          <w:szCs w:val="20"/>
        </w:rPr>
      </w:pPr>
      <w:r>
        <w:rPr>
          <w:rFonts w:hint="eastAsia" w:ascii="宋体" w:hAnsi="宋体"/>
          <w:b/>
          <w:sz w:val="24"/>
          <w:szCs w:val="20"/>
        </w:rPr>
        <w:t>2.中标确认</w:t>
      </w:r>
    </w:p>
    <w:p>
      <w:pPr>
        <w:spacing w:line="440" w:lineRule="exact"/>
        <w:jc w:val="left"/>
        <w:rPr>
          <w:rFonts w:ascii="宋体" w:hAnsi="宋体"/>
          <w:sz w:val="24"/>
          <w:szCs w:val="20"/>
        </w:rPr>
      </w:pPr>
      <w:r>
        <w:rPr>
          <w:rFonts w:hint="eastAsia" w:ascii="宋体" w:hAnsi="宋体"/>
          <w:sz w:val="24"/>
          <w:szCs w:val="20"/>
        </w:rPr>
        <w:t>2.1采购人应当自收到评标报告之日起５个工作日内，在评标报告确定的中标候选人名单中按顺序确定中标人。</w:t>
      </w:r>
    </w:p>
    <w:p>
      <w:pPr>
        <w:spacing w:line="440" w:lineRule="exact"/>
        <w:jc w:val="left"/>
        <w:rPr>
          <w:rFonts w:ascii="宋体" w:hAnsi="宋体"/>
          <w:sz w:val="24"/>
          <w:szCs w:val="20"/>
        </w:rPr>
      </w:pPr>
      <w:r>
        <w:rPr>
          <w:rFonts w:hint="eastAsia" w:ascii="宋体" w:hAnsi="宋体"/>
          <w:sz w:val="24"/>
          <w:szCs w:val="20"/>
        </w:rPr>
        <w:t>2.2采购人在收到评标报告5个工作日内未按评标报告推荐的中标候选人顺序确定中标人，视同按评标报告推荐的顺序确定的中标候选人为中标人。</w:t>
      </w:r>
    </w:p>
    <w:p>
      <w:pPr>
        <w:spacing w:line="440" w:lineRule="exact"/>
        <w:jc w:val="left"/>
        <w:rPr>
          <w:rFonts w:ascii="宋体" w:hAnsi="宋体"/>
          <w:sz w:val="24"/>
          <w:szCs w:val="20"/>
        </w:rPr>
      </w:pPr>
      <w:r>
        <w:rPr>
          <w:rFonts w:hint="eastAsia" w:ascii="宋体" w:hAnsi="宋体"/>
          <w:sz w:val="24"/>
          <w:szCs w:val="20"/>
        </w:rPr>
        <w:t>2.3采购人应在确认中标人前再次对资格条件和相关证件材料进一步查验核实。</w:t>
      </w:r>
    </w:p>
    <w:p>
      <w:pPr>
        <w:spacing w:line="440" w:lineRule="exact"/>
        <w:jc w:val="left"/>
        <w:rPr>
          <w:rFonts w:ascii="宋体" w:hAnsi="宋体"/>
          <w:b/>
          <w:sz w:val="24"/>
          <w:szCs w:val="20"/>
        </w:rPr>
      </w:pPr>
      <w:r>
        <w:rPr>
          <w:rFonts w:hint="eastAsia" w:ascii="宋体" w:hAnsi="宋体"/>
          <w:b/>
          <w:sz w:val="24"/>
          <w:szCs w:val="20"/>
        </w:rPr>
        <w:t>3．中标通知</w:t>
      </w:r>
    </w:p>
    <w:bookmarkEnd w:id="0"/>
    <w:bookmarkEnd w:id="1"/>
    <w:bookmarkEnd w:id="2"/>
    <w:p>
      <w:pPr>
        <w:pStyle w:val="120"/>
        <w:tabs>
          <w:tab w:val="left" w:pos="0"/>
        </w:tabs>
        <w:spacing w:before="0" w:line="440" w:lineRule="exact"/>
        <w:ind w:firstLine="0" w:firstLineChars="0"/>
        <w:rPr>
          <w:rFonts w:ascii="宋体" w:hAnsi="宋体"/>
        </w:rPr>
      </w:pPr>
      <w:r>
        <w:rPr>
          <w:rFonts w:hint="eastAsia" w:ascii="宋体" w:hAnsi="宋体"/>
        </w:rPr>
        <w:t>3.1采购代理机构对中标结果在指定媒体（浙江政府采购网</w:t>
      </w:r>
      <w:r>
        <w:rPr>
          <w:rFonts w:ascii="宋体" w:hAnsi="宋体"/>
        </w:rPr>
        <w:fldChar w:fldCharType="begin"/>
      </w:r>
      <w:r>
        <w:rPr>
          <w:rFonts w:ascii="宋体" w:hAnsi="宋体"/>
        </w:rPr>
        <w:instrText xml:space="preserve">HYPERLINK "http://www.zjzfcg.gov.cn"</w:instrText>
      </w:r>
      <w:r>
        <w:rPr>
          <w:rFonts w:ascii="宋体" w:hAnsi="宋体"/>
        </w:rPr>
        <w:fldChar w:fldCharType="separate"/>
      </w:r>
      <w:r>
        <w:rPr>
          <w:rFonts w:hint="eastAsia" w:ascii="宋体" w:hAnsi="宋体"/>
        </w:rPr>
        <w:t>http://www.zjzfcg.gov.cn</w:t>
      </w:r>
      <w:r>
        <w:rPr>
          <w:rFonts w:ascii="宋体" w:hAnsi="宋体"/>
        </w:rPr>
        <w:fldChar w:fldCharType="end"/>
      </w:r>
      <w:r>
        <w:rPr>
          <w:rFonts w:hint="eastAsia" w:ascii="宋体" w:hAnsi="宋体"/>
        </w:rPr>
        <w:t>）发布中标公告，中标公告期限为1个工作日。</w:t>
      </w:r>
    </w:p>
    <w:p>
      <w:pPr>
        <w:tabs>
          <w:tab w:val="left" w:pos="0"/>
        </w:tabs>
        <w:spacing w:line="440" w:lineRule="exact"/>
        <w:rPr>
          <w:rFonts w:hint="eastAsia" w:ascii="宋体" w:hAnsi="宋体" w:cs="仿宋_GB2312"/>
          <w:kern w:val="0"/>
          <w:sz w:val="24"/>
          <w:lang w:val="zh-CN"/>
        </w:rPr>
      </w:pPr>
      <w:r>
        <w:rPr>
          <w:rFonts w:hint="eastAsia" w:ascii="宋体" w:hAnsi="宋体"/>
          <w:sz w:val="24"/>
        </w:rPr>
        <w:t>3.2在采购代理机构发出中标通知书前，中标供应商有违反有关法律法规和本项目要求行为的，则取消该供应商的中标资格</w:t>
      </w:r>
      <w:r>
        <w:rPr>
          <w:rFonts w:hint="eastAsia" w:ascii="宋体" w:hAnsi="宋体" w:cs="仿宋_GB2312"/>
          <w:kern w:val="0"/>
          <w:sz w:val="24"/>
          <w:lang w:val="zh-CN"/>
        </w:rPr>
        <w:t>。</w:t>
      </w:r>
    </w:p>
    <w:p>
      <w:pPr>
        <w:spacing w:line="440" w:lineRule="exact"/>
        <w:jc w:val="left"/>
        <w:rPr>
          <w:rFonts w:ascii="宋体" w:hAnsi="宋体"/>
          <w:sz w:val="24"/>
        </w:rPr>
      </w:pPr>
      <w:r>
        <w:rPr>
          <w:rFonts w:hint="eastAsia" w:ascii="宋体" w:hAnsi="宋体"/>
          <w:sz w:val="24"/>
        </w:rPr>
        <w:t>3.3采购人、采购代理机构对中标结果不作任何说明和解释，也不回答任何提问。</w:t>
      </w:r>
    </w:p>
    <w:p>
      <w:pPr>
        <w:spacing w:line="440" w:lineRule="exact"/>
        <w:jc w:val="left"/>
        <w:rPr>
          <w:rFonts w:hint="eastAsia" w:ascii="宋体" w:hAnsi="宋体"/>
          <w:b/>
          <w:sz w:val="24"/>
        </w:rPr>
      </w:pPr>
      <w:r>
        <w:rPr>
          <w:rFonts w:hint="eastAsia" w:ascii="宋体" w:hAnsi="宋体"/>
          <w:b/>
          <w:sz w:val="24"/>
        </w:rPr>
        <w:t>4．履约保证金(注:</w:t>
      </w:r>
      <w:r>
        <w:rPr>
          <w:rFonts w:hint="eastAsia" w:ascii="宋体" w:hAnsi="宋体"/>
          <w:b/>
          <w:sz w:val="24"/>
          <w:u w:val="wave"/>
        </w:rPr>
        <w:t>如标段内有说明的，则按标段内要求执行</w:t>
      </w:r>
      <w:r>
        <w:rPr>
          <w:rFonts w:hint="eastAsia" w:ascii="宋体" w:hAnsi="宋体"/>
          <w:b/>
          <w:sz w:val="24"/>
        </w:rPr>
        <w:t>)</w:t>
      </w:r>
    </w:p>
    <w:p>
      <w:pPr>
        <w:spacing w:line="440" w:lineRule="exact"/>
        <w:jc w:val="left"/>
        <w:rPr>
          <w:rFonts w:ascii="宋体" w:hAnsi="宋体"/>
          <w:b/>
          <w:sz w:val="24"/>
        </w:rPr>
      </w:pPr>
      <w:r>
        <w:rPr>
          <w:rFonts w:hint="eastAsia" w:ascii="宋体" w:hAnsi="宋体"/>
          <w:sz w:val="24"/>
        </w:rPr>
        <w:t>4.1采购人将根据项目特点、供应商诚信等情况免收履约保证金或缴纳不高于中标额的5％比例的履约保证金给采购人，如缴纳履约保证金的则在货物、工程或服务验收合格后7个工作日内后退还，履约保证金不计息。</w:t>
      </w:r>
    </w:p>
    <w:p>
      <w:pPr>
        <w:spacing w:line="440" w:lineRule="exact"/>
        <w:jc w:val="left"/>
        <w:rPr>
          <w:rFonts w:ascii="宋体" w:hAnsi="宋体"/>
          <w:b/>
          <w:sz w:val="24"/>
          <w:szCs w:val="20"/>
        </w:rPr>
      </w:pPr>
      <w:r>
        <w:rPr>
          <w:rFonts w:hint="eastAsia" w:ascii="宋体" w:hAnsi="宋体"/>
          <w:b/>
          <w:sz w:val="24"/>
          <w:szCs w:val="20"/>
        </w:rPr>
        <w:t>5．合同备案</w:t>
      </w:r>
    </w:p>
    <w:p>
      <w:pPr>
        <w:spacing w:line="440" w:lineRule="exact"/>
        <w:jc w:val="left"/>
        <w:rPr>
          <w:rFonts w:hint="eastAsia" w:ascii="宋体" w:hAnsi="宋体"/>
          <w:sz w:val="24"/>
        </w:rPr>
      </w:pPr>
      <w:r>
        <w:rPr>
          <w:rFonts w:hint="eastAsia" w:ascii="宋体" w:hAnsi="宋体"/>
          <w:sz w:val="24"/>
        </w:rPr>
        <w:t>5.1中标供应商应当在中标通知书发出之日起30天内与采购人签订合同，若不在规定时间内与采购人签订合同的，采购人有权单方面终止合同的签订。自采购合同签订之日起</w:t>
      </w:r>
      <w:r>
        <w:rPr>
          <w:rFonts w:hint="eastAsia" w:ascii="宋体" w:hAnsi="宋体"/>
          <w:b/>
          <w:sz w:val="24"/>
        </w:rPr>
        <w:t>1个工作日内</w:t>
      </w:r>
      <w:r>
        <w:rPr>
          <w:rFonts w:hint="eastAsia" w:ascii="宋体" w:hAnsi="宋体"/>
          <w:sz w:val="24"/>
        </w:rPr>
        <w:t>，将</w:t>
      </w:r>
      <w:r>
        <w:rPr>
          <w:rFonts w:hint="eastAsia" w:ascii="宋体" w:hAnsi="宋体"/>
          <w:b/>
          <w:sz w:val="24"/>
        </w:rPr>
        <w:t>采购合同原件</w:t>
      </w:r>
      <w:r>
        <w:rPr>
          <w:rFonts w:hint="eastAsia" w:ascii="宋体" w:hAnsi="宋体"/>
          <w:sz w:val="24"/>
        </w:rPr>
        <w:t>报绍兴市嘉华项目管理有限公司备案。</w:t>
      </w:r>
    </w:p>
    <w:p>
      <w:pPr>
        <w:spacing w:line="440" w:lineRule="exact"/>
        <w:jc w:val="left"/>
        <w:rPr>
          <w:rFonts w:hint="eastAsia" w:ascii="宋体" w:hAnsi="宋体"/>
          <w:sz w:val="24"/>
        </w:rPr>
      </w:pPr>
      <w:r>
        <w:rPr>
          <w:rFonts w:hint="eastAsia" w:ascii="宋体" w:hAnsi="宋体"/>
          <w:sz w:val="24"/>
        </w:rPr>
        <w:t>5.2未领取中标通知书，采购双方自行签订的合同不予备案。</w:t>
      </w:r>
    </w:p>
    <w:p>
      <w:pPr>
        <w:spacing w:line="440" w:lineRule="exact"/>
        <w:jc w:val="left"/>
        <w:rPr>
          <w:rFonts w:ascii="宋体" w:hAnsi="宋体"/>
          <w:b/>
          <w:sz w:val="24"/>
          <w:szCs w:val="20"/>
        </w:rPr>
      </w:pPr>
      <w:r>
        <w:rPr>
          <w:rFonts w:hint="eastAsia" w:ascii="宋体" w:hAnsi="宋体"/>
          <w:b/>
          <w:sz w:val="24"/>
          <w:szCs w:val="20"/>
        </w:rPr>
        <w:t>6.验收</w:t>
      </w:r>
    </w:p>
    <w:p>
      <w:pPr>
        <w:spacing w:line="440" w:lineRule="exact"/>
        <w:jc w:val="left"/>
        <w:rPr>
          <w:rFonts w:ascii="宋体" w:hAnsi="宋体"/>
          <w:sz w:val="24"/>
          <w:szCs w:val="20"/>
        </w:rPr>
      </w:pPr>
      <w:r>
        <w:rPr>
          <w:rFonts w:hint="eastAsia" w:ascii="宋体" w:hAnsi="宋体"/>
          <w:sz w:val="24"/>
          <w:szCs w:val="20"/>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440" w:lineRule="exact"/>
        <w:jc w:val="left"/>
        <w:rPr>
          <w:rFonts w:ascii="宋体" w:hAnsi="宋体"/>
          <w:sz w:val="24"/>
          <w:szCs w:val="20"/>
        </w:rPr>
      </w:pPr>
      <w:r>
        <w:rPr>
          <w:rFonts w:hint="eastAsia" w:ascii="宋体" w:hAnsi="宋体"/>
          <w:sz w:val="24"/>
          <w:szCs w:val="20"/>
        </w:rPr>
        <w:t>6.2采购人可以邀请参加本项目的其他投标人或者第三方机构参与验收。参与验收的投标人或者第三方机构的意见作为验收书的参考资料一并存档。</w:t>
      </w:r>
    </w:p>
    <w:p>
      <w:pPr>
        <w:spacing w:line="440" w:lineRule="exact"/>
        <w:jc w:val="left"/>
        <w:rPr>
          <w:rFonts w:ascii="宋体" w:hAnsi="宋体"/>
          <w:sz w:val="24"/>
          <w:szCs w:val="20"/>
        </w:rPr>
      </w:pPr>
      <w:r>
        <w:rPr>
          <w:rFonts w:hint="eastAsia" w:ascii="宋体" w:hAnsi="宋体"/>
          <w:sz w:val="24"/>
          <w:szCs w:val="20"/>
        </w:rPr>
        <w:t>6.3 采购人负责加强对中标人的履约管理，并按照采购合同约定，及时向中标人支付采购资金。对于中标人违反采购合同约定的行为，采购人应当及时处理，依法追究其违约责任。</w:t>
      </w:r>
    </w:p>
    <w:p>
      <w:pPr>
        <w:spacing w:line="440" w:lineRule="exact"/>
        <w:jc w:val="left"/>
        <w:rPr>
          <w:rFonts w:ascii="宋体" w:hAnsi="宋体"/>
          <w:sz w:val="24"/>
          <w:szCs w:val="20"/>
        </w:rPr>
      </w:pPr>
      <w:r>
        <w:rPr>
          <w:rFonts w:hint="eastAsia" w:ascii="宋体" w:hAnsi="宋体"/>
          <w:sz w:val="24"/>
          <w:szCs w:val="20"/>
        </w:rPr>
        <w:t>7. 售后服务考核</w:t>
      </w:r>
    </w:p>
    <w:p>
      <w:pPr>
        <w:spacing w:line="440" w:lineRule="exact"/>
        <w:ind w:firstLine="480" w:firstLineChars="200"/>
        <w:jc w:val="left"/>
        <w:rPr>
          <w:rFonts w:hint="eastAsia" w:ascii="宋体" w:hAnsi="宋体"/>
          <w:sz w:val="24"/>
          <w:szCs w:val="20"/>
        </w:rPr>
      </w:pPr>
      <w:r>
        <w:rPr>
          <w:rFonts w:hint="eastAsia" w:ascii="宋体" w:hAnsi="宋体"/>
          <w:sz w:val="24"/>
          <w:szCs w:val="20"/>
        </w:rPr>
        <w:t>采购机构将联合政府采购监管部门不定期对合同的履约情况进行检查，发现未按合同规定进行履约的，有弄虚作假，偷工减料，以次充好等情形，达不到国家、行业有关标准和技术文件规定的，一经查实，由政府采购监督管理部门给予相应处罚。</w:t>
      </w:r>
    </w:p>
    <w:p>
      <w:pPr>
        <w:snapToGrid w:val="0"/>
        <w:spacing w:line="800" w:lineRule="exact"/>
        <w:jc w:val="center"/>
        <w:outlineLvl w:val="0"/>
        <w:rPr>
          <w:rFonts w:hint="eastAsia" w:ascii="宋体" w:hAnsi="宋体" w:cs="仿宋_GB2312"/>
          <w:b/>
          <w:sz w:val="36"/>
          <w:szCs w:val="36"/>
        </w:rPr>
      </w:pPr>
      <w:r>
        <w:rPr>
          <w:rFonts w:hint="eastAsia" w:ascii="宋体" w:hAnsi="宋体" w:cs="仿宋_GB2312"/>
          <w:b/>
          <w:sz w:val="36"/>
          <w:szCs w:val="36"/>
        </w:rPr>
        <w:t>六、质疑与投诉</w:t>
      </w:r>
    </w:p>
    <w:p>
      <w:pPr>
        <w:pStyle w:val="25"/>
        <w:spacing w:line="360" w:lineRule="auto"/>
        <w:ind w:firstLine="480" w:firstLineChars="200"/>
        <w:rPr>
          <w:rFonts w:hint="eastAsia" w:hAnsi="宋体"/>
          <w:sz w:val="24"/>
        </w:rPr>
      </w:pPr>
      <w:r>
        <w:rPr>
          <w:rFonts w:hint="eastAsia" w:hAnsi="宋体"/>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hint="eastAsia" w:ascii="宋体" w:hAnsi="宋体" w:cs="微软雅黑"/>
          <w:b/>
          <w:kern w:val="0"/>
          <w:sz w:val="24"/>
          <w:lang w:val="zh-CN"/>
        </w:rPr>
      </w:pPr>
      <w:r>
        <w:rPr>
          <w:rFonts w:hint="eastAsia" w:ascii="宋体" w:hAnsi="宋体" w:cs="微软雅黑"/>
          <w:b/>
          <w:kern w:val="0"/>
          <w:sz w:val="24"/>
          <w:lang w:val="zh-CN"/>
        </w:rPr>
        <w:t>1.供应商询问</w:t>
      </w:r>
    </w:p>
    <w:p>
      <w:pPr>
        <w:pStyle w:val="25"/>
        <w:spacing w:line="360" w:lineRule="auto"/>
        <w:ind w:firstLine="480" w:firstLineChars="200"/>
        <w:rPr>
          <w:rFonts w:hint="eastAsia" w:hAnsi="宋体"/>
          <w:sz w:val="24"/>
        </w:rPr>
      </w:pPr>
      <w:r>
        <w:rPr>
          <w:rFonts w:hint="eastAsia" w:hAnsi="宋体"/>
          <w:sz w:val="24"/>
        </w:rPr>
        <w:t>供应商对政府采购活动事项有疑问的，可以向采购代理机构提出询问，采购代理机构将对供应商依法提出的询问作出答复，但答复的内容不得涉及商业秘密。</w:t>
      </w:r>
    </w:p>
    <w:p>
      <w:pPr>
        <w:autoSpaceDE w:val="0"/>
        <w:autoSpaceDN w:val="0"/>
        <w:spacing w:line="360" w:lineRule="auto"/>
        <w:ind w:firstLine="472" w:firstLineChars="196"/>
        <w:jc w:val="left"/>
        <w:rPr>
          <w:rFonts w:hint="eastAsia" w:ascii="宋体" w:hAnsi="宋体" w:cs="微软雅黑"/>
          <w:b/>
          <w:kern w:val="0"/>
          <w:sz w:val="24"/>
          <w:lang w:val="zh-CN"/>
        </w:rPr>
      </w:pPr>
      <w:r>
        <w:rPr>
          <w:rFonts w:hint="eastAsia" w:ascii="宋体" w:hAnsi="宋体" w:cs="微软雅黑"/>
          <w:b/>
          <w:kern w:val="0"/>
          <w:sz w:val="24"/>
          <w:lang w:val="zh-CN"/>
        </w:rPr>
        <w:t>2.供应商质疑</w:t>
      </w:r>
    </w:p>
    <w:p>
      <w:pPr>
        <w:pStyle w:val="25"/>
        <w:spacing w:line="360" w:lineRule="auto"/>
        <w:ind w:firstLine="480" w:firstLineChars="200"/>
        <w:rPr>
          <w:rFonts w:hint="eastAsia" w:hAnsi="宋体"/>
          <w:sz w:val="24"/>
        </w:rPr>
      </w:pPr>
      <w:r>
        <w:rPr>
          <w:rFonts w:hint="eastAsia" w:hAnsi="宋体"/>
          <w:sz w:val="24"/>
        </w:rPr>
        <w:t>2.1供应商认为采购文件、采购过程和成交结果使自己的权益受到损害的，可以在知道或者应知其权益受到损害之日起七个工作日内，以书面形式向采购代理机构提出质疑，否则，采购代理机构不予受理：</w:t>
      </w:r>
    </w:p>
    <w:p>
      <w:pPr>
        <w:pStyle w:val="25"/>
        <w:spacing w:line="360" w:lineRule="auto"/>
        <w:ind w:firstLine="480" w:firstLineChars="200"/>
        <w:rPr>
          <w:rFonts w:hint="eastAsia" w:hAnsi="宋体"/>
          <w:sz w:val="24"/>
        </w:rPr>
      </w:pPr>
      <w:r>
        <w:rPr>
          <w:rFonts w:hint="eastAsia" w:hAnsi="宋体"/>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25"/>
        <w:spacing w:line="360" w:lineRule="auto"/>
        <w:ind w:firstLine="480" w:firstLineChars="200"/>
        <w:rPr>
          <w:rFonts w:hint="eastAsia" w:hAnsi="宋体"/>
          <w:sz w:val="24"/>
        </w:rPr>
      </w:pPr>
      <w:r>
        <w:rPr>
          <w:rFonts w:hint="eastAsia" w:hAnsi="宋体"/>
          <w:sz w:val="24"/>
        </w:rPr>
        <w:t>（2）对采购过程提出质疑的，质疑期限为各采购程序环节结束之日起计算。</w:t>
      </w:r>
    </w:p>
    <w:p>
      <w:pPr>
        <w:pStyle w:val="25"/>
        <w:spacing w:line="360" w:lineRule="auto"/>
        <w:ind w:firstLine="480" w:firstLineChars="200"/>
        <w:rPr>
          <w:rFonts w:hint="eastAsia" w:hAnsi="宋体"/>
          <w:sz w:val="24"/>
        </w:rPr>
      </w:pPr>
      <w:r>
        <w:rPr>
          <w:rFonts w:hint="eastAsia" w:hAnsi="宋体"/>
          <w:sz w:val="24"/>
        </w:rPr>
        <w:t>（3）对采购结果提出质疑的，质疑期限自采购结果公告（包括公示、预公告、结果变更公告等）期限届满之日起计算。</w:t>
      </w:r>
    </w:p>
    <w:p>
      <w:pPr>
        <w:pStyle w:val="25"/>
        <w:spacing w:line="360" w:lineRule="auto"/>
        <w:ind w:firstLine="480" w:firstLineChars="200"/>
        <w:rPr>
          <w:rFonts w:hint="eastAsia" w:hAnsi="宋体"/>
          <w:sz w:val="24"/>
        </w:rPr>
      </w:pPr>
      <w:r>
        <w:rPr>
          <w:rFonts w:hint="eastAsia" w:hAnsi="宋体"/>
          <w:sz w:val="24"/>
        </w:rPr>
        <w:t>3.供应商提交的质疑书需一式三份，质疑书至少应包括下列主要内容：</w:t>
      </w:r>
    </w:p>
    <w:p>
      <w:pPr>
        <w:pStyle w:val="25"/>
        <w:spacing w:line="360" w:lineRule="auto"/>
        <w:ind w:firstLine="480" w:firstLineChars="200"/>
        <w:rPr>
          <w:rFonts w:hint="eastAsia" w:hAnsi="宋体"/>
          <w:sz w:val="24"/>
        </w:rPr>
      </w:pPr>
      <w:r>
        <w:rPr>
          <w:rFonts w:hint="eastAsia" w:hAnsi="宋体"/>
          <w:sz w:val="24"/>
        </w:rPr>
        <w:t>（1）质疑人的名称、地址、邮政编码、联系人、联系电话，以及被质疑人名称及联系方式；</w:t>
      </w:r>
    </w:p>
    <w:p>
      <w:pPr>
        <w:pStyle w:val="25"/>
        <w:spacing w:line="360" w:lineRule="auto"/>
        <w:ind w:firstLine="480" w:firstLineChars="200"/>
        <w:rPr>
          <w:rFonts w:hint="eastAsia" w:hAnsi="宋体"/>
          <w:sz w:val="24"/>
        </w:rPr>
      </w:pPr>
      <w:r>
        <w:rPr>
          <w:rFonts w:hint="eastAsia" w:hAnsi="宋体"/>
          <w:sz w:val="24"/>
        </w:rPr>
        <w:t>（2）被质疑采购项目名称、编号及采购内容；</w:t>
      </w:r>
    </w:p>
    <w:p>
      <w:pPr>
        <w:pStyle w:val="25"/>
        <w:spacing w:line="360" w:lineRule="auto"/>
        <w:ind w:firstLine="480" w:firstLineChars="200"/>
        <w:rPr>
          <w:rFonts w:hint="eastAsia" w:hAnsi="宋体"/>
          <w:sz w:val="24"/>
        </w:rPr>
      </w:pPr>
      <w:r>
        <w:rPr>
          <w:rFonts w:hint="eastAsia" w:hAnsi="宋体"/>
          <w:sz w:val="24"/>
        </w:rPr>
        <w:t>（3）具体的质疑事项及事实依据；</w:t>
      </w:r>
    </w:p>
    <w:p>
      <w:pPr>
        <w:pStyle w:val="25"/>
        <w:spacing w:line="360" w:lineRule="auto"/>
        <w:ind w:firstLine="480" w:firstLineChars="200"/>
        <w:rPr>
          <w:rFonts w:hint="eastAsia" w:hAnsi="宋体"/>
          <w:sz w:val="24"/>
        </w:rPr>
      </w:pPr>
      <w:r>
        <w:rPr>
          <w:rFonts w:hint="eastAsia" w:hAnsi="宋体"/>
          <w:sz w:val="24"/>
        </w:rPr>
        <w:t>（4）认为自己合法权益受到损害或可能受到损害的相关证据材料；</w:t>
      </w:r>
    </w:p>
    <w:p>
      <w:pPr>
        <w:pStyle w:val="25"/>
        <w:spacing w:line="360" w:lineRule="auto"/>
        <w:ind w:firstLine="480" w:firstLineChars="200"/>
        <w:rPr>
          <w:rFonts w:hint="eastAsia" w:hAnsi="宋体"/>
          <w:sz w:val="24"/>
        </w:rPr>
      </w:pPr>
      <w:r>
        <w:rPr>
          <w:rFonts w:hint="eastAsia" w:hAnsi="宋体"/>
          <w:sz w:val="24"/>
        </w:rPr>
        <w:t>（5）提出质疑的日期。</w:t>
      </w:r>
    </w:p>
    <w:p>
      <w:pPr>
        <w:pStyle w:val="25"/>
        <w:spacing w:line="360" w:lineRule="auto"/>
        <w:ind w:firstLine="480" w:firstLineChars="200"/>
        <w:rPr>
          <w:rFonts w:hint="eastAsia" w:hAnsi="宋体"/>
          <w:sz w:val="24"/>
        </w:rPr>
      </w:pPr>
      <w:r>
        <w:rPr>
          <w:rFonts w:hint="eastAsia" w:hAnsi="宋体"/>
          <w:sz w:val="24"/>
        </w:rPr>
        <w:t>（6） 质疑书应当署名。质疑人为自然人的，应当由本人签字并附有效身份证明；质疑人为法人或其他组织的，应当由法定代表人或主要负责人签字（或盖章）并加盖单位公章。</w:t>
      </w:r>
    </w:p>
    <w:p>
      <w:pPr>
        <w:pStyle w:val="25"/>
        <w:spacing w:line="360" w:lineRule="auto"/>
        <w:ind w:firstLine="480" w:firstLineChars="200"/>
        <w:rPr>
          <w:rFonts w:hint="eastAsia" w:hAnsi="宋体"/>
          <w:sz w:val="24"/>
        </w:rPr>
      </w:pPr>
      <w:r>
        <w:rPr>
          <w:rFonts w:hint="eastAsia" w:hAnsi="宋体"/>
          <w:sz w:val="24"/>
        </w:rPr>
        <w:t>（7） 质疑人因故不能自行办理质疑事项的，可以委托代理人办理质疑事宜，但应当向被质疑人提交授权委托书，并载明委托代理的具体权限和事项。</w:t>
      </w:r>
    </w:p>
    <w:p>
      <w:pPr>
        <w:pStyle w:val="25"/>
        <w:spacing w:line="360" w:lineRule="auto"/>
        <w:ind w:firstLine="480" w:firstLineChars="200"/>
        <w:rPr>
          <w:rFonts w:hint="eastAsia" w:hAnsi="宋体"/>
          <w:sz w:val="24"/>
        </w:rPr>
      </w:pPr>
      <w:r>
        <w:rPr>
          <w:rFonts w:hint="eastAsia" w:hAnsi="宋体"/>
          <w:sz w:val="24"/>
        </w:rPr>
        <w:t>（8）质疑人提供的相关材料中有外文资料的，应当将与质疑相关的外文资料完整、客观、真实地翻译为中文，并注明翻译人员姓名、工作单位、联系方式等信息。</w:t>
      </w:r>
    </w:p>
    <w:p>
      <w:pPr>
        <w:pStyle w:val="25"/>
        <w:spacing w:line="360" w:lineRule="auto"/>
        <w:ind w:firstLine="480" w:firstLineChars="200"/>
        <w:rPr>
          <w:rFonts w:hint="eastAsia" w:hAnsi="宋体"/>
          <w:sz w:val="24"/>
        </w:rPr>
      </w:pPr>
      <w:r>
        <w:rPr>
          <w:rFonts w:hint="eastAsia" w:hAnsi="宋体"/>
          <w:sz w:val="24"/>
        </w:rPr>
        <w:t>4.采购代理机构应当在收到供应商的书面质疑后七个工作日内作出答复，并以书面形式通知质疑供应商和其他与质疑处理结果有利害关系的政府采购当事人，但答复的内容不得涉及商业秘密。</w:t>
      </w:r>
    </w:p>
    <w:p>
      <w:pPr>
        <w:spacing w:line="440" w:lineRule="exact"/>
        <w:jc w:val="left"/>
        <w:rPr>
          <w:rFonts w:hint="eastAsia" w:ascii="宋体" w:hAnsi="宋体"/>
          <w:sz w:val="24"/>
        </w:rPr>
      </w:pPr>
      <w:r>
        <w:rPr>
          <w:rFonts w:hint="eastAsia" w:ascii="宋体" w:hAnsi="宋体"/>
          <w:sz w:val="24"/>
        </w:rPr>
        <w:t>5.询问或者质疑事项可能影响采购结果的，采购人应当暂停签订合同，已经签订合同的，应当中止履行合同。</w:t>
      </w:r>
    </w:p>
    <w:p>
      <w:pPr>
        <w:snapToGrid w:val="0"/>
        <w:spacing w:line="800" w:lineRule="exact"/>
        <w:jc w:val="center"/>
        <w:rPr>
          <w:rFonts w:hint="eastAsia" w:ascii="宋体" w:hAnsi="宋体"/>
          <w:b/>
          <w:sz w:val="36"/>
          <w:szCs w:val="36"/>
        </w:rPr>
      </w:pPr>
      <w:r>
        <w:rPr>
          <w:rFonts w:hint="eastAsia" w:ascii="宋体" w:hAnsi="宋体"/>
          <w:b/>
          <w:sz w:val="36"/>
          <w:szCs w:val="36"/>
        </w:rPr>
        <w:t>第三部分 招标项目范围及要求</w:t>
      </w:r>
    </w:p>
    <w:p>
      <w:pPr>
        <w:spacing w:line="440" w:lineRule="exact"/>
        <w:ind w:left="181" w:hanging="181" w:hangingChars="75"/>
        <w:rPr>
          <w:rFonts w:hint="eastAsia" w:ascii="宋体" w:hAnsi="宋体" w:cs="Arial"/>
          <w:b/>
          <w:sz w:val="24"/>
        </w:rPr>
      </w:pPr>
      <w:bookmarkStart w:id="3" w:name="_Toc80157775"/>
      <w:bookmarkStart w:id="4" w:name="_Toc84325981"/>
      <w:bookmarkStart w:id="5" w:name="_Toc81372787"/>
      <w:bookmarkStart w:id="6" w:name="_Toc81372964"/>
      <w:r>
        <w:rPr>
          <w:rFonts w:hint="eastAsia" w:ascii="宋体" w:hAnsi="宋体" w:cs="Arial"/>
          <w:b/>
          <w:sz w:val="24"/>
        </w:rPr>
        <w:t xml:space="preserve">项目名称：绍兴市妇幼保健院医疗服务一卡通系统改造项目    </w:t>
      </w:r>
    </w:p>
    <w:p>
      <w:pPr>
        <w:spacing w:line="440" w:lineRule="exact"/>
        <w:ind w:left="181" w:hanging="181" w:hangingChars="75"/>
        <w:rPr>
          <w:rFonts w:hint="eastAsia" w:ascii="宋体" w:hAnsi="宋体"/>
          <w:b/>
          <w:sz w:val="24"/>
        </w:rPr>
      </w:pPr>
      <w:r>
        <w:rPr>
          <w:rFonts w:hint="eastAsia" w:ascii="宋体" w:hAnsi="宋体" w:cs="Arial"/>
          <w:b/>
          <w:sz w:val="24"/>
        </w:rPr>
        <w:t>预算金额：150000元</w:t>
      </w:r>
    </w:p>
    <w:p>
      <w:pPr>
        <w:spacing w:line="440" w:lineRule="exact"/>
        <w:jc w:val="left"/>
        <w:rPr>
          <w:rFonts w:hint="eastAsia" w:ascii="宋体" w:hAnsi="宋体"/>
          <w:b/>
          <w:sz w:val="24"/>
        </w:rPr>
      </w:pPr>
      <w:r>
        <w:rPr>
          <w:rFonts w:hint="eastAsia" w:ascii="宋体" w:hAnsi="宋体"/>
          <w:b/>
          <w:sz w:val="24"/>
        </w:rPr>
        <w:t>1、项目实施人员费用</w:t>
      </w:r>
    </w:p>
    <w:p>
      <w:pPr>
        <w:spacing w:line="440" w:lineRule="exact"/>
        <w:ind w:firstLine="470" w:firstLineChars="196"/>
        <w:jc w:val="left"/>
        <w:rPr>
          <w:rFonts w:hint="eastAsia" w:ascii="宋体" w:hAnsi="宋体"/>
          <w:b/>
          <w:sz w:val="24"/>
        </w:rPr>
      </w:pPr>
      <w:r>
        <w:rPr>
          <w:rFonts w:hint="eastAsia" w:ascii="宋体" w:hAnsi="宋体"/>
          <w:sz w:val="24"/>
        </w:rPr>
        <w:t>中标人应自行承担选派专业人员的住宿、就餐和交通等费用。</w:t>
      </w:r>
    </w:p>
    <w:p>
      <w:pPr>
        <w:spacing w:line="440" w:lineRule="exact"/>
        <w:jc w:val="left"/>
        <w:rPr>
          <w:rFonts w:ascii="宋体" w:hAnsi="宋体"/>
          <w:b/>
          <w:sz w:val="24"/>
        </w:rPr>
      </w:pPr>
      <w:r>
        <w:rPr>
          <w:rFonts w:hint="eastAsia" w:ascii="宋体" w:hAnsi="宋体"/>
          <w:b/>
          <w:sz w:val="24"/>
        </w:rPr>
        <w:t>2、项目内容及要求</w:t>
      </w:r>
    </w:p>
    <w:p>
      <w:pPr>
        <w:snapToGrid w:val="0"/>
        <w:spacing w:line="440" w:lineRule="exact"/>
        <w:jc w:val="left"/>
        <w:rPr>
          <w:rFonts w:hint="eastAsia" w:ascii="宋体" w:hAnsi="宋体"/>
          <w:b/>
          <w:sz w:val="24"/>
        </w:rPr>
      </w:pPr>
      <w:r>
        <w:rPr>
          <w:rFonts w:hint="eastAsia" w:ascii="宋体" w:hAnsi="宋体"/>
          <w:b/>
          <w:sz w:val="24"/>
        </w:rPr>
        <w:t>一、建设内容</w:t>
      </w:r>
    </w:p>
    <w:p>
      <w:pPr>
        <w:snapToGrid w:val="0"/>
        <w:spacing w:line="440" w:lineRule="exact"/>
        <w:jc w:val="left"/>
        <w:rPr>
          <w:rFonts w:ascii="宋体" w:hAnsi="宋体"/>
          <w:sz w:val="24"/>
        </w:rPr>
      </w:pPr>
      <w:r>
        <w:rPr>
          <w:rFonts w:hint="eastAsia" w:ascii="宋体" w:hAnsi="宋体"/>
          <w:sz w:val="24"/>
        </w:rPr>
        <w:t>医疗服务一卡通系统接口升级1套</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437"/>
        <w:gridCol w:w="2953"/>
        <w:gridCol w:w="3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pPr>
              <w:snapToGrid w:val="0"/>
              <w:spacing w:line="440" w:lineRule="exact"/>
              <w:jc w:val="left"/>
              <w:rPr>
                <w:rFonts w:ascii="宋体" w:hAnsi="宋体"/>
                <w:szCs w:val="21"/>
              </w:rPr>
            </w:pPr>
            <w:r>
              <w:rPr>
                <w:rFonts w:hint="eastAsia" w:ascii="宋体" w:hAnsi="宋体"/>
                <w:szCs w:val="21"/>
              </w:rPr>
              <w:t>序号</w:t>
            </w:r>
          </w:p>
        </w:tc>
        <w:tc>
          <w:tcPr>
            <w:tcW w:w="802" w:type="pct"/>
            <w:noWrap w:val="0"/>
            <w:vAlign w:val="top"/>
          </w:tcPr>
          <w:p>
            <w:pPr>
              <w:snapToGrid w:val="0"/>
              <w:spacing w:line="440" w:lineRule="exact"/>
              <w:jc w:val="left"/>
              <w:rPr>
                <w:rFonts w:ascii="宋体" w:hAnsi="宋体"/>
                <w:szCs w:val="21"/>
              </w:rPr>
            </w:pPr>
            <w:r>
              <w:rPr>
                <w:rFonts w:hint="eastAsia" w:ascii="宋体" w:hAnsi="宋体"/>
                <w:szCs w:val="21"/>
              </w:rPr>
              <w:t>业务模块</w:t>
            </w:r>
          </w:p>
        </w:tc>
        <w:tc>
          <w:tcPr>
            <w:tcW w:w="1648" w:type="pct"/>
            <w:noWrap w:val="0"/>
            <w:vAlign w:val="top"/>
          </w:tcPr>
          <w:p>
            <w:pPr>
              <w:snapToGrid w:val="0"/>
              <w:spacing w:line="440" w:lineRule="exact"/>
              <w:jc w:val="left"/>
              <w:rPr>
                <w:rFonts w:ascii="宋体" w:hAnsi="宋体"/>
                <w:szCs w:val="21"/>
              </w:rPr>
            </w:pPr>
            <w:r>
              <w:rPr>
                <w:rFonts w:hint="eastAsia" w:ascii="宋体" w:hAnsi="宋体"/>
                <w:szCs w:val="21"/>
              </w:rPr>
              <w:t>功能要求</w:t>
            </w:r>
          </w:p>
        </w:tc>
        <w:tc>
          <w:tcPr>
            <w:tcW w:w="2116" w:type="pct"/>
            <w:noWrap w:val="0"/>
            <w:vAlign w:val="top"/>
          </w:tcPr>
          <w:p>
            <w:pPr>
              <w:snapToGrid w:val="0"/>
              <w:spacing w:line="440" w:lineRule="exact"/>
              <w:jc w:val="left"/>
              <w:rPr>
                <w:rFonts w:ascii="宋体" w:hAnsi="宋体"/>
                <w:szCs w:val="21"/>
              </w:rPr>
            </w:pPr>
            <w:r>
              <w:rPr>
                <w:rFonts w:hint="eastAsia" w:ascii="宋体" w:hAnsi="宋体"/>
                <w:szCs w:val="21"/>
              </w:rPr>
              <w:t>功能明细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435" w:type="pct"/>
            <w:vMerge w:val="restart"/>
            <w:noWrap w:val="0"/>
            <w:vAlign w:val="center"/>
          </w:tcPr>
          <w:p>
            <w:pPr>
              <w:snapToGrid w:val="0"/>
              <w:spacing w:line="440" w:lineRule="exact"/>
              <w:jc w:val="left"/>
              <w:rPr>
                <w:rFonts w:ascii="宋体" w:hAnsi="宋体"/>
                <w:szCs w:val="21"/>
              </w:rPr>
            </w:pPr>
            <w:r>
              <w:rPr>
                <w:rFonts w:hint="eastAsia" w:ascii="宋体" w:hAnsi="宋体"/>
                <w:szCs w:val="21"/>
              </w:rPr>
              <w:t>1</w:t>
            </w:r>
          </w:p>
        </w:tc>
        <w:tc>
          <w:tcPr>
            <w:tcW w:w="802" w:type="pct"/>
            <w:vMerge w:val="restart"/>
            <w:noWrap w:val="0"/>
            <w:vAlign w:val="center"/>
          </w:tcPr>
          <w:p>
            <w:pPr>
              <w:snapToGrid w:val="0"/>
              <w:spacing w:line="440" w:lineRule="exact"/>
              <w:jc w:val="left"/>
              <w:rPr>
                <w:rFonts w:ascii="宋体" w:hAnsi="宋体"/>
                <w:szCs w:val="21"/>
              </w:rPr>
            </w:pPr>
            <w:r>
              <w:rPr>
                <w:rFonts w:ascii="宋体" w:hAnsi="宋体"/>
                <w:szCs w:val="21"/>
              </w:rPr>
              <w:t>临床诊疗病史相关数据</w:t>
            </w:r>
            <w:r>
              <w:rPr>
                <w:rFonts w:hint="eastAsia" w:ascii="宋体" w:hAnsi="宋体"/>
                <w:szCs w:val="21"/>
              </w:rPr>
              <w:t>接口</w:t>
            </w:r>
          </w:p>
        </w:tc>
        <w:tc>
          <w:tcPr>
            <w:tcW w:w="1648" w:type="pct"/>
            <w:noWrap w:val="0"/>
            <w:vAlign w:val="center"/>
          </w:tcPr>
          <w:p>
            <w:pPr>
              <w:snapToGrid w:val="0"/>
              <w:spacing w:line="440" w:lineRule="exact"/>
              <w:jc w:val="left"/>
              <w:rPr>
                <w:rFonts w:ascii="宋体" w:hAnsi="宋体"/>
                <w:szCs w:val="21"/>
              </w:rPr>
            </w:pPr>
            <w:r>
              <w:rPr>
                <w:rFonts w:hint="eastAsia" w:ascii="宋体" w:hAnsi="宋体"/>
                <w:szCs w:val="21"/>
              </w:rPr>
              <w:t>患者基本信息</w:t>
            </w:r>
          </w:p>
        </w:tc>
        <w:tc>
          <w:tcPr>
            <w:tcW w:w="2116" w:type="pct"/>
            <w:noWrap w:val="0"/>
            <w:vAlign w:val="top"/>
          </w:tcPr>
          <w:p>
            <w:pPr>
              <w:snapToGrid w:val="0"/>
              <w:spacing w:line="440" w:lineRule="exact"/>
              <w:jc w:val="left"/>
              <w:rPr>
                <w:rFonts w:ascii="宋体" w:hAnsi="宋体"/>
                <w:szCs w:val="21"/>
              </w:rPr>
            </w:pPr>
            <w:r>
              <w:rPr>
                <w:rFonts w:hint="eastAsia" w:ascii="宋体" w:hAnsi="宋体"/>
                <w:szCs w:val="21"/>
              </w:rPr>
              <w:t>1、患者信息表;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35" w:type="pct"/>
            <w:vMerge w:val="continue"/>
            <w:noWrap w:val="0"/>
            <w:vAlign w:val="center"/>
          </w:tcPr>
          <w:p>
            <w:pPr>
              <w:snapToGrid w:val="0"/>
              <w:spacing w:line="440" w:lineRule="exact"/>
              <w:jc w:val="left"/>
              <w:rPr>
                <w:rFonts w:ascii="宋体" w:hAnsi="宋体"/>
                <w:szCs w:val="21"/>
              </w:rPr>
            </w:pPr>
          </w:p>
        </w:tc>
        <w:tc>
          <w:tcPr>
            <w:tcW w:w="802" w:type="pct"/>
            <w:vMerge w:val="continue"/>
            <w:noWrap w:val="0"/>
            <w:vAlign w:val="center"/>
          </w:tcPr>
          <w:p>
            <w:pPr>
              <w:snapToGrid w:val="0"/>
              <w:spacing w:line="440" w:lineRule="exact"/>
              <w:jc w:val="left"/>
              <w:rPr>
                <w:rFonts w:ascii="宋体" w:hAnsi="宋体"/>
                <w:szCs w:val="21"/>
              </w:rPr>
            </w:pPr>
          </w:p>
        </w:tc>
        <w:tc>
          <w:tcPr>
            <w:tcW w:w="1648" w:type="pct"/>
            <w:noWrap w:val="0"/>
            <w:vAlign w:val="center"/>
          </w:tcPr>
          <w:p>
            <w:pPr>
              <w:snapToGrid w:val="0"/>
              <w:spacing w:line="440" w:lineRule="exact"/>
              <w:jc w:val="left"/>
              <w:rPr>
                <w:rFonts w:ascii="宋体" w:hAnsi="宋体"/>
                <w:szCs w:val="21"/>
              </w:rPr>
            </w:pPr>
            <w:r>
              <w:rPr>
                <w:rFonts w:hint="eastAsia" w:ascii="宋体" w:hAnsi="宋体"/>
                <w:szCs w:val="21"/>
              </w:rPr>
              <w:t>门诊就诊信息</w:t>
            </w:r>
          </w:p>
        </w:tc>
        <w:tc>
          <w:tcPr>
            <w:tcW w:w="2116" w:type="pct"/>
            <w:noWrap w:val="0"/>
            <w:vAlign w:val="top"/>
          </w:tcPr>
          <w:p>
            <w:pPr>
              <w:snapToGrid w:val="0"/>
              <w:spacing w:line="440" w:lineRule="exact"/>
              <w:jc w:val="left"/>
              <w:rPr>
                <w:rFonts w:ascii="宋体" w:hAnsi="宋体"/>
                <w:szCs w:val="21"/>
              </w:rPr>
            </w:pPr>
            <w:r>
              <w:rPr>
                <w:rFonts w:ascii="宋体" w:hAnsi="宋体"/>
                <w:szCs w:val="21"/>
              </w:rPr>
              <w:t>门（急）诊病历</w:t>
            </w:r>
            <w:r>
              <w:rPr>
                <w:rFonts w:hint="eastAsia" w:ascii="宋体" w:hAnsi="宋体"/>
                <w:szCs w:val="21"/>
              </w:rPr>
              <w:t>；</w:t>
            </w:r>
          </w:p>
          <w:p>
            <w:pPr>
              <w:snapToGrid w:val="0"/>
              <w:spacing w:line="440" w:lineRule="exact"/>
              <w:jc w:val="left"/>
              <w:rPr>
                <w:rFonts w:ascii="宋体" w:hAnsi="宋体"/>
                <w:szCs w:val="21"/>
              </w:rPr>
            </w:pPr>
            <w:r>
              <w:rPr>
                <w:rFonts w:ascii="宋体" w:hAnsi="宋体"/>
                <w:szCs w:val="21"/>
              </w:rPr>
              <w:t>挂号表</w:t>
            </w:r>
            <w:r>
              <w:rPr>
                <w:rFonts w:hint="eastAsia" w:ascii="宋体" w:hAnsi="宋体"/>
                <w:szCs w:val="21"/>
              </w:rPr>
              <w:t>；</w:t>
            </w:r>
          </w:p>
          <w:p>
            <w:pPr>
              <w:snapToGrid w:val="0"/>
              <w:spacing w:line="440" w:lineRule="exact"/>
              <w:jc w:val="left"/>
              <w:rPr>
                <w:rFonts w:ascii="宋体" w:hAnsi="宋体"/>
                <w:szCs w:val="21"/>
              </w:rPr>
            </w:pPr>
            <w:r>
              <w:rPr>
                <w:rFonts w:ascii="宋体" w:hAnsi="宋体"/>
                <w:szCs w:val="21"/>
              </w:rPr>
              <w:t>门诊就诊记录表</w:t>
            </w:r>
            <w:r>
              <w:rPr>
                <w:rFonts w:hint="eastAsia" w:ascii="宋体" w:hAnsi="宋体"/>
                <w:szCs w:val="21"/>
              </w:rPr>
              <w:t>；</w:t>
            </w:r>
          </w:p>
          <w:p>
            <w:pPr>
              <w:snapToGrid w:val="0"/>
              <w:spacing w:line="440" w:lineRule="exact"/>
              <w:jc w:val="left"/>
              <w:rPr>
                <w:rFonts w:ascii="宋体" w:hAnsi="宋体"/>
                <w:szCs w:val="21"/>
              </w:rPr>
            </w:pPr>
            <w:r>
              <w:rPr>
                <w:rFonts w:ascii="宋体" w:hAnsi="宋体"/>
                <w:szCs w:val="21"/>
              </w:rPr>
              <w:t>门诊处方记录</w:t>
            </w:r>
            <w:r>
              <w:rPr>
                <w:rFonts w:hint="eastAsia" w:ascii="宋体" w:hAnsi="宋体"/>
                <w:szCs w:val="21"/>
              </w:rPr>
              <w:t>；</w:t>
            </w:r>
          </w:p>
          <w:p>
            <w:pPr>
              <w:snapToGrid w:val="0"/>
              <w:spacing w:line="440" w:lineRule="exact"/>
              <w:jc w:val="left"/>
              <w:rPr>
                <w:rFonts w:ascii="宋体" w:hAnsi="宋体"/>
                <w:szCs w:val="21"/>
              </w:rPr>
            </w:pPr>
            <w:r>
              <w:rPr>
                <w:rFonts w:ascii="宋体" w:hAnsi="宋体"/>
                <w:szCs w:val="21"/>
              </w:rPr>
              <w:t>门诊处方明细表</w:t>
            </w:r>
            <w:r>
              <w:rPr>
                <w:rFonts w:hint="eastAsia" w:ascii="宋体" w:hAnsi="宋体"/>
                <w:szCs w:val="21"/>
              </w:rPr>
              <w:t>；</w:t>
            </w:r>
          </w:p>
          <w:p>
            <w:pPr>
              <w:snapToGrid w:val="0"/>
              <w:spacing w:line="440" w:lineRule="exact"/>
              <w:jc w:val="left"/>
              <w:rPr>
                <w:rFonts w:ascii="宋体" w:hAnsi="宋体"/>
                <w:szCs w:val="21"/>
              </w:rPr>
            </w:pPr>
            <w:r>
              <w:rPr>
                <w:rFonts w:ascii="宋体" w:hAnsi="宋体"/>
                <w:szCs w:val="21"/>
              </w:rPr>
              <w:t>门诊收费明细表</w:t>
            </w:r>
            <w:r>
              <w:rPr>
                <w:rFonts w:hint="eastAsia" w:ascii="宋体" w:hAnsi="宋体"/>
                <w:szCs w:val="21"/>
              </w:rPr>
              <w:t>；</w:t>
            </w:r>
          </w:p>
          <w:p>
            <w:pPr>
              <w:snapToGrid w:val="0"/>
              <w:spacing w:line="440" w:lineRule="exact"/>
              <w:jc w:val="left"/>
              <w:rPr>
                <w:rFonts w:ascii="宋体" w:hAnsi="宋体"/>
                <w:szCs w:val="21"/>
              </w:rPr>
            </w:pPr>
            <w:r>
              <w:rPr>
                <w:rFonts w:ascii="宋体" w:hAnsi="宋体"/>
                <w:szCs w:val="21"/>
              </w:rPr>
              <w:t>预约记录表</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35" w:type="pct"/>
            <w:vMerge w:val="continue"/>
            <w:noWrap w:val="0"/>
            <w:vAlign w:val="center"/>
          </w:tcPr>
          <w:p>
            <w:pPr>
              <w:snapToGrid w:val="0"/>
              <w:spacing w:line="440" w:lineRule="exact"/>
              <w:jc w:val="left"/>
              <w:rPr>
                <w:rFonts w:ascii="宋体" w:hAnsi="宋体"/>
                <w:szCs w:val="21"/>
              </w:rPr>
            </w:pPr>
          </w:p>
        </w:tc>
        <w:tc>
          <w:tcPr>
            <w:tcW w:w="802" w:type="pct"/>
            <w:vMerge w:val="continue"/>
            <w:noWrap w:val="0"/>
            <w:vAlign w:val="center"/>
          </w:tcPr>
          <w:p>
            <w:pPr>
              <w:snapToGrid w:val="0"/>
              <w:spacing w:line="440" w:lineRule="exact"/>
              <w:jc w:val="left"/>
              <w:rPr>
                <w:rFonts w:ascii="宋体" w:hAnsi="宋体"/>
                <w:szCs w:val="21"/>
              </w:rPr>
            </w:pPr>
          </w:p>
        </w:tc>
        <w:tc>
          <w:tcPr>
            <w:tcW w:w="1648" w:type="pct"/>
            <w:noWrap w:val="0"/>
            <w:vAlign w:val="center"/>
          </w:tcPr>
          <w:p>
            <w:pPr>
              <w:snapToGrid w:val="0"/>
              <w:spacing w:line="440" w:lineRule="exact"/>
              <w:jc w:val="left"/>
              <w:rPr>
                <w:rFonts w:ascii="宋体" w:hAnsi="宋体"/>
                <w:szCs w:val="21"/>
              </w:rPr>
            </w:pPr>
            <w:r>
              <w:rPr>
                <w:rFonts w:hint="eastAsia" w:ascii="宋体" w:hAnsi="宋体"/>
                <w:szCs w:val="21"/>
              </w:rPr>
              <w:t>住院就诊信息</w:t>
            </w:r>
          </w:p>
        </w:tc>
        <w:tc>
          <w:tcPr>
            <w:tcW w:w="2116" w:type="pct"/>
            <w:noWrap w:val="0"/>
            <w:vAlign w:val="top"/>
          </w:tcPr>
          <w:p>
            <w:pPr>
              <w:snapToGrid w:val="0"/>
              <w:spacing w:line="440" w:lineRule="exact"/>
              <w:jc w:val="left"/>
              <w:rPr>
                <w:rFonts w:ascii="宋体" w:hAnsi="宋体"/>
                <w:szCs w:val="21"/>
              </w:rPr>
            </w:pPr>
            <w:r>
              <w:rPr>
                <w:rFonts w:ascii="宋体" w:hAnsi="宋体"/>
                <w:szCs w:val="21"/>
              </w:rPr>
              <w:t>入院登记表</w:t>
            </w:r>
            <w:r>
              <w:rPr>
                <w:rFonts w:hint="eastAsia" w:ascii="宋体" w:hAnsi="宋体"/>
                <w:szCs w:val="21"/>
              </w:rPr>
              <w:t>；</w:t>
            </w:r>
          </w:p>
          <w:p>
            <w:pPr>
              <w:snapToGrid w:val="0"/>
              <w:spacing w:line="440" w:lineRule="exact"/>
              <w:jc w:val="left"/>
              <w:rPr>
                <w:rFonts w:ascii="宋体" w:hAnsi="宋体"/>
                <w:szCs w:val="21"/>
              </w:rPr>
            </w:pPr>
            <w:r>
              <w:rPr>
                <w:rFonts w:ascii="宋体" w:hAnsi="宋体"/>
                <w:szCs w:val="21"/>
              </w:rPr>
              <w:t>出院登记表</w:t>
            </w:r>
            <w:r>
              <w:rPr>
                <w:rFonts w:hint="eastAsia" w:ascii="宋体" w:hAnsi="宋体"/>
                <w:szCs w:val="21"/>
              </w:rPr>
              <w:t>；</w:t>
            </w:r>
          </w:p>
          <w:p>
            <w:pPr>
              <w:snapToGrid w:val="0"/>
              <w:spacing w:line="440" w:lineRule="exact"/>
              <w:jc w:val="left"/>
              <w:rPr>
                <w:rFonts w:ascii="宋体" w:hAnsi="宋体"/>
                <w:szCs w:val="21"/>
              </w:rPr>
            </w:pPr>
            <w:r>
              <w:rPr>
                <w:rFonts w:ascii="宋体" w:hAnsi="宋体"/>
                <w:szCs w:val="21"/>
              </w:rPr>
              <w:t>住院就诊记录表</w:t>
            </w:r>
            <w:r>
              <w:rPr>
                <w:rFonts w:hint="eastAsia" w:ascii="宋体" w:hAnsi="宋体"/>
                <w:szCs w:val="21"/>
              </w:rPr>
              <w:t>；</w:t>
            </w:r>
          </w:p>
          <w:p>
            <w:pPr>
              <w:snapToGrid w:val="0"/>
              <w:spacing w:line="440" w:lineRule="exact"/>
              <w:jc w:val="left"/>
              <w:rPr>
                <w:rFonts w:ascii="宋体" w:hAnsi="宋体"/>
                <w:szCs w:val="21"/>
              </w:rPr>
            </w:pPr>
            <w:r>
              <w:rPr>
                <w:rFonts w:ascii="宋体" w:hAnsi="宋体"/>
                <w:szCs w:val="21"/>
              </w:rPr>
              <w:t>住院医嘱明细表</w:t>
            </w:r>
            <w:r>
              <w:rPr>
                <w:rFonts w:hint="eastAsia" w:ascii="宋体" w:hAnsi="宋体"/>
                <w:szCs w:val="21"/>
              </w:rPr>
              <w:t>；</w:t>
            </w:r>
          </w:p>
          <w:p>
            <w:pPr>
              <w:snapToGrid w:val="0"/>
              <w:spacing w:line="440" w:lineRule="exact"/>
              <w:jc w:val="left"/>
              <w:rPr>
                <w:rFonts w:ascii="宋体" w:hAnsi="宋体"/>
                <w:szCs w:val="21"/>
              </w:rPr>
            </w:pPr>
            <w:r>
              <w:rPr>
                <w:rFonts w:ascii="宋体" w:hAnsi="宋体"/>
                <w:szCs w:val="21"/>
              </w:rPr>
              <w:t>住院收费明细表</w:t>
            </w:r>
            <w:r>
              <w:rPr>
                <w:rFonts w:hint="eastAsia" w:ascii="宋体" w:hAnsi="宋体"/>
                <w:szCs w:val="21"/>
              </w:rPr>
              <w:t>；</w:t>
            </w:r>
          </w:p>
          <w:p>
            <w:pPr>
              <w:snapToGrid w:val="0"/>
              <w:spacing w:line="440" w:lineRule="exact"/>
              <w:jc w:val="left"/>
              <w:rPr>
                <w:rFonts w:ascii="宋体" w:hAnsi="宋体"/>
                <w:szCs w:val="21"/>
              </w:rPr>
            </w:pPr>
            <w:r>
              <w:rPr>
                <w:rFonts w:ascii="宋体" w:hAnsi="宋体"/>
                <w:szCs w:val="21"/>
              </w:rPr>
              <w:t>住院体温单表</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35" w:type="pct"/>
            <w:vMerge w:val="continue"/>
            <w:noWrap w:val="0"/>
            <w:vAlign w:val="center"/>
          </w:tcPr>
          <w:p>
            <w:pPr>
              <w:snapToGrid w:val="0"/>
              <w:spacing w:line="440" w:lineRule="exact"/>
              <w:jc w:val="left"/>
              <w:rPr>
                <w:rFonts w:ascii="宋体" w:hAnsi="宋体"/>
                <w:szCs w:val="21"/>
              </w:rPr>
            </w:pPr>
          </w:p>
        </w:tc>
        <w:tc>
          <w:tcPr>
            <w:tcW w:w="802" w:type="pct"/>
            <w:vMerge w:val="continue"/>
            <w:noWrap w:val="0"/>
            <w:vAlign w:val="center"/>
          </w:tcPr>
          <w:p>
            <w:pPr>
              <w:snapToGrid w:val="0"/>
              <w:spacing w:line="440" w:lineRule="exact"/>
              <w:jc w:val="left"/>
              <w:rPr>
                <w:rFonts w:ascii="宋体" w:hAnsi="宋体"/>
                <w:szCs w:val="21"/>
              </w:rPr>
            </w:pPr>
          </w:p>
        </w:tc>
        <w:tc>
          <w:tcPr>
            <w:tcW w:w="1648" w:type="pct"/>
            <w:noWrap w:val="0"/>
            <w:vAlign w:val="center"/>
          </w:tcPr>
          <w:p>
            <w:pPr>
              <w:snapToGrid w:val="0"/>
              <w:spacing w:line="440" w:lineRule="exact"/>
              <w:jc w:val="left"/>
              <w:rPr>
                <w:rFonts w:ascii="宋体" w:hAnsi="宋体"/>
                <w:szCs w:val="21"/>
              </w:rPr>
            </w:pPr>
            <w:r>
              <w:rPr>
                <w:rFonts w:hint="eastAsia" w:ascii="宋体" w:hAnsi="宋体"/>
                <w:szCs w:val="21"/>
              </w:rPr>
              <w:t>实验室检验报告</w:t>
            </w:r>
          </w:p>
        </w:tc>
        <w:tc>
          <w:tcPr>
            <w:tcW w:w="2116" w:type="pct"/>
            <w:noWrap w:val="0"/>
            <w:vAlign w:val="top"/>
          </w:tcPr>
          <w:p>
            <w:pPr>
              <w:snapToGrid w:val="0"/>
              <w:spacing w:line="440" w:lineRule="exact"/>
              <w:jc w:val="left"/>
              <w:rPr>
                <w:rFonts w:ascii="宋体" w:hAnsi="宋体"/>
                <w:szCs w:val="21"/>
              </w:rPr>
            </w:pPr>
            <w:r>
              <w:rPr>
                <w:rFonts w:ascii="宋体" w:hAnsi="宋体"/>
                <w:szCs w:val="21"/>
              </w:rPr>
              <w:t>实验室检验报告表头</w:t>
            </w:r>
            <w:r>
              <w:rPr>
                <w:rFonts w:hint="eastAsia" w:ascii="宋体" w:hAnsi="宋体"/>
                <w:szCs w:val="21"/>
              </w:rPr>
              <w:t>；</w:t>
            </w:r>
          </w:p>
          <w:p>
            <w:pPr>
              <w:snapToGrid w:val="0"/>
              <w:spacing w:line="440" w:lineRule="exact"/>
              <w:jc w:val="left"/>
              <w:rPr>
                <w:rFonts w:ascii="宋体" w:hAnsi="宋体"/>
                <w:szCs w:val="21"/>
              </w:rPr>
            </w:pPr>
            <w:r>
              <w:rPr>
                <w:rFonts w:ascii="宋体" w:hAnsi="宋体"/>
                <w:szCs w:val="21"/>
              </w:rPr>
              <w:t>检验结果指标表</w:t>
            </w:r>
            <w:r>
              <w:rPr>
                <w:rFonts w:hint="eastAsia" w:ascii="宋体" w:hAnsi="宋体"/>
                <w:szCs w:val="21"/>
              </w:rPr>
              <w:t>；</w:t>
            </w:r>
          </w:p>
          <w:p>
            <w:pPr>
              <w:snapToGrid w:val="0"/>
              <w:spacing w:line="440" w:lineRule="exact"/>
              <w:jc w:val="left"/>
              <w:rPr>
                <w:rFonts w:ascii="宋体" w:hAnsi="宋体"/>
                <w:szCs w:val="21"/>
              </w:rPr>
            </w:pPr>
            <w:r>
              <w:rPr>
                <w:rFonts w:ascii="宋体" w:hAnsi="宋体"/>
                <w:szCs w:val="21"/>
              </w:rPr>
              <w:t>细菌结果</w:t>
            </w:r>
            <w:r>
              <w:rPr>
                <w:rFonts w:hint="eastAsia" w:ascii="宋体" w:hAnsi="宋体"/>
                <w:szCs w:val="21"/>
              </w:rPr>
              <w:t>；</w:t>
            </w:r>
          </w:p>
          <w:p>
            <w:pPr>
              <w:snapToGrid w:val="0"/>
              <w:spacing w:line="440" w:lineRule="exact"/>
              <w:jc w:val="left"/>
              <w:rPr>
                <w:rFonts w:ascii="宋体" w:hAnsi="宋体"/>
                <w:szCs w:val="21"/>
              </w:rPr>
            </w:pPr>
            <w:r>
              <w:rPr>
                <w:rFonts w:ascii="宋体" w:hAnsi="宋体"/>
                <w:szCs w:val="21"/>
              </w:rPr>
              <w:t>药敏结果</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35" w:type="pct"/>
            <w:vMerge w:val="continue"/>
            <w:noWrap w:val="0"/>
            <w:vAlign w:val="center"/>
          </w:tcPr>
          <w:p>
            <w:pPr>
              <w:snapToGrid w:val="0"/>
              <w:spacing w:line="440" w:lineRule="exact"/>
              <w:jc w:val="left"/>
              <w:rPr>
                <w:rFonts w:ascii="宋体" w:hAnsi="宋体"/>
                <w:szCs w:val="21"/>
              </w:rPr>
            </w:pPr>
          </w:p>
        </w:tc>
        <w:tc>
          <w:tcPr>
            <w:tcW w:w="802" w:type="pct"/>
            <w:vMerge w:val="continue"/>
            <w:noWrap w:val="0"/>
            <w:vAlign w:val="center"/>
          </w:tcPr>
          <w:p>
            <w:pPr>
              <w:snapToGrid w:val="0"/>
              <w:spacing w:line="440" w:lineRule="exact"/>
              <w:jc w:val="left"/>
              <w:rPr>
                <w:rFonts w:ascii="宋体" w:hAnsi="宋体"/>
                <w:szCs w:val="21"/>
              </w:rPr>
            </w:pPr>
          </w:p>
        </w:tc>
        <w:tc>
          <w:tcPr>
            <w:tcW w:w="1648" w:type="pct"/>
            <w:noWrap w:val="0"/>
            <w:vAlign w:val="center"/>
          </w:tcPr>
          <w:p>
            <w:pPr>
              <w:snapToGrid w:val="0"/>
              <w:spacing w:line="440" w:lineRule="exact"/>
              <w:jc w:val="left"/>
              <w:rPr>
                <w:rFonts w:ascii="宋体" w:hAnsi="宋体"/>
                <w:szCs w:val="21"/>
              </w:rPr>
            </w:pPr>
            <w:r>
              <w:rPr>
                <w:rFonts w:hint="eastAsia" w:ascii="宋体" w:hAnsi="宋体"/>
                <w:szCs w:val="21"/>
              </w:rPr>
              <w:t>医学影像检查报告</w:t>
            </w:r>
          </w:p>
        </w:tc>
        <w:tc>
          <w:tcPr>
            <w:tcW w:w="2116" w:type="pct"/>
            <w:noWrap w:val="0"/>
            <w:vAlign w:val="top"/>
          </w:tcPr>
          <w:p>
            <w:pPr>
              <w:snapToGrid w:val="0"/>
              <w:spacing w:line="440" w:lineRule="exact"/>
              <w:jc w:val="left"/>
              <w:rPr>
                <w:rFonts w:ascii="宋体" w:hAnsi="宋体"/>
                <w:szCs w:val="21"/>
              </w:rPr>
            </w:pPr>
            <w:r>
              <w:rPr>
                <w:rFonts w:ascii="宋体" w:hAnsi="宋体"/>
                <w:szCs w:val="21"/>
              </w:rPr>
              <w:t>医学影像检查报告表</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35" w:type="pct"/>
            <w:vMerge w:val="continue"/>
            <w:noWrap w:val="0"/>
            <w:vAlign w:val="center"/>
          </w:tcPr>
          <w:p>
            <w:pPr>
              <w:snapToGrid w:val="0"/>
              <w:spacing w:line="440" w:lineRule="exact"/>
              <w:jc w:val="left"/>
              <w:rPr>
                <w:rFonts w:ascii="宋体" w:hAnsi="宋体"/>
                <w:szCs w:val="21"/>
              </w:rPr>
            </w:pPr>
          </w:p>
        </w:tc>
        <w:tc>
          <w:tcPr>
            <w:tcW w:w="802" w:type="pct"/>
            <w:vMerge w:val="continue"/>
            <w:noWrap w:val="0"/>
            <w:vAlign w:val="center"/>
          </w:tcPr>
          <w:p>
            <w:pPr>
              <w:snapToGrid w:val="0"/>
              <w:spacing w:line="440" w:lineRule="exact"/>
              <w:jc w:val="left"/>
              <w:rPr>
                <w:rFonts w:ascii="宋体" w:hAnsi="宋体"/>
                <w:szCs w:val="21"/>
              </w:rPr>
            </w:pPr>
          </w:p>
        </w:tc>
        <w:tc>
          <w:tcPr>
            <w:tcW w:w="1648" w:type="pct"/>
            <w:noWrap w:val="0"/>
            <w:vAlign w:val="center"/>
          </w:tcPr>
          <w:p>
            <w:pPr>
              <w:snapToGrid w:val="0"/>
              <w:spacing w:line="440" w:lineRule="exact"/>
              <w:jc w:val="left"/>
              <w:rPr>
                <w:rFonts w:ascii="宋体" w:hAnsi="宋体"/>
                <w:szCs w:val="21"/>
              </w:rPr>
            </w:pPr>
            <w:r>
              <w:rPr>
                <w:rFonts w:hint="eastAsia" w:ascii="宋体" w:hAnsi="宋体"/>
                <w:szCs w:val="21"/>
              </w:rPr>
              <w:t>住院病案首页主体报告</w:t>
            </w:r>
          </w:p>
        </w:tc>
        <w:tc>
          <w:tcPr>
            <w:tcW w:w="2116" w:type="pct"/>
            <w:noWrap w:val="0"/>
            <w:vAlign w:val="top"/>
          </w:tcPr>
          <w:p>
            <w:pPr>
              <w:snapToGrid w:val="0"/>
              <w:spacing w:line="440" w:lineRule="exact"/>
              <w:jc w:val="left"/>
              <w:rPr>
                <w:rFonts w:ascii="宋体" w:hAnsi="宋体"/>
                <w:szCs w:val="21"/>
              </w:rPr>
            </w:pPr>
            <w:r>
              <w:rPr>
                <w:rFonts w:ascii="宋体" w:hAnsi="宋体"/>
                <w:szCs w:val="21"/>
              </w:rPr>
              <w:t>住院病案首页主体表</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35" w:type="pct"/>
            <w:vMerge w:val="continue"/>
            <w:noWrap w:val="0"/>
            <w:vAlign w:val="center"/>
          </w:tcPr>
          <w:p>
            <w:pPr>
              <w:snapToGrid w:val="0"/>
              <w:spacing w:line="440" w:lineRule="exact"/>
              <w:jc w:val="left"/>
              <w:rPr>
                <w:rFonts w:ascii="宋体" w:hAnsi="宋体"/>
                <w:szCs w:val="21"/>
              </w:rPr>
            </w:pPr>
          </w:p>
        </w:tc>
        <w:tc>
          <w:tcPr>
            <w:tcW w:w="802" w:type="pct"/>
            <w:vMerge w:val="continue"/>
            <w:noWrap w:val="0"/>
            <w:vAlign w:val="center"/>
          </w:tcPr>
          <w:p>
            <w:pPr>
              <w:snapToGrid w:val="0"/>
              <w:spacing w:line="440" w:lineRule="exact"/>
              <w:jc w:val="left"/>
              <w:rPr>
                <w:rFonts w:ascii="宋体" w:hAnsi="宋体"/>
                <w:szCs w:val="21"/>
              </w:rPr>
            </w:pPr>
          </w:p>
        </w:tc>
        <w:tc>
          <w:tcPr>
            <w:tcW w:w="1648" w:type="pct"/>
            <w:noWrap w:val="0"/>
            <w:vAlign w:val="center"/>
          </w:tcPr>
          <w:p>
            <w:pPr>
              <w:snapToGrid w:val="0"/>
              <w:spacing w:line="440" w:lineRule="exact"/>
              <w:jc w:val="left"/>
              <w:rPr>
                <w:rFonts w:ascii="宋体" w:hAnsi="宋体"/>
                <w:szCs w:val="21"/>
              </w:rPr>
            </w:pPr>
            <w:r>
              <w:rPr>
                <w:rFonts w:hint="eastAsia" w:ascii="宋体" w:hAnsi="宋体"/>
                <w:szCs w:val="21"/>
              </w:rPr>
              <w:t>手术明细报告</w:t>
            </w:r>
          </w:p>
        </w:tc>
        <w:tc>
          <w:tcPr>
            <w:tcW w:w="2116" w:type="pct"/>
            <w:noWrap w:val="0"/>
            <w:vAlign w:val="top"/>
          </w:tcPr>
          <w:p>
            <w:pPr>
              <w:snapToGrid w:val="0"/>
              <w:spacing w:line="440" w:lineRule="exact"/>
              <w:jc w:val="left"/>
              <w:rPr>
                <w:rFonts w:ascii="宋体" w:hAnsi="宋体"/>
                <w:szCs w:val="21"/>
              </w:rPr>
            </w:pPr>
            <w:r>
              <w:rPr>
                <w:rFonts w:ascii="宋体" w:hAnsi="宋体"/>
                <w:szCs w:val="21"/>
              </w:rPr>
              <w:t>手术明细表</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35" w:type="pct"/>
            <w:vMerge w:val="continue"/>
            <w:noWrap w:val="0"/>
            <w:vAlign w:val="center"/>
          </w:tcPr>
          <w:p>
            <w:pPr>
              <w:snapToGrid w:val="0"/>
              <w:spacing w:line="440" w:lineRule="exact"/>
              <w:jc w:val="left"/>
              <w:rPr>
                <w:rFonts w:ascii="宋体" w:hAnsi="宋体"/>
                <w:szCs w:val="21"/>
              </w:rPr>
            </w:pPr>
          </w:p>
        </w:tc>
        <w:tc>
          <w:tcPr>
            <w:tcW w:w="802" w:type="pct"/>
            <w:vMerge w:val="continue"/>
            <w:noWrap w:val="0"/>
            <w:vAlign w:val="center"/>
          </w:tcPr>
          <w:p>
            <w:pPr>
              <w:snapToGrid w:val="0"/>
              <w:spacing w:line="440" w:lineRule="exact"/>
              <w:jc w:val="left"/>
              <w:rPr>
                <w:rFonts w:ascii="宋体" w:hAnsi="宋体"/>
                <w:szCs w:val="21"/>
              </w:rPr>
            </w:pPr>
          </w:p>
        </w:tc>
        <w:tc>
          <w:tcPr>
            <w:tcW w:w="1648" w:type="pct"/>
            <w:noWrap w:val="0"/>
            <w:vAlign w:val="center"/>
          </w:tcPr>
          <w:p>
            <w:pPr>
              <w:snapToGrid w:val="0"/>
              <w:spacing w:line="440" w:lineRule="exact"/>
              <w:jc w:val="left"/>
              <w:rPr>
                <w:rFonts w:ascii="宋体" w:hAnsi="宋体"/>
                <w:szCs w:val="21"/>
              </w:rPr>
            </w:pPr>
            <w:r>
              <w:rPr>
                <w:rFonts w:hint="eastAsia" w:ascii="宋体" w:hAnsi="宋体"/>
                <w:szCs w:val="21"/>
              </w:rPr>
              <w:t>诊断明细报告</w:t>
            </w:r>
          </w:p>
        </w:tc>
        <w:tc>
          <w:tcPr>
            <w:tcW w:w="2116" w:type="pct"/>
            <w:noWrap w:val="0"/>
            <w:vAlign w:val="top"/>
          </w:tcPr>
          <w:p>
            <w:pPr>
              <w:snapToGrid w:val="0"/>
              <w:spacing w:line="440" w:lineRule="exact"/>
              <w:jc w:val="left"/>
              <w:rPr>
                <w:rFonts w:ascii="宋体" w:hAnsi="宋体"/>
                <w:szCs w:val="21"/>
              </w:rPr>
            </w:pPr>
            <w:r>
              <w:rPr>
                <w:rFonts w:ascii="宋体" w:hAnsi="宋体"/>
                <w:szCs w:val="21"/>
              </w:rPr>
              <w:t>诊断明细表</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35" w:type="pct"/>
            <w:vMerge w:val="continue"/>
            <w:noWrap w:val="0"/>
            <w:vAlign w:val="center"/>
          </w:tcPr>
          <w:p>
            <w:pPr>
              <w:snapToGrid w:val="0"/>
              <w:spacing w:line="440" w:lineRule="exact"/>
              <w:jc w:val="left"/>
              <w:rPr>
                <w:rFonts w:ascii="宋体" w:hAnsi="宋体"/>
                <w:szCs w:val="21"/>
              </w:rPr>
            </w:pPr>
          </w:p>
        </w:tc>
        <w:tc>
          <w:tcPr>
            <w:tcW w:w="802" w:type="pct"/>
            <w:vMerge w:val="continue"/>
            <w:noWrap w:val="0"/>
            <w:vAlign w:val="center"/>
          </w:tcPr>
          <w:p>
            <w:pPr>
              <w:snapToGrid w:val="0"/>
              <w:spacing w:line="440" w:lineRule="exact"/>
              <w:jc w:val="left"/>
              <w:rPr>
                <w:rFonts w:ascii="宋体" w:hAnsi="宋体"/>
                <w:szCs w:val="21"/>
              </w:rPr>
            </w:pPr>
          </w:p>
        </w:tc>
        <w:tc>
          <w:tcPr>
            <w:tcW w:w="1648" w:type="pct"/>
            <w:noWrap w:val="0"/>
            <w:vAlign w:val="center"/>
          </w:tcPr>
          <w:p>
            <w:pPr>
              <w:snapToGrid w:val="0"/>
              <w:spacing w:line="440" w:lineRule="exact"/>
              <w:jc w:val="left"/>
              <w:rPr>
                <w:rFonts w:ascii="宋体" w:hAnsi="宋体"/>
                <w:szCs w:val="21"/>
              </w:rPr>
            </w:pPr>
            <w:r>
              <w:rPr>
                <w:rFonts w:hint="eastAsia" w:ascii="宋体" w:hAnsi="宋体"/>
                <w:szCs w:val="21"/>
              </w:rPr>
              <w:t>出院小结报告</w:t>
            </w:r>
          </w:p>
        </w:tc>
        <w:tc>
          <w:tcPr>
            <w:tcW w:w="2116" w:type="pct"/>
            <w:noWrap w:val="0"/>
            <w:vAlign w:val="top"/>
          </w:tcPr>
          <w:p>
            <w:pPr>
              <w:snapToGrid w:val="0"/>
              <w:spacing w:line="440" w:lineRule="exact"/>
              <w:jc w:val="left"/>
              <w:rPr>
                <w:rFonts w:ascii="宋体" w:hAnsi="宋体"/>
                <w:szCs w:val="21"/>
              </w:rPr>
            </w:pPr>
            <w:r>
              <w:rPr>
                <w:rFonts w:ascii="宋体" w:hAnsi="宋体"/>
                <w:szCs w:val="21"/>
              </w:rPr>
              <w:t>出院小结表</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35" w:type="pct"/>
            <w:vMerge w:val="continue"/>
            <w:noWrap w:val="0"/>
            <w:vAlign w:val="center"/>
          </w:tcPr>
          <w:p>
            <w:pPr>
              <w:snapToGrid w:val="0"/>
              <w:spacing w:line="440" w:lineRule="exact"/>
              <w:jc w:val="left"/>
              <w:rPr>
                <w:rFonts w:ascii="宋体" w:hAnsi="宋体"/>
                <w:szCs w:val="21"/>
              </w:rPr>
            </w:pPr>
          </w:p>
        </w:tc>
        <w:tc>
          <w:tcPr>
            <w:tcW w:w="802" w:type="pct"/>
            <w:vMerge w:val="continue"/>
            <w:noWrap w:val="0"/>
            <w:vAlign w:val="center"/>
          </w:tcPr>
          <w:p>
            <w:pPr>
              <w:snapToGrid w:val="0"/>
              <w:spacing w:line="440" w:lineRule="exact"/>
              <w:jc w:val="left"/>
              <w:rPr>
                <w:rFonts w:ascii="宋体" w:hAnsi="宋体"/>
                <w:szCs w:val="21"/>
              </w:rPr>
            </w:pPr>
          </w:p>
        </w:tc>
        <w:tc>
          <w:tcPr>
            <w:tcW w:w="1648" w:type="pct"/>
            <w:noWrap w:val="0"/>
            <w:vAlign w:val="center"/>
          </w:tcPr>
          <w:p>
            <w:pPr>
              <w:snapToGrid w:val="0"/>
              <w:spacing w:line="440" w:lineRule="exact"/>
              <w:jc w:val="left"/>
              <w:rPr>
                <w:rFonts w:ascii="宋体" w:hAnsi="宋体"/>
                <w:szCs w:val="21"/>
              </w:rPr>
            </w:pPr>
            <w:r>
              <w:rPr>
                <w:rFonts w:hint="eastAsia" w:ascii="宋体" w:hAnsi="宋体"/>
                <w:szCs w:val="21"/>
              </w:rPr>
              <w:t>体检小结报告</w:t>
            </w:r>
          </w:p>
        </w:tc>
        <w:tc>
          <w:tcPr>
            <w:tcW w:w="2116" w:type="pct"/>
            <w:noWrap w:val="0"/>
            <w:vAlign w:val="top"/>
          </w:tcPr>
          <w:p>
            <w:pPr>
              <w:snapToGrid w:val="0"/>
              <w:spacing w:line="440" w:lineRule="exact"/>
              <w:jc w:val="left"/>
              <w:rPr>
                <w:rFonts w:ascii="宋体" w:hAnsi="宋体"/>
                <w:szCs w:val="21"/>
              </w:rPr>
            </w:pPr>
            <w:r>
              <w:rPr>
                <w:rFonts w:ascii="宋体" w:hAnsi="宋体"/>
                <w:szCs w:val="21"/>
              </w:rPr>
              <w:t>体检报告首页</w:t>
            </w:r>
            <w:r>
              <w:rPr>
                <w:rFonts w:hint="eastAsia" w:ascii="宋体" w:hAnsi="宋体"/>
                <w:szCs w:val="21"/>
              </w:rPr>
              <w:t>；</w:t>
            </w:r>
          </w:p>
          <w:p>
            <w:pPr>
              <w:snapToGrid w:val="0"/>
              <w:spacing w:line="440" w:lineRule="exact"/>
              <w:jc w:val="left"/>
              <w:rPr>
                <w:rFonts w:ascii="宋体" w:hAnsi="宋体"/>
                <w:szCs w:val="21"/>
              </w:rPr>
            </w:pPr>
            <w:r>
              <w:rPr>
                <w:rFonts w:ascii="宋体" w:hAnsi="宋体"/>
                <w:szCs w:val="21"/>
              </w:rPr>
              <w:t>体检分科（分组）报告</w:t>
            </w:r>
            <w:r>
              <w:rPr>
                <w:rFonts w:hint="eastAsia" w:ascii="宋体" w:hAnsi="宋体"/>
                <w:szCs w:val="21"/>
              </w:rPr>
              <w:t>；</w:t>
            </w:r>
          </w:p>
          <w:p>
            <w:pPr>
              <w:snapToGrid w:val="0"/>
              <w:spacing w:line="440" w:lineRule="exact"/>
              <w:jc w:val="left"/>
              <w:rPr>
                <w:rFonts w:ascii="宋体" w:hAnsi="宋体"/>
                <w:szCs w:val="21"/>
              </w:rPr>
            </w:pPr>
            <w:r>
              <w:rPr>
                <w:rFonts w:ascii="宋体" w:hAnsi="宋体"/>
                <w:szCs w:val="21"/>
              </w:rPr>
              <w:t>体检明细表</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35" w:type="pct"/>
            <w:vMerge w:val="continue"/>
            <w:noWrap w:val="0"/>
            <w:vAlign w:val="center"/>
          </w:tcPr>
          <w:p>
            <w:pPr>
              <w:snapToGrid w:val="0"/>
              <w:spacing w:line="440" w:lineRule="exact"/>
              <w:jc w:val="left"/>
              <w:rPr>
                <w:rFonts w:ascii="宋体" w:hAnsi="宋体"/>
                <w:szCs w:val="21"/>
              </w:rPr>
            </w:pPr>
          </w:p>
        </w:tc>
        <w:tc>
          <w:tcPr>
            <w:tcW w:w="802" w:type="pct"/>
            <w:vMerge w:val="continue"/>
            <w:noWrap w:val="0"/>
            <w:vAlign w:val="center"/>
          </w:tcPr>
          <w:p>
            <w:pPr>
              <w:snapToGrid w:val="0"/>
              <w:spacing w:line="440" w:lineRule="exact"/>
              <w:jc w:val="left"/>
              <w:rPr>
                <w:rFonts w:ascii="宋体" w:hAnsi="宋体"/>
                <w:szCs w:val="21"/>
              </w:rPr>
            </w:pPr>
          </w:p>
        </w:tc>
        <w:tc>
          <w:tcPr>
            <w:tcW w:w="1648" w:type="pct"/>
            <w:noWrap w:val="0"/>
            <w:vAlign w:val="center"/>
          </w:tcPr>
          <w:p>
            <w:pPr>
              <w:snapToGrid w:val="0"/>
              <w:spacing w:line="440" w:lineRule="exact"/>
              <w:jc w:val="left"/>
              <w:rPr>
                <w:rFonts w:ascii="宋体" w:hAnsi="宋体"/>
                <w:szCs w:val="21"/>
              </w:rPr>
            </w:pPr>
            <w:r>
              <w:rPr>
                <w:rFonts w:hint="eastAsia" w:ascii="宋体" w:hAnsi="宋体"/>
                <w:szCs w:val="21"/>
              </w:rPr>
              <w:t>医院业务日报</w:t>
            </w:r>
          </w:p>
        </w:tc>
        <w:tc>
          <w:tcPr>
            <w:tcW w:w="2116" w:type="pct"/>
            <w:noWrap w:val="0"/>
            <w:vAlign w:val="top"/>
          </w:tcPr>
          <w:p>
            <w:pPr>
              <w:snapToGrid w:val="0"/>
              <w:spacing w:line="440" w:lineRule="exact"/>
              <w:jc w:val="left"/>
              <w:rPr>
                <w:rFonts w:ascii="宋体" w:hAnsi="宋体"/>
                <w:szCs w:val="21"/>
              </w:rPr>
            </w:pPr>
            <w:r>
              <w:rPr>
                <w:rFonts w:ascii="宋体" w:hAnsi="宋体"/>
                <w:szCs w:val="21"/>
              </w:rPr>
              <w:t>医院业务量日报</w:t>
            </w:r>
            <w:r>
              <w:rPr>
                <w:rFonts w:hint="eastAsia" w:ascii="宋体" w:hAnsi="宋体"/>
                <w:szCs w:val="21"/>
              </w:rPr>
              <w:t>；</w:t>
            </w:r>
          </w:p>
          <w:p>
            <w:pPr>
              <w:snapToGrid w:val="0"/>
              <w:spacing w:line="440" w:lineRule="exact"/>
              <w:jc w:val="left"/>
              <w:rPr>
                <w:rFonts w:ascii="宋体" w:hAnsi="宋体"/>
                <w:szCs w:val="21"/>
              </w:rPr>
            </w:pPr>
            <w:r>
              <w:rPr>
                <w:rFonts w:ascii="宋体" w:hAnsi="宋体"/>
                <w:szCs w:val="21"/>
              </w:rPr>
              <w:t>医院业务收入日报</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35" w:type="pct"/>
            <w:vMerge w:val="continue"/>
            <w:noWrap w:val="0"/>
            <w:vAlign w:val="center"/>
          </w:tcPr>
          <w:p>
            <w:pPr>
              <w:snapToGrid w:val="0"/>
              <w:spacing w:line="440" w:lineRule="exact"/>
              <w:jc w:val="left"/>
              <w:rPr>
                <w:rFonts w:ascii="宋体" w:hAnsi="宋体"/>
                <w:szCs w:val="21"/>
              </w:rPr>
            </w:pPr>
          </w:p>
        </w:tc>
        <w:tc>
          <w:tcPr>
            <w:tcW w:w="802" w:type="pct"/>
            <w:vMerge w:val="continue"/>
            <w:noWrap w:val="0"/>
            <w:vAlign w:val="center"/>
          </w:tcPr>
          <w:p>
            <w:pPr>
              <w:snapToGrid w:val="0"/>
              <w:spacing w:line="440" w:lineRule="exact"/>
              <w:jc w:val="left"/>
              <w:rPr>
                <w:rFonts w:ascii="宋体" w:hAnsi="宋体"/>
                <w:szCs w:val="21"/>
              </w:rPr>
            </w:pPr>
          </w:p>
        </w:tc>
        <w:tc>
          <w:tcPr>
            <w:tcW w:w="1648" w:type="pct"/>
            <w:noWrap w:val="0"/>
            <w:vAlign w:val="center"/>
          </w:tcPr>
          <w:p>
            <w:pPr>
              <w:snapToGrid w:val="0"/>
              <w:spacing w:line="440" w:lineRule="exact"/>
              <w:jc w:val="left"/>
              <w:rPr>
                <w:rFonts w:ascii="宋体" w:hAnsi="宋体"/>
                <w:szCs w:val="21"/>
              </w:rPr>
            </w:pPr>
            <w:r>
              <w:rPr>
                <w:rFonts w:hint="eastAsia" w:ascii="宋体" w:hAnsi="宋体"/>
                <w:szCs w:val="21"/>
              </w:rPr>
              <w:t>对账数据集</w:t>
            </w:r>
          </w:p>
        </w:tc>
        <w:tc>
          <w:tcPr>
            <w:tcW w:w="2116" w:type="pct"/>
            <w:noWrap w:val="0"/>
            <w:vAlign w:val="top"/>
          </w:tcPr>
          <w:p>
            <w:pPr>
              <w:snapToGrid w:val="0"/>
              <w:spacing w:line="440" w:lineRule="exact"/>
              <w:jc w:val="left"/>
              <w:rPr>
                <w:rFonts w:ascii="宋体" w:hAnsi="宋体"/>
                <w:szCs w:val="21"/>
              </w:rPr>
            </w:pPr>
            <w:r>
              <w:rPr>
                <w:rFonts w:ascii="宋体" w:hAnsi="宋体"/>
                <w:szCs w:val="21"/>
              </w:rPr>
              <w:t>上传对账数据集</w:t>
            </w:r>
            <w:r>
              <w:rPr>
                <w:rFonts w:hint="eastAsia" w:ascii="宋体" w:hAnsi="宋体"/>
                <w:szCs w:val="21"/>
              </w:rPr>
              <w:t>；</w:t>
            </w:r>
          </w:p>
          <w:p>
            <w:pPr>
              <w:snapToGrid w:val="0"/>
              <w:spacing w:line="440" w:lineRule="exact"/>
              <w:jc w:val="left"/>
              <w:rPr>
                <w:rFonts w:ascii="宋体" w:hAnsi="宋体"/>
                <w:szCs w:val="21"/>
              </w:rPr>
            </w:pPr>
            <w:r>
              <w:rPr>
                <w:rFonts w:ascii="宋体" w:hAnsi="宋体"/>
                <w:szCs w:val="21"/>
              </w:rPr>
              <w:t>业务对账数据集</w:t>
            </w:r>
            <w:r>
              <w:rPr>
                <w:rFonts w:hint="eastAsia" w:ascii="宋体" w:hAnsi="宋体"/>
                <w:szCs w:val="21"/>
              </w:rPr>
              <w:t>；</w:t>
            </w:r>
          </w:p>
        </w:tc>
      </w:tr>
    </w:tbl>
    <w:p>
      <w:pPr>
        <w:snapToGrid w:val="0"/>
        <w:spacing w:line="440" w:lineRule="exact"/>
        <w:jc w:val="left"/>
        <w:rPr>
          <w:rFonts w:ascii="宋体" w:hAnsi="宋体"/>
          <w:b/>
          <w:sz w:val="24"/>
        </w:rPr>
      </w:pPr>
      <w:r>
        <w:rPr>
          <w:rFonts w:hint="eastAsia" w:ascii="宋体" w:hAnsi="宋体"/>
          <w:b/>
          <w:sz w:val="24"/>
        </w:rPr>
        <w:t>二、接口改造技术需求</w:t>
      </w:r>
    </w:p>
    <w:p>
      <w:pPr>
        <w:snapToGrid w:val="0"/>
        <w:spacing w:line="440" w:lineRule="exact"/>
        <w:ind w:firstLine="480" w:firstLineChars="200"/>
        <w:jc w:val="left"/>
        <w:rPr>
          <w:rFonts w:ascii="宋体" w:hAnsi="宋体"/>
          <w:sz w:val="24"/>
        </w:rPr>
      </w:pPr>
      <w:r>
        <w:rPr>
          <w:rFonts w:hint="eastAsia" w:ascii="宋体" w:hAnsi="宋体"/>
          <w:sz w:val="24"/>
        </w:rPr>
        <w:t>中标人需依据下述接口规范升级修改现有系统，实现与绍兴卫生服务一卡通数据采集平台对接。具体对接情况如下：</w:t>
      </w:r>
    </w:p>
    <w:p>
      <w:pPr>
        <w:snapToGrid w:val="0"/>
        <w:spacing w:line="440" w:lineRule="exact"/>
        <w:jc w:val="left"/>
        <w:rPr>
          <w:rFonts w:ascii="宋体" w:hAnsi="宋体"/>
          <w:sz w:val="24"/>
        </w:rPr>
      </w:pPr>
      <w:r>
        <w:rPr>
          <w:rFonts w:hint="eastAsia" w:ascii="宋体" w:hAnsi="宋体"/>
          <w:sz w:val="24"/>
        </w:rPr>
        <w:t xml:space="preserve">（一）门诊类业务的临床病史信息填报 </w:t>
      </w:r>
    </w:p>
    <w:p>
      <w:pPr>
        <w:snapToGrid w:val="0"/>
        <w:spacing w:line="440" w:lineRule="exact"/>
        <w:ind w:firstLine="480" w:firstLineChars="200"/>
        <w:jc w:val="left"/>
        <w:rPr>
          <w:rFonts w:ascii="宋体" w:hAnsi="宋体"/>
          <w:sz w:val="24"/>
        </w:rPr>
      </w:pPr>
      <w:r>
        <w:rPr>
          <w:rFonts w:hint="eastAsia" w:ascii="宋体" w:hAnsi="宋体"/>
          <w:sz w:val="24"/>
        </w:rPr>
        <w:t>就诊患者在医院内接受了门诊类业务服务后，由医院的信息管理系统将该患者就诊时的病史资料按照本文后述的内容和格式要求，对数据进行汇集后依本规范后述说明的方式填报提交数据中心。</w:t>
      </w:r>
    </w:p>
    <w:p>
      <w:pPr>
        <w:snapToGrid w:val="0"/>
        <w:spacing w:line="440" w:lineRule="exact"/>
        <w:ind w:firstLine="480" w:firstLineChars="200"/>
        <w:jc w:val="left"/>
        <w:rPr>
          <w:rFonts w:ascii="宋体" w:hAnsi="宋体"/>
          <w:sz w:val="24"/>
        </w:rPr>
      </w:pPr>
      <w:r>
        <w:rPr>
          <w:rFonts w:hint="eastAsia" w:ascii="宋体" w:hAnsi="宋体"/>
          <w:sz w:val="24"/>
        </w:rPr>
        <w:t xml:space="preserve">由于实验室检验报告、医学影像检查报告通常不在门急诊诊疗期间就可得到，往往隔天甚至数日之后，所以，可将检验检查报告作为单独的报告填报上传， 不必与诊疗流程中的其他数据汇集后一并上传。对于门诊手术也按照单独报告填报上传。 </w:t>
      </w:r>
    </w:p>
    <w:p>
      <w:pPr>
        <w:snapToGrid w:val="0"/>
        <w:spacing w:line="440" w:lineRule="exact"/>
        <w:jc w:val="left"/>
        <w:rPr>
          <w:rFonts w:ascii="宋体" w:hAnsi="宋体"/>
          <w:sz w:val="24"/>
        </w:rPr>
      </w:pPr>
      <w:r>
        <w:rPr>
          <w:rFonts w:hint="eastAsia" w:ascii="宋体" w:hAnsi="宋体"/>
          <w:sz w:val="24"/>
        </w:rPr>
        <w:t xml:space="preserve">（二）住院类业务的临床病史信息填报 </w:t>
      </w:r>
    </w:p>
    <w:p>
      <w:pPr>
        <w:snapToGrid w:val="0"/>
        <w:spacing w:line="440" w:lineRule="exact"/>
        <w:ind w:firstLine="480" w:firstLineChars="200"/>
        <w:jc w:val="left"/>
        <w:rPr>
          <w:rFonts w:ascii="宋体" w:hAnsi="宋体"/>
          <w:sz w:val="24"/>
        </w:rPr>
      </w:pPr>
      <w:r>
        <w:rPr>
          <w:rFonts w:hint="eastAsia" w:ascii="宋体" w:hAnsi="宋体"/>
          <w:sz w:val="24"/>
        </w:rPr>
        <w:t xml:space="preserve">患者在医院登记入院，接受了各种治疗。当病人住院诊疗发生了在/出院结算或者办理了离院手续时，医院须汇总全部已产生的诊疗数据填报提交。对于住院，不必在未办理结算或离院手续之前传报临床诊疗病史信息（对第一章中的业务运营类数据，则需要在发生入院登记时即填报）。 </w:t>
      </w:r>
    </w:p>
    <w:p>
      <w:pPr>
        <w:snapToGrid w:val="0"/>
        <w:spacing w:line="440" w:lineRule="exact"/>
        <w:ind w:firstLine="480" w:firstLineChars="200"/>
        <w:jc w:val="left"/>
        <w:rPr>
          <w:rFonts w:ascii="宋体" w:hAnsi="宋体"/>
          <w:sz w:val="24"/>
        </w:rPr>
      </w:pPr>
      <w:r>
        <w:rPr>
          <w:rFonts w:hint="eastAsia" w:ascii="宋体" w:hAnsi="宋体"/>
          <w:sz w:val="24"/>
        </w:rPr>
        <w:t>由于一部分检验报告、医学影像检查报告、手术报告，或出院小结有可能在办理离院或结算时仍未产生，所以，可将后续产生的各类报告单独填报上传， 不必与住院诊疗流程中的其他数据汇集后一并上传。</w:t>
      </w:r>
    </w:p>
    <w:p>
      <w:pPr>
        <w:snapToGrid w:val="0"/>
        <w:spacing w:line="440" w:lineRule="exact"/>
        <w:jc w:val="left"/>
        <w:rPr>
          <w:rFonts w:ascii="宋体" w:hAnsi="宋体"/>
          <w:sz w:val="24"/>
        </w:rPr>
      </w:pPr>
      <w:r>
        <w:rPr>
          <w:rFonts w:hint="eastAsia" w:ascii="宋体" w:hAnsi="宋体"/>
          <w:sz w:val="24"/>
        </w:rPr>
        <w:t xml:space="preserve">（三）临床诊疗病史对象关系图 </w:t>
      </w:r>
    </w:p>
    <w:p>
      <w:pPr>
        <w:snapToGrid w:val="0"/>
        <w:spacing w:line="440" w:lineRule="exact"/>
        <w:ind w:firstLine="480" w:firstLineChars="200"/>
        <w:jc w:val="left"/>
        <w:rPr>
          <w:rFonts w:ascii="宋体" w:hAnsi="宋体"/>
          <w:sz w:val="24"/>
        </w:rPr>
      </w:pPr>
      <w:r>
        <w:rPr>
          <w:rFonts w:hint="eastAsia" w:ascii="宋体" w:hAnsi="宋体"/>
          <w:sz w:val="24"/>
        </w:rPr>
        <w:t>目前从医院采集的临床诊疗病史在数据逻辑上共可分为三类，共九个对象。</w:t>
      </w:r>
    </w:p>
    <w:p>
      <w:pPr>
        <w:snapToGrid w:val="0"/>
        <w:spacing w:line="440" w:lineRule="exact"/>
        <w:jc w:val="left"/>
        <w:rPr>
          <w:rFonts w:ascii="宋体" w:hAnsi="宋体"/>
          <w:sz w:val="24"/>
        </w:rPr>
      </w:pPr>
      <w:r>
        <w:rPr>
          <w:rFonts w:hint="eastAsia" w:ascii="宋体" w:hAnsi="宋体"/>
          <w:sz w:val="24"/>
        </w:rPr>
        <w:t>第一类：服务对象信息。目前包括患者基本信息。</w:t>
      </w:r>
    </w:p>
    <w:p>
      <w:pPr>
        <w:snapToGrid w:val="0"/>
        <w:spacing w:line="440" w:lineRule="exact"/>
        <w:jc w:val="left"/>
        <w:rPr>
          <w:rFonts w:ascii="宋体" w:hAnsi="宋体"/>
          <w:sz w:val="24"/>
        </w:rPr>
      </w:pPr>
      <w:r>
        <w:rPr>
          <w:rFonts w:hint="eastAsia" w:ascii="宋体" w:hAnsi="宋体"/>
          <w:sz w:val="24"/>
        </w:rPr>
        <w:t>第二类：就诊事件信息。目前包括门诊就诊信息和住院就诊信息这两个对象。</w:t>
      </w:r>
    </w:p>
    <w:p>
      <w:pPr>
        <w:snapToGrid w:val="0"/>
        <w:spacing w:line="440" w:lineRule="exact"/>
        <w:jc w:val="left"/>
        <w:rPr>
          <w:rFonts w:ascii="宋体" w:hAnsi="宋体"/>
          <w:sz w:val="24"/>
        </w:rPr>
      </w:pPr>
      <w:r>
        <w:rPr>
          <w:rFonts w:hint="eastAsia" w:ascii="宋体" w:hAnsi="宋体"/>
          <w:sz w:val="24"/>
        </w:rPr>
        <w:t xml:space="preserve">第三类：诊疗报告。目前包括实验室检验报告、医学影像检查报告、住院病案首页主体报告、手术明细报告、诊断明细报告、出院小结报告这六个对象。 </w:t>
      </w:r>
    </w:p>
    <w:p>
      <w:pPr>
        <w:snapToGrid w:val="0"/>
        <w:spacing w:line="440" w:lineRule="exact"/>
        <w:jc w:val="left"/>
        <w:rPr>
          <w:rFonts w:ascii="宋体" w:hAnsi="宋体"/>
          <w:sz w:val="24"/>
        </w:rPr>
      </w:pPr>
      <w:r>
        <w:rPr>
          <w:rFonts w:hint="eastAsia" w:ascii="宋体" w:hAnsi="宋体"/>
          <w:sz w:val="24"/>
        </w:rPr>
        <w:t xml:space="preserve">九个对象之间的关系在下图中以黄色箭头表示。图中箭头表达的“1：1”表示必有且仅有一个关联关系；“1：0..1”表示可有一个或无任何关联关系。 </w:t>
      </w:r>
    </w:p>
    <w:p>
      <w:pPr>
        <w:snapToGrid w:val="0"/>
        <w:spacing w:line="440" w:lineRule="exact"/>
        <w:jc w:val="left"/>
        <w:rPr>
          <w:rFonts w:ascii="宋体" w:hAnsi="宋体"/>
          <w:sz w:val="24"/>
        </w:rPr>
      </w:pPr>
      <w:r>
        <w:rPr>
          <w:lang/>
        </w:rPr>
        <w:drawing>
          <wp:anchor distT="0" distB="0" distL="114300" distR="114300" simplePos="0" relativeHeight="251661312" behindDoc="0" locked="0" layoutInCell="1" allowOverlap="1">
            <wp:simplePos x="0" y="0"/>
            <wp:positionH relativeFrom="column">
              <wp:posOffset>0</wp:posOffset>
            </wp:positionH>
            <wp:positionV relativeFrom="paragraph">
              <wp:posOffset>131445</wp:posOffset>
            </wp:positionV>
            <wp:extent cx="5555615" cy="2909570"/>
            <wp:effectExtent l="0" t="0" r="6985" b="1270"/>
            <wp:wrapSquare wrapText="bothSides"/>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7"/>
                    <a:stretch>
                      <a:fillRect/>
                    </a:stretch>
                  </pic:blipFill>
                  <pic:spPr>
                    <a:xfrm>
                      <a:off x="0" y="0"/>
                      <a:ext cx="5555615" cy="2909570"/>
                    </a:xfrm>
                    <a:prstGeom prst="rect">
                      <a:avLst/>
                    </a:prstGeom>
                    <a:noFill/>
                    <a:ln>
                      <a:noFill/>
                    </a:ln>
                  </pic:spPr>
                </pic:pic>
              </a:graphicData>
            </a:graphic>
          </wp:anchor>
        </w:drawing>
      </w:r>
    </w:p>
    <w:p>
      <w:pPr>
        <w:snapToGrid w:val="0"/>
        <w:spacing w:line="440" w:lineRule="exact"/>
        <w:jc w:val="left"/>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 xml:space="preserve">各类报告、门诊就诊信息、住院就诊信息必须关联到且仅可关联到某一患者，关联的属性（外键）是“卡号+卡类型”。对于不应或无法填入“卡号+ 卡类型”的患者，例如市管干部或在编军人，则患者基本信息不用填报。 </w:t>
      </w:r>
    </w:p>
    <w:p>
      <w:pPr>
        <w:snapToGrid w:val="0"/>
        <w:spacing w:line="440" w:lineRule="exact"/>
        <w:jc w:val="left"/>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 xml:space="preserve">各类报告可以分别关联到某一门诊就诊信息或住院就诊信息。“可以” 的含义是尽可能做到关联，但确实无法关联也无妨。数据中心将根据时间、地点、患者等数据自动进行后台匹配处理，尽可能予以相互关联。 </w:t>
      </w:r>
    </w:p>
    <w:p>
      <w:pPr>
        <w:snapToGrid w:val="0"/>
        <w:spacing w:line="440" w:lineRule="exact"/>
        <w:jc w:val="left"/>
        <w:rPr>
          <w:rFonts w:ascii="宋体" w:hAnsi="宋体"/>
          <w:sz w:val="24"/>
        </w:rPr>
      </w:pPr>
      <w:r>
        <w:rPr>
          <w:lang/>
        </w:rPr>
        <w:drawing>
          <wp:anchor distT="0" distB="0" distL="114300" distR="114300" simplePos="0" relativeHeight="251662336" behindDoc="0" locked="0" layoutInCell="1" allowOverlap="1">
            <wp:simplePos x="0" y="0"/>
            <wp:positionH relativeFrom="column">
              <wp:posOffset>180340</wp:posOffset>
            </wp:positionH>
            <wp:positionV relativeFrom="paragraph">
              <wp:posOffset>904240</wp:posOffset>
            </wp:positionV>
            <wp:extent cx="5548630" cy="2957830"/>
            <wp:effectExtent l="0" t="0" r="13970" b="13970"/>
            <wp:wrapSquare wrapText="bothSides"/>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pic:cNvPicPr>
                  </pic:nvPicPr>
                  <pic:blipFill>
                    <a:blip r:embed="rId8"/>
                    <a:stretch>
                      <a:fillRect/>
                    </a:stretch>
                  </pic:blipFill>
                  <pic:spPr>
                    <a:xfrm>
                      <a:off x="0" y="0"/>
                      <a:ext cx="5548630" cy="2957830"/>
                    </a:xfrm>
                    <a:prstGeom prst="rect">
                      <a:avLst/>
                    </a:prstGeom>
                    <a:noFill/>
                    <a:ln>
                      <a:noFill/>
                    </a:ln>
                  </pic:spPr>
                </pic:pic>
              </a:graphicData>
            </a:graphic>
          </wp:anchor>
        </w:drawing>
      </w:r>
      <w:r>
        <w:rPr>
          <w:rFonts w:hint="eastAsia" w:ascii="宋体" w:hAnsi="宋体"/>
          <w:sz w:val="24"/>
        </w:rPr>
        <w:t xml:space="preserve">无法满足上述关联规则的数据将不会被数据中心整合归入患者个人的临床诊疗档案库提供共享调阅。 </w:t>
      </w:r>
    </w:p>
    <w:p>
      <w:pPr>
        <w:snapToGrid w:val="0"/>
        <w:spacing w:line="440" w:lineRule="exact"/>
        <w:jc w:val="left"/>
        <w:rPr>
          <w:rFonts w:ascii="宋体" w:hAnsi="宋体"/>
          <w:sz w:val="24"/>
        </w:rPr>
      </w:pPr>
      <w:r>
        <w:rPr>
          <w:rFonts w:hint="eastAsia" w:ascii="宋体" w:hAnsi="宋体"/>
          <w:sz w:val="24"/>
        </w:rPr>
        <w:t xml:space="preserve">（四）各对象内数据表之间的关系 </w:t>
      </w:r>
    </w:p>
    <w:p>
      <w:pPr>
        <w:snapToGrid w:val="0"/>
        <w:spacing w:line="440" w:lineRule="exact"/>
        <w:jc w:val="left"/>
        <w:rPr>
          <w:rFonts w:ascii="宋体" w:hAnsi="宋体"/>
          <w:sz w:val="24"/>
        </w:rPr>
      </w:pPr>
      <w:r>
        <w:rPr>
          <w:rFonts w:hint="eastAsia" w:ascii="宋体" w:hAnsi="宋体"/>
          <w:sz w:val="24"/>
        </w:rPr>
        <w:t xml:space="preserve">临床诊疗病史相关数据的采集内容共有 16 个数据库表组成。上述每一矩形块是前述的一个对象，每一矩形块内的表是表述该对象属性的数据库表。每一对象的属性可由一个或多个数据库表表述。各对象之间的关联关系如前所述。每一对象内的数据库表之间的关系如上图中的线条箭头表达。 </w:t>
      </w:r>
    </w:p>
    <w:p>
      <w:pPr>
        <w:snapToGrid w:val="0"/>
        <w:spacing w:line="440" w:lineRule="exact"/>
        <w:jc w:val="left"/>
        <w:rPr>
          <w:rFonts w:ascii="宋体" w:hAnsi="宋体"/>
          <w:sz w:val="24"/>
        </w:rPr>
      </w:pPr>
      <w:r>
        <w:rPr>
          <w:rFonts w:hint="eastAsia" w:ascii="宋体" w:hAnsi="宋体"/>
          <w:sz w:val="24"/>
        </w:rPr>
        <w:t xml:space="preserve">（1）实验室检验报告的对象中，检验结果指标表、细菌结果、药敏结果这三个表必须与实验室检验报告表头相互关联。 </w:t>
      </w:r>
    </w:p>
    <w:p>
      <w:pPr>
        <w:snapToGrid w:val="0"/>
        <w:spacing w:line="440" w:lineRule="exact"/>
        <w:jc w:val="left"/>
        <w:rPr>
          <w:rFonts w:ascii="宋体" w:hAnsi="宋体"/>
          <w:sz w:val="24"/>
        </w:rPr>
      </w:pPr>
      <w:r>
        <w:rPr>
          <w:rFonts w:hint="eastAsia" w:ascii="宋体" w:hAnsi="宋体"/>
          <w:sz w:val="24"/>
        </w:rPr>
        <w:t xml:space="preserve">（2）门诊就诊信息的对象中，门诊处方明细表、门诊收费明细表必须与门诊就诊记录表相互关联。 </w:t>
      </w:r>
    </w:p>
    <w:p>
      <w:pPr>
        <w:snapToGrid w:val="0"/>
        <w:spacing w:line="440" w:lineRule="exact"/>
        <w:jc w:val="left"/>
        <w:rPr>
          <w:rFonts w:ascii="宋体" w:hAnsi="宋体"/>
          <w:sz w:val="24"/>
        </w:rPr>
      </w:pPr>
      <w:r>
        <w:rPr>
          <w:rFonts w:hint="eastAsia" w:ascii="宋体" w:hAnsi="宋体"/>
          <w:sz w:val="24"/>
        </w:rPr>
        <w:t xml:space="preserve">（3）住院就诊信息的对象中，住院医嘱明细表、住院收费明细表必须与住院就诊记录表相互关联。 </w:t>
      </w:r>
    </w:p>
    <w:p>
      <w:pPr>
        <w:snapToGrid w:val="0"/>
        <w:spacing w:line="440" w:lineRule="exact"/>
        <w:jc w:val="left"/>
        <w:rPr>
          <w:rFonts w:ascii="宋体" w:hAnsi="宋体"/>
          <w:sz w:val="24"/>
        </w:rPr>
      </w:pPr>
      <w:r>
        <w:rPr>
          <w:rFonts w:hint="eastAsia" w:ascii="宋体" w:hAnsi="宋体"/>
          <w:sz w:val="24"/>
        </w:rPr>
        <w:t xml:space="preserve">其他的各个对象都由单一的数据库表表述属性。 </w:t>
      </w:r>
    </w:p>
    <w:p>
      <w:pPr>
        <w:snapToGrid w:val="0"/>
        <w:spacing w:line="440" w:lineRule="exact"/>
        <w:jc w:val="left"/>
        <w:rPr>
          <w:rFonts w:ascii="宋体" w:hAnsi="宋体"/>
          <w:sz w:val="24"/>
        </w:rPr>
      </w:pPr>
      <w:r>
        <w:rPr>
          <w:rFonts w:hint="eastAsia" w:ascii="宋体" w:hAnsi="宋体"/>
          <w:sz w:val="24"/>
        </w:rPr>
        <w:t>注意，在关联关系中，必须在顾及对象内各表之间的关联关系同时顾及对象之间表与表的相互关系。例如，实验室检验报告必须与患者基本信息相互关联， 等等。</w:t>
      </w:r>
    </w:p>
    <w:p>
      <w:pPr>
        <w:snapToGrid w:val="0"/>
        <w:spacing w:line="440" w:lineRule="exact"/>
        <w:jc w:val="left"/>
        <w:rPr>
          <w:rFonts w:ascii="宋体" w:hAnsi="宋体"/>
          <w:b/>
          <w:sz w:val="24"/>
        </w:rPr>
      </w:pPr>
      <w:r>
        <w:rPr>
          <w:rFonts w:hint="eastAsia" w:ascii="宋体" w:hAnsi="宋体"/>
          <w:b/>
          <w:sz w:val="24"/>
        </w:rPr>
        <w:t>2.1</w:t>
      </w:r>
      <w:r>
        <w:rPr>
          <w:rFonts w:ascii="宋体" w:hAnsi="宋体"/>
          <w:b/>
          <w:sz w:val="24"/>
        </w:rPr>
        <w:t>临床诊疗病史相关数据</w:t>
      </w:r>
      <w:r>
        <w:rPr>
          <w:rFonts w:hint="eastAsia" w:ascii="宋体" w:hAnsi="宋体"/>
          <w:b/>
          <w:sz w:val="24"/>
        </w:rPr>
        <w:t>接口</w:t>
      </w:r>
    </w:p>
    <w:p>
      <w:pPr>
        <w:snapToGrid w:val="0"/>
        <w:spacing w:line="440" w:lineRule="exact"/>
        <w:jc w:val="left"/>
        <w:rPr>
          <w:rFonts w:ascii="宋体" w:hAnsi="宋体"/>
          <w:sz w:val="24"/>
        </w:rPr>
      </w:pPr>
      <w:r>
        <w:rPr>
          <w:rFonts w:hint="eastAsia" w:ascii="宋体" w:hAnsi="宋体"/>
          <w:sz w:val="24"/>
        </w:rPr>
        <w:t>2.1.1</w:t>
      </w:r>
      <w:r>
        <w:rPr>
          <w:rFonts w:ascii="宋体" w:hAnsi="宋体"/>
          <w:sz w:val="24"/>
        </w:rPr>
        <w:t>患者基本信息</w:t>
      </w:r>
    </w:p>
    <w:p>
      <w:pPr>
        <w:snapToGrid w:val="0"/>
        <w:spacing w:line="440" w:lineRule="exact"/>
        <w:jc w:val="left"/>
        <w:rPr>
          <w:rFonts w:ascii="宋体" w:hAnsi="宋体"/>
          <w:sz w:val="24"/>
        </w:rPr>
      </w:pPr>
      <w:r>
        <w:rPr>
          <w:rFonts w:hint="eastAsia" w:ascii="宋体" w:hAnsi="宋体"/>
          <w:sz w:val="24"/>
        </w:rPr>
        <w:t>2.1.1.1患者信息表(TB_YL_Patient_Information)</w:t>
      </w:r>
    </w:p>
    <w:tbl>
      <w:tblPr>
        <w:tblStyle w:val="4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992"/>
        <w:gridCol w:w="851"/>
        <w:gridCol w:w="567"/>
        <w:gridCol w:w="1134"/>
        <w:gridCol w:w="1843"/>
        <w:gridCol w:w="1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72" w:hRule="atLeast"/>
        </w:trPr>
        <w:tc>
          <w:tcPr>
            <w:tcW w:w="1276"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字段</w:t>
            </w:r>
          </w:p>
        </w:tc>
        <w:tc>
          <w:tcPr>
            <w:tcW w:w="992"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字段名</w:t>
            </w:r>
          </w:p>
        </w:tc>
        <w:tc>
          <w:tcPr>
            <w:tcW w:w="851"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类型</w:t>
            </w:r>
          </w:p>
        </w:tc>
        <w:tc>
          <w:tcPr>
            <w:tcW w:w="567"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字节</w:t>
            </w:r>
          </w:p>
        </w:tc>
        <w:tc>
          <w:tcPr>
            <w:tcW w:w="1134"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填报要求</w:t>
            </w:r>
          </w:p>
        </w:tc>
        <w:tc>
          <w:tcPr>
            <w:tcW w:w="1843"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说明</w:t>
            </w:r>
          </w:p>
        </w:tc>
        <w:tc>
          <w:tcPr>
            <w:tcW w:w="1927"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数据集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936" w:hRule="atLeast"/>
        </w:trPr>
        <w:tc>
          <w:tcPr>
            <w:tcW w:w="1276"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c>
          <w:tcPr>
            <w:tcW w:w="992"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1134"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1843"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复合主键；卫生机构分类代码 22位</w:t>
            </w:r>
          </w:p>
        </w:tc>
        <w:tc>
          <w:tcPr>
            <w:tcW w:w="1927"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97" w:hRule="atLeast"/>
        </w:trPr>
        <w:tc>
          <w:tcPr>
            <w:tcW w:w="1276"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院区ID </w:t>
            </w:r>
          </w:p>
        </w:tc>
        <w:tc>
          <w:tcPr>
            <w:tcW w:w="992"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YQID </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1134"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1843"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本院传00， 分院按实际传 </w:t>
            </w:r>
          </w:p>
        </w:tc>
        <w:tc>
          <w:tcPr>
            <w:tcW w:w="1927"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6" w:hRule="atLeast"/>
        </w:trPr>
        <w:tc>
          <w:tcPr>
            <w:tcW w:w="1276"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院区名称 </w:t>
            </w:r>
          </w:p>
        </w:tc>
        <w:tc>
          <w:tcPr>
            <w:tcW w:w="992"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JGYQMC </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1134"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1843" w:type="dxa"/>
            <w:shd w:val="clear" w:color="auto" w:fill="FAD3B4"/>
            <w:noWrap w:val="0"/>
            <w:vAlign w:val="top"/>
          </w:tcPr>
          <w:p>
            <w:pPr>
              <w:snapToGrid w:val="0"/>
              <w:spacing w:line="440" w:lineRule="exact"/>
              <w:jc w:val="left"/>
              <w:rPr>
                <w:rFonts w:ascii="宋体" w:hAnsi="宋体"/>
                <w:sz w:val="18"/>
                <w:szCs w:val="18"/>
              </w:rPr>
            </w:pPr>
          </w:p>
        </w:tc>
        <w:tc>
          <w:tcPr>
            <w:tcW w:w="1927"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276"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卡号</w:t>
            </w:r>
          </w:p>
        </w:tc>
        <w:tc>
          <w:tcPr>
            <w:tcW w:w="992"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KH</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1134"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1843"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w:t>
            </w:r>
          </w:p>
        </w:tc>
        <w:tc>
          <w:tcPr>
            <w:tcW w:w="1927"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4" w:hRule="atLeast"/>
        </w:trPr>
        <w:tc>
          <w:tcPr>
            <w:tcW w:w="1276"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卡类型</w:t>
            </w:r>
          </w:p>
        </w:tc>
        <w:tc>
          <w:tcPr>
            <w:tcW w:w="992"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KLX</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1134"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1843"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复合主键；见说明(1)</w:t>
            </w:r>
          </w:p>
        </w:tc>
        <w:tc>
          <w:tcPr>
            <w:tcW w:w="1927"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发卡地区</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**DQ</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6</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1843" w:type="dxa"/>
            <w:noWrap w:val="0"/>
            <w:vAlign w:val="top"/>
          </w:tcPr>
          <w:p>
            <w:pPr>
              <w:snapToGrid w:val="0"/>
              <w:spacing w:line="440" w:lineRule="exact"/>
              <w:jc w:val="left"/>
              <w:rPr>
                <w:rFonts w:ascii="宋体" w:hAnsi="宋体"/>
                <w:sz w:val="18"/>
                <w:szCs w:val="18"/>
              </w:rPr>
            </w:pPr>
            <w:r>
              <w:rPr>
                <w:rFonts w:hint="eastAsia" w:ascii="宋体" w:hAnsi="宋体"/>
                <w:sz w:val="18"/>
                <w:szCs w:val="18"/>
              </w:rPr>
              <w:t>指社保卡发卡地区， 绍兴：330600</w:t>
            </w: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935" w:hRule="atLeast"/>
        </w:trPr>
        <w:tc>
          <w:tcPr>
            <w:tcW w:w="1276" w:type="dxa"/>
            <w:noWrap w:val="0"/>
            <w:vAlign w:val="top"/>
          </w:tcPr>
          <w:p>
            <w:pPr>
              <w:snapToGrid w:val="0"/>
              <w:spacing w:line="440" w:lineRule="exact"/>
              <w:jc w:val="left"/>
              <w:rPr>
                <w:rFonts w:ascii="宋体" w:hAnsi="宋体"/>
                <w:sz w:val="18"/>
                <w:szCs w:val="18"/>
              </w:rPr>
            </w:pPr>
            <w:bookmarkStart w:id="7" w:name="_Hlk51932971"/>
            <w:r>
              <w:rPr>
                <w:rFonts w:hint="eastAsia" w:ascii="宋体" w:hAnsi="宋体"/>
                <w:sz w:val="18"/>
                <w:szCs w:val="18"/>
              </w:rPr>
              <w:t>个人健康档案号</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GRDAID</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1843"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个人健康档案个人唯一标示符</w:t>
            </w:r>
          </w:p>
        </w:tc>
        <w:tc>
          <w:tcPr>
            <w:tcW w:w="1927" w:type="dxa"/>
            <w:noWrap w:val="0"/>
            <w:vAlign w:val="top"/>
          </w:tcPr>
          <w:p>
            <w:pPr>
              <w:snapToGrid w:val="0"/>
              <w:spacing w:line="440" w:lineRule="exact"/>
              <w:jc w:val="left"/>
              <w:rPr>
                <w:rFonts w:ascii="宋体" w:hAnsi="宋体"/>
                <w:sz w:val="18"/>
                <w:szCs w:val="18"/>
              </w:rPr>
            </w:pPr>
            <w:r>
              <w:rPr>
                <w:rFonts w:ascii="宋体" w:hAnsi="宋体"/>
                <w:sz w:val="18"/>
                <w:szCs w:val="18"/>
              </w:rPr>
              <w:t>已建档必填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证件号码</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ZJHM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937"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证件类型</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ZJLX</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843" w:type="dxa"/>
            <w:noWrap w:val="0"/>
            <w:vAlign w:val="top"/>
          </w:tcPr>
          <w:p>
            <w:pPr>
              <w:snapToGrid w:val="0"/>
              <w:spacing w:line="440" w:lineRule="exact"/>
              <w:jc w:val="left"/>
              <w:rPr>
                <w:rFonts w:ascii="宋体" w:hAnsi="宋体"/>
                <w:sz w:val="18"/>
                <w:szCs w:val="18"/>
              </w:rPr>
            </w:pPr>
            <w:r>
              <w:rPr>
                <w:rFonts w:ascii="宋体" w:hAnsi="宋体"/>
                <w:sz w:val="18"/>
                <w:szCs w:val="18"/>
              </w:rPr>
              <w:t>见说明3 ：CV02_01_101</w:t>
            </w: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936"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性别编码</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XBBM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w:t>
            </w:r>
            <w:r>
              <w:rPr>
                <w:rFonts w:hint="eastAsia" w:ascii="宋体" w:hAnsi="宋体"/>
                <w:sz w:val="18"/>
                <w:szCs w:val="18"/>
              </w:rPr>
              <w:tab/>
            </w:r>
            <w:r>
              <w:rPr>
                <w:rFonts w:hint="eastAsia" w:ascii="宋体" w:hAnsi="宋体"/>
                <w:sz w:val="18"/>
                <w:szCs w:val="18"/>
              </w:rPr>
              <w:t>典</w:t>
            </w:r>
            <w:r>
              <w:rPr>
                <w:rFonts w:hint="eastAsia" w:ascii="宋体" w:hAnsi="宋体"/>
                <w:sz w:val="18"/>
                <w:szCs w:val="18"/>
              </w:rPr>
              <w:tab/>
            </w:r>
            <w:r>
              <w:rPr>
                <w:rFonts w:hint="eastAsia" w:ascii="宋体" w:hAnsi="宋体"/>
                <w:sz w:val="18"/>
                <w:szCs w:val="18"/>
              </w:rPr>
              <w:t>：</w:t>
            </w:r>
            <w:r>
              <w:rPr>
                <w:rFonts w:ascii="宋体" w:hAnsi="宋体"/>
                <w:sz w:val="18"/>
                <w:szCs w:val="18"/>
              </w:rPr>
              <w:t>GB_T2261_1_2003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性别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XB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字</w:t>
            </w:r>
            <w:r>
              <w:rPr>
                <w:rFonts w:ascii="宋体" w:hAnsi="宋体"/>
                <w:sz w:val="18"/>
                <w:szCs w:val="18"/>
              </w:rPr>
              <w:tab/>
            </w:r>
            <w:r>
              <w:rPr>
                <w:rFonts w:ascii="宋体" w:hAnsi="宋体"/>
                <w:sz w:val="18"/>
                <w:szCs w:val="18"/>
              </w:rPr>
              <w:t xml:space="preserve">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 </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医院本地中 文性别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姓名</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XM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1559"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患者类型</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HZLX</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应填 </w:t>
            </w:r>
          </w:p>
        </w:tc>
        <w:tc>
          <w:tcPr>
            <w:tcW w:w="1843" w:type="dxa"/>
            <w:noWrap w:val="0"/>
            <w:vAlign w:val="top"/>
          </w:tcPr>
          <w:p>
            <w:pPr>
              <w:snapToGrid w:val="0"/>
              <w:spacing w:line="440" w:lineRule="exact"/>
              <w:jc w:val="left"/>
              <w:rPr>
                <w:rFonts w:ascii="宋体" w:hAnsi="宋体"/>
                <w:sz w:val="18"/>
                <w:szCs w:val="18"/>
              </w:rPr>
            </w:pPr>
            <w:r>
              <w:rPr>
                <w:rFonts w:ascii="宋体" w:hAnsi="宋体"/>
                <w:sz w:val="18"/>
                <w:szCs w:val="18"/>
              </w:rPr>
              <w:t>编码。0：本地人员；1： 外地人员；2： 境外人员；9：</w:t>
            </w:r>
          </w:p>
          <w:p>
            <w:pPr>
              <w:snapToGrid w:val="0"/>
              <w:spacing w:line="440" w:lineRule="exact"/>
              <w:jc w:val="left"/>
              <w:rPr>
                <w:rFonts w:ascii="宋体" w:hAnsi="宋体"/>
                <w:sz w:val="18"/>
                <w:szCs w:val="18"/>
              </w:rPr>
            </w:pPr>
            <w:r>
              <w:rPr>
                <w:rFonts w:ascii="宋体" w:hAnsi="宋体"/>
                <w:sz w:val="18"/>
                <w:szCs w:val="18"/>
              </w:rPr>
              <w:t>其他；</w:t>
            </w: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935"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婚姻状况</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HYZK</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w:t>
            </w:r>
            <w:r>
              <w:rPr>
                <w:rFonts w:hint="eastAsia" w:ascii="宋体" w:hAnsi="宋体"/>
                <w:sz w:val="18"/>
                <w:szCs w:val="18"/>
              </w:rPr>
              <w:tab/>
            </w:r>
            <w:r>
              <w:rPr>
                <w:rFonts w:hint="eastAsia" w:ascii="宋体" w:hAnsi="宋体"/>
                <w:sz w:val="18"/>
                <w:szCs w:val="18"/>
              </w:rPr>
              <w:t>典</w:t>
            </w:r>
            <w:r>
              <w:rPr>
                <w:rFonts w:hint="eastAsia" w:ascii="宋体" w:hAnsi="宋体"/>
                <w:sz w:val="18"/>
                <w:szCs w:val="18"/>
              </w:rPr>
              <w:tab/>
            </w:r>
            <w:r>
              <w:rPr>
                <w:rFonts w:hint="eastAsia" w:ascii="宋体" w:hAnsi="宋体"/>
                <w:sz w:val="18"/>
                <w:szCs w:val="18"/>
              </w:rPr>
              <w:t>：</w:t>
            </w:r>
            <w:r>
              <w:rPr>
                <w:rFonts w:ascii="宋体" w:hAnsi="宋体"/>
                <w:sz w:val="18"/>
                <w:szCs w:val="18"/>
              </w:rPr>
              <w:t>GB_T2261_2_2003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6"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出生日期</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CSRQ</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8</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843" w:type="dxa"/>
            <w:noWrap w:val="0"/>
            <w:vAlign w:val="top"/>
          </w:tcPr>
          <w:p>
            <w:pPr>
              <w:snapToGrid w:val="0"/>
              <w:spacing w:line="440" w:lineRule="exact"/>
              <w:jc w:val="left"/>
              <w:rPr>
                <w:rFonts w:ascii="宋体" w:hAnsi="宋体"/>
                <w:sz w:val="18"/>
                <w:szCs w:val="18"/>
              </w:rPr>
            </w:pPr>
            <w:r>
              <w:rPr>
                <w:rFonts w:ascii="宋体" w:hAnsi="宋体"/>
                <w:sz w:val="18"/>
                <w:szCs w:val="18"/>
              </w:rPr>
              <w:t>格</w:t>
            </w:r>
            <w:r>
              <w:rPr>
                <w:rFonts w:ascii="宋体" w:hAnsi="宋体"/>
                <w:sz w:val="18"/>
                <w:szCs w:val="18"/>
              </w:rPr>
              <w:tab/>
            </w:r>
            <w:r>
              <w:rPr>
                <w:rFonts w:ascii="宋体" w:hAnsi="宋体"/>
                <w:sz w:val="18"/>
                <w:szCs w:val="18"/>
              </w:rPr>
              <w:t>式</w:t>
            </w:r>
            <w:r>
              <w:rPr>
                <w:rFonts w:ascii="宋体" w:hAnsi="宋体"/>
                <w:sz w:val="18"/>
                <w:szCs w:val="18"/>
              </w:rPr>
              <w:tab/>
            </w:r>
            <w:r>
              <w:rPr>
                <w:rFonts w:ascii="宋体" w:hAnsi="宋体"/>
                <w:sz w:val="18"/>
                <w:szCs w:val="18"/>
              </w:rPr>
              <w:t>：YYYY-MM-DD</w:t>
            </w: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935"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出生地</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CSD</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编码。按国标GB2260-91</w:t>
            </w:r>
            <w:r>
              <w:rPr>
                <w:rFonts w:hint="eastAsia" w:ascii="宋体" w:hAnsi="宋体"/>
                <w:sz w:val="18"/>
                <w:szCs w:val="18"/>
              </w:rPr>
              <w:tab/>
            </w:r>
            <w:r>
              <w:rPr>
                <w:rFonts w:hint="eastAsia" w:ascii="宋体" w:hAnsi="宋体"/>
                <w:sz w:val="18"/>
                <w:szCs w:val="18"/>
              </w:rPr>
              <w:t>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935"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民族</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MZ</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5</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参</w:t>
            </w:r>
            <w:r>
              <w:rPr>
                <w:rFonts w:hint="eastAsia" w:ascii="宋体" w:hAnsi="宋体"/>
                <w:sz w:val="18"/>
                <w:szCs w:val="18"/>
              </w:rPr>
              <w:tab/>
            </w:r>
            <w:r>
              <w:rPr>
                <w:rFonts w:hint="eastAsia" w:ascii="宋体" w:hAnsi="宋体"/>
                <w:sz w:val="18"/>
                <w:szCs w:val="18"/>
              </w:rPr>
              <w:t>考</w:t>
            </w:r>
            <w:r>
              <w:rPr>
                <w:rFonts w:hint="eastAsia" w:ascii="宋体" w:hAnsi="宋体"/>
                <w:sz w:val="18"/>
                <w:szCs w:val="18"/>
              </w:rPr>
              <w:tab/>
            </w:r>
            <w:r>
              <w:rPr>
                <w:rFonts w:hint="eastAsia" w:ascii="宋体" w:hAnsi="宋体"/>
                <w:sz w:val="18"/>
                <w:szCs w:val="18"/>
              </w:rPr>
              <w:t>：</w:t>
            </w:r>
            <w:r>
              <w:rPr>
                <w:rFonts w:ascii="宋体" w:hAnsi="宋体"/>
                <w:sz w:val="18"/>
                <w:szCs w:val="18"/>
              </w:rPr>
              <w:t>GB_T3304_1 991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936"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国籍</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GJ</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10</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参</w:t>
            </w:r>
            <w:r>
              <w:rPr>
                <w:rFonts w:hint="eastAsia" w:ascii="宋体" w:hAnsi="宋体"/>
                <w:sz w:val="18"/>
                <w:szCs w:val="18"/>
              </w:rPr>
              <w:tab/>
            </w:r>
            <w:r>
              <w:rPr>
                <w:rFonts w:hint="eastAsia" w:ascii="宋体" w:hAnsi="宋体"/>
                <w:sz w:val="18"/>
                <w:szCs w:val="18"/>
              </w:rPr>
              <w:t>考</w:t>
            </w:r>
            <w:r>
              <w:rPr>
                <w:rFonts w:ascii="宋体" w:hAnsi="宋体"/>
                <w:sz w:val="18"/>
                <w:szCs w:val="18"/>
              </w:rPr>
              <w:t>GB_T2659_2 000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电话号码</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DHHM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24</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1843" w:type="dxa"/>
            <w:noWrap w:val="0"/>
            <w:vAlign w:val="top"/>
          </w:tcPr>
          <w:p>
            <w:pPr>
              <w:snapToGrid w:val="0"/>
              <w:spacing w:line="440" w:lineRule="exact"/>
              <w:jc w:val="left"/>
              <w:rPr>
                <w:rFonts w:ascii="宋体" w:hAnsi="宋体"/>
                <w:sz w:val="18"/>
                <w:szCs w:val="18"/>
              </w:rPr>
            </w:pPr>
            <w:r>
              <w:rPr>
                <w:rFonts w:hint="eastAsia" w:ascii="宋体" w:hAnsi="宋体"/>
                <w:sz w:val="18"/>
                <w:szCs w:val="18"/>
              </w:rPr>
              <w:t>社保卡患者必填写</w:t>
            </w: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手机号码</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SJHM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938" w:hRule="atLeast"/>
        </w:trPr>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职业类别代码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ZYLBDM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字</w:t>
            </w:r>
            <w:r>
              <w:rPr>
                <w:rFonts w:ascii="宋体" w:hAnsi="宋体"/>
                <w:sz w:val="18"/>
                <w:szCs w:val="18"/>
              </w:rPr>
              <w:tab/>
            </w:r>
            <w:r>
              <w:rPr>
                <w:rFonts w:ascii="宋体" w:hAnsi="宋体"/>
                <w:sz w:val="18"/>
                <w:szCs w:val="18"/>
              </w:rPr>
              <w:t xml:space="preserve">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r>
              <w:rPr>
                <w:rFonts w:ascii="宋体" w:hAnsi="宋体"/>
                <w:sz w:val="18"/>
                <w:szCs w:val="18"/>
              </w:rPr>
              <w:t>字</w:t>
            </w:r>
            <w:r>
              <w:rPr>
                <w:rFonts w:ascii="宋体" w:hAnsi="宋体"/>
                <w:sz w:val="18"/>
                <w:szCs w:val="18"/>
              </w:rPr>
              <w:tab/>
            </w:r>
            <w:r>
              <w:rPr>
                <w:rFonts w:ascii="宋体" w:hAnsi="宋体"/>
                <w:sz w:val="18"/>
                <w:szCs w:val="18"/>
              </w:rPr>
              <w:t>典</w:t>
            </w:r>
            <w:r>
              <w:rPr>
                <w:rFonts w:ascii="宋体" w:hAnsi="宋体"/>
                <w:sz w:val="18"/>
                <w:szCs w:val="18"/>
              </w:rPr>
              <w:tab/>
            </w:r>
            <w:r>
              <w:rPr>
                <w:rFonts w:ascii="宋体" w:hAnsi="宋体"/>
                <w:sz w:val="18"/>
                <w:szCs w:val="18"/>
              </w:rPr>
              <w:t>：GB_T2261_4</w:t>
            </w:r>
          </w:p>
          <w:p>
            <w:pPr>
              <w:snapToGrid w:val="0"/>
              <w:spacing w:line="440" w:lineRule="exact"/>
              <w:jc w:val="left"/>
              <w:rPr>
                <w:rFonts w:ascii="宋体" w:hAnsi="宋体"/>
                <w:sz w:val="18"/>
                <w:szCs w:val="18"/>
              </w:rPr>
            </w:pPr>
            <w:r>
              <w:rPr>
                <w:rFonts w:ascii="宋体" w:hAnsi="宋体"/>
                <w:sz w:val="18"/>
                <w:szCs w:val="18"/>
              </w:rPr>
              <w:t xml:space="preserve">_2003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4" w:hRule="atLeast"/>
        </w:trPr>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职业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字</w:t>
            </w:r>
            <w:r>
              <w:rPr>
                <w:rFonts w:ascii="宋体" w:hAnsi="宋体"/>
                <w:sz w:val="18"/>
                <w:szCs w:val="18"/>
              </w:rPr>
              <w:tab/>
            </w:r>
            <w:r>
              <w:rPr>
                <w:rFonts w:ascii="宋体" w:hAnsi="宋体"/>
                <w:sz w:val="18"/>
                <w:szCs w:val="18"/>
              </w:rPr>
              <w:t>符</w:t>
            </w:r>
          </w:p>
          <w:p>
            <w:pPr>
              <w:snapToGrid w:val="0"/>
              <w:spacing w:line="440" w:lineRule="exact"/>
              <w:jc w:val="left"/>
              <w:rPr>
                <w:rFonts w:ascii="宋体" w:hAnsi="宋体"/>
                <w:sz w:val="18"/>
                <w:szCs w:val="18"/>
              </w:rPr>
            </w:pPr>
            <w:r>
              <w:rPr>
                <w:rFonts w:ascii="宋体" w:hAnsi="宋体"/>
                <w:sz w:val="18"/>
                <w:szCs w:val="18"/>
              </w:rPr>
              <w:t xml:space="preserve">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36 </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工作单位邮编</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GZDWYB</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6</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工作单位名称</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GZDWMC</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p>
        </w:tc>
      </w:tr>
      <w:bookmarkEnd w:id="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2"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工作单位地址</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GZDWDZ</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工作单位电话</w:t>
            </w:r>
          </w:p>
          <w:p>
            <w:pPr>
              <w:snapToGrid w:val="0"/>
              <w:spacing w:line="440" w:lineRule="exact"/>
              <w:jc w:val="left"/>
              <w:rPr>
                <w:rFonts w:ascii="宋体" w:hAnsi="宋体"/>
                <w:sz w:val="18"/>
                <w:szCs w:val="18"/>
              </w:rPr>
            </w:pPr>
            <w:r>
              <w:rPr>
                <w:rFonts w:ascii="宋体" w:hAnsi="宋体"/>
                <w:sz w:val="18"/>
                <w:szCs w:val="18"/>
              </w:rPr>
              <w:t xml:space="preserve">号码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GZDWDHHM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字</w:t>
            </w:r>
            <w:r>
              <w:rPr>
                <w:rFonts w:ascii="宋体" w:hAnsi="宋体"/>
                <w:sz w:val="18"/>
                <w:szCs w:val="18"/>
              </w:rPr>
              <w:tab/>
            </w:r>
            <w:r>
              <w:rPr>
                <w:rFonts w:ascii="宋体" w:hAnsi="宋体"/>
                <w:sz w:val="18"/>
                <w:szCs w:val="18"/>
              </w:rPr>
              <w:t>符</w:t>
            </w:r>
          </w:p>
          <w:p>
            <w:pPr>
              <w:snapToGrid w:val="0"/>
              <w:spacing w:line="440" w:lineRule="exact"/>
              <w:jc w:val="left"/>
              <w:rPr>
                <w:rFonts w:ascii="宋体" w:hAnsi="宋体"/>
                <w:sz w:val="18"/>
                <w:szCs w:val="18"/>
              </w:rPr>
            </w:pPr>
            <w:r>
              <w:rPr>
                <w:rFonts w:ascii="宋体" w:hAnsi="宋体"/>
                <w:sz w:val="18"/>
                <w:szCs w:val="18"/>
              </w:rPr>
              <w:t xml:space="preserve">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居住地址</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JZDZ</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1843" w:type="dxa"/>
            <w:noWrap w:val="0"/>
            <w:vAlign w:val="top"/>
          </w:tcPr>
          <w:p>
            <w:pPr>
              <w:snapToGrid w:val="0"/>
              <w:spacing w:line="440" w:lineRule="exact"/>
              <w:jc w:val="left"/>
              <w:rPr>
                <w:rFonts w:ascii="宋体" w:hAnsi="宋体"/>
                <w:sz w:val="18"/>
                <w:szCs w:val="18"/>
              </w:rPr>
            </w:pPr>
            <w:r>
              <w:rPr>
                <w:rFonts w:hint="eastAsia" w:ascii="宋体" w:hAnsi="宋体"/>
                <w:sz w:val="18"/>
                <w:szCs w:val="18"/>
              </w:rPr>
              <w:t>社保卡患者</w:t>
            </w:r>
          </w:p>
          <w:p>
            <w:pPr>
              <w:snapToGrid w:val="0"/>
              <w:spacing w:line="440" w:lineRule="exact"/>
              <w:jc w:val="left"/>
              <w:rPr>
                <w:rFonts w:ascii="宋体" w:hAnsi="宋体"/>
                <w:sz w:val="18"/>
                <w:szCs w:val="18"/>
              </w:rPr>
            </w:pPr>
            <w:r>
              <w:rPr>
                <w:rFonts w:hint="eastAsia" w:ascii="宋体" w:hAnsi="宋体"/>
                <w:sz w:val="18"/>
                <w:szCs w:val="18"/>
              </w:rPr>
              <w:t>必填写</w:t>
            </w: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4"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户口地址</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HKDZ</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户口地址邮编</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HKDZYB</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6</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联系人姓名</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LXRXM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936" w:hRule="atLeast"/>
        </w:trPr>
        <w:tc>
          <w:tcPr>
            <w:tcW w:w="1276"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hint="eastAsia" w:ascii="宋体" w:hAnsi="宋体"/>
                <w:sz w:val="18"/>
                <w:szCs w:val="18"/>
              </w:rPr>
              <w:t>联系人关系</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LXRGX</w:t>
            </w:r>
          </w:p>
        </w:tc>
        <w:tc>
          <w:tcPr>
            <w:tcW w:w="851"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8</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1843" w:type="dxa"/>
            <w:noWrap w:val="0"/>
            <w:vAlign w:val="top"/>
          </w:tcPr>
          <w:p>
            <w:pPr>
              <w:snapToGrid w:val="0"/>
              <w:spacing w:line="440" w:lineRule="exact"/>
              <w:jc w:val="left"/>
              <w:rPr>
                <w:rFonts w:ascii="宋体" w:hAnsi="宋体"/>
                <w:sz w:val="18"/>
                <w:szCs w:val="18"/>
              </w:rPr>
            </w:pPr>
            <w:r>
              <w:rPr>
                <w:rFonts w:ascii="宋体" w:hAnsi="宋体"/>
                <w:sz w:val="18"/>
                <w:szCs w:val="18"/>
              </w:rPr>
              <w:t>填中文名称小孩或者重</w:t>
            </w:r>
          </w:p>
          <w:p>
            <w:pPr>
              <w:snapToGrid w:val="0"/>
              <w:spacing w:line="440" w:lineRule="exact"/>
              <w:jc w:val="left"/>
              <w:rPr>
                <w:rFonts w:ascii="宋体" w:hAnsi="宋体"/>
                <w:sz w:val="18"/>
                <w:szCs w:val="18"/>
              </w:rPr>
            </w:pPr>
            <w:r>
              <w:rPr>
                <w:rFonts w:ascii="宋体" w:hAnsi="宋体"/>
                <w:sz w:val="18"/>
                <w:szCs w:val="18"/>
              </w:rPr>
              <w:t>症患者必填</w:t>
            </w: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联系人地址</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LXRDZ</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联系人邮编</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LXRYB</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6</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3"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联系人电话</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LXRDH</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24</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参加工作日期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CJGZRQ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Date </w:t>
            </w:r>
          </w:p>
        </w:tc>
        <w:tc>
          <w:tcPr>
            <w:tcW w:w="567" w:type="dxa"/>
            <w:noWrap w:val="0"/>
            <w:vAlign w:val="top"/>
          </w:tcPr>
          <w:p>
            <w:pPr>
              <w:snapToGrid w:val="0"/>
              <w:spacing w:line="440" w:lineRule="exact"/>
              <w:jc w:val="left"/>
              <w:rPr>
                <w:rFonts w:ascii="宋体" w:hAnsi="宋体"/>
                <w:sz w:val="18"/>
                <w:szCs w:val="18"/>
              </w:rPr>
            </w:pP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1843" w:type="dxa"/>
            <w:noWrap w:val="0"/>
            <w:vAlign w:val="top"/>
          </w:tcPr>
          <w:p>
            <w:pPr>
              <w:snapToGrid w:val="0"/>
              <w:spacing w:line="440" w:lineRule="exact"/>
              <w:jc w:val="left"/>
              <w:rPr>
                <w:rFonts w:ascii="宋体" w:hAnsi="宋体"/>
                <w:sz w:val="18"/>
                <w:szCs w:val="18"/>
              </w:rPr>
            </w:pPr>
            <w:r>
              <w:rPr>
                <w:rFonts w:ascii="宋体" w:hAnsi="宋体"/>
                <w:sz w:val="18"/>
                <w:szCs w:val="18"/>
              </w:rPr>
              <w:t>格式：</w:t>
            </w:r>
          </w:p>
          <w:p>
            <w:pPr>
              <w:snapToGrid w:val="0"/>
              <w:spacing w:line="440" w:lineRule="exact"/>
              <w:jc w:val="left"/>
              <w:rPr>
                <w:rFonts w:ascii="宋体" w:hAnsi="宋体"/>
                <w:sz w:val="18"/>
                <w:szCs w:val="18"/>
              </w:rPr>
            </w:pPr>
            <w:r>
              <w:rPr>
                <w:rFonts w:ascii="宋体" w:hAnsi="宋体"/>
                <w:sz w:val="18"/>
                <w:szCs w:val="18"/>
              </w:rPr>
              <w:t xml:space="preserve">YYYY-MM-DD </w:t>
            </w: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电子邮件地址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DZYJDZ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字</w:t>
            </w:r>
            <w:r>
              <w:rPr>
                <w:rFonts w:ascii="宋体" w:hAnsi="宋体"/>
                <w:sz w:val="18"/>
                <w:szCs w:val="18"/>
              </w:rPr>
              <w:tab/>
            </w:r>
            <w:r>
              <w:rPr>
                <w:rFonts w:ascii="宋体" w:hAnsi="宋体"/>
                <w:sz w:val="18"/>
                <w:szCs w:val="18"/>
              </w:rPr>
              <w:t>符</w:t>
            </w:r>
          </w:p>
          <w:p>
            <w:pPr>
              <w:snapToGrid w:val="0"/>
              <w:spacing w:line="440" w:lineRule="exact"/>
              <w:jc w:val="left"/>
              <w:rPr>
                <w:rFonts w:ascii="宋体" w:hAnsi="宋体"/>
                <w:sz w:val="18"/>
                <w:szCs w:val="18"/>
              </w:rPr>
            </w:pPr>
            <w:r>
              <w:rPr>
                <w:rFonts w:ascii="宋体" w:hAnsi="宋体"/>
                <w:sz w:val="18"/>
                <w:szCs w:val="18"/>
              </w:rPr>
              <w:t xml:space="preserve">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40 </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密级</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MJ</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1843"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见说明2</w:t>
            </w: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276" w:type="dxa"/>
            <w:noWrap w:val="0"/>
            <w:vAlign w:val="top"/>
          </w:tcPr>
          <w:p>
            <w:pPr>
              <w:snapToGrid w:val="0"/>
              <w:spacing w:line="440" w:lineRule="exact"/>
              <w:jc w:val="left"/>
              <w:rPr>
                <w:rFonts w:ascii="宋体" w:hAnsi="宋体"/>
                <w:sz w:val="18"/>
                <w:szCs w:val="18"/>
              </w:rPr>
            </w:pPr>
          </w:p>
        </w:tc>
        <w:tc>
          <w:tcPr>
            <w:tcW w:w="992"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p>
        </w:tc>
        <w:tc>
          <w:tcPr>
            <w:tcW w:w="567" w:type="dxa"/>
            <w:noWrap w:val="0"/>
            <w:vAlign w:val="top"/>
          </w:tcPr>
          <w:p>
            <w:pPr>
              <w:snapToGrid w:val="0"/>
              <w:spacing w:line="440" w:lineRule="exact"/>
              <w:jc w:val="left"/>
              <w:rPr>
                <w:rFonts w:ascii="宋体" w:hAnsi="宋体"/>
                <w:sz w:val="18"/>
                <w:szCs w:val="18"/>
              </w:rPr>
            </w:pPr>
          </w:p>
        </w:tc>
        <w:tc>
          <w:tcPr>
            <w:tcW w:w="1134" w:type="dxa"/>
            <w:noWrap w:val="0"/>
            <w:vAlign w:val="top"/>
          </w:tcPr>
          <w:p>
            <w:pPr>
              <w:snapToGrid w:val="0"/>
              <w:spacing w:line="440" w:lineRule="exact"/>
              <w:jc w:val="left"/>
              <w:rPr>
                <w:rFonts w:ascii="宋体" w:hAnsi="宋体"/>
                <w:sz w:val="18"/>
                <w:szCs w:val="18"/>
              </w:rPr>
            </w:pP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修改标志</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XGBZ</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1843"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见说明4</w:t>
            </w: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938"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数据生成时间</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YWSCSJ</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567" w:type="dxa"/>
            <w:noWrap w:val="0"/>
            <w:vAlign w:val="top"/>
          </w:tcPr>
          <w:p>
            <w:pPr>
              <w:snapToGrid w:val="0"/>
              <w:spacing w:line="440" w:lineRule="exact"/>
              <w:jc w:val="left"/>
              <w:rPr>
                <w:rFonts w:ascii="宋体" w:hAnsi="宋体"/>
                <w:sz w:val="18"/>
                <w:szCs w:val="18"/>
              </w:rPr>
            </w:pP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1843"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业务操作获取该患者信息的时间</w:t>
            </w: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医院内部档案号</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YYDAH</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843" w:type="dxa"/>
            <w:noWrap w:val="0"/>
            <w:vAlign w:val="top"/>
          </w:tcPr>
          <w:p>
            <w:pPr>
              <w:snapToGrid w:val="0"/>
              <w:spacing w:line="440" w:lineRule="exact"/>
              <w:jc w:val="left"/>
              <w:rPr>
                <w:rFonts w:ascii="宋体" w:hAnsi="宋体"/>
                <w:sz w:val="18"/>
                <w:szCs w:val="18"/>
              </w:rPr>
            </w:pP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935"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预留一</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YLYL1</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1843"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c>
          <w:tcPr>
            <w:tcW w:w="192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935" w:hRule="atLeast"/>
        </w:trPr>
        <w:tc>
          <w:tcPr>
            <w:tcW w:w="1276"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预留二</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YLYL2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1843"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c>
          <w:tcPr>
            <w:tcW w:w="1927" w:type="dxa"/>
            <w:noWrap w:val="0"/>
            <w:vAlign w:val="top"/>
          </w:tcPr>
          <w:p>
            <w:pPr>
              <w:snapToGrid w:val="0"/>
              <w:spacing w:line="440" w:lineRule="exact"/>
              <w:jc w:val="left"/>
              <w:rPr>
                <w:rFonts w:ascii="宋体" w:hAnsi="宋体"/>
                <w:sz w:val="18"/>
                <w:szCs w:val="18"/>
              </w:rPr>
            </w:pPr>
          </w:p>
        </w:tc>
      </w:tr>
    </w:tbl>
    <w:p>
      <w:pPr>
        <w:snapToGrid w:val="0"/>
        <w:spacing w:line="440" w:lineRule="exact"/>
        <w:jc w:val="left"/>
        <w:rPr>
          <w:rFonts w:ascii="宋体" w:hAnsi="宋体"/>
          <w:sz w:val="24"/>
        </w:rPr>
      </w:pPr>
      <w:r>
        <w:rPr>
          <w:rFonts w:hint="eastAsia" w:ascii="宋体" w:hAnsi="宋体"/>
          <w:sz w:val="24"/>
        </w:rPr>
        <w:t>2.1.2门诊就诊信息</w:t>
      </w:r>
    </w:p>
    <w:p>
      <w:pPr>
        <w:snapToGrid w:val="0"/>
        <w:spacing w:line="440" w:lineRule="exact"/>
        <w:jc w:val="left"/>
        <w:rPr>
          <w:rFonts w:ascii="宋体" w:hAnsi="宋体"/>
          <w:sz w:val="24"/>
        </w:rPr>
      </w:pPr>
      <w:r>
        <w:rPr>
          <w:rFonts w:hint="eastAsia" w:ascii="宋体" w:hAnsi="宋体"/>
          <w:sz w:val="24"/>
        </w:rPr>
        <w:t>患者门诊就诊信息采集的属性数据包括下述三张数据表：《门诊就诊记录表》、《门诊处方明细表》、《门诊收费明细表》。三张表数据项目的关联关系如下图：</w:t>
      </w:r>
    </w:p>
    <w:p>
      <w:pPr>
        <w:snapToGrid w:val="0"/>
        <w:spacing w:line="440" w:lineRule="exact"/>
        <w:jc w:val="left"/>
        <w:rPr>
          <w:rFonts w:ascii="宋体" w:hAnsi="宋体"/>
          <w:sz w:val="24"/>
        </w:rPr>
      </w:pPr>
      <w:r>
        <w:rPr>
          <w:lang/>
        </w:rPr>
        <w:drawing>
          <wp:anchor distT="0" distB="0" distL="114300" distR="114300" simplePos="0" relativeHeight="251663360" behindDoc="0" locked="0" layoutInCell="1" allowOverlap="1">
            <wp:simplePos x="0" y="0"/>
            <wp:positionH relativeFrom="column">
              <wp:posOffset>200025</wp:posOffset>
            </wp:positionH>
            <wp:positionV relativeFrom="paragraph">
              <wp:posOffset>127635</wp:posOffset>
            </wp:positionV>
            <wp:extent cx="5133340" cy="1759585"/>
            <wp:effectExtent l="0" t="0" r="2540" b="8255"/>
            <wp:wrapSquare wrapText="bothSides"/>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9"/>
                    <a:stretch>
                      <a:fillRect/>
                    </a:stretch>
                  </pic:blipFill>
                  <pic:spPr>
                    <a:xfrm>
                      <a:off x="0" y="0"/>
                      <a:ext cx="5133340" cy="1759585"/>
                    </a:xfrm>
                    <a:prstGeom prst="rect">
                      <a:avLst/>
                    </a:prstGeom>
                    <a:noFill/>
                    <a:ln>
                      <a:noFill/>
                    </a:ln>
                  </pic:spPr>
                </pic:pic>
              </a:graphicData>
            </a:graphic>
          </wp:anchor>
        </w:drawing>
      </w:r>
      <w:r>
        <w:rPr>
          <w:rFonts w:hint="eastAsia" w:ascii="宋体" w:hAnsi="宋体"/>
          <w:sz w:val="24"/>
        </w:rPr>
        <w:t xml:space="preserve">注：这里的关联关系指患者在一个医疗机构内的一次就诊。 </w:t>
      </w:r>
    </w:p>
    <w:p>
      <w:pPr>
        <w:snapToGrid w:val="0"/>
        <w:spacing w:line="440" w:lineRule="exact"/>
        <w:ind w:firstLine="480" w:firstLineChars="200"/>
        <w:jc w:val="left"/>
        <w:rPr>
          <w:rFonts w:ascii="宋体" w:hAnsi="宋体"/>
          <w:sz w:val="24"/>
        </w:rPr>
      </w:pPr>
      <w:r>
        <w:rPr>
          <w:rFonts w:hint="eastAsia" w:ascii="宋体" w:hAnsi="宋体"/>
          <w:sz w:val="24"/>
        </w:rPr>
        <w:t>《门诊就诊记录表》是就诊信息的主表，患者的一次门诊应生成且仅生成就诊记录表的一条记录。处方明细信息由《门诊处方明细表》描述，一次就诊应具有一条以至多条医嘱明细信息。一次就诊过程中发生的所有费用明细由《收费明细表》描述，《收费明细表》将根据收费细项进行罗列。必须保证此图所示各表之间的唯一关联性。</w:t>
      </w:r>
    </w:p>
    <w:p>
      <w:pPr>
        <w:snapToGrid w:val="0"/>
        <w:spacing w:line="440" w:lineRule="exact"/>
        <w:jc w:val="left"/>
        <w:rPr>
          <w:rFonts w:ascii="宋体" w:hAnsi="宋体"/>
          <w:sz w:val="24"/>
        </w:rPr>
      </w:pPr>
      <w:r>
        <w:rPr>
          <w:rFonts w:hint="eastAsia" w:ascii="宋体" w:hAnsi="宋体"/>
          <w:sz w:val="24"/>
        </w:rPr>
        <w:t>2.1.2.1门（急）诊病历（TB_EMR_MJZBL）</w:t>
      </w:r>
    </w:p>
    <w:tbl>
      <w:tblPr>
        <w:tblStyle w:val="4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1134"/>
        <w:gridCol w:w="993"/>
        <w:gridCol w:w="850"/>
        <w:gridCol w:w="851"/>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59" w:hRule="atLeast"/>
        </w:trPr>
        <w:tc>
          <w:tcPr>
            <w:tcW w:w="2835"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数据项</w:t>
            </w:r>
          </w:p>
        </w:tc>
        <w:tc>
          <w:tcPr>
            <w:tcW w:w="1134"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字段名</w:t>
            </w:r>
          </w:p>
        </w:tc>
        <w:tc>
          <w:tcPr>
            <w:tcW w:w="993"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类型</w:t>
            </w:r>
          </w:p>
        </w:tc>
        <w:tc>
          <w:tcPr>
            <w:tcW w:w="850"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字节</w:t>
            </w:r>
          </w:p>
        </w:tc>
        <w:tc>
          <w:tcPr>
            <w:tcW w:w="85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填报要求</w:t>
            </w:r>
          </w:p>
        </w:tc>
        <w:tc>
          <w:tcPr>
            <w:tcW w:w="1984"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数据集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2835"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医疗机构代码</w:t>
            </w:r>
          </w:p>
        </w:tc>
        <w:tc>
          <w:tcPr>
            <w:tcW w:w="1134"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993"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1"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984" w:type="dxa"/>
            <w:shd w:val="clear" w:color="auto" w:fill="F9BE8F"/>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2835"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院区ID</w:t>
            </w:r>
          </w:p>
        </w:tc>
        <w:tc>
          <w:tcPr>
            <w:tcW w:w="1134"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YQID</w:t>
            </w:r>
          </w:p>
        </w:tc>
        <w:tc>
          <w:tcPr>
            <w:tcW w:w="993"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50</w:t>
            </w:r>
          </w:p>
        </w:tc>
        <w:tc>
          <w:tcPr>
            <w:tcW w:w="851"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984" w:type="dxa"/>
            <w:shd w:val="clear" w:color="auto" w:fill="F9BE8F"/>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1" w:hRule="atLeast"/>
        </w:trPr>
        <w:tc>
          <w:tcPr>
            <w:tcW w:w="2835" w:type="dxa"/>
            <w:tcBorders>
              <w:bottom w:val="single" w:color="000000" w:sz="6" w:space="0"/>
            </w:tcBorders>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院区名称</w:t>
            </w:r>
          </w:p>
        </w:tc>
        <w:tc>
          <w:tcPr>
            <w:tcW w:w="1134" w:type="dxa"/>
            <w:tcBorders>
              <w:bottom w:val="single" w:color="000000" w:sz="6" w:space="0"/>
            </w:tcBorders>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JGYQMC</w:t>
            </w:r>
          </w:p>
        </w:tc>
        <w:tc>
          <w:tcPr>
            <w:tcW w:w="993" w:type="dxa"/>
            <w:tcBorders>
              <w:bottom w:val="single" w:color="000000" w:sz="6" w:space="0"/>
            </w:tcBorders>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tcBorders>
              <w:bottom w:val="single" w:color="000000" w:sz="6" w:space="0"/>
            </w:tcBorders>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50</w:t>
            </w:r>
          </w:p>
        </w:tc>
        <w:tc>
          <w:tcPr>
            <w:tcW w:w="851" w:type="dxa"/>
            <w:tcBorders>
              <w:bottom w:val="single" w:color="000000" w:sz="6" w:space="0"/>
            </w:tcBorders>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984" w:type="dxa"/>
            <w:tcBorders>
              <w:bottom w:val="single" w:color="000000" w:sz="6" w:space="0"/>
            </w:tcBorders>
            <w:shd w:val="clear" w:color="auto" w:fill="F9BE8F"/>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1" w:hRule="atLeast"/>
        </w:trPr>
        <w:tc>
          <w:tcPr>
            <w:tcW w:w="2835" w:type="dxa"/>
            <w:tcBorders>
              <w:top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门诊就诊流水号</w:t>
            </w:r>
          </w:p>
        </w:tc>
        <w:tc>
          <w:tcPr>
            <w:tcW w:w="1134" w:type="dxa"/>
            <w:tcBorders>
              <w:top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JZLSH</w:t>
            </w:r>
          </w:p>
        </w:tc>
        <w:tc>
          <w:tcPr>
            <w:tcW w:w="993" w:type="dxa"/>
            <w:tcBorders>
              <w:top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tcBorders>
              <w:top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50</w:t>
            </w:r>
          </w:p>
        </w:tc>
        <w:tc>
          <w:tcPr>
            <w:tcW w:w="851" w:type="dxa"/>
            <w:tcBorders>
              <w:top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984" w:type="dxa"/>
            <w:tcBorders>
              <w:top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科室名称</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KSMC</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30</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984"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院 内 科室信息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3"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科室编码</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KSBM</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15</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984" w:type="dxa"/>
            <w:vMerge w:val="continue"/>
            <w:tcBorders>
              <w:top w:val="nil"/>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卡号</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KH</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50</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16"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卡类型</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KLX</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4"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患者姓名</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HZXM</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50</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52"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性别代码</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XBDM</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984" w:type="dxa"/>
            <w:noWrap w:val="0"/>
            <w:vAlign w:val="top"/>
          </w:tcPr>
          <w:p>
            <w:pPr>
              <w:snapToGrid w:val="0"/>
              <w:spacing w:line="440" w:lineRule="exact"/>
              <w:jc w:val="left"/>
              <w:rPr>
                <w:rFonts w:ascii="宋体" w:hAnsi="宋体"/>
                <w:sz w:val="18"/>
                <w:szCs w:val="18"/>
              </w:rPr>
            </w:pPr>
            <w:r>
              <w:rPr>
                <w:rFonts w:ascii="宋体" w:hAnsi="宋体"/>
                <w:sz w:val="18"/>
                <w:szCs w:val="18"/>
              </w:rPr>
              <w:t>字 典 ： GB_T226 1_1_2003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935"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性别</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XB</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6</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984" w:type="dxa"/>
            <w:noWrap w:val="0"/>
            <w:vAlign w:val="top"/>
          </w:tcPr>
          <w:p>
            <w:pPr>
              <w:snapToGrid w:val="0"/>
              <w:spacing w:line="440" w:lineRule="exact"/>
              <w:jc w:val="left"/>
              <w:rPr>
                <w:rFonts w:ascii="宋体" w:hAnsi="宋体"/>
                <w:sz w:val="18"/>
                <w:szCs w:val="18"/>
              </w:rPr>
            </w:pPr>
            <w:r>
              <w:rPr>
                <w:rFonts w:ascii="宋体" w:hAnsi="宋体"/>
                <w:sz w:val="18"/>
                <w:szCs w:val="18"/>
              </w:rPr>
              <w:t>医院本地中文性别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出生日期</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CSRQ</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850"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4"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年龄（岁）</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NLS</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数值</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3</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2"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年龄（月）</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NLY</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数值</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3</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年龄（日）</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NLR</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数值</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3</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年龄（小时）</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NLXS</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数值</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3</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过敏史标志</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GMSBZ</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过敏史</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GMS</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1000</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6"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就诊日期时间</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JZRQSJ</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850"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初诊标志代码</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CZBZDM</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主诉</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ZS</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1000</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4"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现病史</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XBS</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2000</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既往史</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JWS</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1000</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体格检查</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TGJC</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500</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5"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中医“四诊”观</w:t>
            </w:r>
          </w:p>
          <w:p>
            <w:pPr>
              <w:snapToGrid w:val="0"/>
              <w:spacing w:line="440" w:lineRule="exact"/>
              <w:jc w:val="left"/>
              <w:rPr>
                <w:rFonts w:ascii="宋体" w:hAnsi="宋体"/>
                <w:sz w:val="18"/>
                <w:szCs w:val="18"/>
              </w:rPr>
            </w:pPr>
            <w:r>
              <w:rPr>
                <w:rFonts w:ascii="宋体" w:hAnsi="宋体"/>
                <w:sz w:val="18"/>
                <w:szCs w:val="18"/>
              </w:rPr>
              <w:t>察结果</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SZGCJG</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1000</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辨证依据</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BZYJ</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100</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7"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治则治法</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ZZZF</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100</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1984" w:type="dxa"/>
            <w:noWrap w:val="0"/>
            <w:vAlign w:val="top"/>
          </w:tcPr>
          <w:p>
            <w:pPr>
              <w:snapToGrid w:val="0"/>
              <w:spacing w:line="440" w:lineRule="exact"/>
              <w:jc w:val="left"/>
              <w:rPr>
                <w:rFonts w:ascii="宋体" w:hAnsi="宋体"/>
                <w:sz w:val="18"/>
                <w:szCs w:val="18"/>
              </w:rPr>
            </w:pPr>
            <w:r>
              <w:rPr>
                <w:rFonts w:ascii="宋体" w:hAnsi="宋体"/>
                <w:sz w:val="18"/>
                <w:szCs w:val="18"/>
              </w:rPr>
              <w:t>字 典 ： GB_T16751_3_1997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初步诊断--西医诊断编码</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XYZDDM</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100</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初步诊断--西医诊断名称</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XYZDMC</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121"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初步诊断--中医病名代码</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ZYBMDM</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1984" w:type="dxa"/>
            <w:noWrap w:val="0"/>
            <w:vAlign w:val="top"/>
          </w:tcPr>
          <w:p>
            <w:pPr>
              <w:snapToGrid w:val="0"/>
              <w:spacing w:line="440" w:lineRule="exact"/>
              <w:jc w:val="left"/>
              <w:rPr>
                <w:rFonts w:ascii="宋体" w:hAnsi="宋体"/>
                <w:sz w:val="18"/>
                <w:szCs w:val="18"/>
              </w:rPr>
            </w:pPr>
            <w:r>
              <w:rPr>
                <w:rFonts w:ascii="宋体" w:hAnsi="宋体"/>
                <w:sz w:val="18"/>
                <w:szCs w:val="18"/>
              </w:rPr>
              <w:t>GB_T15657_1995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6"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初步诊断--中医病名名称</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ZYBMMC</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4"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初步诊断--中医症候代码</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ZYZHDM</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1984" w:type="dxa"/>
            <w:noWrap w:val="0"/>
            <w:vAlign w:val="top"/>
          </w:tcPr>
          <w:p>
            <w:pPr>
              <w:snapToGrid w:val="0"/>
              <w:spacing w:line="440" w:lineRule="exact"/>
              <w:jc w:val="left"/>
              <w:rPr>
                <w:rFonts w:ascii="宋体" w:hAnsi="宋体"/>
                <w:sz w:val="18"/>
                <w:szCs w:val="18"/>
              </w:rPr>
            </w:pPr>
            <w:r>
              <w:rPr>
                <w:rFonts w:ascii="宋体" w:hAnsi="宋体"/>
                <w:sz w:val="18"/>
                <w:szCs w:val="18"/>
              </w:rPr>
              <w:t>GB_T15657_1995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初步诊断--中医症候名称</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ZYZHMC</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电子申请单编号</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DZSQDBH</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500</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5"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医师签名</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YSQM</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50</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医生工号</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YSGH</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2"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修改标志</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XGBZ</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整数</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98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2835" w:type="dxa"/>
            <w:noWrap w:val="0"/>
            <w:vAlign w:val="top"/>
          </w:tcPr>
          <w:p>
            <w:pPr>
              <w:snapToGrid w:val="0"/>
              <w:spacing w:line="440" w:lineRule="exact"/>
              <w:jc w:val="left"/>
              <w:rPr>
                <w:rFonts w:ascii="宋体" w:hAnsi="宋体"/>
                <w:sz w:val="18"/>
                <w:szCs w:val="18"/>
              </w:rPr>
            </w:pPr>
            <w:r>
              <w:rPr>
                <w:rFonts w:ascii="宋体" w:hAnsi="宋体"/>
                <w:sz w:val="18"/>
                <w:szCs w:val="18"/>
              </w:rPr>
              <w:t>更新时间</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GXSJ</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850"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1984" w:type="dxa"/>
            <w:noWrap w:val="0"/>
            <w:vAlign w:val="top"/>
          </w:tcPr>
          <w:p>
            <w:pPr>
              <w:snapToGrid w:val="0"/>
              <w:spacing w:line="440" w:lineRule="exact"/>
              <w:jc w:val="left"/>
              <w:rPr>
                <w:rFonts w:ascii="宋体" w:hAnsi="宋体"/>
                <w:sz w:val="18"/>
                <w:szCs w:val="18"/>
              </w:rPr>
            </w:pPr>
          </w:p>
        </w:tc>
      </w:tr>
    </w:tbl>
    <w:p>
      <w:pPr>
        <w:snapToGrid w:val="0"/>
        <w:spacing w:line="440" w:lineRule="exact"/>
        <w:jc w:val="left"/>
        <w:rPr>
          <w:rFonts w:ascii="宋体" w:hAnsi="宋体"/>
          <w:sz w:val="24"/>
        </w:rPr>
      </w:pPr>
      <w:r>
        <w:rPr>
          <w:rFonts w:hint="eastAsia" w:ascii="宋体" w:hAnsi="宋体"/>
          <w:sz w:val="24"/>
        </w:rPr>
        <w:t>2.1.2.2</w:t>
      </w:r>
      <w:r>
        <w:rPr>
          <w:rFonts w:ascii="宋体" w:hAnsi="宋体"/>
          <w:sz w:val="24"/>
        </w:rPr>
        <w:t>挂号表（TB_HIS_MZ_Reg）</w:t>
      </w:r>
    </w:p>
    <w:tbl>
      <w:tblPr>
        <w:tblStyle w:val="4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992"/>
        <w:gridCol w:w="1134"/>
        <w:gridCol w:w="709"/>
        <w:gridCol w:w="850"/>
        <w:gridCol w:w="255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41" w:hRule="atLeast"/>
        </w:trPr>
        <w:tc>
          <w:tcPr>
            <w:tcW w:w="1560"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数据项</w:t>
            </w:r>
          </w:p>
        </w:tc>
        <w:tc>
          <w:tcPr>
            <w:tcW w:w="992"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字段名</w:t>
            </w:r>
          </w:p>
        </w:tc>
        <w:tc>
          <w:tcPr>
            <w:tcW w:w="1134"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数据类型</w:t>
            </w:r>
          </w:p>
        </w:tc>
        <w:tc>
          <w:tcPr>
            <w:tcW w:w="709"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宽度</w:t>
            </w:r>
          </w:p>
        </w:tc>
        <w:tc>
          <w:tcPr>
            <w:tcW w:w="850"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填报要求</w:t>
            </w:r>
          </w:p>
        </w:tc>
        <w:tc>
          <w:tcPr>
            <w:tcW w:w="2552"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说明</w:t>
            </w:r>
          </w:p>
        </w:tc>
        <w:tc>
          <w:tcPr>
            <w:tcW w:w="850"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数据集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shd w:val="clear" w:color="auto" w:fill="F9BE8F"/>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c>
          <w:tcPr>
            <w:tcW w:w="992"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1134" w:type="dxa"/>
            <w:shd w:val="clear" w:color="auto" w:fill="F9BE8F"/>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0" w:type="dxa"/>
            <w:shd w:val="clear" w:color="auto" w:fill="F9BE8F"/>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2552" w:type="dxa"/>
            <w:shd w:val="clear" w:color="auto" w:fill="F9BE8F"/>
            <w:noWrap w:val="0"/>
            <w:vAlign w:val="top"/>
          </w:tcPr>
          <w:p>
            <w:pPr>
              <w:snapToGrid w:val="0"/>
              <w:spacing w:line="440" w:lineRule="exact"/>
              <w:jc w:val="left"/>
              <w:rPr>
                <w:rFonts w:ascii="宋体" w:hAnsi="宋体"/>
                <w:sz w:val="18"/>
                <w:szCs w:val="18"/>
              </w:rPr>
            </w:pPr>
            <w:r>
              <w:rPr>
                <w:rFonts w:hint="eastAsia" w:ascii="宋体" w:hAnsi="宋体"/>
                <w:sz w:val="18"/>
                <w:szCs w:val="18"/>
              </w:rPr>
              <w:t>复 合 主键；卫生机构分类代码 22 位</w:t>
            </w:r>
          </w:p>
        </w:tc>
        <w:tc>
          <w:tcPr>
            <w:tcW w:w="850" w:type="dxa"/>
            <w:shd w:val="clear" w:color="auto" w:fill="F9BE8F"/>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2" w:hRule="atLeast"/>
        </w:trPr>
        <w:tc>
          <w:tcPr>
            <w:tcW w:w="1560"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院区ID </w:t>
            </w:r>
          </w:p>
        </w:tc>
        <w:tc>
          <w:tcPr>
            <w:tcW w:w="992"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YQID </w:t>
            </w:r>
          </w:p>
        </w:tc>
        <w:tc>
          <w:tcPr>
            <w:tcW w:w="1134"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709"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552" w:type="dxa"/>
            <w:shd w:val="clear" w:color="auto" w:fill="F9BE8F"/>
            <w:noWrap w:val="0"/>
            <w:vAlign w:val="top"/>
          </w:tcPr>
          <w:p>
            <w:pPr>
              <w:snapToGrid w:val="0"/>
              <w:spacing w:line="440" w:lineRule="exact"/>
              <w:jc w:val="left"/>
              <w:rPr>
                <w:rFonts w:ascii="宋体" w:hAnsi="宋体"/>
                <w:sz w:val="18"/>
                <w:szCs w:val="18"/>
              </w:rPr>
            </w:pPr>
          </w:p>
        </w:tc>
        <w:tc>
          <w:tcPr>
            <w:tcW w:w="850" w:type="dxa"/>
            <w:shd w:val="clear" w:color="auto" w:fill="F9BE8F"/>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院区名称</w:t>
            </w:r>
          </w:p>
        </w:tc>
        <w:tc>
          <w:tcPr>
            <w:tcW w:w="992"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JGYQMC </w:t>
            </w:r>
          </w:p>
        </w:tc>
        <w:tc>
          <w:tcPr>
            <w:tcW w:w="1134"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709"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552"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本院传00，分院按实际传</w:t>
            </w:r>
          </w:p>
        </w:tc>
        <w:tc>
          <w:tcPr>
            <w:tcW w:w="850" w:type="dxa"/>
            <w:shd w:val="clear" w:color="auto" w:fill="F9BE8F"/>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shd w:val="clear" w:color="auto" w:fill="F9BE8F"/>
            <w:noWrap w:val="0"/>
            <w:vAlign w:val="top"/>
          </w:tcPr>
          <w:p>
            <w:pPr>
              <w:snapToGrid w:val="0"/>
              <w:spacing w:line="440" w:lineRule="exact"/>
              <w:jc w:val="left"/>
              <w:rPr>
                <w:rFonts w:ascii="宋体" w:hAnsi="宋体"/>
                <w:sz w:val="18"/>
                <w:szCs w:val="18"/>
              </w:rPr>
            </w:pPr>
            <w:r>
              <w:rPr>
                <w:rFonts w:hint="eastAsia" w:ascii="宋体" w:hAnsi="宋体"/>
                <w:sz w:val="18"/>
                <w:szCs w:val="18"/>
              </w:rPr>
              <w:t>挂/退号日期</w:t>
            </w:r>
          </w:p>
        </w:tc>
        <w:tc>
          <w:tcPr>
            <w:tcW w:w="992"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GHRQ</w:t>
            </w:r>
          </w:p>
        </w:tc>
        <w:tc>
          <w:tcPr>
            <w:tcW w:w="1134" w:type="dxa"/>
            <w:shd w:val="clear" w:color="auto" w:fill="F9BE8F"/>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8</w:t>
            </w:r>
          </w:p>
        </w:tc>
        <w:tc>
          <w:tcPr>
            <w:tcW w:w="850" w:type="dxa"/>
            <w:shd w:val="clear" w:color="auto" w:fill="F9BE8F"/>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2552" w:type="dxa"/>
            <w:shd w:val="clear" w:color="auto" w:fill="F9BE8F"/>
            <w:noWrap w:val="0"/>
            <w:vAlign w:val="top"/>
          </w:tcPr>
          <w:p>
            <w:pPr>
              <w:snapToGrid w:val="0"/>
              <w:spacing w:line="440" w:lineRule="exact"/>
              <w:jc w:val="left"/>
              <w:rPr>
                <w:rFonts w:ascii="宋体" w:hAnsi="宋体"/>
                <w:sz w:val="18"/>
                <w:szCs w:val="18"/>
              </w:rPr>
            </w:pPr>
            <w:r>
              <w:rPr>
                <w:rFonts w:hint="eastAsia" w:ascii="宋体" w:hAnsi="宋体"/>
                <w:sz w:val="18"/>
                <w:szCs w:val="18"/>
              </w:rPr>
              <w:t>复 合 主键；格式为</w:t>
            </w:r>
            <w:r>
              <w:rPr>
                <w:rFonts w:ascii="宋体" w:hAnsi="宋体"/>
                <w:sz w:val="18"/>
                <w:szCs w:val="18"/>
              </w:rPr>
              <w:t>YYYYMMDD</w:t>
            </w:r>
          </w:p>
        </w:tc>
        <w:tc>
          <w:tcPr>
            <w:tcW w:w="850" w:type="dxa"/>
            <w:shd w:val="clear" w:color="auto" w:fill="F9BE8F"/>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shd w:val="clear" w:color="auto" w:fill="F9BE8F"/>
            <w:noWrap w:val="0"/>
            <w:vAlign w:val="top"/>
          </w:tcPr>
          <w:p>
            <w:pPr>
              <w:snapToGrid w:val="0"/>
              <w:spacing w:line="440" w:lineRule="exact"/>
              <w:jc w:val="left"/>
              <w:rPr>
                <w:rFonts w:ascii="宋体" w:hAnsi="宋体"/>
                <w:sz w:val="18"/>
                <w:szCs w:val="18"/>
              </w:rPr>
            </w:pPr>
            <w:r>
              <w:rPr>
                <w:rFonts w:hint="eastAsia" w:ascii="宋体" w:hAnsi="宋体"/>
                <w:sz w:val="18"/>
                <w:szCs w:val="18"/>
              </w:rPr>
              <w:t>门诊就诊流水号</w:t>
            </w:r>
          </w:p>
        </w:tc>
        <w:tc>
          <w:tcPr>
            <w:tcW w:w="992"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GHBM</w:t>
            </w:r>
          </w:p>
        </w:tc>
        <w:tc>
          <w:tcPr>
            <w:tcW w:w="1134" w:type="dxa"/>
            <w:shd w:val="clear" w:color="auto" w:fill="F9BE8F"/>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50</w:t>
            </w:r>
          </w:p>
        </w:tc>
        <w:tc>
          <w:tcPr>
            <w:tcW w:w="850" w:type="dxa"/>
            <w:shd w:val="clear" w:color="auto" w:fill="F9BE8F"/>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2552" w:type="dxa"/>
            <w:shd w:val="clear" w:color="auto" w:fill="F9BE8F"/>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w:t>
            </w:r>
            <w:r>
              <w:rPr>
                <w:rFonts w:ascii="宋体" w:hAnsi="宋体"/>
                <w:sz w:val="18"/>
                <w:szCs w:val="18"/>
              </w:rPr>
              <w:t>可选，医院门诊/住院顺序号，医疗机构内部唯一编号。</w:t>
            </w:r>
          </w:p>
        </w:tc>
        <w:tc>
          <w:tcPr>
            <w:tcW w:w="850" w:type="dxa"/>
            <w:shd w:val="clear" w:color="auto" w:fill="F9BE8F"/>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挂号流水号</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GHLSH </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552" w:type="dxa"/>
            <w:noWrap w:val="0"/>
            <w:vAlign w:val="top"/>
          </w:tcPr>
          <w:p>
            <w:pPr>
              <w:snapToGrid w:val="0"/>
              <w:spacing w:line="440" w:lineRule="exact"/>
              <w:jc w:val="left"/>
              <w:rPr>
                <w:rFonts w:ascii="宋体" w:hAnsi="宋体"/>
                <w:sz w:val="18"/>
                <w:szCs w:val="18"/>
              </w:rPr>
            </w:pPr>
            <w:r>
              <w:rPr>
                <w:rFonts w:ascii="宋体" w:hAnsi="宋体"/>
                <w:sz w:val="18"/>
                <w:szCs w:val="18"/>
              </w:rPr>
              <w:t>在本机构内唯一标识本次挂号的流水号</w:t>
            </w:r>
          </w:p>
        </w:tc>
        <w:tc>
          <w:tcPr>
            <w:tcW w:w="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排队序号</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PDXH </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34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552" w:type="dxa"/>
            <w:noWrap w:val="0"/>
            <w:vAlign w:val="top"/>
          </w:tcPr>
          <w:p>
            <w:pPr>
              <w:snapToGrid w:val="0"/>
              <w:spacing w:line="440" w:lineRule="exact"/>
              <w:jc w:val="left"/>
              <w:rPr>
                <w:rFonts w:ascii="宋体" w:hAnsi="宋体"/>
                <w:sz w:val="18"/>
                <w:szCs w:val="18"/>
              </w:rPr>
            </w:pPr>
            <w:r>
              <w:rPr>
                <w:rFonts w:ascii="宋体" w:hAnsi="宋体"/>
                <w:sz w:val="18"/>
                <w:szCs w:val="18"/>
              </w:rPr>
              <w:t>科室排</w:t>
            </w:r>
          </w:p>
          <w:p>
            <w:pPr>
              <w:snapToGrid w:val="0"/>
              <w:spacing w:line="440" w:lineRule="exact"/>
              <w:jc w:val="left"/>
              <w:rPr>
                <w:rFonts w:ascii="宋体" w:hAnsi="宋体"/>
                <w:sz w:val="18"/>
                <w:szCs w:val="18"/>
              </w:rPr>
            </w:pPr>
            <w:r>
              <w:rPr>
                <w:rFonts w:ascii="宋体" w:hAnsi="宋体"/>
                <w:sz w:val="18"/>
                <w:szCs w:val="18"/>
              </w:rPr>
              <w:t>队序号</w:t>
            </w:r>
          </w:p>
        </w:tc>
        <w:tc>
          <w:tcPr>
            <w:tcW w:w="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tcBorders>
              <w:bottom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退号标志</w:t>
            </w:r>
          </w:p>
        </w:tc>
        <w:tc>
          <w:tcPr>
            <w:tcW w:w="992" w:type="dxa"/>
            <w:tcBorders>
              <w:bottom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GTHBZ</w:t>
            </w:r>
          </w:p>
        </w:tc>
        <w:tc>
          <w:tcPr>
            <w:tcW w:w="1134" w:type="dxa"/>
            <w:tcBorders>
              <w:bottom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709" w:type="dxa"/>
            <w:tcBorders>
              <w:bottom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tcBorders>
              <w:bottom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2552" w:type="dxa"/>
            <w:tcBorders>
              <w:bottom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复合主键；1：挂号；2：退号；</w:t>
            </w:r>
          </w:p>
        </w:tc>
        <w:tc>
          <w:tcPr>
            <w:tcW w:w="850" w:type="dxa"/>
            <w:tcBorders>
              <w:bottom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tcBorders>
              <w:top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收/退费编号</w:t>
            </w:r>
          </w:p>
        </w:tc>
        <w:tc>
          <w:tcPr>
            <w:tcW w:w="992" w:type="dxa"/>
            <w:tcBorders>
              <w:top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STFBH</w:t>
            </w:r>
          </w:p>
        </w:tc>
        <w:tc>
          <w:tcPr>
            <w:tcW w:w="1134" w:type="dxa"/>
            <w:tcBorders>
              <w:top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tcBorders>
              <w:top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50</w:t>
            </w:r>
          </w:p>
        </w:tc>
        <w:tc>
          <w:tcPr>
            <w:tcW w:w="850" w:type="dxa"/>
            <w:tcBorders>
              <w:top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2552" w:type="dxa"/>
            <w:tcBorders>
              <w:top w:val="single" w:color="000000" w:sz="6" w:space="0"/>
            </w:tcBorders>
            <w:noWrap w:val="0"/>
            <w:vAlign w:val="top"/>
          </w:tcPr>
          <w:p>
            <w:pPr>
              <w:snapToGrid w:val="0"/>
              <w:spacing w:line="440" w:lineRule="exact"/>
              <w:jc w:val="left"/>
              <w:rPr>
                <w:rFonts w:ascii="宋体" w:hAnsi="宋体"/>
                <w:sz w:val="18"/>
                <w:szCs w:val="18"/>
              </w:rPr>
            </w:pPr>
          </w:p>
        </w:tc>
        <w:tc>
          <w:tcPr>
            <w:tcW w:w="850" w:type="dxa"/>
            <w:tcBorders>
              <w:top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挂/退号时间</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GTHSJ</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709" w:type="dxa"/>
            <w:noWrap w:val="0"/>
            <w:vAlign w:val="top"/>
          </w:tcPr>
          <w:p>
            <w:pPr>
              <w:snapToGrid w:val="0"/>
              <w:spacing w:line="440" w:lineRule="exact"/>
              <w:jc w:val="left"/>
              <w:rPr>
                <w:rFonts w:ascii="宋体" w:hAnsi="宋体"/>
                <w:sz w:val="18"/>
                <w:szCs w:val="18"/>
              </w:rPr>
            </w:pP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2552" w:type="dxa"/>
            <w:noWrap w:val="0"/>
            <w:vAlign w:val="top"/>
          </w:tcPr>
          <w:p>
            <w:pPr>
              <w:snapToGrid w:val="0"/>
              <w:spacing w:line="440" w:lineRule="exact"/>
              <w:jc w:val="left"/>
              <w:rPr>
                <w:rFonts w:ascii="宋体" w:hAnsi="宋体"/>
                <w:sz w:val="18"/>
                <w:szCs w:val="18"/>
              </w:rPr>
            </w:pPr>
            <w:r>
              <w:rPr>
                <w:rFonts w:ascii="宋体" w:hAnsi="宋体"/>
                <w:sz w:val="18"/>
                <w:szCs w:val="18"/>
              </w:rPr>
              <w:t>YYYY-MM-DD HH:MM:SS</w:t>
            </w:r>
          </w:p>
        </w:tc>
        <w:tc>
          <w:tcPr>
            <w:tcW w:w="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挂号方式</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GHFS </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数值</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552" w:type="dxa"/>
            <w:noWrap w:val="0"/>
            <w:vAlign w:val="top"/>
          </w:tcPr>
          <w:p>
            <w:pPr>
              <w:snapToGrid w:val="0"/>
              <w:spacing w:line="440" w:lineRule="exact"/>
              <w:jc w:val="left"/>
              <w:rPr>
                <w:rFonts w:ascii="宋体" w:hAnsi="宋体"/>
                <w:sz w:val="18"/>
                <w:szCs w:val="18"/>
              </w:rPr>
            </w:pPr>
            <w:r>
              <w:rPr>
                <w:rFonts w:ascii="宋体" w:hAnsi="宋体"/>
                <w:sz w:val="18"/>
                <w:szCs w:val="18"/>
              </w:rPr>
              <w:t>见说明1（ CVX_R egister edWay）</w:t>
            </w:r>
          </w:p>
        </w:tc>
        <w:tc>
          <w:tcPr>
            <w:tcW w:w="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挂号类别</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GHLB</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2552"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见说明 2（</w:t>
            </w:r>
            <w:r>
              <w:rPr>
                <w:rFonts w:ascii="宋体" w:hAnsi="宋体"/>
                <w:sz w:val="18"/>
                <w:szCs w:val="18"/>
              </w:rPr>
              <w:t>CVX_R EGISTER EDCATEGORY）</w:t>
            </w:r>
          </w:p>
        </w:tc>
        <w:tc>
          <w:tcPr>
            <w:tcW w:w="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挂号类别名称</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GHLBMC </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552" w:type="dxa"/>
            <w:noWrap w:val="0"/>
            <w:vAlign w:val="top"/>
          </w:tcPr>
          <w:p>
            <w:pPr>
              <w:snapToGrid w:val="0"/>
              <w:spacing w:line="440" w:lineRule="exact"/>
              <w:jc w:val="left"/>
              <w:rPr>
                <w:rFonts w:ascii="宋体" w:hAnsi="宋体"/>
                <w:sz w:val="18"/>
                <w:szCs w:val="18"/>
              </w:rPr>
            </w:pPr>
            <w:r>
              <w:rPr>
                <w:rFonts w:ascii="宋体" w:hAnsi="宋体"/>
                <w:sz w:val="18"/>
                <w:szCs w:val="18"/>
              </w:rPr>
              <w:t>医院本地挂号类别名</w:t>
            </w:r>
          </w:p>
          <w:p>
            <w:pPr>
              <w:snapToGrid w:val="0"/>
              <w:spacing w:line="440" w:lineRule="exact"/>
              <w:jc w:val="left"/>
              <w:rPr>
                <w:rFonts w:ascii="宋体" w:hAnsi="宋体"/>
                <w:sz w:val="18"/>
                <w:szCs w:val="18"/>
              </w:rPr>
            </w:pPr>
            <w:r>
              <w:rPr>
                <w:rFonts w:ascii="宋体" w:hAnsi="宋体"/>
                <w:sz w:val="18"/>
                <w:szCs w:val="18"/>
              </w:rPr>
              <w:t>称</w:t>
            </w:r>
          </w:p>
        </w:tc>
        <w:tc>
          <w:tcPr>
            <w:tcW w:w="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保险类型</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BXLX</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255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就诊的费用承担方式与途径</w:t>
            </w:r>
            <w:r>
              <w:rPr>
                <w:rFonts w:ascii="宋体" w:hAnsi="宋体"/>
                <w:sz w:val="18"/>
                <w:szCs w:val="18"/>
              </w:rPr>
              <w:t>(6)</w:t>
            </w:r>
          </w:p>
        </w:tc>
        <w:tc>
          <w:tcPr>
            <w:tcW w:w="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科室编码</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KSBM</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15</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2552" w:type="dxa"/>
            <w:noWrap w:val="0"/>
            <w:vAlign w:val="top"/>
          </w:tcPr>
          <w:p>
            <w:pPr>
              <w:snapToGrid w:val="0"/>
              <w:spacing w:line="440" w:lineRule="exact"/>
              <w:jc w:val="left"/>
              <w:rPr>
                <w:rFonts w:ascii="宋体" w:hAnsi="宋体"/>
                <w:sz w:val="18"/>
                <w:szCs w:val="18"/>
              </w:rPr>
            </w:pPr>
          </w:p>
        </w:tc>
        <w:tc>
          <w:tcPr>
            <w:tcW w:w="850"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院内科室信息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科室名称</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KSMC </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552" w:type="dxa"/>
            <w:noWrap w:val="0"/>
            <w:vAlign w:val="top"/>
          </w:tcPr>
          <w:p>
            <w:pPr>
              <w:snapToGrid w:val="0"/>
              <w:spacing w:line="440" w:lineRule="exact"/>
              <w:jc w:val="left"/>
              <w:rPr>
                <w:rFonts w:ascii="宋体" w:hAnsi="宋体"/>
                <w:sz w:val="18"/>
                <w:szCs w:val="18"/>
              </w:rPr>
            </w:pPr>
          </w:p>
        </w:tc>
        <w:tc>
          <w:tcPr>
            <w:tcW w:w="850" w:type="dxa"/>
            <w:vMerge w:val="continue"/>
            <w:tcBorders>
              <w:top w:val="nil"/>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挂号费</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ZFZLF</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2552" w:type="dxa"/>
            <w:noWrap w:val="0"/>
            <w:vAlign w:val="top"/>
          </w:tcPr>
          <w:p>
            <w:pPr>
              <w:snapToGrid w:val="0"/>
              <w:spacing w:line="440" w:lineRule="exact"/>
              <w:jc w:val="left"/>
              <w:rPr>
                <w:rFonts w:ascii="宋体" w:hAnsi="宋体"/>
                <w:sz w:val="18"/>
                <w:szCs w:val="18"/>
              </w:rPr>
            </w:pPr>
            <w:r>
              <w:rPr>
                <w:rFonts w:hint="eastAsia" w:ascii="宋体" w:hAnsi="宋体"/>
                <w:sz w:val="18"/>
                <w:szCs w:val="18"/>
              </w:rPr>
              <w:t>退号的费用也以正数表示，通过退号标志进行区分。</w:t>
            </w:r>
          </w:p>
        </w:tc>
        <w:tc>
          <w:tcPr>
            <w:tcW w:w="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诊疗费</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ZLF</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2552" w:type="dxa"/>
            <w:noWrap w:val="0"/>
            <w:vAlign w:val="top"/>
          </w:tcPr>
          <w:p>
            <w:pPr>
              <w:snapToGrid w:val="0"/>
              <w:spacing w:line="440" w:lineRule="exact"/>
              <w:jc w:val="left"/>
              <w:rPr>
                <w:rFonts w:ascii="宋体" w:hAnsi="宋体"/>
                <w:sz w:val="18"/>
                <w:szCs w:val="18"/>
              </w:rPr>
            </w:pPr>
            <w:r>
              <w:rPr>
                <w:rFonts w:ascii="宋体" w:hAnsi="宋体"/>
                <w:sz w:val="18"/>
                <w:szCs w:val="18"/>
              </w:rPr>
              <w:t>本次挂号关联的诊疗费用</w:t>
            </w:r>
          </w:p>
        </w:tc>
        <w:tc>
          <w:tcPr>
            <w:tcW w:w="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其它费</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QTF</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552" w:type="dxa"/>
            <w:noWrap w:val="0"/>
            <w:vAlign w:val="top"/>
          </w:tcPr>
          <w:p>
            <w:pPr>
              <w:snapToGrid w:val="0"/>
              <w:spacing w:line="440" w:lineRule="exact"/>
              <w:jc w:val="left"/>
              <w:rPr>
                <w:rFonts w:ascii="宋体" w:hAnsi="宋体"/>
                <w:sz w:val="18"/>
                <w:szCs w:val="18"/>
              </w:rPr>
            </w:pPr>
            <w:r>
              <w:rPr>
                <w:rFonts w:ascii="宋体" w:hAnsi="宋体"/>
                <w:sz w:val="18"/>
                <w:szCs w:val="18"/>
              </w:rPr>
              <w:t>本次挂号关联的诊疗</w:t>
            </w:r>
          </w:p>
          <w:p>
            <w:pPr>
              <w:snapToGrid w:val="0"/>
              <w:spacing w:line="440" w:lineRule="exact"/>
              <w:jc w:val="left"/>
              <w:rPr>
                <w:rFonts w:ascii="宋体" w:hAnsi="宋体"/>
                <w:sz w:val="18"/>
                <w:szCs w:val="18"/>
              </w:rPr>
            </w:pPr>
            <w:r>
              <w:rPr>
                <w:rFonts w:ascii="宋体" w:hAnsi="宋体"/>
                <w:sz w:val="18"/>
                <w:szCs w:val="18"/>
              </w:rPr>
              <w:t>费用</w:t>
            </w:r>
          </w:p>
        </w:tc>
        <w:tc>
          <w:tcPr>
            <w:tcW w:w="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卡号</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KH</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552"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参考患者</w:t>
            </w:r>
          </w:p>
          <w:p>
            <w:pPr>
              <w:snapToGrid w:val="0"/>
              <w:spacing w:line="440" w:lineRule="exact"/>
              <w:jc w:val="left"/>
              <w:rPr>
                <w:rFonts w:ascii="宋体" w:hAnsi="宋体"/>
                <w:sz w:val="18"/>
                <w:szCs w:val="18"/>
              </w:rPr>
            </w:pPr>
            <w:r>
              <w:rPr>
                <w:rFonts w:hint="eastAsia" w:ascii="宋体" w:hAnsi="宋体"/>
                <w:sz w:val="18"/>
                <w:szCs w:val="18"/>
              </w:rPr>
              <w:t>信息表说明 1</w:t>
            </w:r>
          </w:p>
        </w:tc>
        <w:tc>
          <w:tcPr>
            <w:tcW w:w="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卡类型</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KLX</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552" w:type="dxa"/>
            <w:vMerge w:val="continue"/>
            <w:tcBorders>
              <w:top w:val="nil"/>
            </w:tcBorders>
            <w:noWrap w:val="0"/>
            <w:vAlign w:val="top"/>
          </w:tcPr>
          <w:p>
            <w:pPr>
              <w:snapToGrid w:val="0"/>
              <w:spacing w:line="440" w:lineRule="exact"/>
              <w:jc w:val="left"/>
              <w:rPr>
                <w:rFonts w:ascii="宋体" w:hAnsi="宋体"/>
                <w:sz w:val="18"/>
                <w:szCs w:val="18"/>
              </w:rPr>
            </w:pPr>
          </w:p>
        </w:tc>
        <w:tc>
          <w:tcPr>
            <w:tcW w:w="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姓名</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XM </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552" w:type="dxa"/>
            <w:noWrap w:val="0"/>
            <w:vAlign w:val="top"/>
          </w:tcPr>
          <w:p>
            <w:pPr>
              <w:snapToGrid w:val="0"/>
              <w:spacing w:line="440" w:lineRule="exact"/>
              <w:jc w:val="left"/>
              <w:rPr>
                <w:rFonts w:ascii="宋体" w:hAnsi="宋体"/>
                <w:sz w:val="18"/>
                <w:szCs w:val="18"/>
              </w:rPr>
            </w:pPr>
            <w:r>
              <w:rPr>
                <w:rFonts w:ascii="宋体" w:hAnsi="宋体"/>
                <w:sz w:val="18"/>
                <w:szCs w:val="18"/>
              </w:rPr>
              <w:t>个体在公安管理部门正式登记注册的姓氏和名称</w:t>
            </w:r>
          </w:p>
        </w:tc>
        <w:tc>
          <w:tcPr>
            <w:tcW w:w="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性别代码</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XBDM </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552" w:type="dxa"/>
            <w:noWrap w:val="0"/>
            <w:vAlign w:val="top"/>
          </w:tcPr>
          <w:p>
            <w:pPr>
              <w:snapToGrid w:val="0"/>
              <w:spacing w:line="440" w:lineRule="exact"/>
              <w:jc w:val="left"/>
              <w:rPr>
                <w:rFonts w:ascii="宋体" w:hAnsi="宋体"/>
                <w:sz w:val="18"/>
                <w:szCs w:val="18"/>
              </w:rPr>
            </w:pPr>
          </w:p>
        </w:tc>
        <w:tc>
          <w:tcPr>
            <w:tcW w:w="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性别</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XB </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552" w:type="dxa"/>
            <w:noWrap w:val="0"/>
            <w:vAlign w:val="top"/>
          </w:tcPr>
          <w:p>
            <w:pPr>
              <w:snapToGrid w:val="0"/>
              <w:spacing w:line="440" w:lineRule="exact"/>
              <w:jc w:val="left"/>
              <w:rPr>
                <w:rFonts w:ascii="宋体" w:hAnsi="宋体"/>
                <w:sz w:val="18"/>
                <w:szCs w:val="18"/>
              </w:rPr>
            </w:pPr>
          </w:p>
        </w:tc>
        <w:tc>
          <w:tcPr>
            <w:tcW w:w="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特需标志</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TXBZ</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选填</w:t>
            </w:r>
          </w:p>
        </w:tc>
        <w:tc>
          <w:tcPr>
            <w:tcW w:w="2552"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编码。0：非特需；1：特需；</w:t>
            </w:r>
          </w:p>
        </w:tc>
        <w:tc>
          <w:tcPr>
            <w:tcW w:w="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外地标志</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WDBZ</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552"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编码。1：本市；2：外地；3：境外（港澳台）；4：外国；5：未知</w:t>
            </w:r>
          </w:p>
        </w:tc>
        <w:tc>
          <w:tcPr>
            <w:tcW w:w="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预约流水号</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YYLSH </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552" w:type="dxa"/>
            <w:noWrap w:val="0"/>
            <w:vAlign w:val="top"/>
          </w:tcPr>
          <w:p>
            <w:pPr>
              <w:snapToGrid w:val="0"/>
              <w:spacing w:line="440" w:lineRule="exact"/>
              <w:jc w:val="left"/>
              <w:rPr>
                <w:rFonts w:ascii="宋体" w:hAnsi="宋体"/>
                <w:sz w:val="18"/>
                <w:szCs w:val="18"/>
              </w:rPr>
            </w:pPr>
            <w:r>
              <w:rPr>
                <w:rFonts w:ascii="宋体" w:hAnsi="宋体"/>
                <w:sz w:val="18"/>
                <w:szCs w:val="18"/>
              </w:rPr>
              <w:t>在本机构内唯一标识本次预约的流水号</w:t>
            </w:r>
          </w:p>
        </w:tc>
        <w:tc>
          <w:tcPr>
            <w:tcW w:w="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修改标志</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XGBZ </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整数</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55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见患者信息表表说明4 </w:t>
            </w:r>
          </w:p>
        </w:tc>
        <w:tc>
          <w:tcPr>
            <w:tcW w:w="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计入挂号人次标识</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GHRCBS</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2552"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编码。1：计入挂号人次；2：不计入挂号人次；</w:t>
            </w:r>
          </w:p>
        </w:tc>
        <w:tc>
          <w:tcPr>
            <w:tcW w:w="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预留一</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YLYL1</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2552"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w:t>
            </w:r>
          </w:p>
          <w:p>
            <w:pPr>
              <w:snapToGrid w:val="0"/>
              <w:spacing w:line="440" w:lineRule="exact"/>
              <w:jc w:val="left"/>
              <w:rPr>
                <w:rFonts w:ascii="宋体" w:hAnsi="宋体"/>
                <w:sz w:val="18"/>
                <w:szCs w:val="18"/>
              </w:rPr>
            </w:pPr>
            <w:r>
              <w:rPr>
                <w:rFonts w:hint="eastAsia" w:ascii="宋体" w:hAnsi="宋体"/>
                <w:sz w:val="18"/>
                <w:szCs w:val="18"/>
              </w:rPr>
              <w:t>理该数据而预留</w:t>
            </w:r>
          </w:p>
        </w:tc>
        <w:tc>
          <w:tcPr>
            <w:tcW w:w="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预留二</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YLYL2</w:t>
            </w:r>
          </w:p>
        </w:tc>
        <w:tc>
          <w:tcPr>
            <w:tcW w:w="11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2552"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w:t>
            </w:r>
          </w:p>
          <w:p>
            <w:pPr>
              <w:snapToGrid w:val="0"/>
              <w:spacing w:line="440" w:lineRule="exact"/>
              <w:jc w:val="left"/>
              <w:rPr>
                <w:rFonts w:ascii="宋体" w:hAnsi="宋体"/>
                <w:sz w:val="18"/>
                <w:szCs w:val="18"/>
              </w:rPr>
            </w:pPr>
            <w:r>
              <w:rPr>
                <w:rFonts w:hint="eastAsia" w:ascii="宋体" w:hAnsi="宋体"/>
                <w:sz w:val="18"/>
                <w:szCs w:val="18"/>
              </w:rPr>
              <w:t>而预留</w:t>
            </w:r>
          </w:p>
        </w:tc>
        <w:tc>
          <w:tcPr>
            <w:tcW w:w="850" w:type="dxa"/>
            <w:noWrap w:val="0"/>
            <w:vAlign w:val="top"/>
          </w:tcPr>
          <w:p>
            <w:pPr>
              <w:snapToGrid w:val="0"/>
              <w:spacing w:line="440" w:lineRule="exact"/>
              <w:jc w:val="left"/>
              <w:rPr>
                <w:rFonts w:ascii="宋体" w:hAnsi="宋体"/>
                <w:sz w:val="18"/>
                <w:szCs w:val="18"/>
              </w:rPr>
            </w:pPr>
          </w:p>
        </w:tc>
      </w:tr>
    </w:tbl>
    <w:p>
      <w:pPr>
        <w:snapToGrid w:val="0"/>
        <w:spacing w:line="440" w:lineRule="exact"/>
        <w:jc w:val="left"/>
        <w:rPr>
          <w:rFonts w:ascii="宋体" w:hAnsi="宋体"/>
          <w:sz w:val="24"/>
        </w:rPr>
      </w:pPr>
      <w:r>
        <w:rPr>
          <w:rFonts w:hint="eastAsia" w:ascii="宋体" w:hAnsi="宋体"/>
          <w:sz w:val="24"/>
        </w:rPr>
        <w:t>2.1.2.3门诊就诊记录表(TB_YL_MZ_Medical_Record)</w:t>
      </w:r>
    </w:p>
    <w:tbl>
      <w:tblPr>
        <w:tblStyle w:val="48"/>
        <w:tblW w:w="86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992"/>
        <w:gridCol w:w="851"/>
        <w:gridCol w:w="708"/>
        <w:gridCol w:w="851"/>
        <w:gridCol w:w="269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数据项</w:t>
            </w:r>
          </w:p>
        </w:tc>
        <w:tc>
          <w:tcPr>
            <w:tcW w:w="992"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字段名</w:t>
            </w:r>
          </w:p>
        </w:tc>
        <w:tc>
          <w:tcPr>
            <w:tcW w:w="85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类型</w:t>
            </w:r>
          </w:p>
        </w:tc>
        <w:tc>
          <w:tcPr>
            <w:tcW w:w="708"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字节</w:t>
            </w:r>
          </w:p>
        </w:tc>
        <w:tc>
          <w:tcPr>
            <w:tcW w:w="85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填报要求</w:t>
            </w:r>
          </w:p>
        </w:tc>
        <w:tc>
          <w:tcPr>
            <w:tcW w:w="2693"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说明</w:t>
            </w:r>
          </w:p>
        </w:tc>
        <w:tc>
          <w:tcPr>
            <w:tcW w:w="1134"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418"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c>
          <w:tcPr>
            <w:tcW w:w="992"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693"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复合主键；卫生机构分类代码22位</w:t>
            </w:r>
          </w:p>
        </w:tc>
        <w:tc>
          <w:tcPr>
            <w:tcW w:w="1134"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院区ID </w:t>
            </w:r>
          </w:p>
        </w:tc>
        <w:tc>
          <w:tcPr>
            <w:tcW w:w="992"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YQID </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8"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693"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本院传00，分院按实际传 </w:t>
            </w:r>
          </w:p>
        </w:tc>
        <w:tc>
          <w:tcPr>
            <w:tcW w:w="1134"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院区名称 </w:t>
            </w:r>
          </w:p>
        </w:tc>
        <w:tc>
          <w:tcPr>
            <w:tcW w:w="992"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JGYQMC </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字符</w:t>
            </w:r>
            <w:r>
              <w:rPr>
                <w:rFonts w:hint="eastAsia" w:ascii="宋体" w:hAnsi="宋体"/>
                <w:sz w:val="18"/>
                <w:szCs w:val="18"/>
              </w:rPr>
              <w:t>串</w:t>
            </w:r>
          </w:p>
        </w:tc>
        <w:tc>
          <w:tcPr>
            <w:tcW w:w="708"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693" w:type="dxa"/>
            <w:shd w:val="clear" w:color="auto" w:fill="FAD3B4"/>
            <w:noWrap w:val="0"/>
            <w:vAlign w:val="top"/>
          </w:tcPr>
          <w:p>
            <w:pPr>
              <w:snapToGrid w:val="0"/>
              <w:spacing w:line="440" w:lineRule="exact"/>
              <w:jc w:val="left"/>
              <w:rPr>
                <w:rFonts w:ascii="宋体" w:hAnsi="宋体"/>
                <w:sz w:val="18"/>
                <w:szCs w:val="18"/>
              </w:rPr>
            </w:pPr>
          </w:p>
        </w:tc>
        <w:tc>
          <w:tcPr>
            <w:tcW w:w="1134"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门诊就诊流水号</w:t>
            </w:r>
          </w:p>
        </w:tc>
        <w:tc>
          <w:tcPr>
            <w:tcW w:w="992"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JZLSH</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693"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复合主键；医院内部HIS系统唯一编号。</w:t>
            </w:r>
          </w:p>
        </w:tc>
        <w:tc>
          <w:tcPr>
            <w:tcW w:w="1134"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挂号流水号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GHLSH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6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在本机构内唯一标识本次挂号的流水号 </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是否预约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SFYY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见 门 诊 说明 3（ </w:t>
            </w:r>
            <w:r>
              <w:rPr>
                <w:rFonts w:ascii="宋体" w:hAnsi="宋体"/>
                <w:sz w:val="18"/>
                <w:szCs w:val="18"/>
              </w:rPr>
              <w:t xml:space="preserve">CVX_Right） </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是否复诊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SFFZ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见 门 诊 说明 3（ </w:t>
            </w:r>
            <w:r>
              <w:rPr>
                <w:rFonts w:ascii="宋体" w:hAnsi="宋体"/>
                <w:sz w:val="18"/>
                <w:szCs w:val="18"/>
              </w:rPr>
              <w:t xml:space="preserve">CVX_Right） </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卡号</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KH</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50</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693"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必须与患者基本信息关联，见前述“患者信息表”的说明(1)</w:t>
            </w:r>
          </w:p>
          <w:p>
            <w:pPr>
              <w:snapToGrid w:val="0"/>
              <w:spacing w:line="440" w:lineRule="exact"/>
              <w:jc w:val="left"/>
              <w:rPr>
                <w:rFonts w:ascii="宋体" w:hAnsi="宋体"/>
                <w:sz w:val="18"/>
                <w:szCs w:val="18"/>
              </w:rPr>
            </w:pPr>
            <w:r>
              <w:rPr>
                <w:rFonts w:hint="eastAsia" w:ascii="宋体" w:hAnsi="宋体"/>
                <w:sz w:val="18"/>
                <w:szCs w:val="18"/>
              </w:rPr>
              <w:t>以及相关说明。</w:t>
            </w:r>
          </w:p>
        </w:tc>
        <w:tc>
          <w:tcPr>
            <w:tcW w:w="1134" w:type="dxa"/>
            <w:vMerge w:val="restart"/>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卡类型</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KLX</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693" w:type="dxa"/>
            <w:vMerge w:val="continue"/>
            <w:tcBorders>
              <w:top w:val="nil"/>
            </w:tcBorders>
            <w:noWrap w:val="0"/>
            <w:vAlign w:val="top"/>
          </w:tcPr>
          <w:p>
            <w:pPr>
              <w:snapToGrid w:val="0"/>
              <w:spacing w:line="440" w:lineRule="exact"/>
              <w:jc w:val="left"/>
              <w:rPr>
                <w:rFonts w:ascii="宋体" w:hAnsi="宋体"/>
                <w:sz w:val="18"/>
                <w:szCs w:val="18"/>
              </w:rPr>
            </w:pPr>
          </w:p>
        </w:tc>
        <w:tc>
          <w:tcPr>
            <w:tcW w:w="1134" w:type="dxa"/>
            <w:vMerge w:val="continue"/>
            <w:tcBorders>
              <w:top w:val="nil"/>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患者姓名</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HZXM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50</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693" w:type="dxa"/>
            <w:noWrap w:val="0"/>
            <w:vAlign w:val="top"/>
          </w:tcPr>
          <w:p>
            <w:pPr>
              <w:snapToGrid w:val="0"/>
              <w:spacing w:line="440" w:lineRule="exact"/>
              <w:jc w:val="left"/>
              <w:rPr>
                <w:rFonts w:ascii="宋体" w:hAnsi="宋体"/>
                <w:sz w:val="18"/>
                <w:szCs w:val="18"/>
              </w:rPr>
            </w:pP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性别代码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XBDM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693" w:type="dxa"/>
            <w:noWrap w:val="0"/>
            <w:vAlign w:val="top"/>
          </w:tcPr>
          <w:p>
            <w:pPr>
              <w:snapToGrid w:val="0"/>
              <w:spacing w:line="440" w:lineRule="exact"/>
              <w:jc w:val="left"/>
              <w:rPr>
                <w:rFonts w:ascii="宋体" w:hAnsi="宋体"/>
                <w:sz w:val="18"/>
                <w:szCs w:val="18"/>
              </w:rPr>
            </w:pP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字典： GB_T2261_1_2003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性别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XB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693" w:type="dxa"/>
            <w:noWrap w:val="0"/>
            <w:vAlign w:val="top"/>
          </w:tcPr>
          <w:p>
            <w:pPr>
              <w:snapToGrid w:val="0"/>
              <w:spacing w:line="440" w:lineRule="exact"/>
              <w:jc w:val="left"/>
              <w:rPr>
                <w:rFonts w:ascii="宋体" w:hAnsi="宋体"/>
                <w:sz w:val="18"/>
                <w:szCs w:val="18"/>
              </w:rPr>
            </w:pP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门诊类别</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JZLX</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3</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见挂号表说明2（ </w:t>
            </w:r>
            <w:r>
              <w:rPr>
                <w:rFonts w:ascii="宋体" w:hAnsi="宋体"/>
                <w:sz w:val="18"/>
                <w:szCs w:val="18"/>
              </w:rPr>
              <w:t>CVX_REGIS TEREDCATEGORY）</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门诊类别名称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MZLBMC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6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医院本地门 诊类别名称 </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就诊科室编码</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JZKSBM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15</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693" w:type="dxa"/>
            <w:noWrap w:val="0"/>
            <w:vAlign w:val="top"/>
          </w:tcPr>
          <w:p>
            <w:pPr>
              <w:snapToGrid w:val="0"/>
              <w:spacing w:line="440" w:lineRule="exact"/>
              <w:jc w:val="left"/>
              <w:rPr>
                <w:rFonts w:ascii="宋体" w:hAnsi="宋体"/>
                <w:sz w:val="18"/>
                <w:szCs w:val="18"/>
              </w:rPr>
            </w:pPr>
          </w:p>
        </w:tc>
        <w:tc>
          <w:tcPr>
            <w:tcW w:w="1134"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院内科室信息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就诊科室名称</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JZKSMC</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50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693" w:type="dxa"/>
            <w:noWrap w:val="0"/>
            <w:vAlign w:val="top"/>
          </w:tcPr>
          <w:p>
            <w:pPr>
              <w:snapToGrid w:val="0"/>
              <w:spacing w:line="440" w:lineRule="exact"/>
              <w:jc w:val="left"/>
              <w:rPr>
                <w:rFonts w:ascii="宋体" w:hAnsi="宋体"/>
                <w:sz w:val="18"/>
                <w:szCs w:val="18"/>
              </w:rPr>
            </w:pPr>
          </w:p>
        </w:tc>
        <w:tc>
          <w:tcPr>
            <w:tcW w:w="1134" w:type="dxa"/>
            <w:vMerge w:val="continue"/>
            <w:tcBorders>
              <w:top w:val="nil"/>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门诊就诊日期</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JZKSRQ</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8</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日</w:t>
            </w:r>
            <w:r>
              <w:rPr>
                <w:rFonts w:hint="eastAsia" w:ascii="宋体" w:hAnsi="宋体"/>
                <w:sz w:val="18"/>
                <w:szCs w:val="18"/>
              </w:rPr>
              <w:tab/>
            </w:r>
            <w:r>
              <w:rPr>
                <w:rFonts w:hint="eastAsia" w:ascii="宋体" w:hAnsi="宋体"/>
                <w:sz w:val="18"/>
                <w:szCs w:val="18"/>
              </w:rPr>
              <w:t>期</w:t>
            </w:r>
            <w:r>
              <w:rPr>
                <w:rFonts w:hint="eastAsia" w:ascii="宋体" w:hAnsi="宋体"/>
                <w:sz w:val="18"/>
                <w:szCs w:val="18"/>
              </w:rPr>
              <w:tab/>
            </w:r>
            <w:r>
              <w:rPr>
                <w:rFonts w:hint="eastAsia" w:ascii="宋体" w:hAnsi="宋体"/>
                <w:sz w:val="18"/>
                <w:szCs w:val="18"/>
              </w:rPr>
              <w:t>；</w:t>
            </w:r>
            <w:r>
              <w:rPr>
                <w:rFonts w:ascii="宋体" w:hAnsi="宋体"/>
                <w:sz w:val="18"/>
                <w:szCs w:val="18"/>
              </w:rPr>
              <w:t>“YYYYMMDD”</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主诊医生工号</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ZZYSGH</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18</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693" w:type="dxa"/>
            <w:noWrap w:val="0"/>
            <w:vAlign w:val="top"/>
          </w:tcPr>
          <w:p>
            <w:pPr>
              <w:snapToGrid w:val="0"/>
              <w:spacing w:line="440" w:lineRule="exact"/>
              <w:jc w:val="left"/>
              <w:rPr>
                <w:rFonts w:ascii="宋体" w:hAnsi="宋体"/>
                <w:sz w:val="18"/>
                <w:szCs w:val="18"/>
              </w:rPr>
            </w:pP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主诊医生姓名</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ZZYSXM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18</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693" w:type="dxa"/>
            <w:noWrap w:val="0"/>
            <w:vAlign w:val="top"/>
          </w:tcPr>
          <w:p>
            <w:pPr>
              <w:snapToGrid w:val="0"/>
              <w:spacing w:line="440" w:lineRule="exact"/>
              <w:jc w:val="left"/>
              <w:rPr>
                <w:rFonts w:ascii="宋体" w:hAnsi="宋体"/>
                <w:sz w:val="18"/>
                <w:szCs w:val="18"/>
              </w:rPr>
            </w:pP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门诊诊断编码（主要诊断)调阅中诊断编码</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JZZDBM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100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编码。西医：按统 一 规 定 的ICD10字典表执行；中医：按国标 -95 或 国 标-97执行。若有多条，填写主要诊断。院内诊断编码：院内自定义编码，但需要同 时 填 报TB_Dic_Detail</w:t>
            </w:r>
            <w:r>
              <w:rPr>
                <w:rFonts w:ascii="宋体" w:hAnsi="宋体"/>
                <w:sz w:val="18"/>
                <w:szCs w:val="18"/>
              </w:rPr>
              <w:t>_Comparison</w:t>
            </w:r>
            <w:r>
              <w:rPr>
                <w:rFonts w:hint="eastAsia" w:ascii="宋体" w:hAnsi="宋体"/>
                <w:sz w:val="18"/>
                <w:szCs w:val="18"/>
              </w:rPr>
              <w:t>表。</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编码类型</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BMLX</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 01 ： ICD-10；02：国标-95；03：国标-97；04：院内诊断编码</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门诊诊断说明</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JZZDSM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3072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 要 改 为 必填项，调阅中诊断名称)</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主诉</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ZS</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1024</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患者向医师描述的对自身本次疾病相关的感受的主要记录</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症状描述</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ZZMS</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1024</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接诊医生对患者症状的简要描述</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症状代码</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ZZDM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100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描述病人症状代码，见说明值域： CV5101.27 症状代码可多选用“|” 分开</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症状名称</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ZZMC</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1024</w:t>
            </w:r>
          </w:p>
        </w:tc>
        <w:tc>
          <w:tcPr>
            <w:tcW w:w="851" w:type="dxa"/>
            <w:noWrap w:val="0"/>
            <w:vAlign w:val="top"/>
          </w:tcPr>
          <w:p>
            <w:pPr>
              <w:snapToGrid w:val="0"/>
              <w:spacing w:line="440" w:lineRule="exact"/>
              <w:jc w:val="left"/>
              <w:rPr>
                <w:rFonts w:ascii="宋体" w:hAnsi="宋体"/>
                <w:sz w:val="18"/>
                <w:szCs w:val="18"/>
              </w:rPr>
            </w:pP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接诊医生对患者症状名称的描述可多选用“|”分开</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收缩压(mmHg)</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SSY</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3</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计 量 单 位 为</w:t>
            </w:r>
            <w:r>
              <w:rPr>
                <w:rFonts w:ascii="宋体" w:hAnsi="宋体"/>
                <w:sz w:val="18"/>
                <w:szCs w:val="18"/>
              </w:rPr>
              <w:t>mmHg</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舒张压(mmHg)</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SZY</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3</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计 量 单 位 为</w:t>
            </w:r>
            <w:r>
              <w:rPr>
                <w:rFonts w:ascii="宋体" w:hAnsi="宋体"/>
                <w:sz w:val="18"/>
                <w:szCs w:val="18"/>
              </w:rPr>
              <w:t>mmHg</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体温(℃)</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TW</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3.1</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摄氏值，忽略测量方法和部位</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现病史</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FBS</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2000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记录病人疾病从发生、发展、演变治疗全过程。如果没有填写“无”</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既往史</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JWS</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1024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病人既往的健康记录。如果没有填写“无”</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治疗处理意见</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ZLCLYJ</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1024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详细记录处理意见。</w:t>
            </w:r>
          </w:p>
          <w:p>
            <w:pPr>
              <w:snapToGrid w:val="0"/>
              <w:spacing w:line="440" w:lineRule="exact"/>
              <w:jc w:val="left"/>
              <w:rPr>
                <w:rFonts w:ascii="宋体" w:hAnsi="宋体"/>
                <w:sz w:val="18"/>
                <w:szCs w:val="18"/>
              </w:rPr>
            </w:pPr>
            <w:r>
              <w:rPr>
                <w:rFonts w:hint="eastAsia" w:ascii="宋体" w:hAnsi="宋体"/>
                <w:sz w:val="18"/>
                <w:szCs w:val="18"/>
              </w:rPr>
              <w:t>如果没有填写</w:t>
            </w:r>
          </w:p>
          <w:p>
            <w:pPr>
              <w:snapToGrid w:val="0"/>
              <w:spacing w:line="440" w:lineRule="exact"/>
              <w:jc w:val="left"/>
              <w:rPr>
                <w:rFonts w:ascii="宋体" w:hAnsi="宋体"/>
                <w:sz w:val="18"/>
                <w:szCs w:val="18"/>
              </w:rPr>
            </w:pPr>
            <w:r>
              <w:rPr>
                <w:rFonts w:hint="eastAsia" w:ascii="宋体" w:hAnsi="宋体"/>
                <w:sz w:val="18"/>
                <w:szCs w:val="18"/>
              </w:rPr>
              <w:t>“无”</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发病日期</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FBRQ</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8</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日</w:t>
            </w:r>
            <w:r>
              <w:rPr>
                <w:rFonts w:hint="eastAsia" w:ascii="宋体" w:hAnsi="宋体"/>
                <w:sz w:val="18"/>
                <w:szCs w:val="18"/>
              </w:rPr>
              <w:tab/>
            </w:r>
            <w:r>
              <w:rPr>
                <w:rFonts w:hint="eastAsia" w:ascii="宋体" w:hAnsi="宋体"/>
                <w:sz w:val="18"/>
                <w:szCs w:val="18"/>
              </w:rPr>
              <w:t>期</w:t>
            </w:r>
            <w:r>
              <w:rPr>
                <w:rFonts w:hint="eastAsia" w:ascii="宋体" w:hAnsi="宋体"/>
                <w:sz w:val="18"/>
                <w:szCs w:val="18"/>
              </w:rPr>
              <w:tab/>
            </w:r>
            <w:r>
              <w:rPr>
                <w:rFonts w:hint="eastAsia" w:ascii="宋体" w:hAnsi="宋体"/>
                <w:sz w:val="18"/>
                <w:szCs w:val="18"/>
              </w:rPr>
              <w:t>；</w:t>
            </w:r>
            <w:r>
              <w:rPr>
                <w:rFonts w:ascii="宋体" w:hAnsi="宋体"/>
                <w:sz w:val="18"/>
                <w:szCs w:val="18"/>
              </w:rPr>
              <w:t>“YYYYMMDD”</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诊断日期</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ZDRQ</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8</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日</w:t>
            </w:r>
            <w:r>
              <w:rPr>
                <w:rFonts w:hint="eastAsia" w:ascii="宋体" w:hAnsi="宋体"/>
                <w:sz w:val="18"/>
                <w:szCs w:val="18"/>
              </w:rPr>
              <w:tab/>
            </w:r>
            <w:r>
              <w:rPr>
                <w:rFonts w:hint="eastAsia" w:ascii="宋体" w:hAnsi="宋体"/>
                <w:sz w:val="18"/>
                <w:szCs w:val="18"/>
              </w:rPr>
              <w:t>期</w:t>
            </w:r>
            <w:r>
              <w:rPr>
                <w:rFonts w:hint="eastAsia" w:ascii="宋体" w:hAnsi="宋体"/>
                <w:sz w:val="18"/>
                <w:szCs w:val="18"/>
              </w:rPr>
              <w:tab/>
            </w:r>
            <w:r>
              <w:rPr>
                <w:rFonts w:hint="eastAsia" w:ascii="宋体" w:hAnsi="宋体"/>
                <w:sz w:val="18"/>
                <w:szCs w:val="18"/>
              </w:rPr>
              <w:t>；</w:t>
            </w:r>
            <w:r>
              <w:rPr>
                <w:rFonts w:ascii="宋体" w:hAnsi="宋体"/>
                <w:sz w:val="18"/>
                <w:szCs w:val="18"/>
              </w:rPr>
              <w:t>“YYYYMMDD”</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病人去向</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BRQX</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w:t>
            </w:r>
            <w:r>
              <w:rPr>
                <w:rFonts w:hint="eastAsia" w:ascii="宋体" w:hAnsi="宋体"/>
                <w:sz w:val="18"/>
                <w:szCs w:val="18"/>
              </w:rPr>
              <w:tab/>
            </w:r>
            <w:r>
              <w:rPr>
                <w:rFonts w:hint="eastAsia" w:ascii="宋体" w:hAnsi="宋体"/>
                <w:sz w:val="18"/>
                <w:szCs w:val="18"/>
              </w:rPr>
              <w:t>说</w:t>
            </w:r>
            <w:r>
              <w:rPr>
                <w:rFonts w:hint="eastAsia" w:ascii="宋体" w:hAnsi="宋体"/>
                <w:sz w:val="18"/>
                <w:szCs w:val="18"/>
              </w:rPr>
              <w:tab/>
            </w:r>
            <w:r>
              <w:rPr>
                <w:rFonts w:hint="eastAsia" w:ascii="宋体" w:hAnsi="宋体"/>
                <w:sz w:val="18"/>
                <w:szCs w:val="18"/>
              </w:rPr>
              <w:t>明</w:t>
            </w:r>
            <w:r>
              <w:rPr>
                <w:rFonts w:hint="eastAsia" w:ascii="宋体" w:hAnsi="宋体"/>
                <w:sz w:val="18"/>
                <w:szCs w:val="18"/>
              </w:rPr>
              <w:tab/>
            </w:r>
            <w:r>
              <w:rPr>
                <w:rFonts w:hint="eastAsia" w:ascii="宋体" w:hAnsi="宋体"/>
                <w:sz w:val="18"/>
                <w:szCs w:val="18"/>
              </w:rPr>
              <w:t>4（</w:t>
            </w:r>
            <w:r>
              <w:rPr>
                <w:rFonts w:ascii="宋体" w:hAnsi="宋体"/>
                <w:sz w:val="18"/>
                <w:szCs w:val="18"/>
              </w:rPr>
              <w:t>CVX_JZGC HZQXDM</w:t>
            </w:r>
            <w:r>
              <w:rPr>
                <w:rFonts w:hint="eastAsia" w:ascii="宋体" w:hAnsi="宋体"/>
                <w:sz w:val="18"/>
                <w:szCs w:val="18"/>
              </w:rPr>
              <w:t>）</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转诊转入标志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ZZBZ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6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1.转入，2转出 </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中医病名名称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ZYBMMC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512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693" w:type="dxa"/>
            <w:noWrap w:val="0"/>
            <w:vAlign w:val="top"/>
          </w:tcPr>
          <w:p>
            <w:pPr>
              <w:snapToGrid w:val="0"/>
              <w:spacing w:line="440" w:lineRule="exact"/>
              <w:jc w:val="left"/>
              <w:rPr>
                <w:rFonts w:ascii="宋体" w:hAnsi="宋体"/>
                <w:sz w:val="18"/>
                <w:szCs w:val="18"/>
              </w:rPr>
            </w:pP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GB_T15657_1995</w:t>
            </w:r>
            <w:r>
              <w:rPr>
                <w:rFonts w:ascii="宋体" w:hAnsi="宋体"/>
                <w:sz w:val="18"/>
                <w:szCs w:val="18"/>
              </w:rPr>
              <w:tab/>
            </w:r>
            <w:r>
              <w:rPr>
                <w:rFonts w:ascii="宋体" w:hAnsi="宋体"/>
                <w:sz w:val="18"/>
                <w:szCs w:val="18"/>
              </w:rPr>
              <w:t>多</w:t>
            </w:r>
            <w:r>
              <w:rPr>
                <w:rFonts w:ascii="宋体" w:hAnsi="宋体"/>
                <w:sz w:val="18"/>
                <w:szCs w:val="18"/>
              </w:rPr>
              <w:tab/>
            </w:r>
            <w:r>
              <w:rPr>
                <w:rFonts w:ascii="宋体" w:hAnsi="宋体"/>
                <w:sz w:val="18"/>
                <w:szCs w:val="18"/>
              </w:rPr>
              <w:t xml:space="preserve">个以”;”隔开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中医病名代码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ZYBMDM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693" w:type="dxa"/>
            <w:noWrap w:val="0"/>
            <w:vAlign w:val="top"/>
          </w:tcPr>
          <w:p>
            <w:pPr>
              <w:snapToGrid w:val="0"/>
              <w:spacing w:line="440" w:lineRule="exact"/>
              <w:jc w:val="left"/>
              <w:rPr>
                <w:rFonts w:ascii="宋体" w:hAnsi="宋体"/>
                <w:sz w:val="18"/>
                <w:szCs w:val="18"/>
              </w:rPr>
            </w:pP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GB_T15657_1995多</w:t>
            </w:r>
            <w:r>
              <w:rPr>
                <w:rFonts w:ascii="宋体" w:hAnsi="宋体"/>
                <w:sz w:val="18"/>
                <w:szCs w:val="18"/>
              </w:rPr>
              <w:tab/>
            </w:r>
            <w:r>
              <w:rPr>
                <w:rFonts w:ascii="宋体" w:hAnsi="宋体"/>
                <w:sz w:val="18"/>
                <w:szCs w:val="18"/>
              </w:rPr>
              <w:t xml:space="preserve">个以”;”隔开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中医证候名称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ZYZHMC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512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693" w:type="dxa"/>
            <w:noWrap w:val="0"/>
            <w:vAlign w:val="top"/>
          </w:tcPr>
          <w:p>
            <w:pPr>
              <w:snapToGrid w:val="0"/>
              <w:spacing w:line="440" w:lineRule="exact"/>
              <w:jc w:val="left"/>
              <w:rPr>
                <w:rFonts w:ascii="宋体" w:hAnsi="宋体"/>
                <w:sz w:val="18"/>
                <w:szCs w:val="18"/>
              </w:rPr>
            </w:pP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GB_T15657_1995</w:t>
            </w:r>
            <w:r>
              <w:rPr>
                <w:rFonts w:ascii="宋体" w:hAnsi="宋体"/>
                <w:sz w:val="18"/>
                <w:szCs w:val="18"/>
              </w:rPr>
              <w:tab/>
            </w:r>
            <w:r>
              <w:rPr>
                <w:rFonts w:ascii="宋体" w:hAnsi="宋体"/>
                <w:sz w:val="18"/>
                <w:szCs w:val="18"/>
              </w:rPr>
              <w:t>多</w:t>
            </w:r>
            <w:r>
              <w:rPr>
                <w:rFonts w:ascii="宋体" w:hAnsi="宋体"/>
                <w:sz w:val="18"/>
                <w:szCs w:val="18"/>
              </w:rPr>
              <w:tab/>
            </w:r>
            <w:r>
              <w:rPr>
                <w:rFonts w:ascii="宋体" w:hAnsi="宋体"/>
                <w:sz w:val="18"/>
                <w:szCs w:val="18"/>
              </w:rPr>
              <w:t xml:space="preserve">个以”;”隔开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中医证候代码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ZYZHDM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693" w:type="dxa"/>
            <w:noWrap w:val="0"/>
            <w:vAlign w:val="top"/>
          </w:tcPr>
          <w:p>
            <w:pPr>
              <w:snapToGrid w:val="0"/>
              <w:spacing w:line="440" w:lineRule="exact"/>
              <w:jc w:val="left"/>
              <w:rPr>
                <w:rFonts w:ascii="宋体" w:hAnsi="宋体"/>
                <w:sz w:val="18"/>
                <w:szCs w:val="18"/>
              </w:rPr>
            </w:pP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GB_T15657_1</w:t>
            </w:r>
          </w:p>
          <w:p>
            <w:pPr>
              <w:snapToGrid w:val="0"/>
              <w:spacing w:line="440" w:lineRule="exact"/>
              <w:jc w:val="left"/>
              <w:rPr>
                <w:rFonts w:ascii="宋体" w:hAnsi="宋体"/>
                <w:sz w:val="18"/>
                <w:szCs w:val="18"/>
              </w:rPr>
            </w:pPr>
            <w:r>
              <w:rPr>
                <w:rFonts w:ascii="宋体" w:hAnsi="宋体"/>
                <w:sz w:val="18"/>
                <w:szCs w:val="18"/>
              </w:rPr>
              <w:t>995</w:t>
            </w:r>
            <w:r>
              <w:rPr>
                <w:rFonts w:ascii="宋体" w:hAnsi="宋体"/>
                <w:sz w:val="18"/>
                <w:szCs w:val="18"/>
              </w:rPr>
              <w:tab/>
            </w:r>
            <w:r>
              <w:rPr>
                <w:rFonts w:ascii="宋体" w:hAnsi="宋体"/>
                <w:sz w:val="18"/>
                <w:szCs w:val="18"/>
              </w:rPr>
              <w:t>多</w:t>
            </w:r>
            <w:r>
              <w:rPr>
                <w:rFonts w:ascii="宋体" w:hAnsi="宋体"/>
                <w:sz w:val="18"/>
                <w:szCs w:val="18"/>
              </w:rPr>
              <w:tab/>
            </w:r>
            <w:r>
              <w:rPr>
                <w:rFonts w:ascii="宋体" w:hAnsi="宋体"/>
                <w:sz w:val="18"/>
                <w:szCs w:val="18"/>
              </w:rPr>
              <w:t xml:space="preserve">个以”;”隔开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孕期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YQ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整数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693" w:type="dxa"/>
            <w:noWrap w:val="0"/>
            <w:vAlign w:val="top"/>
          </w:tcPr>
          <w:p>
            <w:pPr>
              <w:snapToGrid w:val="0"/>
              <w:spacing w:line="440" w:lineRule="exact"/>
              <w:jc w:val="left"/>
              <w:rPr>
                <w:rFonts w:ascii="宋体" w:hAnsi="宋体"/>
                <w:sz w:val="18"/>
                <w:szCs w:val="18"/>
              </w:rPr>
            </w:pP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孕妇的妊娠时长，计量单位为周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是否哺乳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SFBR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整数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见 门 诊 说明 3（ </w:t>
            </w:r>
            <w:r>
              <w:rPr>
                <w:rFonts w:ascii="宋体" w:hAnsi="宋体"/>
                <w:sz w:val="18"/>
                <w:szCs w:val="18"/>
              </w:rPr>
              <w:t xml:space="preserve">CVX_Right） </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身高（cm）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SG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6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患者身高的测量值，计量单位为cm </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体重（kg）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TZ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6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患者体重的测量值,计量单位为kg </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修改标志</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XGBZ</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693" w:type="dxa"/>
            <w:noWrap w:val="0"/>
            <w:vAlign w:val="top"/>
          </w:tcPr>
          <w:p>
            <w:pPr>
              <w:snapToGrid w:val="0"/>
              <w:spacing w:line="440" w:lineRule="exact"/>
              <w:jc w:val="left"/>
              <w:rPr>
                <w:rFonts w:ascii="宋体" w:hAnsi="宋体"/>
                <w:sz w:val="18"/>
                <w:szCs w:val="18"/>
              </w:rPr>
            </w:pPr>
            <w:r>
              <w:rPr>
                <w:rFonts w:ascii="宋体" w:hAnsi="宋体"/>
                <w:sz w:val="18"/>
                <w:szCs w:val="18"/>
              </w:rPr>
              <w:t>见患者信息表表说明4</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密级</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MJ</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见说明</w:t>
            </w: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预留一</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YLYL1</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693" w:type="dxa"/>
            <w:noWrap w:val="0"/>
            <w:vAlign w:val="top"/>
          </w:tcPr>
          <w:p>
            <w:pPr>
              <w:snapToGrid w:val="0"/>
              <w:spacing w:line="440" w:lineRule="exact"/>
              <w:jc w:val="left"/>
              <w:rPr>
                <w:rFonts w:ascii="宋体" w:hAnsi="宋体"/>
                <w:sz w:val="18"/>
                <w:szCs w:val="18"/>
              </w:rPr>
            </w:pPr>
          </w:p>
        </w:tc>
        <w:tc>
          <w:tcPr>
            <w:tcW w:w="113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预留二</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YLYL2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26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为处理该数据而预留</w:t>
            </w:r>
          </w:p>
        </w:tc>
        <w:tc>
          <w:tcPr>
            <w:tcW w:w="1134" w:type="dxa"/>
            <w:noWrap w:val="0"/>
            <w:vAlign w:val="top"/>
          </w:tcPr>
          <w:p>
            <w:pPr>
              <w:snapToGrid w:val="0"/>
              <w:spacing w:line="440" w:lineRule="exact"/>
              <w:jc w:val="left"/>
              <w:rPr>
                <w:rFonts w:ascii="宋体" w:hAnsi="宋体"/>
                <w:sz w:val="18"/>
                <w:szCs w:val="18"/>
              </w:rPr>
            </w:pPr>
          </w:p>
        </w:tc>
      </w:tr>
    </w:tbl>
    <w:p>
      <w:pPr>
        <w:snapToGrid w:val="0"/>
        <w:spacing w:line="440" w:lineRule="exact"/>
        <w:jc w:val="left"/>
        <w:rPr>
          <w:rFonts w:ascii="宋体" w:hAnsi="宋体"/>
          <w:sz w:val="24"/>
        </w:rPr>
      </w:pPr>
      <w:r>
        <w:rPr>
          <w:rFonts w:hint="eastAsia" w:ascii="宋体" w:hAnsi="宋体"/>
          <w:sz w:val="24"/>
        </w:rPr>
        <w:t>2.1.2.4</w:t>
      </w:r>
      <w:r>
        <w:rPr>
          <w:rFonts w:ascii="宋体" w:hAnsi="宋体"/>
          <w:sz w:val="24"/>
        </w:rPr>
        <w:t>门诊处方记录(Opt_Recipe)</w:t>
      </w:r>
    </w:p>
    <w:tbl>
      <w:tblPr>
        <w:tblStyle w:val="48"/>
        <w:tblW w:w="88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850"/>
        <w:gridCol w:w="851"/>
        <w:gridCol w:w="708"/>
        <w:gridCol w:w="851"/>
        <w:gridCol w:w="2431"/>
        <w:gridCol w:w="1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数据项</w:t>
            </w:r>
          </w:p>
        </w:tc>
        <w:tc>
          <w:tcPr>
            <w:tcW w:w="850"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字段名</w:t>
            </w:r>
          </w:p>
        </w:tc>
        <w:tc>
          <w:tcPr>
            <w:tcW w:w="851"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类型</w:t>
            </w:r>
          </w:p>
        </w:tc>
        <w:tc>
          <w:tcPr>
            <w:tcW w:w="708"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字节</w:t>
            </w:r>
          </w:p>
        </w:tc>
        <w:tc>
          <w:tcPr>
            <w:tcW w:w="851"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填报要求</w:t>
            </w:r>
          </w:p>
        </w:tc>
        <w:tc>
          <w:tcPr>
            <w:tcW w:w="2431"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说明</w:t>
            </w:r>
          </w:p>
        </w:tc>
        <w:tc>
          <w:tcPr>
            <w:tcW w:w="1622"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43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复合主键；卫生机构分类代码22位</w:t>
            </w:r>
          </w:p>
        </w:tc>
        <w:tc>
          <w:tcPr>
            <w:tcW w:w="1622"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院区ID </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YQID </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字 符串 </w:t>
            </w:r>
          </w:p>
        </w:tc>
        <w:tc>
          <w:tcPr>
            <w:tcW w:w="708"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3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本院传00，分院按实际传 </w:t>
            </w:r>
          </w:p>
        </w:tc>
        <w:tc>
          <w:tcPr>
            <w:tcW w:w="1622"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院区名称 </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JGYQMC </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8"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31" w:type="dxa"/>
            <w:shd w:val="clear" w:color="auto" w:fill="FAD3B4"/>
            <w:noWrap w:val="0"/>
            <w:vAlign w:val="top"/>
          </w:tcPr>
          <w:p>
            <w:pPr>
              <w:snapToGrid w:val="0"/>
              <w:spacing w:line="440" w:lineRule="exact"/>
              <w:jc w:val="left"/>
              <w:rPr>
                <w:rFonts w:ascii="宋体" w:hAnsi="宋体"/>
                <w:sz w:val="18"/>
                <w:szCs w:val="18"/>
              </w:rPr>
            </w:pPr>
          </w:p>
        </w:tc>
        <w:tc>
          <w:tcPr>
            <w:tcW w:w="1622"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处方号码</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CYH</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43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w:t>
            </w:r>
          </w:p>
        </w:tc>
        <w:tc>
          <w:tcPr>
            <w:tcW w:w="1622"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原始处方ID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YSCFID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3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若处方为退药处方，需传入对应原始 处方处方ID </w:t>
            </w:r>
          </w:p>
        </w:tc>
        <w:tc>
          <w:tcPr>
            <w:tcW w:w="162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互联网处方标志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HLWCFBZ</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31" w:type="dxa"/>
            <w:noWrap w:val="0"/>
            <w:vAlign w:val="top"/>
          </w:tcPr>
          <w:p>
            <w:pPr>
              <w:snapToGrid w:val="0"/>
              <w:spacing w:line="440" w:lineRule="exact"/>
              <w:jc w:val="left"/>
              <w:rPr>
                <w:rFonts w:ascii="宋体" w:hAnsi="宋体"/>
                <w:sz w:val="18"/>
                <w:szCs w:val="18"/>
              </w:rPr>
            </w:pPr>
            <w:r>
              <w:rPr>
                <w:rFonts w:ascii="宋体" w:hAnsi="宋体"/>
                <w:sz w:val="18"/>
                <w:szCs w:val="18"/>
              </w:rPr>
              <w:t>是否为互联网医院处方字典：</w:t>
            </w:r>
            <w:r>
              <w:rPr>
                <w:rFonts w:hint="eastAsia" w:ascii="宋体" w:hAnsi="宋体"/>
                <w:sz w:val="18"/>
                <w:szCs w:val="18"/>
              </w:rPr>
              <w:t xml:space="preserve">见门诊说明 3（ </w:t>
            </w:r>
            <w:r>
              <w:rPr>
                <w:rFonts w:ascii="宋体" w:hAnsi="宋体"/>
                <w:sz w:val="18"/>
                <w:szCs w:val="18"/>
              </w:rPr>
              <w:t>CVX_Right）</w:t>
            </w:r>
          </w:p>
        </w:tc>
        <w:tc>
          <w:tcPr>
            <w:tcW w:w="162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门诊就诊流水号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JZLSH</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43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与门诊就诊记录表关联的外键</w:t>
            </w:r>
          </w:p>
        </w:tc>
        <w:tc>
          <w:tcPr>
            <w:tcW w:w="162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KH</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431"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必须与患者基本信息关联，见前述“患者信息表”的说明(1)以及相关说明。</w:t>
            </w:r>
          </w:p>
        </w:tc>
        <w:tc>
          <w:tcPr>
            <w:tcW w:w="162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卡类型</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KLX</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431" w:type="dxa"/>
            <w:vMerge w:val="continue"/>
            <w:tcBorders>
              <w:top w:val="nil"/>
            </w:tcBorders>
            <w:noWrap w:val="0"/>
            <w:vAlign w:val="top"/>
          </w:tcPr>
          <w:p>
            <w:pPr>
              <w:snapToGrid w:val="0"/>
              <w:spacing w:line="440" w:lineRule="exact"/>
              <w:jc w:val="left"/>
              <w:rPr>
                <w:rFonts w:ascii="宋体" w:hAnsi="宋体"/>
                <w:sz w:val="18"/>
                <w:szCs w:val="18"/>
              </w:rPr>
            </w:pPr>
          </w:p>
        </w:tc>
        <w:tc>
          <w:tcPr>
            <w:tcW w:w="162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姓名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XM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3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个体在公安管理部门正式登记注册的姓氏和名称 </w:t>
            </w:r>
          </w:p>
        </w:tc>
        <w:tc>
          <w:tcPr>
            <w:tcW w:w="162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性别代码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XBDM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31" w:type="dxa"/>
            <w:noWrap w:val="0"/>
            <w:vAlign w:val="top"/>
          </w:tcPr>
          <w:p>
            <w:pPr>
              <w:snapToGrid w:val="0"/>
              <w:spacing w:line="440" w:lineRule="exact"/>
              <w:jc w:val="left"/>
              <w:rPr>
                <w:rFonts w:ascii="宋体" w:hAnsi="宋体"/>
                <w:sz w:val="18"/>
                <w:szCs w:val="18"/>
              </w:rPr>
            </w:pPr>
          </w:p>
        </w:tc>
        <w:tc>
          <w:tcPr>
            <w:tcW w:w="1622" w:type="dxa"/>
            <w:noWrap w:val="0"/>
            <w:vAlign w:val="top"/>
          </w:tcPr>
          <w:p>
            <w:pPr>
              <w:snapToGrid w:val="0"/>
              <w:spacing w:line="440" w:lineRule="exact"/>
              <w:jc w:val="left"/>
              <w:rPr>
                <w:rFonts w:ascii="宋体" w:hAnsi="宋体"/>
                <w:sz w:val="18"/>
                <w:szCs w:val="18"/>
              </w:rPr>
            </w:pPr>
            <w:r>
              <w:rPr>
                <w:rFonts w:ascii="宋体" w:hAnsi="宋体"/>
                <w:sz w:val="18"/>
                <w:szCs w:val="18"/>
              </w:rPr>
              <w:t>字典</w:t>
            </w:r>
            <w:r>
              <w:rPr>
                <w:rFonts w:hint="eastAsia" w:ascii="宋体" w:hAnsi="宋体"/>
                <w:sz w:val="18"/>
                <w:szCs w:val="18"/>
              </w:rPr>
              <w:t>：</w:t>
            </w:r>
            <w:r>
              <w:rPr>
                <w:rFonts w:ascii="宋体" w:hAnsi="宋体"/>
                <w:sz w:val="18"/>
                <w:szCs w:val="18"/>
              </w:rPr>
              <w:t xml:space="preserve">GB_T2261_1_2003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性别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XB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31" w:type="dxa"/>
            <w:noWrap w:val="0"/>
            <w:vAlign w:val="top"/>
          </w:tcPr>
          <w:p>
            <w:pPr>
              <w:snapToGrid w:val="0"/>
              <w:spacing w:line="440" w:lineRule="exact"/>
              <w:jc w:val="left"/>
              <w:rPr>
                <w:rFonts w:ascii="宋体" w:hAnsi="宋体"/>
                <w:sz w:val="18"/>
                <w:szCs w:val="18"/>
              </w:rPr>
            </w:pPr>
          </w:p>
        </w:tc>
        <w:tc>
          <w:tcPr>
            <w:tcW w:w="162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医院本地中 文性别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就诊科室代码</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JZKSDM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431" w:type="dxa"/>
            <w:noWrap w:val="0"/>
            <w:vAlign w:val="top"/>
          </w:tcPr>
          <w:p>
            <w:pPr>
              <w:snapToGrid w:val="0"/>
              <w:spacing w:line="440" w:lineRule="exact"/>
              <w:jc w:val="left"/>
              <w:rPr>
                <w:rFonts w:ascii="宋体" w:hAnsi="宋体"/>
                <w:sz w:val="18"/>
                <w:szCs w:val="18"/>
              </w:rPr>
            </w:pPr>
          </w:p>
        </w:tc>
        <w:tc>
          <w:tcPr>
            <w:tcW w:w="1622"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院内科室信息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科室名称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KSMC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31" w:type="dxa"/>
            <w:noWrap w:val="0"/>
            <w:vAlign w:val="top"/>
          </w:tcPr>
          <w:p>
            <w:pPr>
              <w:snapToGrid w:val="0"/>
              <w:spacing w:line="440" w:lineRule="exact"/>
              <w:jc w:val="left"/>
              <w:rPr>
                <w:rFonts w:ascii="宋体" w:hAnsi="宋体"/>
                <w:sz w:val="18"/>
                <w:szCs w:val="18"/>
              </w:rPr>
            </w:pPr>
          </w:p>
        </w:tc>
        <w:tc>
          <w:tcPr>
            <w:tcW w:w="1622" w:type="dxa"/>
            <w:vMerge w:val="continue"/>
            <w:tcBorders>
              <w:top w:val="nil"/>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处方状态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CFZT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3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见患者信息 表表说明4 </w:t>
            </w:r>
          </w:p>
        </w:tc>
        <w:tc>
          <w:tcPr>
            <w:tcW w:w="162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处方类别代码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CFLB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3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1.西药，2.成药，3.草药，4. 非药物处 方 </w:t>
            </w:r>
          </w:p>
        </w:tc>
        <w:tc>
          <w:tcPr>
            <w:tcW w:w="1622"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处方辨识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CFBS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3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1.普通，2.急诊，3.儿科，4.麻醉，5精神药品，9.不明 </w:t>
            </w:r>
          </w:p>
        </w:tc>
        <w:tc>
          <w:tcPr>
            <w:tcW w:w="162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处方有效天数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CFYXTS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31" w:type="dxa"/>
            <w:noWrap w:val="0"/>
            <w:vAlign w:val="top"/>
          </w:tcPr>
          <w:p>
            <w:pPr>
              <w:snapToGrid w:val="0"/>
              <w:spacing w:line="440" w:lineRule="exact"/>
              <w:jc w:val="left"/>
              <w:rPr>
                <w:rFonts w:ascii="宋体" w:hAnsi="宋体"/>
                <w:sz w:val="18"/>
                <w:szCs w:val="18"/>
              </w:rPr>
            </w:pPr>
          </w:p>
        </w:tc>
        <w:tc>
          <w:tcPr>
            <w:tcW w:w="162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处方贴数</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CFTS</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Int</w:t>
            </w:r>
          </w:p>
        </w:tc>
        <w:tc>
          <w:tcPr>
            <w:tcW w:w="708"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431" w:type="dxa"/>
            <w:noWrap w:val="0"/>
            <w:vAlign w:val="top"/>
          </w:tcPr>
          <w:p>
            <w:pPr>
              <w:snapToGrid w:val="0"/>
              <w:spacing w:line="440" w:lineRule="exact"/>
              <w:jc w:val="left"/>
              <w:rPr>
                <w:rFonts w:ascii="宋体" w:hAnsi="宋体"/>
                <w:sz w:val="18"/>
                <w:szCs w:val="18"/>
              </w:rPr>
            </w:pPr>
          </w:p>
        </w:tc>
        <w:tc>
          <w:tcPr>
            <w:tcW w:w="162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西医诊断编码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XYZDDM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31" w:type="dxa"/>
            <w:noWrap w:val="0"/>
            <w:vAlign w:val="top"/>
          </w:tcPr>
          <w:p>
            <w:pPr>
              <w:snapToGrid w:val="0"/>
              <w:spacing w:line="440" w:lineRule="exact"/>
              <w:jc w:val="left"/>
              <w:rPr>
                <w:rFonts w:ascii="宋体" w:hAnsi="宋体"/>
                <w:sz w:val="18"/>
                <w:szCs w:val="18"/>
              </w:rPr>
            </w:pPr>
          </w:p>
        </w:tc>
        <w:tc>
          <w:tcPr>
            <w:tcW w:w="162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ICD-10多个以“;”间隔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西医诊断名称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XYZDMC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512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31" w:type="dxa"/>
            <w:noWrap w:val="0"/>
            <w:vAlign w:val="top"/>
          </w:tcPr>
          <w:p>
            <w:pPr>
              <w:snapToGrid w:val="0"/>
              <w:spacing w:line="440" w:lineRule="exact"/>
              <w:jc w:val="left"/>
              <w:rPr>
                <w:rFonts w:ascii="宋体" w:hAnsi="宋体"/>
                <w:sz w:val="18"/>
                <w:szCs w:val="18"/>
              </w:rPr>
            </w:pPr>
          </w:p>
        </w:tc>
        <w:tc>
          <w:tcPr>
            <w:tcW w:w="162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多个以“;”间隔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临床诊断名称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LCZDMC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512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31" w:type="dxa"/>
            <w:noWrap w:val="0"/>
            <w:vAlign w:val="top"/>
          </w:tcPr>
          <w:p>
            <w:pPr>
              <w:snapToGrid w:val="0"/>
              <w:spacing w:line="440" w:lineRule="exact"/>
              <w:jc w:val="left"/>
              <w:rPr>
                <w:rFonts w:ascii="宋体" w:hAnsi="宋体"/>
                <w:sz w:val="18"/>
                <w:szCs w:val="18"/>
              </w:rPr>
            </w:pPr>
          </w:p>
        </w:tc>
        <w:tc>
          <w:tcPr>
            <w:tcW w:w="162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多个以“;”间隔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中医病名代码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ZYBMDM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31" w:type="dxa"/>
            <w:noWrap w:val="0"/>
            <w:vAlign w:val="top"/>
          </w:tcPr>
          <w:p>
            <w:pPr>
              <w:snapToGrid w:val="0"/>
              <w:spacing w:line="440" w:lineRule="exact"/>
              <w:jc w:val="left"/>
              <w:rPr>
                <w:rFonts w:ascii="宋体" w:hAnsi="宋体"/>
                <w:sz w:val="18"/>
                <w:szCs w:val="18"/>
              </w:rPr>
            </w:pPr>
          </w:p>
        </w:tc>
        <w:tc>
          <w:tcPr>
            <w:tcW w:w="162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GB_T15657_1995 多 个 以“;”间隔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中医病名名称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ZYBMMC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512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31" w:type="dxa"/>
            <w:noWrap w:val="0"/>
            <w:vAlign w:val="top"/>
          </w:tcPr>
          <w:p>
            <w:pPr>
              <w:snapToGrid w:val="0"/>
              <w:spacing w:line="440" w:lineRule="exact"/>
              <w:jc w:val="left"/>
              <w:rPr>
                <w:rFonts w:ascii="宋体" w:hAnsi="宋体"/>
                <w:sz w:val="18"/>
                <w:szCs w:val="18"/>
              </w:rPr>
            </w:pPr>
          </w:p>
        </w:tc>
        <w:tc>
          <w:tcPr>
            <w:tcW w:w="162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多个以“;”间隔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中医症候代码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ZYZHDM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31" w:type="dxa"/>
            <w:noWrap w:val="0"/>
            <w:vAlign w:val="top"/>
          </w:tcPr>
          <w:p>
            <w:pPr>
              <w:snapToGrid w:val="0"/>
              <w:spacing w:line="440" w:lineRule="exact"/>
              <w:jc w:val="left"/>
              <w:rPr>
                <w:rFonts w:ascii="宋体" w:hAnsi="宋体"/>
                <w:sz w:val="18"/>
                <w:szCs w:val="18"/>
              </w:rPr>
            </w:pPr>
          </w:p>
        </w:tc>
        <w:tc>
          <w:tcPr>
            <w:tcW w:w="162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GB_T15657_1995 多 个 以“;”间隔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中医症候名称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ZYZHMC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512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31" w:type="dxa"/>
            <w:noWrap w:val="0"/>
            <w:vAlign w:val="top"/>
          </w:tcPr>
          <w:p>
            <w:pPr>
              <w:snapToGrid w:val="0"/>
              <w:spacing w:line="440" w:lineRule="exact"/>
              <w:jc w:val="left"/>
              <w:rPr>
                <w:rFonts w:ascii="宋体" w:hAnsi="宋体"/>
                <w:sz w:val="18"/>
                <w:szCs w:val="18"/>
              </w:rPr>
            </w:pPr>
          </w:p>
        </w:tc>
        <w:tc>
          <w:tcPr>
            <w:tcW w:w="162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多个以“;”间隔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治则治法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ZZZF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31" w:type="dxa"/>
            <w:noWrap w:val="0"/>
            <w:vAlign w:val="top"/>
          </w:tcPr>
          <w:p>
            <w:pPr>
              <w:snapToGrid w:val="0"/>
              <w:spacing w:line="440" w:lineRule="exact"/>
              <w:jc w:val="left"/>
              <w:rPr>
                <w:rFonts w:ascii="宋体" w:hAnsi="宋体"/>
                <w:sz w:val="18"/>
                <w:szCs w:val="18"/>
              </w:rPr>
            </w:pPr>
          </w:p>
        </w:tc>
        <w:tc>
          <w:tcPr>
            <w:tcW w:w="162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中药处方必填。字典： GB_T16751_3_1997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开方时间</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KFRQ</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708"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431" w:type="dxa"/>
            <w:noWrap w:val="0"/>
            <w:vAlign w:val="top"/>
          </w:tcPr>
          <w:p>
            <w:pPr>
              <w:snapToGrid w:val="0"/>
              <w:spacing w:line="440" w:lineRule="exact"/>
              <w:jc w:val="left"/>
              <w:rPr>
                <w:rFonts w:ascii="宋体" w:hAnsi="宋体"/>
                <w:sz w:val="18"/>
                <w:szCs w:val="18"/>
              </w:rPr>
            </w:pPr>
            <w:r>
              <w:rPr>
                <w:rFonts w:ascii="宋体" w:hAnsi="宋体"/>
                <w:sz w:val="18"/>
                <w:szCs w:val="18"/>
              </w:rPr>
              <w:t>业务时间，格式</w:t>
            </w:r>
            <w:r>
              <w:rPr>
                <w:rFonts w:ascii="宋体" w:hAnsi="宋体"/>
                <w:sz w:val="18"/>
                <w:szCs w:val="18"/>
              </w:rPr>
              <w:tab/>
            </w:r>
            <w:r>
              <w:rPr>
                <w:rFonts w:ascii="宋体" w:hAnsi="宋体"/>
                <w:sz w:val="18"/>
                <w:szCs w:val="18"/>
              </w:rPr>
              <w:t>：YYYY-MM-DDThh24:mi:ss</w:t>
            </w:r>
          </w:p>
        </w:tc>
        <w:tc>
          <w:tcPr>
            <w:tcW w:w="162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发药时间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FYSJ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DATET</w:t>
            </w:r>
            <w:r>
              <w:rPr>
                <w:rFonts w:hint="eastAsia" w:ascii="宋体" w:hAnsi="宋体"/>
                <w:sz w:val="18"/>
                <w:szCs w:val="18"/>
              </w:rPr>
              <w:t>I</w:t>
            </w:r>
            <w:r>
              <w:rPr>
                <w:rFonts w:ascii="宋体" w:hAnsi="宋体"/>
                <w:sz w:val="18"/>
                <w:szCs w:val="18"/>
              </w:rPr>
              <w:t xml:space="preserve">ME </w:t>
            </w:r>
          </w:p>
        </w:tc>
        <w:tc>
          <w:tcPr>
            <w:tcW w:w="708"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3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格式：YYYY-MM-DDThh24:mi:ss </w:t>
            </w:r>
          </w:p>
        </w:tc>
        <w:tc>
          <w:tcPr>
            <w:tcW w:w="162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开方医生工号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KFYS</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431" w:type="dxa"/>
            <w:noWrap w:val="0"/>
            <w:vAlign w:val="top"/>
          </w:tcPr>
          <w:p>
            <w:pPr>
              <w:snapToGrid w:val="0"/>
              <w:spacing w:line="440" w:lineRule="exact"/>
              <w:jc w:val="left"/>
              <w:rPr>
                <w:rFonts w:ascii="宋体" w:hAnsi="宋体"/>
                <w:sz w:val="18"/>
                <w:szCs w:val="18"/>
              </w:rPr>
            </w:pPr>
          </w:p>
        </w:tc>
        <w:tc>
          <w:tcPr>
            <w:tcW w:w="162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开方医生姓名</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KFYSXM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431" w:type="dxa"/>
            <w:noWrap w:val="0"/>
            <w:vAlign w:val="top"/>
          </w:tcPr>
          <w:p>
            <w:pPr>
              <w:snapToGrid w:val="0"/>
              <w:spacing w:line="440" w:lineRule="exact"/>
              <w:jc w:val="left"/>
              <w:rPr>
                <w:rFonts w:ascii="宋体" w:hAnsi="宋体"/>
                <w:sz w:val="18"/>
                <w:szCs w:val="18"/>
              </w:rPr>
            </w:pPr>
          </w:p>
        </w:tc>
        <w:tc>
          <w:tcPr>
            <w:tcW w:w="162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处方审核药剂师姓名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SHYJSXM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 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3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个体在公安管理部门正式登记注册的姓氏和名称 </w:t>
            </w:r>
          </w:p>
        </w:tc>
        <w:tc>
          <w:tcPr>
            <w:tcW w:w="162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处方调配药剂师姓名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TPYJS</w:t>
            </w:r>
          </w:p>
          <w:p>
            <w:pPr>
              <w:snapToGrid w:val="0"/>
              <w:spacing w:line="440" w:lineRule="exact"/>
              <w:jc w:val="left"/>
              <w:rPr>
                <w:rFonts w:ascii="宋体" w:hAnsi="宋体"/>
                <w:sz w:val="18"/>
                <w:szCs w:val="18"/>
              </w:rPr>
            </w:pPr>
            <w:r>
              <w:rPr>
                <w:rFonts w:ascii="宋体" w:hAnsi="宋体"/>
                <w:sz w:val="18"/>
                <w:szCs w:val="18"/>
              </w:rPr>
              <w:t xml:space="preserve">XM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 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3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个体在公安管理部门正式登记注册的姓氏和名称 </w:t>
            </w:r>
          </w:p>
        </w:tc>
        <w:tc>
          <w:tcPr>
            <w:tcW w:w="162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处方核对药剂师姓名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HDYJSXM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 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3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个体在公安管理部门正式登记注册的姓氏和名称 </w:t>
            </w:r>
          </w:p>
        </w:tc>
        <w:tc>
          <w:tcPr>
            <w:tcW w:w="162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处方发药药剂师姓名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FYYJSXM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 符串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31" w:type="dxa"/>
            <w:noWrap w:val="0"/>
            <w:vAlign w:val="top"/>
          </w:tcPr>
          <w:p>
            <w:pPr>
              <w:snapToGrid w:val="0"/>
              <w:spacing w:line="440" w:lineRule="exact"/>
              <w:jc w:val="left"/>
              <w:rPr>
                <w:rFonts w:ascii="宋体" w:hAnsi="宋体"/>
                <w:sz w:val="18"/>
                <w:szCs w:val="18"/>
              </w:rPr>
            </w:pPr>
            <w:r>
              <w:rPr>
                <w:rFonts w:ascii="宋体" w:hAnsi="宋体"/>
                <w:sz w:val="18"/>
                <w:szCs w:val="18"/>
              </w:rPr>
              <w:t>个体在公安管理部门正式登记注册的姓氏和名</w:t>
            </w:r>
            <w:r>
              <w:rPr>
                <w:rFonts w:hint="eastAsia" w:ascii="宋体" w:hAnsi="宋体"/>
                <w:sz w:val="18"/>
                <w:szCs w:val="18"/>
              </w:rPr>
              <w:t>称</w:t>
            </w:r>
          </w:p>
        </w:tc>
        <w:tc>
          <w:tcPr>
            <w:tcW w:w="162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处方金额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CFJE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18,4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3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处方总金额，计量单位为元 </w:t>
            </w:r>
          </w:p>
        </w:tc>
        <w:tc>
          <w:tcPr>
            <w:tcW w:w="162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饮片单帖价格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YPDTJG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11，4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3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如果是中药饮片处方，这部分信息需要填写，西药方可为空 </w:t>
            </w:r>
          </w:p>
        </w:tc>
        <w:tc>
          <w:tcPr>
            <w:tcW w:w="162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膏方标志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GF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整数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31" w:type="dxa"/>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见门诊说明 3（ </w:t>
            </w:r>
            <w:r>
              <w:rPr>
                <w:rFonts w:ascii="宋体" w:hAnsi="宋体"/>
                <w:sz w:val="18"/>
                <w:szCs w:val="18"/>
              </w:rPr>
              <w:t>CVX_Right）开具的中药饮片医嘱是否为膏方 ,0 否，1 是，只能</w:t>
            </w:r>
            <w:r>
              <w:rPr>
                <w:rFonts w:ascii="宋体" w:hAnsi="宋体"/>
                <w:sz w:val="18"/>
                <w:szCs w:val="18"/>
              </w:rPr>
              <w:tab/>
            </w:r>
            <w:r>
              <w:rPr>
                <w:rFonts w:ascii="宋体" w:hAnsi="宋体"/>
                <w:sz w:val="18"/>
                <w:szCs w:val="18"/>
              </w:rPr>
              <w:t>填</w:t>
            </w:r>
            <w:r>
              <w:rPr>
                <w:rFonts w:ascii="宋体" w:hAnsi="宋体"/>
                <w:sz w:val="18"/>
                <w:szCs w:val="18"/>
              </w:rPr>
              <w:tab/>
            </w:r>
            <w:r>
              <w:rPr>
                <w:rFonts w:ascii="宋体" w:hAnsi="宋体"/>
                <w:sz w:val="18"/>
                <w:szCs w:val="18"/>
              </w:rPr>
              <w:t>入“1|0”</w:t>
            </w:r>
          </w:p>
        </w:tc>
        <w:tc>
          <w:tcPr>
            <w:tcW w:w="162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备注信息</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BZ</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431" w:type="dxa"/>
            <w:noWrap w:val="0"/>
            <w:vAlign w:val="top"/>
          </w:tcPr>
          <w:p>
            <w:pPr>
              <w:snapToGrid w:val="0"/>
              <w:spacing w:line="440" w:lineRule="exact"/>
              <w:jc w:val="left"/>
              <w:rPr>
                <w:rFonts w:ascii="宋体" w:hAnsi="宋体"/>
                <w:sz w:val="18"/>
                <w:szCs w:val="18"/>
              </w:rPr>
            </w:pPr>
          </w:p>
        </w:tc>
        <w:tc>
          <w:tcPr>
            <w:tcW w:w="162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修改标志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XGBZ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整数 </w:t>
            </w:r>
          </w:p>
        </w:tc>
        <w:tc>
          <w:tcPr>
            <w:tcW w:w="70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3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见患者信息 表表说明4 </w:t>
            </w:r>
          </w:p>
        </w:tc>
        <w:tc>
          <w:tcPr>
            <w:tcW w:w="1622" w:type="dxa"/>
            <w:noWrap w:val="0"/>
            <w:vAlign w:val="top"/>
          </w:tcPr>
          <w:p>
            <w:pPr>
              <w:snapToGrid w:val="0"/>
              <w:spacing w:line="440" w:lineRule="exact"/>
              <w:jc w:val="left"/>
              <w:rPr>
                <w:rFonts w:ascii="宋体" w:hAnsi="宋体"/>
                <w:sz w:val="18"/>
                <w:szCs w:val="18"/>
              </w:rPr>
            </w:pPr>
          </w:p>
        </w:tc>
      </w:tr>
    </w:tbl>
    <w:p>
      <w:pPr>
        <w:snapToGrid w:val="0"/>
        <w:spacing w:line="440" w:lineRule="exact"/>
        <w:jc w:val="left"/>
        <w:rPr>
          <w:rFonts w:ascii="宋体" w:hAnsi="宋体"/>
          <w:sz w:val="24"/>
        </w:rPr>
      </w:pPr>
      <w:r>
        <w:rPr>
          <w:rFonts w:hint="eastAsia" w:ascii="宋体" w:hAnsi="宋体"/>
          <w:sz w:val="24"/>
        </w:rPr>
        <w:t>2.1.2.5</w:t>
      </w:r>
      <w:r>
        <w:rPr>
          <w:rFonts w:ascii="宋体" w:hAnsi="宋体"/>
          <w:sz w:val="24"/>
        </w:rPr>
        <w:t>门诊处方明细表(TB_CIS_Prescription_Detail)</w:t>
      </w:r>
    </w:p>
    <w:tbl>
      <w:tblPr>
        <w:tblStyle w:val="48"/>
        <w:tblW w:w="87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850"/>
        <w:gridCol w:w="992"/>
        <w:gridCol w:w="567"/>
        <w:gridCol w:w="851"/>
        <w:gridCol w:w="2410"/>
        <w:gridCol w:w="1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数据项</w:t>
            </w:r>
          </w:p>
        </w:tc>
        <w:tc>
          <w:tcPr>
            <w:tcW w:w="850"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字段名</w:t>
            </w:r>
          </w:p>
        </w:tc>
        <w:tc>
          <w:tcPr>
            <w:tcW w:w="992"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类型</w:t>
            </w:r>
          </w:p>
        </w:tc>
        <w:tc>
          <w:tcPr>
            <w:tcW w:w="567"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字节</w:t>
            </w:r>
          </w:p>
        </w:tc>
        <w:tc>
          <w:tcPr>
            <w:tcW w:w="851"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填报要求</w:t>
            </w:r>
          </w:p>
        </w:tc>
        <w:tc>
          <w:tcPr>
            <w:tcW w:w="2410"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说明</w:t>
            </w:r>
          </w:p>
        </w:tc>
        <w:tc>
          <w:tcPr>
            <w:tcW w:w="1523"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数据集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处方号码</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CYH</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41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w:t>
            </w:r>
          </w:p>
        </w:tc>
        <w:tc>
          <w:tcPr>
            <w:tcW w:w="1523"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原始处方ID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YSCFI D</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1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若处方为退药处方，需传入对应原始处方处方ID </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处方项目明细号码</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CFMXH</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41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复合主键；处方内容项目 </w:t>
            </w:r>
          </w:p>
          <w:p>
            <w:pPr>
              <w:snapToGrid w:val="0"/>
              <w:spacing w:line="440" w:lineRule="exact"/>
              <w:jc w:val="left"/>
              <w:rPr>
                <w:rFonts w:ascii="宋体" w:hAnsi="宋体"/>
                <w:sz w:val="18"/>
                <w:szCs w:val="18"/>
              </w:rPr>
            </w:pPr>
            <w:r>
              <w:rPr>
                <w:rFonts w:hint="eastAsia" w:ascii="宋体" w:hAnsi="宋体"/>
                <w:sz w:val="18"/>
                <w:szCs w:val="18"/>
              </w:rPr>
              <w:t>明细编码</w:t>
            </w:r>
          </w:p>
        </w:tc>
        <w:tc>
          <w:tcPr>
            <w:tcW w:w="1523"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41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复合主键；卫生机构分类 </w:t>
            </w:r>
          </w:p>
          <w:p>
            <w:pPr>
              <w:snapToGrid w:val="0"/>
              <w:spacing w:line="440" w:lineRule="exact"/>
              <w:jc w:val="left"/>
              <w:rPr>
                <w:rFonts w:ascii="宋体" w:hAnsi="宋体"/>
                <w:sz w:val="18"/>
                <w:szCs w:val="18"/>
              </w:rPr>
            </w:pPr>
            <w:r>
              <w:rPr>
                <w:rFonts w:hint="eastAsia" w:ascii="宋体" w:hAnsi="宋体"/>
                <w:sz w:val="18"/>
                <w:szCs w:val="18"/>
              </w:rPr>
              <w:t>代码 22位</w:t>
            </w:r>
          </w:p>
        </w:tc>
        <w:tc>
          <w:tcPr>
            <w:tcW w:w="1523"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院区ID </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YQID </w:t>
            </w:r>
          </w:p>
        </w:tc>
        <w:tc>
          <w:tcPr>
            <w:tcW w:w="992"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字 符串 </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1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本院传00， 分院按实际传 </w:t>
            </w:r>
          </w:p>
        </w:tc>
        <w:tc>
          <w:tcPr>
            <w:tcW w:w="1523" w:type="dxa"/>
            <w:shd w:val="clear" w:color="auto" w:fill="FAD3B4"/>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院区名称 </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JGYQMC </w:t>
            </w:r>
          </w:p>
        </w:tc>
        <w:tc>
          <w:tcPr>
            <w:tcW w:w="992"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字 符串 </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50</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10" w:type="dxa"/>
            <w:shd w:val="clear" w:color="auto" w:fill="FAD3B4"/>
            <w:noWrap w:val="0"/>
            <w:vAlign w:val="top"/>
          </w:tcPr>
          <w:p>
            <w:pPr>
              <w:snapToGrid w:val="0"/>
              <w:spacing w:line="440" w:lineRule="exact"/>
              <w:jc w:val="left"/>
              <w:rPr>
                <w:rFonts w:ascii="宋体" w:hAnsi="宋体"/>
                <w:sz w:val="18"/>
                <w:szCs w:val="18"/>
              </w:rPr>
            </w:pPr>
          </w:p>
        </w:tc>
        <w:tc>
          <w:tcPr>
            <w:tcW w:w="1523"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门诊就诊流水号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JZLSH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与门诊就诊记录表关联的外键</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开方时间</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KFRQ</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567"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410" w:type="dxa"/>
            <w:noWrap w:val="0"/>
            <w:vAlign w:val="top"/>
          </w:tcPr>
          <w:p>
            <w:pPr>
              <w:snapToGrid w:val="0"/>
              <w:spacing w:line="440" w:lineRule="exact"/>
              <w:jc w:val="left"/>
              <w:rPr>
                <w:rFonts w:ascii="宋体" w:hAnsi="宋体"/>
                <w:sz w:val="18"/>
                <w:szCs w:val="18"/>
              </w:rPr>
            </w:pPr>
            <w:r>
              <w:rPr>
                <w:rFonts w:ascii="宋体" w:hAnsi="宋体"/>
                <w:sz w:val="18"/>
                <w:szCs w:val="18"/>
              </w:rPr>
              <w:t>业务时间， 格 式 ： YYYY-MM-DDThh24:mi:ss</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项目编码</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XMBM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填新农保药品目录、诊疗目录编码</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项目名称</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XMMC</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1000</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410" w:type="dxa"/>
            <w:noWrap w:val="0"/>
            <w:vAlign w:val="top"/>
          </w:tcPr>
          <w:p>
            <w:pPr>
              <w:snapToGrid w:val="0"/>
              <w:spacing w:line="440" w:lineRule="exact"/>
              <w:jc w:val="left"/>
              <w:rPr>
                <w:rFonts w:ascii="宋体" w:hAnsi="宋体"/>
                <w:sz w:val="18"/>
                <w:szCs w:val="18"/>
              </w:rPr>
            </w:pP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是否药品</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CFLX</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1.药品 0.非药品</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药品唯一id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CDID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1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若是药品， 必填。药品在医院系统中的唯一id，能够唯一标识发药的产品，因此需要不同的 “ 通用名，剂型， 规格，生产厂家（即产地）”有不同的id。 </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省医保编码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SYBBM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10" w:type="dxa"/>
            <w:noWrap w:val="0"/>
            <w:vAlign w:val="top"/>
          </w:tcPr>
          <w:p>
            <w:pPr>
              <w:snapToGrid w:val="0"/>
              <w:spacing w:line="440" w:lineRule="exact"/>
              <w:jc w:val="left"/>
              <w:rPr>
                <w:rFonts w:ascii="宋体" w:hAnsi="宋体"/>
                <w:sz w:val="18"/>
                <w:szCs w:val="18"/>
              </w:rPr>
            </w:pP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药物类型</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YWLX</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4</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1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上传全省统一的医保编码 </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剂型代码</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JXDM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4</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CV5301.01 剂型代码 说明（1）</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药品剂型名称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JXMC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10" w:type="dxa"/>
            <w:noWrap w:val="0"/>
            <w:vAlign w:val="top"/>
          </w:tcPr>
          <w:p>
            <w:pPr>
              <w:snapToGrid w:val="0"/>
              <w:spacing w:line="440" w:lineRule="exact"/>
              <w:jc w:val="left"/>
              <w:rPr>
                <w:rFonts w:ascii="宋体" w:hAnsi="宋体"/>
                <w:sz w:val="18"/>
                <w:szCs w:val="18"/>
              </w:rPr>
            </w:pP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药品通用名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YPTYM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80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10" w:type="dxa"/>
            <w:noWrap w:val="0"/>
            <w:vAlign w:val="top"/>
          </w:tcPr>
          <w:p>
            <w:pPr>
              <w:snapToGrid w:val="0"/>
              <w:spacing w:line="440" w:lineRule="exact"/>
              <w:jc w:val="left"/>
              <w:rPr>
                <w:rFonts w:ascii="宋体" w:hAnsi="宋体"/>
                <w:sz w:val="18"/>
                <w:szCs w:val="18"/>
              </w:rPr>
            </w:pP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药品商品名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YPSPM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10" w:type="dxa"/>
            <w:noWrap w:val="0"/>
            <w:vAlign w:val="top"/>
          </w:tcPr>
          <w:p>
            <w:pPr>
              <w:snapToGrid w:val="0"/>
              <w:spacing w:line="440" w:lineRule="exact"/>
              <w:jc w:val="left"/>
              <w:rPr>
                <w:rFonts w:ascii="宋体" w:hAnsi="宋体"/>
                <w:sz w:val="18"/>
                <w:szCs w:val="18"/>
              </w:rPr>
            </w:pP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药品规格</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YPGG</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200</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410" w:type="dxa"/>
            <w:noWrap w:val="0"/>
            <w:vAlign w:val="top"/>
          </w:tcPr>
          <w:p>
            <w:pPr>
              <w:snapToGrid w:val="0"/>
              <w:spacing w:line="440" w:lineRule="exact"/>
              <w:jc w:val="left"/>
              <w:rPr>
                <w:rFonts w:ascii="宋体" w:hAnsi="宋体"/>
                <w:sz w:val="18"/>
                <w:szCs w:val="18"/>
              </w:rPr>
            </w:pP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药品包装规格单位</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YPGGD</w:t>
            </w:r>
            <w:r>
              <w:rPr>
                <w:rFonts w:hint="eastAsia" w:ascii="宋体" w:hAnsi="宋体"/>
                <w:sz w:val="18"/>
                <w:szCs w:val="18"/>
              </w:rPr>
              <w:t>W</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10" w:type="dxa"/>
            <w:noWrap w:val="0"/>
            <w:vAlign w:val="top"/>
          </w:tcPr>
          <w:p>
            <w:pPr>
              <w:snapToGrid w:val="0"/>
              <w:spacing w:line="440" w:lineRule="exact"/>
              <w:jc w:val="left"/>
              <w:rPr>
                <w:rFonts w:ascii="宋体" w:hAnsi="宋体"/>
                <w:sz w:val="18"/>
                <w:szCs w:val="18"/>
              </w:rPr>
            </w:pPr>
            <w:r>
              <w:rPr>
                <w:rFonts w:ascii="宋体" w:hAnsi="宋体"/>
                <w:sz w:val="18"/>
                <w:szCs w:val="18"/>
              </w:rPr>
              <w:t>若是药品，必填。发药包装单位， 例如：瓶、盒。对于医院自定义的包装，可以提供自定义的包装单</w:t>
            </w:r>
          </w:p>
          <w:p>
            <w:pPr>
              <w:snapToGrid w:val="0"/>
              <w:spacing w:line="440" w:lineRule="exact"/>
              <w:jc w:val="left"/>
              <w:rPr>
                <w:rFonts w:ascii="宋体" w:hAnsi="宋体"/>
                <w:sz w:val="18"/>
                <w:szCs w:val="18"/>
              </w:rPr>
            </w:pPr>
            <w:r>
              <w:rPr>
                <w:rFonts w:ascii="宋体" w:hAnsi="宋体"/>
                <w:sz w:val="18"/>
                <w:szCs w:val="18"/>
              </w:rPr>
              <w:t>位。</w:t>
            </w:r>
          </w:p>
        </w:tc>
        <w:tc>
          <w:tcPr>
            <w:tcW w:w="1523" w:type="dxa"/>
            <w:noWrap w:val="0"/>
            <w:vAlign w:val="top"/>
          </w:tcPr>
          <w:p>
            <w:pPr>
              <w:snapToGrid w:val="0"/>
              <w:spacing w:line="440" w:lineRule="exact"/>
              <w:jc w:val="left"/>
              <w:rPr>
                <w:rFonts w:ascii="宋体" w:hAnsi="宋体"/>
                <w:sz w:val="18"/>
                <w:szCs w:val="18"/>
              </w:rPr>
            </w:pPr>
          </w:p>
        </w:tc>
      </w:tr>
      <w:tr>
        <w:tblPrEx>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药品包装规格系数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YPGGXS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1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若是药品， 必填。例如： 12 支/ 每盒中的12 ，是指每盒中有12支。这里的12是指当前包装中有12个药品规格字段中的装量单位“支”的数量。 对于医院自定义的包装，请提供自定义的包装中包含的最小装量单位的数量， 比如包装中包含有6支， 其值就为6。 </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发药数量</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YPSL</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8.3</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发药包装数量，可以是最小单位的总数量</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发药数量单位</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YPDW</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发药包装单位，可以是最小单位</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医嘱组号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YZZH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50</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410" w:type="dxa"/>
            <w:noWrap w:val="0"/>
            <w:vAlign w:val="top"/>
          </w:tcPr>
          <w:p>
            <w:pPr>
              <w:snapToGrid w:val="0"/>
              <w:spacing w:line="440" w:lineRule="exact"/>
              <w:jc w:val="left"/>
              <w:rPr>
                <w:rFonts w:ascii="宋体" w:hAnsi="宋体"/>
                <w:sz w:val="18"/>
                <w:szCs w:val="18"/>
              </w:rPr>
            </w:pP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产地名称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CDMC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1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生产企业 （或产地）名称 </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用药频次</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SYPC</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一时段内用药次数。如： 一日三次 。（详见说明7：</w:t>
            </w:r>
            <w:r>
              <w:rPr>
                <w:rFonts w:ascii="宋体" w:hAnsi="宋体"/>
                <w:sz w:val="18"/>
                <w:szCs w:val="18"/>
              </w:rPr>
              <w:t>CVX_FREQUENCY</w:t>
            </w:r>
            <w:r>
              <w:rPr>
                <w:rFonts w:hint="eastAsia" w:ascii="宋体" w:hAnsi="宋体"/>
                <w:sz w:val="18"/>
                <w:szCs w:val="18"/>
              </w:rPr>
              <w:t>）</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每次使用剂量</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JL</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8.3</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410" w:type="dxa"/>
            <w:noWrap w:val="0"/>
            <w:vAlign w:val="top"/>
          </w:tcPr>
          <w:p>
            <w:pPr>
              <w:snapToGrid w:val="0"/>
              <w:spacing w:line="440" w:lineRule="exact"/>
              <w:jc w:val="left"/>
              <w:rPr>
                <w:rFonts w:ascii="宋体" w:hAnsi="宋体"/>
                <w:sz w:val="18"/>
                <w:szCs w:val="18"/>
              </w:rPr>
            </w:pP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每次使用剂量单位</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DW</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详见说明8</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每次使用数量</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MCSL</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8.3</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410" w:type="dxa"/>
            <w:noWrap w:val="0"/>
            <w:vAlign w:val="top"/>
          </w:tcPr>
          <w:p>
            <w:pPr>
              <w:snapToGrid w:val="0"/>
              <w:spacing w:line="440" w:lineRule="exact"/>
              <w:jc w:val="left"/>
              <w:rPr>
                <w:rFonts w:ascii="宋体" w:hAnsi="宋体"/>
                <w:sz w:val="18"/>
                <w:szCs w:val="18"/>
              </w:rPr>
            </w:pP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每次使用数量单位</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MCDW</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6</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详见说明9</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药物使用总剂量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YWSYZJL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10" w:type="dxa"/>
            <w:noWrap w:val="0"/>
            <w:vAlign w:val="top"/>
          </w:tcPr>
          <w:p>
            <w:pPr>
              <w:snapToGrid w:val="0"/>
              <w:spacing w:line="440" w:lineRule="exact"/>
              <w:jc w:val="left"/>
              <w:rPr>
                <w:rFonts w:ascii="宋体" w:hAnsi="宋体"/>
                <w:sz w:val="18"/>
                <w:szCs w:val="18"/>
              </w:rPr>
            </w:pP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药物使用总剂量单位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YWSYZJLDW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16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10" w:type="dxa"/>
            <w:noWrap w:val="0"/>
            <w:vAlign w:val="top"/>
          </w:tcPr>
          <w:p>
            <w:pPr>
              <w:snapToGrid w:val="0"/>
              <w:spacing w:line="440" w:lineRule="exact"/>
              <w:jc w:val="left"/>
              <w:rPr>
                <w:rFonts w:ascii="宋体" w:hAnsi="宋体"/>
                <w:sz w:val="18"/>
                <w:szCs w:val="18"/>
              </w:rPr>
            </w:pP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用药途径代码</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4</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药品用法代码，CV5201.22 。说明(3)</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给药途径名称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TJMC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w:t>
            </w:r>
          </w:p>
          <w:p>
            <w:pPr>
              <w:snapToGrid w:val="0"/>
              <w:spacing w:line="440" w:lineRule="exact"/>
              <w:jc w:val="left"/>
              <w:rPr>
                <w:rFonts w:ascii="宋体" w:hAnsi="宋体"/>
                <w:sz w:val="18"/>
                <w:szCs w:val="18"/>
              </w:rPr>
            </w:pPr>
            <w:r>
              <w:rPr>
                <w:rFonts w:ascii="宋体" w:hAnsi="宋体"/>
                <w:sz w:val="18"/>
                <w:szCs w:val="18"/>
              </w:rPr>
              <w:t xml:space="preserve">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10" w:type="dxa"/>
            <w:noWrap w:val="0"/>
            <w:vAlign w:val="top"/>
          </w:tcPr>
          <w:p>
            <w:pPr>
              <w:snapToGrid w:val="0"/>
              <w:spacing w:line="440" w:lineRule="exact"/>
              <w:jc w:val="left"/>
              <w:rPr>
                <w:rFonts w:ascii="宋体" w:hAnsi="宋体"/>
                <w:sz w:val="18"/>
                <w:szCs w:val="18"/>
              </w:rPr>
            </w:pP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用药天数</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YYTS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8.3</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410" w:type="dxa"/>
            <w:noWrap w:val="0"/>
            <w:vAlign w:val="top"/>
          </w:tcPr>
          <w:p>
            <w:pPr>
              <w:snapToGrid w:val="0"/>
              <w:spacing w:line="440" w:lineRule="exact"/>
              <w:jc w:val="left"/>
              <w:rPr>
                <w:rFonts w:ascii="宋体" w:hAnsi="宋体"/>
                <w:sz w:val="18"/>
                <w:szCs w:val="18"/>
              </w:rPr>
            </w:pP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中药类别代码</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ZYLBDM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中药使用类别代码默认值为：1,（未使用）值 域 ： CV5301.05见说明(5)</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中药煎煮法代码</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JYDM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选</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按 卫 生 部CV5201.25 中药煎煮法代码填写。见说明（4）。</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皮试判别</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SFPS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1.是 ；0.否</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检查部位</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JCBW</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影像检查医 嘱，说明被检查的部位。</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抗菌药标志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KJYBZ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1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1.非限制使用，2.限制使用，3.特殊使用，4. 非抗菌药，9.其他 </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精神药物标志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JSYWBZ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1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1.精一，2. 精二，3.非精神用药，9.其他 </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麻醉药物标志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MZYBZ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见门诊说明3（ </w:t>
            </w:r>
            <w:r>
              <w:rPr>
                <w:rFonts w:ascii="宋体" w:hAnsi="宋体"/>
                <w:sz w:val="18"/>
                <w:szCs w:val="18"/>
              </w:rPr>
              <w:t xml:space="preserve">CVX_Rig ht） </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基本药物标志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JBYWBZ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1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1.国家基本药物，2.省增补基本药物，3.地市增补基本药物，4.区县增补基本药物，8.非基本药物 </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疫苗标志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YMBZ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见门诊说明3（ </w:t>
            </w:r>
            <w:r>
              <w:rPr>
                <w:rFonts w:ascii="宋体" w:hAnsi="宋体"/>
                <w:sz w:val="18"/>
                <w:szCs w:val="18"/>
              </w:rPr>
              <w:t xml:space="preserve">CVX_Rig ht） </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输液用药标志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SYYYBZ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见门诊说明3（ </w:t>
            </w:r>
            <w:r>
              <w:rPr>
                <w:rFonts w:ascii="宋体" w:hAnsi="宋体"/>
                <w:sz w:val="18"/>
                <w:szCs w:val="18"/>
              </w:rPr>
              <w:t xml:space="preserve">CVX_Rig ht） </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退药标志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TYBZ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见门诊说明3（ </w:t>
            </w:r>
            <w:r>
              <w:rPr>
                <w:rFonts w:ascii="宋体" w:hAnsi="宋体"/>
                <w:sz w:val="18"/>
                <w:szCs w:val="18"/>
              </w:rPr>
              <w:t xml:space="preserve">CVX_Rig ht） </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脚注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JZ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1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记录布包、先煎、后下 </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药品来源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YPLY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10" w:type="dxa"/>
            <w:noWrap w:val="0"/>
            <w:vAlign w:val="top"/>
          </w:tcPr>
          <w:p>
            <w:pPr>
              <w:snapToGrid w:val="0"/>
              <w:spacing w:line="440" w:lineRule="exact"/>
              <w:jc w:val="left"/>
              <w:rPr>
                <w:rFonts w:ascii="宋体" w:hAnsi="宋体"/>
                <w:sz w:val="18"/>
                <w:szCs w:val="18"/>
              </w:rPr>
            </w:pPr>
            <w:r>
              <w:rPr>
                <w:rFonts w:ascii="宋体" w:hAnsi="宋体"/>
                <w:sz w:val="18"/>
                <w:szCs w:val="18"/>
              </w:rPr>
              <w:t>字</w:t>
            </w:r>
            <w:r>
              <w:rPr>
                <w:rFonts w:ascii="宋体" w:hAnsi="宋体"/>
                <w:sz w:val="18"/>
                <w:szCs w:val="18"/>
              </w:rPr>
              <w:tab/>
            </w:r>
            <w:r>
              <w:rPr>
                <w:rFonts w:ascii="宋体" w:hAnsi="宋体"/>
                <w:sz w:val="18"/>
                <w:szCs w:val="18"/>
              </w:rPr>
              <w:t>典</w:t>
            </w:r>
            <w:r>
              <w:rPr>
                <w:rFonts w:ascii="宋体" w:hAnsi="宋体"/>
                <w:sz w:val="18"/>
                <w:szCs w:val="18"/>
              </w:rPr>
              <w:tab/>
            </w:r>
            <w:r>
              <w:rPr>
                <w:rFonts w:ascii="宋体" w:hAnsi="宋体"/>
                <w:sz w:val="18"/>
                <w:szCs w:val="18"/>
              </w:rPr>
              <w:t xml:space="preserve">： CVX_YPLY 1医院药品，2 自备药品 </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给药速度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GYSD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1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静脉输液药品滴注时间和速度的描述，如： 1 小时、20滴/ 分钟，需同时传入数字和单位，单位为小时或滴/分钟 </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限用时间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XYSJ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10" w:type="dxa"/>
            <w:noWrap w:val="0"/>
            <w:vAlign w:val="top"/>
          </w:tcPr>
          <w:p>
            <w:pPr>
              <w:snapToGrid w:val="0"/>
              <w:spacing w:line="440" w:lineRule="exact"/>
              <w:jc w:val="left"/>
              <w:rPr>
                <w:rFonts w:ascii="宋体" w:hAnsi="宋体"/>
                <w:sz w:val="18"/>
                <w:szCs w:val="18"/>
              </w:rPr>
            </w:pPr>
            <w:r>
              <w:rPr>
                <w:rFonts w:ascii="宋体" w:hAnsi="宋体"/>
                <w:sz w:val="18"/>
                <w:szCs w:val="18"/>
              </w:rPr>
              <w:t>静脉输液药品配制后使用时间的描</w:t>
            </w:r>
            <w:r>
              <w:rPr>
                <w:rFonts w:hint="eastAsia" w:ascii="宋体" w:hAnsi="宋体"/>
                <w:sz w:val="18"/>
                <w:szCs w:val="18"/>
              </w:rPr>
              <w:t>述，如：现配现用、立即使用、2h内使用等</w:t>
            </w:r>
          </w:p>
        </w:tc>
        <w:tc>
          <w:tcPr>
            <w:tcW w:w="1523"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用药方案ID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YYFAID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1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疾病治疗方案ID </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用药方案名称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YYFAMC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1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疾病治疗方案名称 </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药嘱目的</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YZMD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1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药嘱开具的目的，科室领药、带手术室等 </w:t>
            </w:r>
          </w:p>
        </w:tc>
        <w:tc>
          <w:tcPr>
            <w:tcW w:w="1523"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给药时机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GYSJ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1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药品给药时机，如：饭前、饭后、空腹等 </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项目单价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XMDJ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10" w:type="dxa"/>
            <w:noWrap w:val="0"/>
            <w:vAlign w:val="top"/>
          </w:tcPr>
          <w:p>
            <w:pPr>
              <w:snapToGrid w:val="0"/>
              <w:spacing w:line="440" w:lineRule="exact"/>
              <w:jc w:val="left"/>
              <w:rPr>
                <w:rFonts w:ascii="宋体" w:hAnsi="宋体"/>
                <w:sz w:val="18"/>
                <w:szCs w:val="18"/>
              </w:rPr>
            </w:pP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费用金额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FYJE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18，4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10" w:type="dxa"/>
            <w:noWrap w:val="0"/>
            <w:vAlign w:val="top"/>
          </w:tcPr>
          <w:p>
            <w:pPr>
              <w:snapToGrid w:val="0"/>
              <w:spacing w:line="440" w:lineRule="exact"/>
              <w:jc w:val="left"/>
              <w:rPr>
                <w:rFonts w:ascii="宋体" w:hAnsi="宋体"/>
                <w:sz w:val="18"/>
                <w:szCs w:val="18"/>
              </w:rPr>
            </w:pP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修改标志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XGBZ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整数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1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见患者信息表表说明4 </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主药标识</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ZYBS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区分分组显示中的主药 值域：1.是；0.否</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备注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1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本次处方备注信息 </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停止时间</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TYSJ</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8</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应填</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停止用药时间</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密级</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MJ</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同就诊记录表的相关说明</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预留一</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YLYL1</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c>
          <w:tcPr>
            <w:tcW w:w="1523"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预留二</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YLYL2</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241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c>
          <w:tcPr>
            <w:tcW w:w="1523" w:type="dxa"/>
            <w:noWrap w:val="0"/>
            <w:vAlign w:val="top"/>
          </w:tcPr>
          <w:p>
            <w:pPr>
              <w:snapToGrid w:val="0"/>
              <w:spacing w:line="440" w:lineRule="exact"/>
              <w:jc w:val="left"/>
              <w:rPr>
                <w:rFonts w:ascii="宋体" w:hAnsi="宋体"/>
                <w:sz w:val="18"/>
                <w:szCs w:val="18"/>
              </w:rPr>
            </w:pPr>
          </w:p>
        </w:tc>
      </w:tr>
    </w:tbl>
    <w:p>
      <w:pPr>
        <w:snapToGrid w:val="0"/>
        <w:spacing w:line="440" w:lineRule="exact"/>
        <w:jc w:val="left"/>
        <w:rPr>
          <w:rFonts w:ascii="宋体" w:hAnsi="宋体"/>
          <w:sz w:val="24"/>
        </w:rPr>
      </w:pPr>
      <w:r>
        <w:rPr>
          <w:rFonts w:hint="eastAsia" w:ascii="宋体" w:hAnsi="宋体"/>
          <w:sz w:val="24"/>
        </w:rPr>
        <w:t>2.1.2.6</w:t>
      </w:r>
      <w:r>
        <w:rPr>
          <w:rFonts w:ascii="宋体" w:hAnsi="宋体"/>
          <w:sz w:val="24"/>
        </w:rPr>
        <w:t>门诊收费明细表(TB_HIS_MZ_Fee_Detail)</w:t>
      </w:r>
    </w:p>
    <w:tbl>
      <w:tblPr>
        <w:tblStyle w:val="48"/>
        <w:tblW w:w="92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850"/>
        <w:gridCol w:w="992"/>
        <w:gridCol w:w="709"/>
        <w:gridCol w:w="851"/>
        <w:gridCol w:w="4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11" w:hRule="atLeast"/>
        </w:trPr>
        <w:tc>
          <w:tcPr>
            <w:tcW w:w="1560"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数据项</w:t>
            </w:r>
          </w:p>
        </w:tc>
        <w:tc>
          <w:tcPr>
            <w:tcW w:w="850"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字段名</w:t>
            </w:r>
          </w:p>
        </w:tc>
        <w:tc>
          <w:tcPr>
            <w:tcW w:w="992"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类型</w:t>
            </w:r>
          </w:p>
        </w:tc>
        <w:tc>
          <w:tcPr>
            <w:tcW w:w="709"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字节</w:t>
            </w:r>
          </w:p>
        </w:tc>
        <w:tc>
          <w:tcPr>
            <w:tcW w:w="85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填报要求</w:t>
            </w:r>
          </w:p>
        </w:tc>
        <w:tc>
          <w:tcPr>
            <w:tcW w:w="427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56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收费明细ID</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SFMXID</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7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复合主键；见说明（1）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4" w:hRule="atLeast"/>
        </w:trPr>
        <w:tc>
          <w:tcPr>
            <w:tcW w:w="156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退费标志</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XGBZ</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709"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7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复合主键；编码。1：收费；2：退费；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56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7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复合主键；卫生机构分类代码 22位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门诊就诊流水号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JZLSH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7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与门诊就诊记录表关联的外键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KH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71"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必须与患者基本信息关联，见前述“患</w:t>
            </w:r>
          </w:p>
          <w:p>
            <w:pPr>
              <w:snapToGrid w:val="0"/>
              <w:spacing w:line="440" w:lineRule="exact"/>
              <w:jc w:val="left"/>
              <w:rPr>
                <w:rFonts w:ascii="宋体" w:hAnsi="宋体"/>
                <w:sz w:val="18"/>
                <w:szCs w:val="18"/>
              </w:rPr>
            </w:pPr>
            <w:r>
              <w:rPr>
                <w:rFonts w:hint="eastAsia" w:ascii="宋体" w:hAnsi="宋体"/>
                <w:sz w:val="18"/>
                <w:szCs w:val="18"/>
              </w:rPr>
              <w:t>者信息表”的说明(1)以及相关说明。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2" w:hRule="atLeast"/>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卡类型</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KLX</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71" w:type="dxa"/>
            <w:vMerge w:val="continue"/>
            <w:tcBorders>
              <w:top w:val="nil"/>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处方号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CFIDH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271"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3" w:hRule="atLeast"/>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发票号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FPH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71"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明细费用类别</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MXFYLB</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7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见说明（2）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收费/退费时间</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STFSJ</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709"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71"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明细项目编码</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MXXMBM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7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编码。见明细项目字典表。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明细项目名称</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MXXMMC</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30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7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见明细项目字典表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明细项目单位</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MXXMDW</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7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见明细项目字典表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5" w:hRule="atLeast"/>
        </w:trPr>
        <w:tc>
          <w:tcPr>
            <w:tcW w:w="1560"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hint="eastAsia" w:ascii="宋体" w:hAnsi="宋体"/>
                <w:sz w:val="18"/>
                <w:szCs w:val="18"/>
              </w:rPr>
              <w:t>明细项目单价</w:t>
            </w:r>
          </w:p>
        </w:tc>
        <w:tc>
          <w:tcPr>
            <w:tcW w:w="850"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MXXMDJ</w:t>
            </w:r>
          </w:p>
        </w:tc>
        <w:tc>
          <w:tcPr>
            <w:tcW w:w="992"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hint="eastAsia" w:ascii="宋体" w:hAnsi="宋体"/>
                <w:sz w:val="18"/>
                <w:szCs w:val="18"/>
              </w:rPr>
              <w:t>数字</w:t>
            </w:r>
          </w:p>
        </w:tc>
        <w:tc>
          <w:tcPr>
            <w:tcW w:w="709"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8.3</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7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 明 细 项 目 字 典 表 ； 金 额 ；</w:t>
            </w:r>
          </w:p>
          <w:p>
            <w:pPr>
              <w:snapToGrid w:val="0"/>
              <w:spacing w:line="440" w:lineRule="exact"/>
              <w:jc w:val="left"/>
              <w:rPr>
                <w:rFonts w:ascii="宋体" w:hAnsi="宋体"/>
                <w:sz w:val="18"/>
                <w:szCs w:val="18"/>
              </w:rPr>
            </w:pPr>
            <w:r>
              <w:rPr>
                <w:rFonts w:ascii="宋体" w:hAnsi="宋体"/>
                <w:sz w:val="18"/>
                <w:szCs w:val="18"/>
              </w:rPr>
              <w:t>“0000000.000”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2" w:hRule="atLeast"/>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明细项目数量</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MXXMSL</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8.3</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71"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明细项目金额</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MXXMJE</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8.3</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7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金额；“0000000.000”，&gt;=0。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2" w:hRule="atLeast"/>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预留一</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YLYL1</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427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预留二</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YLYL2</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427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r>
    </w:tbl>
    <w:p>
      <w:pPr>
        <w:snapToGrid w:val="0"/>
        <w:spacing w:line="440" w:lineRule="exact"/>
        <w:jc w:val="left"/>
        <w:rPr>
          <w:rFonts w:ascii="宋体" w:hAnsi="宋体"/>
          <w:sz w:val="24"/>
        </w:rPr>
      </w:pPr>
      <w:r>
        <w:rPr>
          <w:rFonts w:hint="eastAsia" w:ascii="宋体" w:hAnsi="宋体"/>
          <w:sz w:val="24"/>
        </w:rPr>
        <w:t>2.1.2.7</w:t>
      </w:r>
      <w:r>
        <w:rPr>
          <w:rFonts w:ascii="宋体" w:hAnsi="宋体"/>
          <w:sz w:val="24"/>
        </w:rPr>
        <w:t>预约记录表（TB_YL_MZ_RESERVATION）</w:t>
      </w:r>
    </w:p>
    <w:tbl>
      <w:tblPr>
        <w:tblStyle w:val="48"/>
        <w:tblW w:w="92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1134"/>
        <w:gridCol w:w="851"/>
        <w:gridCol w:w="709"/>
        <w:gridCol w:w="850"/>
        <w:gridCol w:w="3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数据项</w:t>
            </w:r>
          </w:p>
        </w:tc>
        <w:tc>
          <w:tcPr>
            <w:tcW w:w="1134"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字段名</w:t>
            </w:r>
          </w:p>
        </w:tc>
        <w:tc>
          <w:tcPr>
            <w:tcW w:w="85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类型</w:t>
            </w:r>
          </w:p>
        </w:tc>
        <w:tc>
          <w:tcPr>
            <w:tcW w:w="709"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字节</w:t>
            </w:r>
          </w:p>
        </w:tc>
        <w:tc>
          <w:tcPr>
            <w:tcW w:w="850"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填报要求</w:t>
            </w:r>
          </w:p>
        </w:tc>
        <w:tc>
          <w:tcPr>
            <w:tcW w:w="3988"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c>
          <w:tcPr>
            <w:tcW w:w="1134"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988"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复合主键；卫生机构分类代码 22位（本院）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预约日期</w:t>
            </w:r>
          </w:p>
        </w:tc>
        <w:tc>
          <w:tcPr>
            <w:tcW w:w="1134"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YYRQ</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Date</w:t>
            </w:r>
          </w:p>
        </w:tc>
        <w:tc>
          <w:tcPr>
            <w:tcW w:w="709" w:type="dxa"/>
            <w:shd w:val="clear" w:color="auto" w:fill="FAD3B4"/>
            <w:noWrap w:val="0"/>
            <w:vAlign w:val="top"/>
          </w:tcPr>
          <w:p>
            <w:pPr>
              <w:snapToGrid w:val="0"/>
              <w:spacing w:line="440" w:lineRule="exact"/>
              <w:jc w:val="left"/>
              <w:rPr>
                <w:rFonts w:ascii="宋体" w:hAnsi="宋体"/>
                <w:sz w:val="18"/>
                <w:szCs w:val="18"/>
              </w:rPr>
            </w:pPr>
          </w:p>
        </w:tc>
        <w:tc>
          <w:tcPr>
            <w:tcW w:w="8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988"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预约时段</w:t>
            </w:r>
          </w:p>
        </w:tc>
        <w:tc>
          <w:tcPr>
            <w:tcW w:w="1134"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Yysd</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988"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预约单号</w:t>
            </w:r>
          </w:p>
        </w:tc>
        <w:tc>
          <w:tcPr>
            <w:tcW w:w="1134"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GHDH</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988"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复合主键；医院预约唯一单号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证件号码</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ZJHM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18</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398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证件类型</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ZJLX</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398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参考患者信息表说明3（默认01：身份证）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患者姓名</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HZXM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398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性别编码</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XBBM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3988"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参考字典：</w:t>
            </w:r>
            <w:r>
              <w:rPr>
                <w:rFonts w:ascii="宋体" w:hAnsi="宋体"/>
                <w:sz w:val="18"/>
                <w:szCs w:val="18"/>
              </w:rPr>
              <w:t>GB_T2261_1_2003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性别</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XB</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6</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3988" w:type="dxa"/>
            <w:vMerge w:val="continue"/>
            <w:tcBorders>
              <w:top w:val="nil"/>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卡号</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KH</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3988"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参考患者信息表说明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卡类型</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KLX</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3988" w:type="dxa"/>
            <w:vMerge w:val="continue"/>
            <w:tcBorders>
              <w:top w:val="nil"/>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联系手机号码</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SJHM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11</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398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预约方式</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YYFS</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3988" w:type="dxa"/>
            <w:noWrap w:val="0"/>
            <w:vAlign w:val="top"/>
          </w:tcPr>
          <w:p>
            <w:pPr>
              <w:snapToGrid w:val="0"/>
              <w:spacing w:line="440" w:lineRule="exact"/>
              <w:jc w:val="left"/>
              <w:rPr>
                <w:rFonts w:ascii="宋体" w:hAnsi="宋体"/>
                <w:sz w:val="18"/>
                <w:szCs w:val="18"/>
              </w:rPr>
            </w:pPr>
            <w:r>
              <w:rPr>
                <w:rFonts w:hint="eastAsia" w:ascii="宋体" w:hAnsi="宋体"/>
                <w:sz w:val="18"/>
                <w:szCs w:val="18"/>
              </w:rPr>
              <w:t>1.绍兴市平台预约，2.自助机预约，3.窗口预约，4.电话预约，5.诊间预约，6。医院微信公众号预约，9.其他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预约医院代码</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Yydm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398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预约科室名称</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KSDM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12</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398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预约医院科室</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KSMC</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50</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398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预约类别</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YYLB</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3988" w:type="dxa"/>
            <w:noWrap w:val="0"/>
            <w:vAlign w:val="top"/>
          </w:tcPr>
          <w:p>
            <w:pPr>
              <w:snapToGrid w:val="0"/>
              <w:spacing w:line="440" w:lineRule="exact"/>
              <w:jc w:val="left"/>
              <w:rPr>
                <w:rFonts w:ascii="宋体" w:hAnsi="宋体"/>
                <w:sz w:val="18"/>
                <w:szCs w:val="18"/>
              </w:rPr>
            </w:pPr>
            <w:r>
              <w:rPr>
                <w:rFonts w:hint="eastAsia" w:ascii="宋体" w:hAnsi="宋体"/>
                <w:sz w:val="18"/>
                <w:szCs w:val="18"/>
              </w:rPr>
              <w:t>1.专家，2.普通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预约医生工号</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YSGH</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12</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3988"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预约类别为（专家）时必填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预约医生姓名</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YSXM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50</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3988" w:type="dxa"/>
            <w:vMerge w:val="continue"/>
            <w:tcBorders>
              <w:top w:val="nil"/>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预约下单时间</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XDSJ</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Date</w:t>
            </w:r>
          </w:p>
        </w:tc>
        <w:tc>
          <w:tcPr>
            <w:tcW w:w="709" w:type="dxa"/>
            <w:noWrap w:val="0"/>
            <w:vAlign w:val="top"/>
          </w:tcPr>
          <w:p>
            <w:pPr>
              <w:snapToGrid w:val="0"/>
              <w:spacing w:line="440" w:lineRule="exact"/>
              <w:jc w:val="left"/>
              <w:rPr>
                <w:rFonts w:ascii="宋体" w:hAnsi="宋体"/>
                <w:sz w:val="18"/>
                <w:szCs w:val="18"/>
              </w:rPr>
            </w:pP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398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预约状态</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YYZT</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3988" w:type="dxa"/>
            <w:noWrap w:val="0"/>
            <w:vAlign w:val="top"/>
          </w:tcPr>
          <w:p>
            <w:pPr>
              <w:snapToGrid w:val="0"/>
              <w:spacing w:line="440" w:lineRule="exact"/>
              <w:jc w:val="left"/>
              <w:rPr>
                <w:rFonts w:ascii="宋体" w:hAnsi="宋体"/>
                <w:sz w:val="18"/>
                <w:szCs w:val="18"/>
              </w:rPr>
            </w:pPr>
            <w:r>
              <w:rPr>
                <w:rFonts w:hint="eastAsia" w:ascii="宋体" w:hAnsi="宋体"/>
                <w:sz w:val="18"/>
                <w:szCs w:val="18"/>
              </w:rPr>
              <w:t>T.正常 F.取消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取消时间</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QXSJ</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Date</w:t>
            </w:r>
          </w:p>
        </w:tc>
        <w:tc>
          <w:tcPr>
            <w:tcW w:w="709" w:type="dxa"/>
            <w:noWrap w:val="0"/>
            <w:vAlign w:val="top"/>
          </w:tcPr>
          <w:p>
            <w:pPr>
              <w:snapToGrid w:val="0"/>
              <w:spacing w:line="440" w:lineRule="exact"/>
              <w:jc w:val="left"/>
              <w:rPr>
                <w:rFonts w:ascii="宋体" w:hAnsi="宋体"/>
                <w:sz w:val="18"/>
                <w:szCs w:val="18"/>
              </w:rPr>
            </w:pP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398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取消状态为 F 时必填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预约科室停诊状态</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TZZT</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3988" w:type="dxa"/>
            <w:noWrap w:val="0"/>
            <w:vAlign w:val="top"/>
          </w:tcPr>
          <w:p>
            <w:pPr>
              <w:snapToGrid w:val="0"/>
              <w:spacing w:line="440" w:lineRule="exact"/>
              <w:jc w:val="left"/>
              <w:rPr>
                <w:rFonts w:ascii="宋体" w:hAnsi="宋体"/>
                <w:sz w:val="18"/>
                <w:szCs w:val="18"/>
              </w:rPr>
            </w:pPr>
            <w:r>
              <w:rPr>
                <w:rFonts w:hint="eastAsia" w:ascii="宋体" w:hAnsi="宋体"/>
                <w:sz w:val="18"/>
                <w:szCs w:val="18"/>
              </w:rPr>
              <w:t>T.正常 F.停诊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停诊时间</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TZSJ</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Date</w:t>
            </w:r>
          </w:p>
        </w:tc>
        <w:tc>
          <w:tcPr>
            <w:tcW w:w="709" w:type="dxa"/>
            <w:noWrap w:val="0"/>
            <w:vAlign w:val="top"/>
          </w:tcPr>
          <w:p>
            <w:pPr>
              <w:snapToGrid w:val="0"/>
              <w:spacing w:line="440" w:lineRule="exact"/>
              <w:jc w:val="left"/>
              <w:rPr>
                <w:rFonts w:ascii="宋体" w:hAnsi="宋体"/>
                <w:sz w:val="18"/>
                <w:szCs w:val="18"/>
              </w:rPr>
            </w:pP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398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停诊状态为 F 时必填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转诊医院代码</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ZZYYDM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3988"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转诊预约必填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转诊医院名称</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ZZYYMC</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3988" w:type="dxa"/>
            <w:vMerge w:val="continue"/>
            <w:tcBorders>
              <w:top w:val="nil"/>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转诊医生工号</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ZZYSGH</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3988" w:type="dxa"/>
            <w:vMerge w:val="continue"/>
            <w:tcBorders>
              <w:top w:val="nil"/>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转诊医生姓名</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ZZYSXM</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3988" w:type="dxa"/>
            <w:vMerge w:val="continue"/>
            <w:tcBorders>
              <w:top w:val="nil"/>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转诊诊断名称</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ZZZDMC</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1000</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3988" w:type="dxa"/>
            <w:noWrap w:val="0"/>
            <w:vAlign w:val="top"/>
          </w:tcPr>
          <w:p>
            <w:pPr>
              <w:snapToGrid w:val="0"/>
              <w:spacing w:line="440" w:lineRule="exact"/>
              <w:jc w:val="left"/>
              <w:rPr>
                <w:rFonts w:ascii="宋体" w:hAnsi="宋体"/>
                <w:sz w:val="18"/>
                <w:szCs w:val="18"/>
              </w:rPr>
            </w:pPr>
          </w:p>
        </w:tc>
      </w:tr>
    </w:tbl>
    <w:p>
      <w:pPr>
        <w:snapToGrid w:val="0"/>
        <w:spacing w:line="440" w:lineRule="exact"/>
        <w:jc w:val="left"/>
        <w:rPr>
          <w:rFonts w:ascii="宋体" w:hAnsi="宋体"/>
          <w:sz w:val="24"/>
        </w:rPr>
      </w:pPr>
      <w:r>
        <w:rPr>
          <w:rFonts w:hint="eastAsia" w:ascii="宋体" w:hAnsi="宋体"/>
          <w:sz w:val="24"/>
        </w:rPr>
        <w:t>2.1.3</w:t>
      </w:r>
      <w:r>
        <w:rPr>
          <w:rFonts w:ascii="宋体" w:hAnsi="宋体"/>
          <w:sz w:val="24"/>
        </w:rPr>
        <w:t>住院就诊信息</w:t>
      </w:r>
    </w:p>
    <w:p>
      <w:pPr>
        <w:snapToGrid w:val="0"/>
        <w:spacing w:line="440" w:lineRule="exact"/>
        <w:ind w:firstLine="480" w:firstLineChars="200"/>
        <w:jc w:val="left"/>
        <w:rPr>
          <w:rFonts w:ascii="宋体" w:hAnsi="宋体"/>
          <w:sz w:val="24"/>
        </w:rPr>
      </w:pPr>
      <w:r>
        <w:rPr>
          <w:rFonts w:hint="eastAsia" w:ascii="宋体" w:hAnsi="宋体"/>
          <w:sz w:val="24"/>
        </w:rPr>
        <w:t xml:space="preserve">患者住院就诊信息采集的属性数据包括下述三张数据表：《住院就诊记录表》、《住院医嘱明细表》、《住院收费明细表》。上述三个表的关联关系如下图： </w:t>
      </w:r>
    </w:p>
    <w:p>
      <w:pPr>
        <w:snapToGrid w:val="0"/>
        <w:spacing w:line="440" w:lineRule="exact"/>
        <w:jc w:val="left"/>
        <w:rPr>
          <w:rFonts w:ascii="宋体" w:hAnsi="宋体"/>
          <w:sz w:val="24"/>
        </w:rPr>
      </w:pPr>
      <w:r>
        <w:rPr>
          <w:rFonts w:ascii="宋体" w:hAnsi="宋体"/>
          <w:sz w:val="24"/>
        </w:rPr>
        <w:drawing>
          <wp:anchor distT="0" distB="0" distL="0" distR="0" simplePos="0" relativeHeight="251659264" behindDoc="0" locked="0" layoutInCell="1" allowOverlap="1">
            <wp:simplePos x="0" y="0"/>
            <wp:positionH relativeFrom="page">
              <wp:posOffset>1116330</wp:posOffset>
            </wp:positionH>
            <wp:positionV relativeFrom="paragraph">
              <wp:posOffset>15875</wp:posOffset>
            </wp:positionV>
            <wp:extent cx="5415915" cy="1632585"/>
            <wp:effectExtent l="0" t="0" r="9525" b="13335"/>
            <wp:wrapSquare wrapText="bothSides"/>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pic:cNvPicPr>
                      <a:picLocks noChangeAspect="1"/>
                    </pic:cNvPicPr>
                  </pic:nvPicPr>
                  <pic:blipFill>
                    <a:blip r:embed="rId10"/>
                    <a:stretch>
                      <a:fillRect/>
                    </a:stretch>
                  </pic:blipFill>
                  <pic:spPr>
                    <a:xfrm>
                      <a:off x="0" y="0"/>
                      <a:ext cx="5415915" cy="1632585"/>
                    </a:xfrm>
                    <a:prstGeom prst="rect">
                      <a:avLst/>
                    </a:prstGeom>
                    <a:noFill/>
                    <a:ln>
                      <a:noFill/>
                    </a:ln>
                  </pic:spPr>
                </pic:pic>
              </a:graphicData>
            </a:graphic>
          </wp:anchor>
        </w:drawing>
      </w:r>
      <w:r>
        <w:rPr>
          <w:rFonts w:hint="eastAsia" w:ascii="宋体" w:hAnsi="宋体"/>
          <w:sz w:val="24"/>
        </w:rPr>
        <w:t>《住院就诊记录表》是主表，患者的一次住院应生成且仅生成住院就诊记录表的一条记录。医嘱明细由《住院医嘱明细表》描述，一次就诊应具有一条以至多条医嘱明细。一次就诊过程中发生的所有费用由《住院收费明细表》描述。该表根据收费细项进行罗列。必须保证此图所示各表之间的唯一关联性。</w:t>
      </w:r>
    </w:p>
    <w:p>
      <w:pPr>
        <w:snapToGrid w:val="0"/>
        <w:spacing w:line="440" w:lineRule="exact"/>
        <w:jc w:val="left"/>
        <w:rPr>
          <w:rFonts w:ascii="宋体" w:hAnsi="宋体"/>
          <w:sz w:val="24"/>
        </w:rPr>
      </w:pPr>
      <w:r>
        <w:rPr>
          <w:rFonts w:hint="eastAsia" w:ascii="宋体" w:hAnsi="宋体"/>
          <w:sz w:val="24"/>
        </w:rPr>
        <w:t>2.1.3.1</w:t>
      </w:r>
      <w:r>
        <w:rPr>
          <w:rFonts w:ascii="宋体" w:hAnsi="宋体"/>
          <w:sz w:val="24"/>
        </w:rPr>
        <w:t>入院登记表（TB_HIS_ZY_Adm_Reg）</w:t>
      </w:r>
    </w:p>
    <w:tbl>
      <w:tblPr>
        <w:tblStyle w:val="48"/>
        <w:tblW w:w="92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992"/>
        <w:gridCol w:w="992"/>
        <w:gridCol w:w="567"/>
        <w:gridCol w:w="851"/>
        <w:gridCol w:w="2471"/>
        <w:gridCol w:w="1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数据项</w:t>
            </w:r>
          </w:p>
        </w:tc>
        <w:tc>
          <w:tcPr>
            <w:tcW w:w="992"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字段名</w:t>
            </w:r>
          </w:p>
        </w:tc>
        <w:tc>
          <w:tcPr>
            <w:tcW w:w="992"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数据类型</w:t>
            </w:r>
          </w:p>
        </w:tc>
        <w:tc>
          <w:tcPr>
            <w:tcW w:w="567"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长度</w:t>
            </w:r>
          </w:p>
        </w:tc>
        <w:tc>
          <w:tcPr>
            <w:tcW w:w="851"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填报要求</w:t>
            </w:r>
          </w:p>
        </w:tc>
        <w:tc>
          <w:tcPr>
            <w:tcW w:w="2471"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说明</w:t>
            </w:r>
          </w:p>
        </w:tc>
        <w:tc>
          <w:tcPr>
            <w:tcW w:w="1977"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数据集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医疗机构代码 </w:t>
            </w:r>
          </w:p>
        </w:tc>
        <w:tc>
          <w:tcPr>
            <w:tcW w:w="992"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YLJGDM </w:t>
            </w:r>
          </w:p>
        </w:tc>
        <w:tc>
          <w:tcPr>
            <w:tcW w:w="992"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22 </w:t>
            </w:r>
          </w:p>
        </w:tc>
        <w:tc>
          <w:tcPr>
            <w:tcW w:w="851"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22 位医疗机构执业许可证登记号 </w:t>
            </w:r>
          </w:p>
        </w:tc>
        <w:tc>
          <w:tcPr>
            <w:tcW w:w="1977" w:type="dxa"/>
            <w:shd w:val="clear" w:color="auto" w:fill="F9BE8F"/>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院区ID </w:t>
            </w:r>
          </w:p>
        </w:tc>
        <w:tc>
          <w:tcPr>
            <w:tcW w:w="992"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YQID </w:t>
            </w:r>
          </w:p>
        </w:tc>
        <w:tc>
          <w:tcPr>
            <w:tcW w:w="992"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本院传00，分院按实际传 </w:t>
            </w:r>
          </w:p>
        </w:tc>
        <w:tc>
          <w:tcPr>
            <w:tcW w:w="1977" w:type="dxa"/>
            <w:shd w:val="clear" w:color="auto" w:fill="F9BE8F"/>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院区名称 </w:t>
            </w:r>
          </w:p>
        </w:tc>
        <w:tc>
          <w:tcPr>
            <w:tcW w:w="992"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JGYQMC </w:t>
            </w:r>
          </w:p>
        </w:tc>
        <w:tc>
          <w:tcPr>
            <w:tcW w:w="992"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shd w:val="clear" w:color="auto" w:fill="F9BE8F"/>
            <w:noWrap w:val="0"/>
            <w:vAlign w:val="top"/>
          </w:tcPr>
          <w:p>
            <w:pPr>
              <w:snapToGrid w:val="0"/>
              <w:spacing w:line="440" w:lineRule="exact"/>
              <w:jc w:val="left"/>
              <w:rPr>
                <w:rFonts w:ascii="宋体" w:hAnsi="宋体"/>
                <w:sz w:val="18"/>
                <w:szCs w:val="18"/>
              </w:rPr>
            </w:pPr>
          </w:p>
        </w:tc>
        <w:tc>
          <w:tcPr>
            <w:tcW w:w="1977" w:type="dxa"/>
            <w:shd w:val="clear" w:color="auto" w:fill="F9BE8F"/>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卡号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必须与患者基本信息关联， 见前述“患者信息表” 的说明 (1) 以及相关说明。</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卡类型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KLX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vMerge w:val="continue"/>
            <w:tcBorders>
              <w:top w:val="nil"/>
            </w:tcBorders>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姓名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个体在公安管理部门正式登记注册的姓氏和名称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性别代码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XBDM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r>
              <w:rPr>
                <w:rFonts w:ascii="宋体" w:hAnsi="宋体"/>
                <w:sz w:val="18"/>
                <w:szCs w:val="18"/>
              </w:rPr>
              <w:t>字</w:t>
            </w:r>
            <w:r>
              <w:rPr>
                <w:rFonts w:ascii="宋体" w:hAnsi="宋体"/>
                <w:sz w:val="18"/>
                <w:szCs w:val="18"/>
              </w:rPr>
              <w:tab/>
            </w:r>
            <w:r>
              <w:rPr>
                <w:rFonts w:ascii="宋体" w:hAnsi="宋体"/>
                <w:sz w:val="18"/>
                <w:szCs w:val="18"/>
              </w:rPr>
              <w:t>典</w:t>
            </w:r>
            <w:r>
              <w:rPr>
                <w:rFonts w:ascii="宋体" w:hAnsi="宋体"/>
                <w:sz w:val="18"/>
                <w:szCs w:val="18"/>
              </w:rPr>
              <w:tab/>
            </w:r>
            <w:r>
              <w:rPr>
                <w:rFonts w:ascii="宋体" w:hAnsi="宋体"/>
                <w:sz w:val="18"/>
                <w:szCs w:val="18"/>
              </w:rPr>
              <w:t xml:space="preserve">： GB_T2261_1_2003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性别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XB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医院本地 中文性别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年龄（岁）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NLS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年龄（月）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NLY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年龄（日）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NLR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年龄（小时）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NLXS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科室名称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KSMC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vMerge w:val="restart"/>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p>
        </w:tc>
        <w:tc>
          <w:tcPr>
            <w:tcW w:w="1977" w:type="dxa"/>
            <w:vMerge w:val="restart"/>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 xml:space="preserve">院内科室信息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科室编码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KSBM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vMerge w:val="continue"/>
            <w:tcBorders>
              <w:top w:val="nil"/>
            </w:tcBorders>
            <w:noWrap w:val="0"/>
            <w:vAlign w:val="top"/>
          </w:tcPr>
          <w:p>
            <w:pPr>
              <w:snapToGrid w:val="0"/>
              <w:spacing w:line="440" w:lineRule="exact"/>
              <w:jc w:val="left"/>
              <w:rPr>
                <w:rFonts w:ascii="宋体" w:hAnsi="宋体"/>
                <w:sz w:val="18"/>
                <w:szCs w:val="18"/>
              </w:rPr>
            </w:pPr>
          </w:p>
        </w:tc>
        <w:tc>
          <w:tcPr>
            <w:tcW w:w="1977" w:type="dxa"/>
            <w:vMerge w:val="continue"/>
            <w:tcBorders>
              <w:top w:val="nil"/>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住院类别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ZYLB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急诊观察，2.普通住院， 3. 特需住院， 4.家床，9.其他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住院类别名称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ZYLBM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医院本地住院类别 名称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病区名称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BQMC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床位号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BCH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病房号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BFH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转诊转入标志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ZZBZ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1.转入，2.转出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就诊流水号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JZLSH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医院门诊/住院顺序号，医疗机构内部唯一编号</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病案号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BZBAH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18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婚姻状况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HYZK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r>
              <w:rPr>
                <w:rFonts w:ascii="宋体" w:hAnsi="宋体"/>
                <w:sz w:val="18"/>
                <w:szCs w:val="18"/>
              </w:rPr>
              <w:t>字</w:t>
            </w:r>
            <w:r>
              <w:rPr>
                <w:rFonts w:ascii="宋体" w:hAnsi="宋体"/>
                <w:sz w:val="18"/>
                <w:szCs w:val="18"/>
              </w:rPr>
              <w:tab/>
            </w:r>
            <w:r>
              <w:rPr>
                <w:rFonts w:ascii="宋体" w:hAnsi="宋体"/>
                <w:sz w:val="18"/>
                <w:szCs w:val="18"/>
              </w:rPr>
              <w:t>典</w:t>
            </w:r>
            <w:r>
              <w:rPr>
                <w:rFonts w:ascii="宋体" w:hAnsi="宋体"/>
                <w:sz w:val="18"/>
                <w:szCs w:val="18"/>
              </w:rPr>
              <w:tab/>
            </w:r>
            <w:r>
              <w:rPr>
                <w:rFonts w:ascii="宋体" w:hAnsi="宋体"/>
                <w:sz w:val="18"/>
                <w:szCs w:val="18"/>
              </w:rPr>
              <w:t xml:space="preserve">：GB_4766-1984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民族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r>
              <w:rPr>
                <w:rFonts w:ascii="宋体" w:hAnsi="宋体"/>
                <w:sz w:val="18"/>
                <w:szCs w:val="18"/>
              </w:rPr>
              <w:t>值</w:t>
            </w:r>
            <w:r>
              <w:rPr>
                <w:rFonts w:ascii="宋体" w:hAnsi="宋体"/>
                <w:sz w:val="18"/>
                <w:szCs w:val="18"/>
              </w:rPr>
              <w:tab/>
            </w:r>
            <w:r>
              <w:rPr>
                <w:rFonts w:ascii="宋体" w:hAnsi="宋体"/>
                <w:sz w:val="18"/>
                <w:szCs w:val="18"/>
              </w:rPr>
              <w:t>域</w:t>
            </w:r>
            <w:r>
              <w:rPr>
                <w:rFonts w:ascii="宋体" w:hAnsi="宋体"/>
                <w:sz w:val="18"/>
                <w:szCs w:val="18"/>
              </w:rPr>
              <w:tab/>
            </w:r>
            <w:r>
              <w:rPr>
                <w:rFonts w:ascii="宋体" w:hAnsi="宋体"/>
                <w:sz w:val="18"/>
                <w:szCs w:val="18"/>
              </w:rPr>
              <w:t xml:space="preserve">：GB_T3304_1991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职业类别代码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ZYLBDM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 典 ： GB/T 2261_4-2003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病史陈述者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BZBSCSZ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陈述者与患者</w:t>
            </w:r>
          </w:p>
          <w:p>
            <w:pPr>
              <w:snapToGrid w:val="0"/>
              <w:spacing w:line="440" w:lineRule="exact"/>
              <w:jc w:val="left"/>
              <w:rPr>
                <w:rFonts w:ascii="宋体" w:hAnsi="宋体"/>
                <w:sz w:val="18"/>
                <w:szCs w:val="18"/>
              </w:rPr>
            </w:pPr>
            <w:r>
              <w:rPr>
                <w:rFonts w:ascii="宋体" w:hAnsi="宋体"/>
                <w:sz w:val="18"/>
                <w:szCs w:val="18"/>
              </w:rPr>
              <w:t xml:space="preserve">的关系代码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CSZYHZDG</w:t>
            </w:r>
          </w:p>
          <w:p>
            <w:pPr>
              <w:snapToGrid w:val="0"/>
              <w:spacing w:line="440" w:lineRule="exact"/>
              <w:jc w:val="left"/>
              <w:rPr>
                <w:rFonts w:ascii="宋体" w:hAnsi="宋体"/>
                <w:sz w:val="18"/>
                <w:szCs w:val="18"/>
              </w:rPr>
            </w:pPr>
            <w:r>
              <w:rPr>
                <w:rFonts w:ascii="宋体" w:hAnsi="宋体"/>
                <w:sz w:val="18"/>
                <w:szCs w:val="18"/>
              </w:rPr>
              <w:t xml:space="preserve">XDM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r>
              <w:rPr>
                <w:rFonts w:ascii="宋体" w:hAnsi="宋体"/>
                <w:sz w:val="18"/>
                <w:szCs w:val="18"/>
              </w:rPr>
              <w:t>字</w:t>
            </w:r>
            <w:r>
              <w:rPr>
                <w:rFonts w:ascii="宋体" w:hAnsi="宋体"/>
                <w:sz w:val="18"/>
                <w:szCs w:val="18"/>
              </w:rPr>
              <w:tab/>
            </w:r>
            <w:r>
              <w:rPr>
                <w:rFonts w:ascii="宋体" w:hAnsi="宋体"/>
                <w:sz w:val="18"/>
                <w:szCs w:val="18"/>
              </w:rPr>
              <w:t>典</w:t>
            </w:r>
            <w:r>
              <w:rPr>
                <w:rFonts w:ascii="宋体" w:hAnsi="宋体"/>
                <w:sz w:val="18"/>
                <w:szCs w:val="18"/>
              </w:rPr>
              <w:tab/>
            </w:r>
            <w:r>
              <w:rPr>
                <w:rFonts w:ascii="宋体" w:hAnsi="宋体"/>
                <w:sz w:val="18"/>
                <w:szCs w:val="18"/>
              </w:rPr>
              <w:t>：</w:t>
            </w:r>
          </w:p>
          <w:p>
            <w:pPr>
              <w:snapToGrid w:val="0"/>
              <w:spacing w:line="440" w:lineRule="exact"/>
              <w:jc w:val="left"/>
              <w:rPr>
                <w:rFonts w:ascii="宋体" w:hAnsi="宋体"/>
                <w:sz w:val="18"/>
                <w:szCs w:val="18"/>
              </w:rPr>
            </w:pPr>
            <w:r>
              <w:rPr>
                <w:rFonts w:ascii="宋体" w:hAnsi="宋体"/>
                <w:sz w:val="18"/>
                <w:szCs w:val="18"/>
              </w:rPr>
              <w:t xml:space="preserve">GB/T4761-2008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陈述内容可靠标志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CSNRKKBZ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见门诊说明3（</w:t>
            </w:r>
            <w:r>
              <w:rPr>
                <w:rFonts w:ascii="宋体" w:hAnsi="宋体"/>
                <w:sz w:val="18"/>
                <w:szCs w:val="18"/>
              </w:rPr>
              <w:t>CVX_Right）</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一般健康状况标志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YBJKZKBZ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见门诊说明3（</w:t>
            </w:r>
            <w:r>
              <w:rPr>
                <w:rFonts w:ascii="宋体" w:hAnsi="宋体"/>
                <w:sz w:val="18"/>
                <w:szCs w:val="18"/>
              </w:rPr>
              <w:t>CVX_Right）</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主诉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BZZS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100</w:t>
            </w:r>
          </w:p>
          <w:p>
            <w:pPr>
              <w:snapToGrid w:val="0"/>
              <w:spacing w:line="440" w:lineRule="exact"/>
              <w:jc w:val="left"/>
              <w:rPr>
                <w:rFonts w:ascii="宋体" w:hAnsi="宋体"/>
                <w:sz w:val="18"/>
                <w:szCs w:val="18"/>
              </w:rPr>
            </w:pPr>
            <w:r>
              <w:rPr>
                <w:rFonts w:ascii="宋体" w:hAnsi="宋体"/>
                <w:sz w:val="18"/>
                <w:szCs w:val="18"/>
              </w:rPr>
              <w:t xml:space="preserve">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现病史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BZXBS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目前所患疾病情况的描述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既往史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BZJWS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4000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既往健康状况和疾病的简要描述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个人史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BZGRS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个人史观察项目结果的详细描述，包括定性描述、分类代码和物理量, 患者是否吸烟,嗜酒结果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婚育史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BZHYS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生育史观 察项目结果的详细描述，包括定性描述、分类代码和物理量, 入院患者生育史观察项目结果</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家族史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BZJZS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家族史观察项目结果的详细描述,入院患者评估记录中的家族史观察结果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系统回顾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BZXTHG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个人入院前的历史记录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喂养史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BZWYS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喂养史观察项目结果的详细描述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出生史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BZCSS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出生史观察项目结果的详细描述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月经史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BZYJS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月经史观察项目结果的详细描述，包括定性描述、分类代码和物理量, 入院患者月经史观察结果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过敏史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GMS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患者传染性标志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HZCRXBZ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见门诊说明3（ </w:t>
            </w:r>
            <w:r>
              <w:rPr>
                <w:rFonts w:ascii="宋体" w:hAnsi="宋体"/>
                <w:sz w:val="18"/>
                <w:szCs w:val="18"/>
              </w:rPr>
              <w:t xml:space="preserve">CVX_Right）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疾病史( 含外伤）</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JBSHWS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1000</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手术史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SSS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输血史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SXS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预防接种史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YFJZS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病史摘要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BZBSZY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对患者过往病史的说明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初步诊断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BZCBZD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修正诊断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BZXZZD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初步诊断-西医诊断编码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CBXYZDDM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填写格式： 诊断编码+ 诊断顺位。ICD-10，多个以“;” 间隔。示例 ：I77.1+1; I77.2+2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初步诊断-西医诊断名称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CBXYZDMC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512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初步诊断-中医病名代码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CBZYBMDM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字典：GB/T 15657-199</w:t>
            </w:r>
          </w:p>
          <w:p>
            <w:pPr>
              <w:snapToGrid w:val="0"/>
              <w:spacing w:line="440" w:lineRule="exact"/>
              <w:jc w:val="left"/>
              <w:rPr>
                <w:rFonts w:ascii="宋体" w:hAnsi="宋体"/>
                <w:sz w:val="18"/>
                <w:szCs w:val="18"/>
              </w:rPr>
            </w:pPr>
            <w:r>
              <w:rPr>
                <w:rFonts w:ascii="宋体" w:hAnsi="宋体"/>
                <w:sz w:val="18"/>
                <w:szCs w:val="18"/>
              </w:rPr>
              <w:t xml:space="preserve">5 填写格式：诊断编码+诊断顺位。多个以“;”间隔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初步诊断-中医病名名称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CBZYBMMC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512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初步诊断-中医症候代码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CBZYZHDM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填写格式： 诊断编码+ 诊断顺位。标准采用GB_T15657_1995。多个以“;” 间隔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初步诊断-中医症候名称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CBZYZHMC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512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初步诊断日期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CBZDRQ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DATETIME </w:t>
            </w:r>
          </w:p>
        </w:tc>
        <w:tc>
          <w:tcPr>
            <w:tcW w:w="567"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修正诊断-西医诊断编码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XZXYZDDM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填写格式： 诊断编码+ 诊断顺位。ICD-10，多个以“;” 间隔。示例 ：I77.1+1; I77.2+2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修正诊断-西医诊断名称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XZXYZDMC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512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修正诊断-中医病名代码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XZZYBMDM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GB_T15657_1995填写格式：诊断编码+诊断顺位。多个以“;”间隔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修正诊断-中医病名名称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XZZYBMMC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512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多个以“;”间隔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修正诊断-中医症候代码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XZZYZHDM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GB_T15657_1995填写格式：诊断编码+诊断顺位。多个以“;”间隔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修正诊断-中医症候名称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XZZYZHMC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512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多个以“;”间隔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修正诊断日期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XZZDRQ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DATETI</w:t>
            </w:r>
          </w:p>
          <w:p>
            <w:pPr>
              <w:snapToGrid w:val="0"/>
              <w:spacing w:line="440" w:lineRule="exact"/>
              <w:jc w:val="left"/>
              <w:rPr>
                <w:rFonts w:ascii="宋体" w:hAnsi="宋体"/>
                <w:sz w:val="18"/>
                <w:szCs w:val="18"/>
              </w:rPr>
            </w:pPr>
            <w:r>
              <w:rPr>
                <w:rFonts w:ascii="宋体" w:hAnsi="宋体"/>
                <w:sz w:val="18"/>
                <w:szCs w:val="18"/>
              </w:rPr>
              <w:t xml:space="preserve">ME </w:t>
            </w:r>
          </w:p>
        </w:tc>
        <w:tc>
          <w:tcPr>
            <w:tcW w:w="567"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补充诊断-西医诊断编码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BCXYZDDM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填写格式： 诊断编码+ 诊断顺位。ICD-10，多个以“;” 间隔。示例 ：I77.1+1; I77.2+2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补充诊断-西医诊断名称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BCXYZDMC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512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多个以“;”间隔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补充诊断-中医病名代码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BCZYBMDM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GB_T15657_1995填写格式：诊断编码+诊断顺位。多个以“;”间隔</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补充诊断-中医病名名称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BCZYBMMC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512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多个以“;”间隔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补充诊断-中医症候代码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BCZYZHDM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GB_T15657_1995填写格式：诊断编码+诊断顺位。多个以“;”间隔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补充诊断-中医症候名称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BCZYZHMC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512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多个以“;”间隔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补充诊断日期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BCZDRQ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DATETI</w:t>
            </w:r>
          </w:p>
          <w:p>
            <w:pPr>
              <w:snapToGrid w:val="0"/>
              <w:spacing w:line="440" w:lineRule="exact"/>
              <w:jc w:val="left"/>
              <w:rPr>
                <w:rFonts w:ascii="宋体" w:hAnsi="宋体"/>
                <w:sz w:val="18"/>
                <w:szCs w:val="18"/>
              </w:rPr>
            </w:pPr>
            <w:r>
              <w:rPr>
                <w:rFonts w:ascii="宋体" w:hAnsi="宋体"/>
                <w:sz w:val="18"/>
                <w:szCs w:val="18"/>
              </w:rPr>
              <w:t xml:space="preserve">ME </w:t>
            </w:r>
          </w:p>
        </w:tc>
        <w:tc>
          <w:tcPr>
            <w:tcW w:w="567"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确定诊断-西医诊断编码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QDXYZDDM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填写格式： 诊断编码+ 诊断顺位。ICD-10，多个以“;” 间隔。示例 ：I77.1+1; I77.2+2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确定诊断-西医诊断名称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QDXYZDMC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512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多个以“;”间隔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确定诊断-中医病名代码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QDZYBMDM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GB_T15657_1995填写格式：诊断编码+诊断顺位。多个以“;”间隔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确定诊断-中医病名名称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QDZYBMMC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512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多个以“;”间隔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确定诊断-中医症候代码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QDZYZHDM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GB_T15657_1995填写格式：诊断编码+诊断顺位。多个以“;”间隔</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确定诊断-中医症候名称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QDZYZHMC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512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多个以“;”间隔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确定诊断日期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QDZDRQ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DATETIME </w:t>
            </w:r>
          </w:p>
        </w:tc>
        <w:tc>
          <w:tcPr>
            <w:tcW w:w="567"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辅助检查-实验室检查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BZFZJC_S YSJC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对受检者辅助检查- 实验室检查的详细描述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辅助检查-特殊检查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BZFZJC_T SJC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对受检者辅助检查- 特殊检查的详细描述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辅助检查-病理检查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BZFZJC_B LJC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对受检者辅助检查- 病理检查的详细描述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辅助检查-其他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BZFZJC_Q</w:t>
            </w:r>
          </w:p>
          <w:p>
            <w:pPr>
              <w:snapToGrid w:val="0"/>
              <w:spacing w:line="440" w:lineRule="exact"/>
              <w:jc w:val="left"/>
              <w:rPr>
                <w:rFonts w:ascii="宋体" w:hAnsi="宋体"/>
                <w:sz w:val="18"/>
                <w:szCs w:val="18"/>
              </w:rPr>
            </w:pPr>
            <w:r>
              <w:rPr>
                <w:rFonts w:ascii="宋体" w:hAnsi="宋体"/>
                <w:sz w:val="18"/>
                <w:szCs w:val="18"/>
              </w:rPr>
              <w:t xml:space="preserve">T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对受检者辅助检查- 其他的详细描述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专科情况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ZKQK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中医“四诊”观察结果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SZGCJG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治则治法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ZZZF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与患者关系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BZYHZGX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与患者关系参照</w:t>
            </w:r>
            <w:r>
              <w:rPr>
                <w:rFonts w:ascii="宋体" w:hAnsi="宋体"/>
                <w:sz w:val="18"/>
                <w:szCs w:val="18"/>
              </w:rPr>
              <w:t>CV0218.01</w:t>
            </w:r>
            <w:r>
              <w:rPr>
                <w:rFonts w:hint="eastAsia" w:ascii="宋体" w:hAnsi="宋体"/>
                <w:sz w:val="18"/>
                <w:szCs w:val="18"/>
              </w:rPr>
              <w:t>家庭和社会关系代码</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住院医生身份证号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ZYYSGH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18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住院医生姓名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ZYYSXM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个体在公安管理部门正式登记注册的姓氏和名称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主任医生身份证号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ZRYSGH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18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主任医生姓名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ZRYSXM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个体在公安管理部门正式登记注册的姓氏和名称 </w:t>
            </w:r>
          </w:p>
        </w:tc>
        <w:tc>
          <w:tcPr>
            <w:tcW w:w="1977" w:type="dxa"/>
            <w:noWrap w:val="0"/>
            <w:vAlign w:val="top"/>
          </w:tcPr>
          <w:p>
            <w:pPr>
              <w:snapToGrid w:val="0"/>
              <w:spacing w:line="440" w:lineRule="exact"/>
              <w:jc w:val="left"/>
              <w:rPr>
                <w:rFonts w:ascii="宋体" w:hAnsi="宋体"/>
                <w:sz w:val="18"/>
                <w:szCs w:val="18"/>
              </w:rPr>
            </w:pPr>
          </w:p>
        </w:tc>
      </w:tr>
      <w:tr>
        <w:tblPrEx>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主治医师身份证号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ZZYSGH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18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主治医师姓名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ZZYSXM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个体在公安管理部门正式登记注册的姓氏和名称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就诊医生身份证号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JZYSGH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18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就诊医生姓名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JZYSXM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个体在公安管理部门正式登记注册的姓氏和名称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入院日期时间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RYRQSJ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Dateti me </w:t>
            </w:r>
          </w:p>
        </w:tc>
        <w:tc>
          <w:tcPr>
            <w:tcW w:w="567"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业务时间， 格 式 ： YYYY-MM-DDThh24:mi:ss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体温（℃）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TW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4,1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体温的测量值，计量单位为℃。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心率（次/min）</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XL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心脏搏动频率的测量值，计量单位为次/min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呼吸频率（次/min）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HXPL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受检者单位时间内呼吸的次数，计量单位为次/min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收缩压（mmHg）</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SSY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收缩压的测量值，计量单位为mmHg</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舒张压（mmHg）</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SZY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舒张压的测量值，计量单位为mmHg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身高（cm）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SG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体重（kg）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TZ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腹部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FB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肛门指诊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GMZZ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脊柱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JZ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颈部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JB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皮肤和黏膜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PFNM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全身浅表淋巴结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QSQBLBJ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神经系统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SJXT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四肢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头部及其器官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TBJQG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外生殖器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WSZQ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胸部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XIONGBU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一般状况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YBQK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100</w:t>
            </w:r>
          </w:p>
          <w:p>
            <w:pPr>
              <w:snapToGrid w:val="0"/>
              <w:spacing w:line="440" w:lineRule="exact"/>
              <w:jc w:val="left"/>
              <w:rPr>
                <w:rFonts w:ascii="宋体" w:hAnsi="宋体"/>
                <w:sz w:val="18"/>
                <w:szCs w:val="18"/>
              </w:rPr>
            </w:pPr>
            <w:r>
              <w:rPr>
                <w:rFonts w:ascii="宋体" w:hAnsi="宋体"/>
                <w:sz w:val="18"/>
                <w:szCs w:val="18"/>
              </w:rPr>
              <w:t xml:space="preserve">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1" w:type="dxa"/>
            <w:noWrap w:val="0"/>
            <w:vAlign w:val="top"/>
          </w:tcPr>
          <w:p>
            <w:pPr>
              <w:snapToGrid w:val="0"/>
              <w:spacing w:line="440" w:lineRule="exact"/>
              <w:jc w:val="left"/>
              <w:rPr>
                <w:rFonts w:ascii="宋体" w:hAnsi="宋体"/>
                <w:sz w:val="18"/>
                <w:szCs w:val="18"/>
              </w:rPr>
            </w:pP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修改标志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XGBZ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整数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见患者信息表表说 明4 </w:t>
            </w:r>
          </w:p>
        </w:tc>
        <w:tc>
          <w:tcPr>
            <w:tcW w:w="197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 xml:space="preserve">更新时间 </w:t>
            </w:r>
          </w:p>
        </w:tc>
        <w:tc>
          <w:tcPr>
            <w:tcW w:w="992"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 xml:space="preserve">GXSJ </w:t>
            </w:r>
          </w:p>
        </w:tc>
        <w:tc>
          <w:tcPr>
            <w:tcW w:w="992"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 xml:space="preserve">Dateti me </w:t>
            </w:r>
          </w:p>
        </w:tc>
        <w:tc>
          <w:tcPr>
            <w:tcW w:w="567"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 xml:space="preserve">必填 </w:t>
            </w:r>
          </w:p>
        </w:tc>
        <w:tc>
          <w:tcPr>
            <w:tcW w:w="2471" w:type="dxa"/>
            <w:noWrap w:val="0"/>
            <w:vAlign w:val="top"/>
          </w:tcPr>
          <w:p>
            <w:pPr>
              <w:snapToGrid w:val="0"/>
              <w:spacing w:line="440" w:lineRule="exact"/>
              <w:jc w:val="left"/>
              <w:rPr>
                <w:rFonts w:ascii="宋体" w:hAnsi="宋体"/>
                <w:sz w:val="18"/>
                <w:szCs w:val="18"/>
              </w:rPr>
            </w:pPr>
            <w:r>
              <w:rPr>
                <w:rFonts w:ascii="宋体" w:hAnsi="宋体"/>
                <w:sz w:val="18"/>
                <w:szCs w:val="18"/>
              </w:rPr>
              <w:t>格 式 ： YYYY-MM-D</w:t>
            </w:r>
          </w:p>
          <w:p>
            <w:pPr>
              <w:snapToGrid w:val="0"/>
              <w:spacing w:line="440" w:lineRule="exact"/>
              <w:jc w:val="left"/>
              <w:rPr>
                <w:rFonts w:ascii="宋体" w:hAnsi="宋体"/>
                <w:sz w:val="18"/>
                <w:szCs w:val="18"/>
              </w:rPr>
            </w:pPr>
            <w:r>
              <w:rPr>
                <w:rFonts w:ascii="宋体" w:hAnsi="宋体"/>
                <w:sz w:val="18"/>
                <w:szCs w:val="18"/>
              </w:rPr>
              <w:t>DThh24:mi</w:t>
            </w:r>
          </w:p>
          <w:p>
            <w:pPr>
              <w:snapToGrid w:val="0"/>
              <w:spacing w:line="440" w:lineRule="exact"/>
              <w:jc w:val="left"/>
              <w:rPr>
                <w:rFonts w:ascii="宋体" w:hAnsi="宋体"/>
                <w:sz w:val="18"/>
                <w:szCs w:val="18"/>
              </w:rPr>
            </w:pPr>
            <w:r>
              <w:rPr>
                <w:rFonts w:ascii="宋体" w:hAnsi="宋体"/>
                <w:sz w:val="18"/>
                <w:szCs w:val="18"/>
              </w:rPr>
              <w:t xml:space="preserve">:ss </w:t>
            </w:r>
          </w:p>
        </w:tc>
        <w:tc>
          <w:tcPr>
            <w:tcW w:w="1977" w:type="dxa"/>
            <w:noWrap w:val="0"/>
            <w:vAlign w:val="top"/>
          </w:tcPr>
          <w:p>
            <w:pPr>
              <w:snapToGrid w:val="0"/>
              <w:spacing w:line="440" w:lineRule="exact"/>
              <w:jc w:val="left"/>
              <w:rPr>
                <w:rFonts w:ascii="宋体" w:hAnsi="宋体"/>
                <w:sz w:val="18"/>
                <w:szCs w:val="18"/>
              </w:rPr>
            </w:pPr>
          </w:p>
        </w:tc>
      </w:tr>
    </w:tbl>
    <w:p>
      <w:pPr>
        <w:snapToGrid w:val="0"/>
        <w:spacing w:line="440" w:lineRule="exact"/>
        <w:jc w:val="left"/>
        <w:rPr>
          <w:rFonts w:ascii="宋体" w:hAnsi="宋体"/>
          <w:sz w:val="24"/>
        </w:rPr>
      </w:pPr>
      <w:r>
        <w:rPr>
          <w:rFonts w:hint="eastAsia" w:ascii="宋体" w:hAnsi="宋体"/>
          <w:sz w:val="24"/>
        </w:rPr>
        <w:t>2.1.3.2</w:t>
      </w:r>
      <w:r>
        <w:rPr>
          <w:rFonts w:ascii="宋体" w:hAnsi="宋体"/>
          <w:sz w:val="24"/>
        </w:rPr>
        <w:t>出院登记表（TB_HIS_ZY_Dis_Reg）</w:t>
      </w:r>
    </w:p>
    <w:tbl>
      <w:tblPr>
        <w:tblStyle w:val="48"/>
        <w:tblW w:w="92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850"/>
        <w:gridCol w:w="992"/>
        <w:gridCol w:w="567"/>
        <w:gridCol w:w="851"/>
        <w:gridCol w:w="2484"/>
        <w:gridCol w:w="1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数据项</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字段名</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数据类型</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长度</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填报要求</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说明</w:t>
            </w:r>
          </w:p>
        </w:tc>
        <w:tc>
          <w:tcPr>
            <w:tcW w:w="1978" w:type="dxa"/>
            <w:noWrap w:val="0"/>
            <w:vAlign w:val="top"/>
          </w:tcPr>
          <w:p>
            <w:pPr>
              <w:snapToGrid w:val="0"/>
              <w:spacing w:line="440" w:lineRule="exact"/>
              <w:jc w:val="left"/>
              <w:rPr>
                <w:rFonts w:ascii="宋体" w:hAnsi="宋体"/>
                <w:sz w:val="18"/>
                <w:szCs w:val="18"/>
              </w:rPr>
            </w:pPr>
            <w:r>
              <w:rPr>
                <w:rFonts w:ascii="宋体" w:hAnsi="宋体"/>
                <w:sz w:val="18"/>
                <w:szCs w:val="18"/>
              </w:rPr>
              <w:t>数据集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医疗机构代码 </w:t>
            </w:r>
          </w:p>
        </w:tc>
        <w:tc>
          <w:tcPr>
            <w:tcW w:w="850"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YLJGDM </w:t>
            </w:r>
          </w:p>
        </w:tc>
        <w:tc>
          <w:tcPr>
            <w:tcW w:w="992"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22 </w:t>
            </w:r>
          </w:p>
        </w:tc>
        <w:tc>
          <w:tcPr>
            <w:tcW w:w="851"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shd w:val="clear" w:color="auto" w:fill="F9BE8F"/>
            <w:noWrap w:val="0"/>
            <w:vAlign w:val="top"/>
          </w:tcPr>
          <w:p>
            <w:pPr>
              <w:snapToGrid w:val="0"/>
              <w:spacing w:line="440" w:lineRule="exact"/>
              <w:jc w:val="left"/>
              <w:rPr>
                <w:rFonts w:ascii="宋体" w:hAnsi="宋体"/>
                <w:sz w:val="18"/>
                <w:szCs w:val="18"/>
              </w:rPr>
            </w:pPr>
          </w:p>
        </w:tc>
        <w:tc>
          <w:tcPr>
            <w:tcW w:w="1978" w:type="dxa"/>
            <w:shd w:val="clear" w:color="auto" w:fill="F9BE8F"/>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院区ID </w:t>
            </w:r>
          </w:p>
        </w:tc>
        <w:tc>
          <w:tcPr>
            <w:tcW w:w="850"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YQID </w:t>
            </w:r>
          </w:p>
        </w:tc>
        <w:tc>
          <w:tcPr>
            <w:tcW w:w="992"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shd w:val="clear" w:color="auto" w:fill="F9BE8F"/>
            <w:noWrap w:val="0"/>
            <w:vAlign w:val="top"/>
          </w:tcPr>
          <w:p>
            <w:pPr>
              <w:snapToGrid w:val="0"/>
              <w:spacing w:line="440" w:lineRule="exact"/>
              <w:jc w:val="left"/>
              <w:rPr>
                <w:rFonts w:ascii="宋体" w:hAnsi="宋体"/>
                <w:sz w:val="18"/>
                <w:szCs w:val="18"/>
              </w:rPr>
            </w:pPr>
          </w:p>
        </w:tc>
        <w:tc>
          <w:tcPr>
            <w:tcW w:w="1978" w:type="dxa"/>
            <w:shd w:val="clear" w:color="auto" w:fill="F9BE8F"/>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院区名称 </w:t>
            </w:r>
          </w:p>
        </w:tc>
        <w:tc>
          <w:tcPr>
            <w:tcW w:w="850"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JGYQMC </w:t>
            </w:r>
          </w:p>
        </w:tc>
        <w:tc>
          <w:tcPr>
            <w:tcW w:w="992"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shd w:val="clear" w:color="auto" w:fill="F9BE8F"/>
            <w:noWrap w:val="0"/>
            <w:vAlign w:val="top"/>
          </w:tcPr>
          <w:p>
            <w:pPr>
              <w:snapToGrid w:val="0"/>
              <w:spacing w:line="440" w:lineRule="exact"/>
              <w:jc w:val="left"/>
              <w:rPr>
                <w:rFonts w:ascii="宋体" w:hAnsi="宋体"/>
                <w:sz w:val="18"/>
                <w:szCs w:val="18"/>
              </w:rPr>
            </w:pPr>
          </w:p>
        </w:tc>
        <w:tc>
          <w:tcPr>
            <w:tcW w:w="1978" w:type="dxa"/>
            <w:shd w:val="clear" w:color="auto" w:fill="F9BE8F"/>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卡号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必须与患者基本信息关联，见前述“患者信息表”的说明(1) 以及 相关说明</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卡类型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KLX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vMerge w:val="continue"/>
            <w:tcBorders>
              <w:top w:val="nil"/>
            </w:tcBorders>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姓名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个体在公安管理部门正式登记注册的姓氏和名称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性别代码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XBDM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字典 :GB_T2261_1_ 2003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性别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XB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医院本地 中文性别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就诊流水号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JZLSH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医院门诊/ 住院顺序号，医疗机构内部唯一编号。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年龄（岁）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NLS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年龄（月）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NLY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年龄（日）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NLR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年龄（小时）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NLXS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病案号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BZBAH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18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住院类别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ZYLB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急诊观察，2.普通住院， 3. 特需住院， 4.家床，9.其他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住院类别名称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ZYLBMC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医院本地住院类别名称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科室代码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KSDM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院内科室信息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科室名称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KSMC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病区名称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BQMC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床位号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BCH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病房号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BFH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门诊诊断编码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MZZDBM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ICD10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门诊诊断名称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MZZDMC</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门诊其他诊断编码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MZQTZDBM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ICD10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门诊其他诊断名称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MZQTZDMC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门诊主诊断标志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MZZZDBZ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见门诊说明3（ </w:t>
            </w:r>
            <w:r>
              <w:rPr>
                <w:rFonts w:ascii="宋体" w:hAnsi="宋体"/>
                <w:sz w:val="18"/>
                <w:szCs w:val="18"/>
              </w:rPr>
              <w:t>CVX_Right）</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入院诊断编码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RYZDBM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ICD10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入院诊断名称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RYZDMC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ICD10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入院其他诊断编码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RYQTZDBM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ICD10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入院其他诊断</w:t>
            </w:r>
          </w:p>
          <w:p>
            <w:pPr>
              <w:snapToGrid w:val="0"/>
              <w:spacing w:line="440" w:lineRule="exact"/>
              <w:jc w:val="left"/>
              <w:rPr>
                <w:rFonts w:ascii="宋体" w:hAnsi="宋体"/>
                <w:sz w:val="18"/>
                <w:szCs w:val="18"/>
              </w:rPr>
            </w:pPr>
            <w:r>
              <w:rPr>
                <w:rFonts w:ascii="宋体" w:hAnsi="宋体"/>
                <w:sz w:val="18"/>
                <w:szCs w:val="18"/>
              </w:rPr>
              <w:t xml:space="preserve">名称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RYQTZDMC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医院本地名称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入院主诊断标志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RYZZDBZ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见门诊说明3（ </w:t>
            </w:r>
            <w:r>
              <w:rPr>
                <w:rFonts w:ascii="宋体" w:hAnsi="宋体"/>
                <w:sz w:val="18"/>
                <w:szCs w:val="18"/>
              </w:rPr>
              <w:t>CVX_Right）</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出院诊断编码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CYZDBM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ICD10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出院诊断名称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CYZDMC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医院本地 名称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出院其他诊断编码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CYQTZDB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ICD10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出院其他诊断名称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CYQTZDMC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医院本地 名称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出院主诊断标志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CYZZD</w:t>
            </w:r>
          </w:p>
          <w:p>
            <w:pPr>
              <w:snapToGrid w:val="0"/>
              <w:spacing w:line="440" w:lineRule="exact"/>
              <w:jc w:val="left"/>
              <w:rPr>
                <w:rFonts w:ascii="宋体" w:hAnsi="宋体"/>
                <w:sz w:val="18"/>
                <w:szCs w:val="18"/>
              </w:rPr>
            </w:pPr>
            <w:r>
              <w:rPr>
                <w:rFonts w:ascii="宋体" w:hAnsi="宋体"/>
                <w:sz w:val="18"/>
                <w:szCs w:val="18"/>
              </w:rPr>
              <w:t xml:space="preserve">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见门诊说明3（ </w:t>
            </w:r>
            <w:r>
              <w:rPr>
                <w:rFonts w:ascii="宋体" w:hAnsi="宋体"/>
                <w:sz w:val="18"/>
                <w:szCs w:val="18"/>
              </w:rPr>
              <w:t>CVX_Right）</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阳性辅助检查结果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YXFZJJG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出院医嘱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CYYZ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诊治经过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ZZJG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4000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科室编码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KSBM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字典: 院内科室信息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住院天数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ZYTS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患者本次住院的总天数</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住院医生身份证号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ZYYSGH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18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住院医生姓名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ZYYSXM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个体在公安管理部门正式登记注册的姓氏和名称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主治医师工号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ZZYSGH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18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主治医师姓名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ZZYSXM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个体在公安管理部门正式登记注册的姓氏和名称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出院时间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CYSJ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Datetime </w:t>
            </w:r>
          </w:p>
        </w:tc>
        <w:tc>
          <w:tcPr>
            <w:tcW w:w="567"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业务时间， 格 式 ： YYYY-MM-DDThh24:mi:ss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记录时间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JLSJ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Datetime </w:t>
            </w:r>
          </w:p>
        </w:tc>
        <w:tc>
          <w:tcPr>
            <w:tcW w:w="567"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格 式 ： YYYY-MM-DDThh24:mi:ss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入院时间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RYSJ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Datetime </w:t>
            </w:r>
          </w:p>
        </w:tc>
        <w:tc>
          <w:tcPr>
            <w:tcW w:w="567"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格 式 ： YYYY-MM-DDThh24:mi:ss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入院情况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RYQK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出院情况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CYQK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转归情况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ZGQK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1.治愈，2. 好转， 3. 稳定， 4. 恶化， 5.死亡， 9. 其他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离院方式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LYFS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1. 医嘱离 院，2.医嘱转院， 3. 医嘱转社区卫生服务机构_乡镇卫生院，4. 非医嘱离院， 5. 死亡， 9. 其他</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入院诊断中医病名名称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RYZYBMMC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512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医院本地名称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入院诊断中医病名代码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RYZYB MDM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字典 :GB_T15657_1 995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入院诊断中医证候代码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RYZYZHDM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512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医院本地名称 </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入院诊断中医证候代码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RYZYZ HMC </w:t>
            </w:r>
          </w:p>
        </w:tc>
        <w:tc>
          <w:tcPr>
            <w:tcW w:w="992"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 xml:space="preserve">64 </w:t>
            </w:r>
          </w:p>
        </w:tc>
        <w:tc>
          <w:tcPr>
            <w:tcW w:w="851"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字典 :GB_T15657_1 995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出院诊断中医病名名称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CYZYB MMC </w:t>
            </w:r>
          </w:p>
        </w:tc>
        <w:tc>
          <w:tcPr>
            <w:tcW w:w="992"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 xml:space="preserve">512 </w:t>
            </w:r>
          </w:p>
        </w:tc>
        <w:tc>
          <w:tcPr>
            <w:tcW w:w="851"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字典 :GB_T15657_1 995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出院诊断中医病名代码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CYZYB MDM </w:t>
            </w:r>
          </w:p>
        </w:tc>
        <w:tc>
          <w:tcPr>
            <w:tcW w:w="992"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 xml:space="preserve">64 </w:t>
            </w:r>
          </w:p>
        </w:tc>
        <w:tc>
          <w:tcPr>
            <w:tcW w:w="851"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字典 :GB_T15657_1 995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出院诊断中医证候代码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CYZYZ HDM </w:t>
            </w:r>
          </w:p>
        </w:tc>
        <w:tc>
          <w:tcPr>
            <w:tcW w:w="992"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 xml:space="preserve">512 </w:t>
            </w:r>
          </w:p>
        </w:tc>
        <w:tc>
          <w:tcPr>
            <w:tcW w:w="851"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r>
              <w:rPr>
                <w:rFonts w:ascii="宋体" w:hAnsi="宋体"/>
                <w:sz w:val="18"/>
                <w:szCs w:val="18"/>
              </w:rPr>
              <w:t>字</w:t>
            </w:r>
          </w:p>
          <w:p>
            <w:pPr>
              <w:snapToGrid w:val="0"/>
              <w:spacing w:line="440" w:lineRule="exact"/>
              <w:jc w:val="left"/>
              <w:rPr>
                <w:rFonts w:ascii="宋体" w:hAnsi="宋体"/>
                <w:sz w:val="18"/>
                <w:szCs w:val="18"/>
              </w:rPr>
            </w:pPr>
            <w:r>
              <w:rPr>
                <w:rFonts w:ascii="宋体" w:hAnsi="宋体"/>
                <w:sz w:val="18"/>
                <w:szCs w:val="18"/>
              </w:rPr>
              <w:t xml:space="preserve">典 :GB_T15657_1 995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出院诊断中医证候代码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CYZYZ HMC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字典 :GB_T15657_1 995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中医“四诊”观察结果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ZYSZGCJG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辨证论治详细描述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BZLZ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中药煎煮方法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ZYJZFF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中药用药方法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ZYYYFF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2000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84" w:type="dxa"/>
            <w:noWrap w:val="0"/>
            <w:vAlign w:val="top"/>
          </w:tcPr>
          <w:p>
            <w:pPr>
              <w:snapToGrid w:val="0"/>
              <w:spacing w:line="440" w:lineRule="exact"/>
              <w:jc w:val="left"/>
              <w:rPr>
                <w:rFonts w:ascii="宋体" w:hAnsi="宋体"/>
                <w:sz w:val="18"/>
                <w:szCs w:val="18"/>
              </w:rPr>
            </w:pP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修改标志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XGBZ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整数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见患者信息表表说明4</w:t>
            </w:r>
          </w:p>
        </w:tc>
        <w:tc>
          <w:tcPr>
            <w:tcW w:w="19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更新时间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GXSJ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567"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84" w:type="dxa"/>
            <w:noWrap w:val="0"/>
            <w:vAlign w:val="top"/>
          </w:tcPr>
          <w:p>
            <w:pPr>
              <w:snapToGrid w:val="0"/>
              <w:spacing w:line="440" w:lineRule="exact"/>
              <w:jc w:val="left"/>
              <w:rPr>
                <w:rFonts w:ascii="宋体" w:hAnsi="宋体"/>
                <w:sz w:val="18"/>
                <w:szCs w:val="18"/>
              </w:rPr>
            </w:pPr>
            <w:r>
              <w:rPr>
                <w:rFonts w:ascii="宋体" w:hAnsi="宋体"/>
                <w:sz w:val="18"/>
                <w:szCs w:val="18"/>
              </w:rPr>
              <w:t>格 式 ： YYYY-MM-DDThh24:mi:ss</w:t>
            </w:r>
          </w:p>
        </w:tc>
        <w:tc>
          <w:tcPr>
            <w:tcW w:w="1978" w:type="dxa"/>
            <w:noWrap w:val="0"/>
            <w:vAlign w:val="top"/>
          </w:tcPr>
          <w:p>
            <w:pPr>
              <w:snapToGrid w:val="0"/>
              <w:spacing w:line="440" w:lineRule="exact"/>
              <w:jc w:val="left"/>
              <w:rPr>
                <w:rFonts w:ascii="宋体" w:hAnsi="宋体"/>
                <w:sz w:val="18"/>
                <w:szCs w:val="18"/>
              </w:rPr>
            </w:pPr>
          </w:p>
        </w:tc>
      </w:tr>
    </w:tbl>
    <w:p>
      <w:pPr>
        <w:snapToGrid w:val="0"/>
        <w:spacing w:line="440" w:lineRule="exact"/>
        <w:jc w:val="left"/>
        <w:rPr>
          <w:rFonts w:ascii="宋体" w:hAnsi="宋体"/>
          <w:sz w:val="24"/>
        </w:rPr>
      </w:pPr>
      <w:r>
        <w:rPr>
          <w:rFonts w:hint="eastAsia" w:ascii="宋体" w:hAnsi="宋体"/>
          <w:sz w:val="24"/>
        </w:rPr>
        <w:t>2.1.3.3</w:t>
      </w:r>
      <w:r>
        <w:rPr>
          <w:rFonts w:ascii="宋体" w:hAnsi="宋体"/>
          <w:sz w:val="24"/>
        </w:rPr>
        <w:t>住院就诊记录表(TB_YL_ZY_Medical_Record)</w:t>
      </w:r>
    </w:p>
    <w:tbl>
      <w:tblPr>
        <w:tblStyle w:val="48"/>
        <w:tblW w:w="92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850"/>
        <w:gridCol w:w="992"/>
        <w:gridCol w:w="567"/>
        <w:gridCol w:w="851"/>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数据项</w:t>
            </w:r>
          </w:p>
        </w:tc>
        <w:tc>
          <w:tcPr>
            <w:tcW w:w="850"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字段名</w:t>
            </w:r>
          </w:p>
        </w:tc>
        <w:tc>
          <w:tcPr>
            <w:tcW w:w="992"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类型</w:t>
            </w:r>
          </w:p>
        </w:tc>
        <w:tc>
          <w:tcPr>
            <w:tcW w:w="567"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字节</w:t>
            </w:r>
          </w:p>
        </w:tc>
        <w:tc>
          <w:tcPr>
            <w:tcW w:w="85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填报要求</w:t>
            </w:r>
          </w:p>
        </w:tc>
        <w:tc>
          <w:tcPr>
            <w:tcW w:w="4394"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394"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复合主键；卫生机构分类代码 22位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住院就诊流水号</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JZLSH</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394"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复合主键;医院HIS系统的唯一编号.见说明(1)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住院号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CISID</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394" w:type="dxa"/>
            <w:noWrap w:val="0"/>
            <w:vAlign w:val="top"/>
          </w:tcPr>
          <w:p>
            <w:pPr>
              <w:snapToGrid w:val="0"/>
              <w:spacing w:line="440" w:lineRule="exact"/>
              <w:jc w:val="left"/>
              <w:rPr>
                <w:rFonts w:ascii="宋体" w:hAnsi="宋体"/>
                <w:sz w:val="18"/>
                <w:szCs w:val="18"/>
              </w:rPr>
            </w:pPr>
            <w:r>
              <w:rPr>
                <w:rFonts w:hint="eastAsia" w:ascii="宋体" w:hAnsi="宋体"/>
                <w:sz w:val="18"/>
                <w:szCs w:val="18"/>
              </w:rPr>
              <w:t>若无则可填住院就诊流水号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KH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394"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必须与患者基本信息关联，见前述“患</w:t>
            </w:r>
          </w:p>
          <w:p>
            <w:pPr>
              <w:snapToGrid w:val="0"/>
              <w:spacing w:line="440" w:lineRule="exact"/>
              <w:jc w:val="left"/>
              <w:rPr>
                <w:rFonts w:ascii="宋体" w:hAnsi="宋体"/>
                <w:sz w:val="18"/>
                <w:szCs w:val="18"/>
              </w:rPr>
            </w:pPr>
            <w:r>
              <w:rPr>
                <w:rFonts w:hint="eastAsia" w:ascii="宋体" w:hAnsi="宋体"/>
                <w:sz w:val="18"/>
                <w:szCs w:val="18"/>
              </w:rPr>
              <w:t>者信息表”的说明(1)以及相关说明。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卡类型</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KLX</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394" w:type="dxa"/>
            <w:vMerge w:val="continue"/>
            <w:tcBorders>
              <w:top w:val="nil"/>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患者姓名</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HZXM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39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就诊类型</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JZLX</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394"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见说明（2）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入院科室编码</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JZKSBM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394"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编码。见科室字典表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入院科室名称</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JZKSMC</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39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出院科室编码</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CYKSBM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394"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编码。见科室字典表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出院科室名称</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CYKSMC</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39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入院时间</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RYSJ</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567"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39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出院时间</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CYSJ</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567"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39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病史陈述者</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BSCSZ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r>
              <w:rPr>
                <w:rFonts w:hint="eastAsia" w:ascii="宋体" w:hAnsi="宋体"/>
                <w:sz w:val="18"/>
                <w:szCs w:val="18"/>
              </w:rPr>
              <w:t>病史陈述者的姓名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与患者关系</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YHZGX</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与患者关系参照CV0218.01家庭和社会关系代码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主诉</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ZS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100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r>
              <w:rPr>
                <w:rFonts w:hint="eastAsia" w:ascii="宋体" w:hAnsi="宋体"/>
                <w:sz w:val="18"/>
                <w:szCs w:val="18"/>
              </w:rPr>
              <w:t>患者向医师描述的对自身本次疾病相关的感受的主要记录 入院患者的主诉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现病史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XBS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2000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r>
              <w:rPr>
                <w:rFonts w:hint="eastAsia" w:ascii="宋体" w:hAnsi="宋体"/>
                <w:sz w:val="18"/>
                <w:szCs w:val="18"/>
              </w:rPr>
              <w:t>目前所患疾病情况的描述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既往史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JWS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2000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r>
              <w:rPr>
                <w:rFonts w:hint="eastAsia" w:ascii="宋体" w:hAnsi="宋体"/>
                <w:sz w:val="18"/>
                <w:szCs w:val="18"/>
              </w:rPr>
              <w:t>既往健康状况和疾病的简要描述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系统回顾</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XTHG</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2000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个人史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GRS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2000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个人史观察项目结果的详细描述，包括定性描述、分类代码和物理量患者是否吸烟,嗜酒结果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婚育史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HYS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2000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生育史观察项目结果的详细描述，包括定性描述、分类代码和物理量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家族史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JZS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2000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家族史观察项目结果的详细描述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辅助检查-</w:t>
            </w:r>
          </w:p>
          <w:p>
            <w:pPr>
              <w:snapToGrid w:val="0"/>
              <w:spacing w:line="440" w:lineRule="exact"/>
              <w:jc w:val="left"/>
              <w:rPr>
                <w:rFonts w:ascii="宋体" w:hAnsi="宋体"/>
                <w:sz w:val="18"/>
                <w:szCs w:val="18"/>
              </w:rPr>
            </w:pPr>
            <w:r>
              <w:rPr>
                <w:rFonts w:hint="eastAsia" w:ascii="宋体" w:hAnsi="宋体"/>
                <w:sz w:val="18"/>
                <w:szCs w:val="18"/>
              </w:rPr>
              <w:t>实验室检查</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SYS</w:t>
            </w:r>
          </w:p>
          <w:p>
            <w:pPr>
              <w:snapToGrid w:val="0"/>
              <w:spacing w:line="440" w:lineRule="exact"/>
              <w:jc w:val="left"/>
              <w:rPr>
                <w:rFonts w:ascii="宋体" w:hAnsi="宋体"/>
                <w:sz w:val="18"/>
                <w:szCs w:val="18"/>
              </w:rPr>
            </w:pPr>
            <w:r>
              <w:rPr>
                <w:rFonts w:ascii="宋体" w:hAnsi="宋体"/>
                <w:sz w:val="18"/>
                <w:szCs w:val="18"/>
              </w:rPr>
              <w:t>JC</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500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辅助检查-</w:t>
            </w:r>
          </w:p>
          <w:p>
            <w:pPr>
              <w:snapToGrid w:val="0"/>
              <w:spacing w:line="440" w:lineRule="exact"/>
              <w:jc w:val="left"/>
              <w:rPr>
                <w:rFonts w:ascii="宋体" w:hAnsi="宋体"/>
                <w:sz w:val="18"/>
                <w:szCs w:val="18"/>
              </w:rPr>
            </w:pPr>
            <w:r>
              <w:rPr>
                <w:rFonts w:hint="eastAsia" w:ascii="宋体" w:hAnsi="宋体"/>
                <w:sz w:val="18"/>
                <w:szCs w:val="18"/>
              </w:rPr>
              <w:t>特殊检查</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TSJ</w:t>
            </w:r>
          </w:p>
          <w:p>
            <w:pPr>
              <w:snapToGrid w:val="0"/>
              <w:spacing w:line="440" w:lineRule="exact"/>
              <w:jc w:val="left"/>
              <w:rPr>
                <w:rFonts w:ascii="宋体" w:hAnsi="宋体"/>
                <w:sz w:val="18"/>
                <w:szCs w:val="18"/>
              </w:rPr>
            </w:pPr>
            <w:r>
              <w:rPr>
                <w:rFonts w:ascii="宋体" w:hAnsi="宋体"/>
                <w:sz w:val="18"/>
                <w:szCs w:val="18"/>
              </w:rPr>
              <w:t>C</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500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辅助检查-</w:t>
            </w:r>
          </w:p>
          <w:p>
            <w:pPr>
              <w:snapToGrid w:val="0"/>
              <w:spacing w:line="440" w:lineRule="exact"/>
              <w:jc w:val="left"/>
              <w:rPr>
                <w:rFonts w:ascii="宋体" w:hAnsi="宋体"/>
                <w:sz w:val="18"/>
                <w:szCs w:val="18"/>
              </w:rPr>
            </w:pPr>
            <w:r>
              <w:rPr>
                <w:rFonts w:hint="eastAsia" w:ascii="宋体" w:hAnsi="宋体"/>
                <w:sz w:val="18"/>
                <w:szCs w:val="18"/>
              </w:rPr>
              <w:t>病理检查</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BLJ</w:t>
            </w:r>
          </w:p>
          <w:p>
            <w:pPr>
              <w:snapToGrid w:val="0"/>
              <w:spacing w:line="440" w:lineRule="exact"/>
              <w:jc w:val="left"/>
              <w:rPr>
                <w:rFonts w:ascii="宋体" w:hAnsi="宋体"/>
                <w:sz w:val="18"/>
                <w:szCs w:val="18"/>
              </w:rPr>
            </w:pPr>
            <w:r>
              <w:rPr>
                <w:rFonts w:ascii="宋体" w:hAnsi="宋体"/>
                <w:sz w:val="18"/>
                <w:szCs w:val="18"/>
              </w:rPr>
              <w:t>C</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500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辅助检查-</w:t>
            </w:r>
          </w:p>
          <w:p>
            <w:pPr>
              <w:snapToGrid w:val="0"/>
              <w:spacing w:line="440" w:lineRule="exact"/>
              <w:jc w:val="left"/>
              <w:rPr>
                <w:rFonts w:ascii="宋体" w:hAnsi="宋体"/>
                <w:sz w:val="18"/>
                <w:szCs w:val="18"/>
              </w:rPr>
            </w:pPr>
            <w:r>
              <w:rPr>
                <w:rFonts w:hint="eastAsia" w:ascii="宋体" w:hAnsi="宋体"/>
                <w:sz w:val="18"/>
                <w:szCs w:val="18"/>
              </w:rPr>
              <w:t>其他</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QT</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500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病史摘要</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BSZY</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2000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喂养史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WYS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500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出生史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CSS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500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月经史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YJS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500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鉴别诊断</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JBZD</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500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辩证分析</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BZFX</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500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诊治经过</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ZZJG</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2000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记录时间</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JLSJ</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医师姓名</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YSXM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上级医师姓名</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SJYSXM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修改标志</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XGBZ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394"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编码。1：正常、2：修改、3：撤销；见说明（3）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密级</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MJ</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94"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见说明（4）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预留一</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YLYL1</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4394"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为处理该数据而预留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预留二</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YLYL2</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4394"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为处理该数据而预留</w:t>
            </w:r>
          </w:p>
        </w:tc>
      </w:tr>
    </w:tbl>
    <w:p>
      <w:pPr>
        <w:snapToGrid w:val="0"/>
        <w:spacing w:line="440" w:lineRule="exact"/>
        <w:jc w:val="left"/>
        <w:rPr>
          <w:rFonts w:ascii="宋体" w:hAnsi="宋体"/>
          <w:sz w:val="24"/>
        </w:rPr>
      </w:pPr>
      <w:r>
        <w:rPr>
          <w:rFonts w:hint="eastAsia" w:ascii="宋体" w:hAnsi="宋体"/>
          <w:sz w:val="24"/>
        </w:rPr>
        <w:t>2.1.3.4</w:t>
      </w:r>
      <w:r>
        <w:rPr>
          <w:rFonts w:ascii="宋体" w:hAnsi="宋体"/>
          <w:sz w:val="24"/>
        </w:rPr>
        <w:t>住院医嘱明细表(TB_CIS_DrAdvice_Detail)</w:t>
      </w:r>
    </w:p>
    <w:tbl>
      <w:tblPr>
        <w:tblStyle w:val="48"/>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850"/>
        <w:gridCol w:w="992"/>
        <w:gridCol w:w="567"/>
        <w:gridCol w:w="851"/>
        <w:gridCol w:w="2298"/>
        <w:gridCol w:w="1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数据项</w:t>
            </w:r>
          </w:p>
        </w:tc>
        <w:tc>
          <w:tcPr>
            <w:tcW w:w="850"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字段名</w:t>
            </w:r>
          </w:p>
        </w:tc>
        <w:tc>
          <w:tcPr>
            <w:tcW w:w="992"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数据类型</w:t>
            </w:r>
          </w:p>
        </w:tc>
        <w:tc>
          <w:tcPr>
            <w:tcW w:w="567"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字节</w:t>
            </w:r>
          </w:p>
        </w:tc>
        <w:tc>
          <w:tcPr>
            <w:tcW w:w="85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填报要求</w:t>
            </w:r>
          </w:p>
        </w:tc>
        <w:tc>
          <w:tcPr>
            <w:tcW w:w="2298"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说明</w:t>
            </w:r>
          </w:p>
        </w:tc>
        <w:tc>
          <w:tcPr>
            <w:tcW w:w="1954"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数据集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298"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 卫生机构分类代码 22位</w:t>
            </w:r>
          </w:p>
        </w:tc>
        <w:tc>
          <w:tcPr>
            <w:tcW w:w="1954"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院区ID </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YQID </w:t>
            </w:r>
          </w:p>
        </w:tc>
        <w:tc>
          <w:tcPr>
            <w:tcW w:w="992"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298"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本院传00， 分院按实际传 </w:t>
            </w:r>
          </w:p>
        </w:tc>
        <w:tc>
          <w:tcPr>
            <w:tcW w:w="1954"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院区名称 </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JGYQMC </w:t>
            </w:r>
          </w:p>
        </w:tc>
        <w:tc>
          <w:tcPr>
            <w:tcW w:w="992"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298" w:type="dxa"/>
            <w:shd w:val="clear" w:color="auto" w:fill="FAD3B4"/>
            <w:noWrap w:val="0"/>
            <w:vAlign w:val="top"/>
          </w:tcPr>
          <w:p>
            <w:pPr>
              <w:snapToGrid w:val="0"/>
              <w:spacing w:line="440" w:lineRule="exact"/>
              <w:jc w:val="left"/>
              <w:rPr>
                <w:rFonts w:ascii="宋体" w:hAnsi="宋体"/>
                <w:sz w:val="18"/>
                <w:szCs w:val="18"/>
              </w:rPr>
            </w:pPr>
          </w:p>
        </w:tc>
        <w:tc>
          <w:tcPr>
            <w:tcW w:w="1954"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医嘱ID</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YZID</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298"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复合主键；见说明（1）</w:t>
            </w:r>
          </w:p>
        </w:tc>
        <w:tc>
          <w:tcPr>
            <w:tcW w:w="1954"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住院就诊流水号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JZLSH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与住院就诊记录表关联的外键</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住院医嘱流 </w:t>
            </w:r>
          </w:p>
          <w:p>
            <w:pPr>
              <w:snapToGrid w:val="0"/>
              <w:spacing w:line="440" w:lineRule="exact"/>
              <w:jc w:val="left"/>
              <w:rPr>
                <w:rFonts w:ascii="宋体" w:hAnsi="宋体"/>
                <w:sz w:val="18"/>
                <w:szCs w:val="18"/>
              </w:rPr>
            </w:pPr>
            <w:r>
              <w:rPr>
                <w:rFonts w:ascii="宋体" w:hAnsi="宋体"/>
                <w:sz w:val="18"/>
                <w:szCs w:val="18"/>
              </w:rPr>
              <w:t xml:space="preserve">水号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ZYYZLSH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撤销标志</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CXBZ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编码。1：正常；2：撤销该医嘱</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KH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298"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必须与患者基本信息关联，见前述“患者信息表”的说明(1) 以及相关说明</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卡类型</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KLX</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298" w:type="dxa"/>
            <w:vMerge w:val="continue"/>
            <w:tcBorders>
              <w:top w:val="nil"/>
            </w:tcBorders>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患者姓名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HZXM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性别代码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XBDM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r>
              <w:rPr>
                <w:rFonts w:ascii="宋体" w:hAnsi="宋体"/>
                <w:sz w:val="18"/>
                <w:szCs w:val="18"/>
              </w:rPr>
              <w:t>字</w:t>
            </w:r>
            <w:r>
              <w:rPr>
                <w:rFonts w:ascii="宋体" w:hAnsi="宋体"/>
                <w:sz w:val="18"/>
                <w:szCs w:val="18"/>
              </w:rPr>
              <w:tab/>
            </w:r>
            <w:r>
              <w:rPr>
                <w:rFonts w:ascii="宋体" w:hAnsi="宋体"/>
                <w:sz w:val="18"/>
                <w:szCs w:val="18"/>
              </w:rPr>
              <w:t>典</w:t>
            </w:r>
            <w:r>
              <w:rPr>
                <w:rFonts w:ascii="宋体" w:hAnsi="宋体"/>
                <w:sz w:val="18"/>
                <w:szCs w:val="18"/>
              </w:rPr>
              <w:tab/>
            </w:r>
            <w:r>
              <w:rPr>
                <w:rFonts w:ascii="宋体" w:hAnsi="宋体"/>
                <w:sz w:val="18"/>
                <w:szCs w:val="18"/>
              </w:rPr>
              <w:t xml:space="preserve">：GB_T2261_1_2003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性别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XB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r>
              <w:rPr>
                <w:rFonts w:ascii="宋体" w:hAnsi="宋体"/>
                <w:sz w:val="18"/>
                <w:szCs w:val="18"/>
              </w:rPr>
              <w:t>医院本地</w:t>
            </w:r>
          </w:p>
          <w:p>
            <w:pPr>
              <w:snapToGrid w:val="0"/>
              <w:spacing w:line="440" w:lineRule="exact"/>
              <w:jc w:val="left"/>
              <w:rPr>
                <w:rFonts w:ascii="宋体" w:hAnsi="宋体"/>
                <w:sz w:val="18"/>
                <w:szCs w:val="18"/>
              </w:rPr>
            </w:pPr>
            <w:r>
              <w:rPr>
                <w:rFonts w:ascii="宋体" w:hAnsi="宋体"/>
                <w:sz w:val="18"/>
                <w:szCs w:val="18"/>
              </w:rPr>
              <w:t>中文性别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年龄（岁）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NLS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数值</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年龄（月）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NLY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数值</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年龄（日）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NLR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数值</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年龄（小时）</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NLXS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数值</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体重(kg)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TZ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数值</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6，</w:t>
            </w:r>
          </w:p>
          <w:p>
            <w:pPr>
              <w:snapToGrid w:val="0"/>
              <w:spacing w:line="440" w:lineRule="exact"/>
              <w:jc w:val="left"/>
              <w:rPr>
                <w:rFonts w:ascii="宋体" w:hAnsi="宋体"/>
                <w:sz w:val="18"/>
                <w:szCs w:val="18"/>
              </w:rPr>
            </w:pPr>
            <w:r>
              <w:rPr>
                <w:rFonts w:ascii="宋体" w:hAnsi="宋体"/>
                <w:sz w:val="18"/>
                <w:szCs w:val="18"/>
              </w:rPr>
              <w:t xml:space="preserve">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处方药品组 </w:t>
            </w:r>
          </w:p>
          <w:p>
            <w:pPr>
              <w:snapToGrid w:val="0"/>
              <w:spacing w:line="440" w:lineRule="exact"/>
              <w:jc w:val="left"/>
              <w:rPr>
                <w:rFonts w:ascii="宋体" w:hAnsi="宋体"/>
                <w:sz w:val="18"/>
                <w:szCs w:val="18"/>
              </w:rPr>
            </w:pPr>
            <w:r>
              <w:rPr>
                <w:rFonts w:ascii="宋体" w:hAnsi="宋体"/>
                <w:sz w:val="18"/>
                <w:szCs w:val="18"/>
              </w:rPr>
              <w:t xml:space="preserve">号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CFYPZH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电子申请单 </w:t>
            </w:r>
          </w:p>
          <w:p>
            <w:pPr>
              <w:snapToGrid w:val="0"/>
              <w:spacing w:line="440" w:lineRule="exact"/>
              <w:jc w:val="left"/>
              <w:rPr>
                <w:rFonts w:ascii="宋体" w:hAnsi="宋体"/>
                <w:sz w:val="18"/>
                <w:szCs w:val="18"/>
              </w:rPr>
            </w:pPr>
            <w:r>
              <w:rPr>
                <w:rFonts w:ascii="宋体" w:hAnsi="宋体"/>
                <w:sz w:val="18"/>
                <w:szCs w:val="18"/>
              </w:rPr>
              <w:t xml:space="preserve">编号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DZSQDBH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用药方案ID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YYFAID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疾病治疗方案ID </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用药方案名 </w:t>
            </w:r>
          </w:p>
          <w:p>
            <w:pPr>
              <w:snapToGrid w:val="0"/>
              <w:spacing w:line="440" w:lineRule="exact"/>
              <w:jc w:val="left"/>
              <w:rPr>
                <w:rFonts w:ascii="宋体" w:hAnsi="宋体"/>
                <w:sz w:val="18"/>
                <w:szCs w:val="18"/>
              </w:rPr>
            </w:pPr>
            <w:r>
              <w:rPr>
                <w:rFonts w:ascii="宋体" w:hAnsi="宋体"/>
                <w:sz w:val="18"/>
                <w:szCs w:val="18"/>
              </w:rPr>
              <w:t xml:space="preserve">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YYFAMC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疾病治疗方案名称</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医保等级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YBDJ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1. 甲， 2.乙，3.丙</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病区</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BQ</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病人所在的病区。</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病房号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BFH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病床号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BCH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下达科室编码</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XDKSBM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298" w:type="dxa"/>
            <w:noWrap w:val="0"/>
            <w:vAlign w:val="top"/>
          </w:tcPr>
          <w:p>
            <w:pPr>
              <w:snapToGrid w:val="0"/>
              <w:spacing w:line="440" w:lineRule="exact"/>
              <w:jc w:val="left"/>
              <w:rPr>
                <w:rFonts w:ascii="宋体" w:hAnsi="宋体"/>
                <w:sz w:val="18"/>
                <w:szCs w:val="18"/>
              </w:rPr>
            </w:pPr>
          </w:p>
        </w:tc>
        <w:tc>
          <w:tcPr>
            <w:tcW w:w="1954"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院内科室信息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科室名称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KSMC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p>
        </w:tc>
        <w:tc>
          <w:tcPr>
            <w:tcW w:w="1954" w:type="dxa"/>
            <w:vMerge w:val="continue"/>
            <w:tcBorders>
              <w:top w:val="nil"/>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医嘱计划开始日期时间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YZJHKSR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DATETI</w:t>
            </w:r>
          </w:p>
          <w:p>
            <w:pPr>
              <w:snapToGrid w:val="0"/>
              <w:spacing w:line="440" w:lineRule="exact"/>
              <w:jc w:val="left"/>
              <w:rPr>
                <w:rFonts w:ascii="宋体" w:hAnsi="宋体"/>
                <w:sz w:val="18"/>
                <w:szCs w:val="18"/>
              </w:rPr>
            </w:pPr>
            <w:r>
              <w:rPr>
                <w:rFonts w:ascii="宋体" w:hAnsi="宋体"/>
                <w:sz w:val="18"/>
                <w:szCs w:val="18"/>
              </w:rPr>
              <w:t xml:space="preserve">ME </w:t>
            </w:r>
          </w:p>
        </w:tc>
        <w:tc>
          <w:tcPr>
            <w:tcW w:w="567"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格</w:t>
            </w:r>
            <w:r>
              <w:rPr>
                <w:rFonts w:ascii="宋体" w:hAnsi="宋体"/>
                <w:sz w:val="18"/>
                <w:szCs w:val="18"/>
              </w:rPr>
              <w:tab/>
            </w:r>
            <w:r>
              <w:rPr>
                <w:rFonts w:ascii="宋体" w:hAnsi="宋体"/>
                <w:sz w:val="18"/>
                <w:szCs w:val="18"/>
              </w:rPr>
              <w:t>式</w:t>
            </w:r>
            <w:r>
              <w:rPr>
                <w:rFonts w:ascii="宋体" w:hAnsi="宋体"/>
                <w:sz w:val="18"/>
                <w:szCs w:val="18"/>
              </w:rPr>
              <w:tab/>
            </w:r>
            <w:r>
              <w:rPr>
                <w:rFonts w:ascii="宋体" w:hAnsi="宋体"/>
                <w:sz w:val="18"/>
                <w:szCs w:val="18"/>
              </w:rPr>
              <w:t xml:space="preserve">：YYYY-MM-DDThh24:mi:ss </w:t>
            </w:r>
          </w:p>
        </w:tc>
        <w:tc>
          <w:tcPr>
            <w:tcW w:w="1954"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医嘱计划结束日期时间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YZJHJSRQ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DATETI</w:t>
            </w:r>
          </w:p>
          <w:p>
            <w:pPr>
              <w:snapToGrid w:val="0"/>
              <w:spacing w:line="440" w:lineRule="exact"/>
              <w:jc w:val="left"/>
              <w:rPr>
                <w:rFonts w:ascii="宋体" w:hAnsi="宋体"/>
                <w:sz w:val="18"/>
                <w:szCs w:val="18"/>
              </w:rPr>
            </w:pPr>
            <w:r>
              <w:rPr>
                <w:rFonts w:ascii="宋体" w:hAnsi="宋体"/>
                <w:sz w:val="18"/>
                <w:szCs w:val="18"/>
              </w:rPr>
              <w:t xml:space="preserve">ME </w:t>
            </w:r>
          </w:p>
        </w:tc>
        <w:tc>
          <w:tcPr>
            <w:tcW w:w="567"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格</w:t>
            </w:r>
            <w:r>
              <w:rPr>
                <w:rFonts w:ascii="宋体" w:hAnsi="宋体"/>
                <w:sz w:val="18"/>
                <w:szCs w:val="18"/>
              </w:rPr>
              <w:tab/>
            </w:r>
            <w:r>
              <w:rPr>
                <w:rFonts w:ascii="宋体" w:hAnsi="宋体"/>
                <w:sz w:val="18"/>
                <w:szCs w:val="18"/>
              </w:rPr>
              <w:t>式</w:t>
            </w:r>
            <w:r>
              <w:rPr>
                <w:rFonts w:ascii="宋体" w:hAnsi="宋体"/>
                <w:sz w:val="18"/>
                <w:szCs w:val="18"/>
              </w:rPr>
              <w:tab/>
            </w:r>
            <w:r>
              <w:rPr>
                <w:rFonts w:ascii="宋体" w:hAnsi="宋体"/>
                <w:sz w:val="18"/>
                <w:szCs w:val="18"/>
              </w:rPr>
              <w:t xml:space="preserve">：YYYY-MM-DDThh24:mi:ss </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医嘱下达人工号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XDRGH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按医院内部相应医生的工号填写。见医护人员字典表</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医嘱下达人姓名</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XDRXM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医嘱下达时间</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YZXDSJ</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datetim e</w:t>
            </w:r>
          </w:p>
        </w:tc>
        <w:tc>
          <w:tcPr>
            <w:tcW w:w="567"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业务时间，格式： YYYY-MM-DDThh24:mi:ss</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执行科室编码</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ZXKSBM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p>
        </w:tc>
        <w:tc>
          <w:tcPr>
            <w:tcW w:w="1954"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院内科室信息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医嘱执行科室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YZZXKS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p>
        </w:tc>
        <w:tc>
          <w:tcPr>
            <w:tcW w:w="1954" w:type="dxa"/>
            <w:vMerge w:val="continue"/>
            <w:tcBorders>
              <w:top w:val="nil"/>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医嘱执行人工号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ZXRGH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按医院内部确认医嘱的护士的工号填写。见医护人员字典表</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医嘱执行人姓名</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ZXRXM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医嘱执行时间</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YZZXSJ</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datetim e</w:t>
            </w:r>
          </w:p>
        </w:tc>
        <w:tc>
          <w:tcPr>
            <w:tcW w:w="567"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格</w:t>
            </w:r>
            <w:r>
              <w:rPr>
                <w:rFonts w:ascii="宋体" w:hAnsi="宋体"/>
                <w:sz w:val="18"/>
                <w:szCs w:val="18"/>
              </w:rPr>
              <w:tab/>
            </w:r>
            <w:r>
              <w:rPr>
                <w:rFonts w:ascii="宋体" w:hAnsi="宋体"/>
                <w:sz w:val="18"/>
                <w:szCs w:val="18"/>
              </w:rPr>
              <w:t>式</w:t>
            </w:r>
            <w:r>
              <w:rPr>
                <w:rFonts w:ascii="宋体" w:hAnsi="宋体"/>
                <w:sz w:val="18"/>
                <w:szCs w:val="18"/>
              </w:rPr>
              <w:tab/>
            </w:r>
            <w:r>
              <w:rPr>
                <w:rFonts w:ascii="宋体" w:hAnsi="宋体"/>
                <w:sz w:val="18"/>
                <w:szCs w:val="18"/>
              </w:rPr>
              <w:t>：YYYY-MM-DDThh24:mi:ss</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医嘱执行状态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YZZXZT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医嘱终止时间</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YZZZSJ</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datetim e</w:t>
            </w:r>
          </w:p>
        </w:tc>
        <w:tc>
          <w:tcPr>
            <w:tcW w:w="567"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格</w:t>
            </w:r>
            <w:r>
              <w:rPr>
                <w:rFonts w:ascii="宋体" w:hAnsi="宋体"/>
                <w:sz w:val="18"/>
                <w:szCs w:val="18"/>
              </w:rPr>
              <w:tab/>
            </w:r>
            <w:r>
              <w:rPr>
                <w:rFonts w:ascii="宋体" w:hAnsi="宋体"/>
                <w:sz w:val="18"/>
                <w:szCs w:val="18"/>
              </w:rPr>
              <w:t>式</w:t>
            </w:r>
            <w:r>
              <w:rPr>
                <w:rFonts w:ascii="宋体" w:hAnsi="宋体"/>
                <w:sz w:val="18"/>
                <w:szCs w:val="18"/>
              </w:rPr>
              <w:tab/>
            </w:r>
            <w:r>
              <w:rPr>
                <w:rFonts w:ascii="宋体" w:hAnsi="宋体"/>
                <w:sz w:val="18"/>
                <w:szCs w:val="18"/>
              </w:rPr>
              <w:t>：YYYY-MM-DDThh24:mi:ss</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停止医嘱者签名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TZYZZQM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停止医嘱者工号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TZYZZGH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16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医嘱取消日期时间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YZQXRQSJ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DATETIME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格</w:t>
            </w:r>
            <w:r>
              <w:rPr>
                <w:rFonts w:ascii="宋体" w:hAnsi="宋体"/>
                <w:sz w:val="18"/>
                <w:szCs w:val="18"/>
              </w:rPr>
              <w:tab/>
            </w:r>
            <w:r>
              <w:rPr>
                <w:rFonts w:ascii="宋体" w:hAnsi="宋体"/>
                <w:sz w:val="18"/>
                <w:szCs w:val="18"/>
              </w:rPr>
              <w:t>式</w:t>
            </w:r>
            <w:r>
              <w:rPr>
                <w:rFonts w:ascii="宋体" w:hAnsi="宋体"/>
                <w:sz w:val="18"/>
                <w:szCs w:val="18"/>
              </w:rPr>
              <w:tab/>
            </w:r>
            <w:r>
              <w:rPr>
                <w:rFonts w:ascii="宋体" w:hAnsi="宋体"/>
                <w:sz w:val="18"/>
                <w:szCs w:val="18"/>
              </w:rPr>
              <w:t xml:space="preserve">：YYYY-MM-DDThh24:mi:ss </w:t>
            </w:r>
          </w:p>
        </w:tc>
        <w:tc>
          <w:tcPr>
            <w:tcW w:w="1954"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取消医嘱者签名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QXYZZQM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取消医嘱者工号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QXYZZGH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16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医嘱审核人签名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YZSHRQM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医嘱审核人工号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YZSHRGH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16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医嘱审核日期时间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YZSHRQSJ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DATETI</w:t>
            </w:r>
          </w:p>
          <w:p>
            <w:pPr>
              <w:snapToGrid w:val="0"/>
              <w:spacing w:line="440" w:lineRule="exact"/>
              <w:jc w:val="left"/>
              <w:rPr>
                <w:rFonts w:ascii="宋体" w:hAnsi="宋体"/>
                <w:sz w:val="18"/>
                <w:szCs w:val="18"/>
              </w:rPr>
            </w:pPr>
            <w:r>
              <w:rPr>
                <w:rFonts w:ascii="宋体" w:hAnsi="宋体"/>
                <w:sz w:val="18"/>
                <w:szCs w:val="18"/>
              </w:rPr>
              <w:t xml:space="preserve">ME </w:t>
            </w:r>
          </w:p>
        </w:tc>
        <w:tc>
          <w:tcPr>
            <w:tcW w:w="567"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格</w:t>
            </w:r>
            <w:r>
              <w:rPr>
                <w:rFonts w:ascii="宋体" w:hAnsi="宋体"/>
                <w:sz w:val="18"/>
                <w:szCs w:val="18"/>
              </w:rPr>
              <w:tab/>
            </w:r>
            <w:r>
              <w:rPr>
                <w:rFonts w:ascii="宋体" w:hAnsi="宋体"/>
                <w:sz w:val="18"/>
                <w:szCs w:val="18"/>
              </w:rPr>
              <w:t>式</w:t>
            </w:r>
            <w:r>
              <w:rPr>
                <w:rFonts w:ascii="宋体" w:hAnsi="宋体"/>
                <w:sz w:val="18"/>
                <w:szCs w:val="18"/>
              </w:rPr>
              <w:tab/>
            </w:r>
            <w:r>
              <w:rPr>
                <w:rFonts w:ascii="宋体" w:hAnsi="宋体"/>
                <w:sz w:val="18"/>
                <w:szCs w:val="18"/>
              </w:rPr>
              <w:t xml:space="preserve">：YYYY-MM-DDThh24:mi:ss </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核对医嘱护士签名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HDYZHSQM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核对医嘱护士工号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HDYZHSGH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16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医嘱核对日期时间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YZHDRQSJ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DATETIME </w:t>
            </w:r>
          </w:p>
        </w:tc>
        <w:tc>
          <w:tcPr>
            <w:tcW w:w="567"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格</w:t>
            </w:r>
            <w:r>
              <w:rPr>
                <w:rFonts w:ascii="宋体" w:hAnsi="宋体"/>
                <w:sz w:val="18"/>
                <w:szCs w:val="18"/>
              </w:rPr>
              <w:tab/>
            </w:r>
            <w:r>
              <w:rPr>
                <w:rFonts w:ascii="宋体" w:hAnsi="宋体"/>
                <w:sz w:val="18"/>
                <w:szCs w:val="18"/>
              </w:rPr>
              <w:t>式</w:t>
            </w:r>
            <w:r>
              <w:rPr>
                <w:rFonts w:ascii="宋体" w:hAnsi="宋体"/>
                <w:sz w:val="18"/>
                <w:szCs w:val="18"/>
              </w:rPr>
              <w:tab/>
            </w:r>
            <w:r>
              <w:rPr>
                <w:rFonts w:ascii="宋体" w:hAnsi="宋体"/>
                <w:sz w:val="18"/>
                <w:szCs w:val="18"/>
              </w:rPr>
              <w:t xml:space="preserve">：YYYY-MM-DDThh24:mi:ss </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医嘱说明</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YZSM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256</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对该医嘱的文 字 性 说明。</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医嘱组号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YZZH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医嘱类别</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YZLB</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编码。1：长期（在院）； 2：临时（在院）；3：出院带药；9：其他</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医嘱类型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YZLX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见说明（3）</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医嘱明细编码</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YZMXBM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见说明（2）</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医嘱明细名称</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YZMXMC</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256</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见说明（2）</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医嘱明细编码（统一）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MXXMBMYB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是否药品</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SFYP</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1.药品</w:t>
            </w:r>
            <w:r>
              <w:rPr>
                <w:rFonts w:hint="eastAsia" w:ascii="宋体" w:hAnsi="宋体"/>
                <w:sz w:val="18"/>
                <w:szCs w:val="18"/>
              </w:rPr>
              <w:tab/>
            </w:r>
            <w:r>
              <w:rPr>
                <w:rFonts w:hint="eastAsia" w:ascii="宋体" w:hAnsi="宋体"/>
                <w:sz w:val="18"/>
                <w:szCs w:val="18"/>
              </w:rPr>
              <w:t>0.非药品</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药物类型</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YWLX</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4</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CV5301.06</w:t>
            </w:r>
            <w:r>
              <w:rPr>
                <w:rFonts w:hint="eastAsia" w:ascii="宋体" w:hAnsi="宋体"/>
                <w:sz w:val="18"/>
                <w:szCs w:val="18"/>
              </w:rPr>
              <w:t>药物类型代码, 见门诊处方明细表说明（6）</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剂型代码</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JXDM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CV5301.01</w:t>
            </w:r>
            <w:r>
              <w:rPr>
                <w:rFonts w:hint="eastAsia" w:ascii="宋体" w:hAnsi="宋体"/>
                <w:sz w:val="18"/>
                <w:szCs w:val="18"/>
              </w:rPr>
              <w:t>剂 型 代 码见门诊处方明细表说明</w:t>
            </w:r>
          </w:p>
          <w:p>
            <w:pPr>
              <w:snapToGrid w:val="0"/>
              <w:spacing w:line="440" w:lineRule="exact"/>
              <w:jc w:val="left"/>
              <w:rPr>
                <w:rFonts w:ascii="宋体" w:hAnsi="宋体"/>
                <w:sz w:val="18"/>
                <w:szCs w:val="18"/>
              </w:rPr>
            </w:pPr>
            <w:r>
              <w:rPr>
                <w:rFonts w:hint="eastAsia" w:ascii="宋体" w:hAnsi="宋体"/>
                <w:sz w:val="18"/>
                <w:szCs w:val="18"/>
              </w:rPr>
              <w:t>（1）</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主药标识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数值</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区分分组显示中的主药</w:t>
            </w:r>
            <w:r>
              <w:rPr>
                <w:rFonts w:hint="eastAsia" w:ascii="宋体" w:hAnsi="宋体"/>
                <w:sz w:val="18"/>
                <w:szCs w:val="18"/>
              </w:rPr>
              <w:t>见门诊说   明  3（</w:t>
            </w:r>
            <w:r>
              <w:rPr>
                <w:rFonts w:ascii="宋体" w:hAnsi="宋体"/>
                <w:sz w:val="18"/>
                <w:szCs w:val="18"/>
              </w:rPr>
              <w:t>CVX_Ri ght）</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抗菌药标志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KJYBZ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数值</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1. 非限制使用，2.限制使用，3. 特殊使用，4. 非抗菌药，9.其他</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tcBorders>
              <w:bottom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 xml:space="preserve">精神药物标志 </w:t>
            </w:r>
          </w:p>
        </w:tc>
        <w:tc>
          <w:tcPr>
            <w:tcW w:w="850" w:type="dxa"/>
            <w:tcBorders>
              <w:bottom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 xml:space="preserve">JSYWBZ </w:t>
            </w:r>
          </w:p>
        </w:tc>
        <w:tc>
          <w:tcPr>
            <w:tcW w:w="992" w:type="dxa"/>
            <w:tcBorders>
              <w:bottom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数值</w:t>
            </w:r>
          </w:p>
        </w:tc>
        <w:tc>
          <w:tcPr>
            <w:tcW w:w="567" w:type="dxa"/>
            <w:tcBorders>
              <w:bottom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tcBorders>
              <w:bottom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tcBorders>
              <w:bottom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1.精一，2. 精二，3.非精神用药，9.其他</w:t>
            </w:r>
          </w:p>
        </w:tc>
        <w:tc>
          <w:tcPr>
            <w:tcW w:w="1954" w:type="dxa"/>
            <w:tcBorders>
              <w:bottom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tcBorders>
              <w:top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 xml:space="preserve">麻醉药物标志 </w:t>
            </w:r>
          </w:p>
        </w:tc>
        <w:tc>
          <w:tcPr>
            <w:tcW w:w="850" w:type="dxa"/>
            <w:tcBorders>
              <w:top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 xml:space="preserve">MZYBZ </w:t>
            </w:r>
          </w:p>
        </w:tc>
        <w:tc>
          <w:tcPr>
            <w:tcW w:w="992" w:type="dxa"/>
            <w:tcBorders>
              <w:top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数值</w:t>
            </w:r>
          </w:p>
        </w:tc>
        <w:tc>
          <w:tcPr>
            <w:tcW w:w="567" w:type="dxa"/>
            <w:tcBorders>
              <w:top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tcBorders>
              <w:top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tcBorders>
              <w:top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见门诊说明3（ </w:t>
            </w:r>
            <w:r>
              <w:rPr>
                <w:rFonts w:ascii="宋体" w:hAnsi="宋体"/>
                <w:sz w:val="18"/>
                <w:szCs w:val="18"/>
              </w:rPr>
              <w:t>CVX_Right）</w:t>
            </w:r>
          </w:p>
        </w:tc>
        <w:tc>
          <w:tcPr>
            <w:tcW w:w="1954" w:type="dxa"/>
            <w:tcBorders>
              <w:top w:val="single" w:color="000000" w:sz="6" w:space="0"/>
            </w:tcBorders>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基本药物标志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JBYWBZ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数值</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1.国家基本药物，2. 省增补基本药物，3. 地市增补基本药物，4. 区县增补基本药物，8.非基本药物</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输液用药标志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SYYYBZ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数值</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见门诊说明 3（ </w:t>
            </w:r>
            <w:r>
              <w:rPr>
                <w:rFonts w:ascii="宋体" w:hAnsi="宋体"/>
                <w:sz w:val="18"/>
                <w:szCs w:val="18"/>
              </w:rPr>
              <w:t>CVX_Right）</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药品规格</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YPGG</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298"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若为药品， 则应填写， 若 为 非 药品，则必须为空。</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药品用法</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YPYF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298" w:type="dxa"/>
            <w:vMerge w:val="continue"/>
            <w:tcBorders>
              <w:top w:val="nil"/>
            </w:tcBorders>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用药频度</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YYPD</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见门诊说明（7）。</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每次使用剂量</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JL</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8.3</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每次使用剂量单位</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DW</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见门诊说明（8）</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每次使用数量</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MCSL</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8.3</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每次使用数量单位</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MCDW</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6</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见门诊说明（9）</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给药途径( 用法)</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药品用法代码</w:t>
            </w:r>
            <w:r>
              <w:rPr>
                <w:rFonts w:hint="eastAsia" w:ascii="宋体" w:hAnsi="宋体"/>
                <w:sz w:val="18"/>
                <w:szCs w:val="18"/>
              </w:rPr>
              <w:tab/>
            </w:r>
            <w:r>
              <w:rPr>
                <w:rFonts w:hint="eastAsia" w:ascii="宋体" w:hAnsi="宋体"/>
                <w:sz w:val="18"/>
                <w:szCs w:val="18"/>
              </w:rPr>
              <w:t>，</w:t>
            </w:r>
            <w:r>
              <w:rPr>
                <w:rFonts w:ascii="宋体" w:hAnsi="宋体"/>
                <w:sz w:val="18"/>
                <w:szCs w:val="18"/>
              </w:rPr>
              <w:t>CV5201.22</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用药天数</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YYTS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8.3</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出院带药用</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皮试判别</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SFPS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1.是 0 否</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发药数量</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YPSL</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8.3</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出院带药用</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发药数量单位</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YPDW</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出院带药用</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中药类别代码</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ZYLBDM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中药使用类别代码默认值为：1,（未使用）值 域 ： CV5301.05见门诊处方明细表说明</w:t>
            </w:r>
            <w:r>
              <w:rPr>
                <w:rFonts w:ascii="宋体" w:hAnsi="宋体"/>
                <w:sz w:val="18"/>
                <w:szCs w:val="18"/>
              </w:rPr>
              <w:t>(5)</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中药煎煮法代码</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JYDM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见门诊处方明细表的说明（4）。</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检查部位</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JCBW</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影像检查医嘱，说明被检 查 的 部位。</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包装规格数量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BZGGSL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数值</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如果一盒药品12片，发药单位为盒时，包装规格数量为12，发药单位为片时，包装</w:t>
            </w:r>
          </w:p>
          <w:p>
            <w:pPr>
              <w:snapToGrid w:val="0"/>
              <w:spacing w:line="440" w:lineRule="exact"/>
              <w:jc w:val="left"/>
              <w:rPr>
                <w:rFonts w:ascii="宋体" w:hAnsi="宋体"/>
                <w:sz w:val="18"/>
                <w:szCs w:val="18"/>
              </w:rPr>
            </w:pPr>
            <w:r>
              <w:rPr>
                <w:rFonts w:ascii="宋体" w:hAnsi="宋体"/>
                <w:sz w:val="18"/>
                <w:szCs w:val="18"/>
              </w:rPr>
              <w:t xml:space="preserve">规格数量为1 </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包装规格单位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BZGGDW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发药单位，例如：瓶、盒、片等</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给药速度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GYSD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静脉输液药品滴注时间和速度的描述，如：1小时、20 滴 /分钟，需同时传入数字和单位，单位为小时或滴/分钟</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限用时间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XYSJ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静脉输液药品配制后使用时间的描述，如：现配现用、立即使用、2h内使用等</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药嘱目的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YZMD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药嘱开具的目的，科室领药、带手术室等</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给药时机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GYSJ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药品给药时机，如：饭前、饭后、空腹等</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给药目的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GYMD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首剂给药| 首次给药| 预防用药| 治疗用药等</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药品来源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YPLY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字</w:t>
            </w:r>
            <w:r>
              <w:rPr>
                <w:rFonts w:ascii="宋体" w:hAnsi="宋体"/>
                <w:sz w:val="18"/>
                <w:szCs w:val="18"/>
              </w:rPr>
              <w:tab/>
            </w:r>
            <w:r>
              <w:rPr>
                <w:rFonts w:ascii="宋体" w:hAnsi="宋体"/>
                <w:sz w:val="18"/>
                <w:szCs w:val="18"/>
              </w:rPr>
              <w:t>典</w:t>
            </w:r>
            <w:r>
              <w:rPr>
                <w:rFonts w:ascii="宋体" w:hAnsi="宋体"/>
                <w:sz w:val="18"/>
                <w:szCs w:val="18"/>
              </w:rPr>
              <w:tab/>
            </w:r>
            <w:r>
              <w:rPr>
                <w:rFonts w:ascii="宋体" w:hAnsi="宋体"/>
                <w:sz w:val="18"/>
                <w:szCs w:val="18"/>
              </w:rPr>
              <w:t xml:space="preserve">： CVX_YPLY1 </w:t>
            </w:r>
          </w:p>
          <w:p>
            <w:pPr>
              <w:snapToGrid w:val="0"/>
              <w:spacing w:line="440" w:lineRule="exact"/>
              <w:jc w:val="left"/>
              <w:rPr>
                <w:rFonts w:ascii="宋体" w:hAnsi="宋体"/>
                <w:sz w:val="18"/>
                <w:szCs w:val="18"/>
              </w:rPr>
            </w:pPr>
            <w:r>
              <w:rPr>
                <w:rFonts w:ascii="宋体" w:hAnsi="宋体"/>
                <w:sz w:val="18"/>
                <w:szCs w:val="18"/>
              </w:rPr>
              <w:t>医院药品，2 自备药品</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给药部位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GYBW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32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药品使用部位</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皮试结果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PSJG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256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皮试结果的描述</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皮试时间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PSSJ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皮试结果记录时间</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饮片单帖价格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YPDTJG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数值</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11，4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中药饮片的单帖价格，计量单位为元</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饮片帖数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YPTS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整数</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4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中药饮片帖数</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膏方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整数</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见门诊说明3（</w:t>
            </w:r>
            <w:r>
              <w:rPr>
                <w:rFonts w:ascii="宋体" w:hAnsi="宋体"/>
                <w:sz w:val="18"/>
                <w:szCs w:val="18"/>
              </w:rPr>
              <w:t>CVX_Right）开具的中药饮片医嘱是否为膏方,0 否，1是，只能填入</w:t>
            </w:r>
          </w:p>
          <w:p>
            <w:pPr>
              <w:snapToGrid w:val="0"/>
              <w:spacing w:line="440" w:lineRule="exact"/>
              <w:jc w:val="left"/>
              <w:rPr>
                <w:rFonts w:ascii="宋体" w:hAnsi="宋体"/>
                <w:sz w:val="18"/>
                <w:szCs w:val="18"/>
              </w:rPr>
            </w:pPr>
            <w:r>
              <w:rPr>
                <w:rFonts w:ascii="宋体" w:hAnsi="宋体"/>
                <w:sz w:val="18"/>
                <w:szCs w:val="18"/>
              </w:rPr>
              <w:t>“1|0”</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修改标志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XGBZ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整数</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见患者信息表表说明4 </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备注</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BZ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1024</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特殊的说明</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密级</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MJ</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同就诊记录表的相关说明</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预留一</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YLYL1</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c>
          <w:tcPr>
            <w:tcW w:w="1954"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预留二</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YLYL2</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22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c>
          <w:tcPr>
            <w:tcW w:w="1954" w:type="dxa"/>
            <w:noWrap w:val="0"/>
            <w:vAlign w:val="top"/>
          </w:tcPr>
          <w:p>
            <w:pPr>
              <w:snapToGrid w:val="0"/>
              <w:spacing w:line="440" w:lineRule="exact"/>
              <w:jc w:val="left"/>
              <w:rPr>
                <w:rFonts w:ascii="宋体" w:hAnsi="宋体"/>
                <w:sz w:val="18"/>
                <w:szCs w:val="18"/>
              </w:rPr>
            </w:pPr>
          </w:p>
        </w:tc>
      </w:tr>
    </w:tbl>
    <w:p>
      <w:pPr>
        <w:snapToGrid w:val="0"/>
        <w:spacing w:line="440" w:lineRule="exact"/>
        <w:jc w:val="left"/>
        <w:rPr>
          <w:rFonts w:ascii="宋体" w:hAnsi="宋体"/>
          <w:sz w:val="24"/>
        </w:rPr>
      </w:pPr>
      <w:r>
        <w:rPr>
          <w:rFonts w:hint="eastAsia" w:ascii="宋体" w:hAnsi="宋体"/>
          <w:sz w:val="24"/>
        </w:rPr>
        <w:t>2.1.3.5</w:t>
      </w:r>
      <w:r>
        <w:rPr>
          <w:rFonts w:ascii="宋体" w:hAnsi="宋体"/>
          <w:sz w:val="24"/>
        </w:rPr>
        <w:t>住院收费明细表(TB_HIS_ZY_Fee_Detail)</w:t>
      </w:r>
    </w:p>
    <w:tbl>
      <w:tblPr>
        <w:tblStyle w:val="48"/>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850"/>
        <w:gridCol w:w="992"/>
        <w:gridCol w:w="567"/>
        <w:gridCol w:w="851"/>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数据项</w:t>
            </w:r>
          </w:p>
        </w:tc>
        <w:tc>
          <w:tcPr>
            <w:tcW w:w="850"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字段名</w:t>
            </w:r>
          </w:p>
        </w:tc>
        <w:tc>
          <w:tcPr>
            <w:tcW w:w="992"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类型</w:t>
            </w:r>
          </w:p>
        </w:tc>
        <w:tc>
          <w:tcPr>
            <w:tcW w:w="567"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字节</w:t>
            </w:r>
          </w:p>
        </w:tc>
        <w:tc>
          <w:tcPr>
            <w:tcW w:w="85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填报要求</w:t>
            </w:r>
          </w:p>
        </w:tc>
        <w:tc>
          <w:tcPr>
            <w:tcW w:w="4252"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5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复合主键；卫生机构分类代码22位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收费明细ID</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SFMXID</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5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复合主键；见说明（1）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退费标志</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XGBZ</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5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复合主键；1：正常；2：退费；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住院就诊流水号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JZLSH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52"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与住院就诊记录表关联的外键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KH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52"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必须与患者基本信息关联，见前述”患者信息表”的说明(1)以及相关说明。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卡类型</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KLX</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52" w:type="dxa"/>
            <w:vMerge w:val="continue"/>
            <w:tcBorders>
              <w:top w:val="nil"/>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相关医嘱ID</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YZID</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252"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见说明（2）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发票号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FPH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425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明细费用类别</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MXFYLB</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52"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见说明（3）；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收费/退费时间</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STFSJ</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567"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5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明细项目编码</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MXXMBM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52"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明细项目名称</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MXXMMC</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52"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见明细项目字典表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明细项目单位</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MXXMDW</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52"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见明细项目字典表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明细项目单价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MXXMDJ</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11</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52"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见明细项目字典表； 金额；</w:t>
            </w:r>
            <w:r>
              <w:rPr>
                <w:rFonts w:ascii="宋体" w:hAnsi="宋体"/>
                <w:sz w:val="18"/>
                <w:szCs w:val="18"/>
              </w:rPr>
              <w:t>“0000000.000”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明细项目数量</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MXXMSL</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9</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52"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明细项目金额</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MXXMJE</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11</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252" w:type="dxa"/>
            <w:noWrap w:val="0"/>
            <w:vAlign w:val="top"/>
          </w:tcPr>
          <w:p>
            <w:pPr>
              <w:snapToGrid w:val="0"/>
              <w:spacing w:line="440" w:lineRule="exact"/>
              <w:jc w:val="left"/>
              <w:rPr>
                <w:rFonts w:ascii="宋体" w:hAnsi="宋体"/>
                <w:sz w:val="18"/>
                <w:szCs w:val="18"/>
              </w:rPr>
            </w:pPr>
            <w:r>
              <w:rPr>
                <w:rFonts w:hint="eastAsia" w:ascii="宋体" w:hAnsi="宋体"/>
                <w:sz w:val="18"/>
                <w:szCs w:val="18"/>
              </w:rPr>
              <w:t>金额；“0000000.000”，&gt;=0。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预留一</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YLYL1</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4252"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56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预留二</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YLYL2</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4252"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r>
    </w:tbl>
    <w:p>
      <w:pPr>
        <w:snapToGrid w:val="0"/>
        <w:spacing w:line="440" w:lineRule="exact"/>
        <w:jc w:val="left"/>
        <w:rPr>
          <w:rFonts w:ascii="宋体" w:hAnsi="宋体"/>
          <w:sz w:val="24"/>
        </w:rPr>
      </w:pPr>
      <w:r>
        <w:rPr>
          <w:rFonts w:hint="eastAsia" w:ascii="宋体" w:hAnsi="宋体"/>
          <w:sz w:val="24"/>
        </w:rPr>
        <w:t>2.1.3.6</w:t>
      </w:r>
      <w:r>
        <w:rPr>
          <w:rFonts w:ascii="宋体" w:hAnsi="宋体"/>
          <w:sz w:val="24"/>
        </w:rPr>
        <w:t>住院体温单表(TB_HIS_ZY_Temperature)</w:t>
      </w:r>
    </w:p>
    <w:tbl>
      <w:tblPr>
        <w:tblStyle w:val="4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5"/>
        <w:gridCol w:w="965"/>
        <w:gridCol w:w="1056"/>
        <w:gridCol w:w="533"/>
        <w:gridCol w:w="863"/>
        <w:gridCol w:w="2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2395"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数据项</w:t>
            </w:r>
          </w:p>
        </w:tc>
        <w:tc>
          <w:tcPr>
            <w:tcW w:w="965"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字段名</w:t>
            </w:r>
          </w:p>
        </w:tc>
        <w:tc>
          <w:tcPr>
            <w:tcW w:w="1056"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类型</w:t>
            </w:r>
          </w:p>
        </w:tc>
        <w:tc>
          <w:tcPr>
            <w:tcW w:w="533"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字节</w:t>
            </w:r>
          </w:p>
        </w:tc>
        <w:tc>
          <w:tcPr>
            <w:tcW w:w="863"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填报要求</w:t>
            </w:r>
          </w:p>
        </w:tc>
        <w:tc>
          <w:tcPr>
            <w:tcW w:w="2918"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2395"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体温单ID</w:t>
            </w:r>
          </w:p>
        </w:tc>
        <w:tc>
          <w:tcPr>
            <w:tcW w:w="965"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TWDID</w:t>
            </w:r>
          </w:p>
        </w:tc>
        <w:tc>
          <w:tcPr>
            <w:tcW w:w="1056"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33"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10</w:t>
            </w:r>
          </w:p>
        </w:tc>
        <w:tc>
          <w:tcPr>
            <w:tcW w:w="863" w:type="dxa"/>
            <w:shd w:val="clear" w:color="auto" w:fill="FAD3B4"/>
            <w:noWrap w:val="0"/>
            <w:vAlign w:val="top"/>
          </w:tcPr>
          <w:p>
            <w:pPr>
              <w:snapToGrid w:val="0"/>
              <w:spacing w:line="440" w:lineRule="exact"/>
              <w:jc w:val="left"/>
              <w:rPr>
                <w:rFonts w:ascii="宋体" w:hAnsi="宋体"/>
                <w:sz w:val="18"/>
                <w:szCs w:val="18"/>
              </w:rPr>
            </w:pPr>
          </w:p>
        </w:tc>
        <w:tc>
          <w:tcPr>
            <w:tcW w:w="2918"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2395"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c>
          <w:tcPr>
            <w:tcW w:w="965"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1056"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33"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63"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918"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复合主键；卫生机构分类代码22位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2395"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住院就诊流水号</w:t>
            </w:r>
          </w:p>
        </w:tc>
        <w:tc>
          <w:tcPr>
            <w:tcW w:w="965" w:type="dxa"/>
            <w:noWrap w:val="0"/>
            <w:vAlign w:val="top"/>
          </w:tcPr>
          <w:p>
            <w:pPr>
              <w:snapToGrid w:val="0"/>
              <w:spacing w:line="440" w:lineRule="exact"/>
              <w:jc w:val="left"/>
              <w:rPr>
                <w:rFonts w:ascii="宋体" w:hAnsi="宋体"/>
                <w:sz w:val="18"/>
                <w:szCs w:val="18"/>
              </w:rPr>
            </w:pPr>
            <w:r>
              <w:rPr>
                <w:rFonts w:ascii="宋体" w:hAnsi="宋体"/>
                <w:sz w:val="18"/>
                <w:szCs w:val="18"/>
              </w:rPr>
              <w:t>JZLSH</w:t>
            </w:r>
          </w:p>
        </w:tc>
        <w:tc>
          <w:tcPr>
            <w:tcW w:w="1056"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33"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6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9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与住院就诊记录表关联的外键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2395"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卡号</w:t>
            </w:r>
          </w:p>
        </w:tc>
        <w:tc>
          <w:tcPr>
            <w:tcW w:w="965" w:type="dxa"/>
            <w:noWrap w:val="0"/>
            <w:vAlign w:val="top"/>
          </w:tcPr>
          <w:p>
            <w:pPr>
              <w:snapToGrid w:val="0"/>
              <w:spacing w:line="440" w:lineRule="exact"/>
              <w:jc w:val="left"/>
              <w:rPr>
                <w:rFonts w:ascii="宋体" w:hAnsi="宋体"/>
                <w:sz w:val="18"/>
                <w:szCs w:val="18"/>
              </w:rPr>
            </w:pPr>
            <w:r>
              <w:rPr>
                <w:rFonts w:ascii="宋体" w:hAnsi="宋体"/>
                <w:sz w:val="18"/>
                <w:szCs w:val="18"/>
              </w:rPr>
              <w:t>KH</w:t>
            </w:r>
          </w:p>
        </w:tc>
        <w:tc>
          <w:tcPr>
            <w:tcW w:w="1056"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33"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6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918"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必须与患者基本信息关联，见前述”患者信息表”的说明(1)以及相关说明。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2395"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卡类型</w:t>
            </w:r>
          </w:p>
        </w:tc>
        <w:tc>
          <w:tcPr>
            <w:tcW w:w="965" w:type="dxa"/>
            <w:noWrap w:val="0"/>
            <w:vAlign w:val="top"/>
          </w:tcPr>
          <w:p>
            <w:pPr>
              <w:snapToGrid w:val="0"/>
              <w:spacing w:line="440" w:lineRule="exact"/>
              <w:jc w:val="left"/>
              <w:rPr>
                <w:rFonts w:ascii="宋体" w:hAnsi="宋体"/>
                <w:sz w:val="18"/>
                <w:szCs w:val="18"/>
              </w:rPr>
            </w:pPr>
            <w:r>
              <w:rPr>
                <w:rFonts w:ascii="宋体" w:hAnsi="宋体"/>
                <w:sz w:val="18"/>
                <w:szCs w:val="18"/>
              </w:rPr>
              <w:t>KLX</w:t>
            </w:r>
          </w:p>
        </w:tc>
        <w:tc>
          <w:tcPr>
            <w:tcW w:w="1056"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33" w:type="dxa"/>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6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918" w:type="dxa"/>
            <w:vMerge w:val="continue"/>
            <w:tcBorders>
              <w:top w:val="nil"/>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2395" w:type="dxa"/>
            <w:noWrap w:val="0"/>
            <w:vAlign w:val="top"/>
          </w:tcPr>
          <w:p>
            <w:pPr>
              <w:snapToGrid w:val="0"/>
              <w:spacing w:line="440" w:lineRule="exact"/>
              <w:jc w:val="left"/>
              <w:rPr>
                <w:rFonts w:ascii="宋体" w:hAnsi="宋体"/>
                <w:sz w:val="18"/>
                <w:szCs w:val="18"/>
              </w:rPr>
            </w:pPr>
            <w:r>
              <w:rPr>
                <w:rFonts w:hint="eastAsia" w:ascii="宋体" w:hAnsi="宋体"/>
                <w:sz w:val="18"/>
                <w:szCs w:val="18"/>
              </w:rPr>
              <w:t>相关医嘱ID</w:t>
            </w:r>
          </w:p>
        </w:tc>
        <w:tc>
          <w:tcPr>
            <w:tcW w:w="965" w:type="dxa"/>
            <w:noWrap w:val="0"/>
            <w:vAlign w:val="top"/>
          </w:tcPr>
          <w:p>
            <w:pPr>
              <w:snapToGrid w:val="0"/>
              <w:spacing w:line="440" w:lineRule="exact"/>
              <w:jc w:val="left"/>
              <w:rPr>
                <w:rFonts w:ascii="宋体" w:hAnsi="宋体"/>
                <w:sz w:val="18"/>
                <w:szCs w:val="18"/>
              </w:rPr>
            </w:pPr>
            <w:r>
              <w:rPr>
                <w:rFonts w:ascii="宋体" w:hAnsi="宋体"/>
                <w:sz w:val="18"/>
                <w:szCs w:val="18"/>
              </w:rPr>
              <w:t>YZID</w:t>
            </w:r>
          </w:p>
        </w:tc>
        <w:tc>
          <w:tcPr>
            <w:tcW w:w="1056"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33"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6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9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见说明（2）；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2395"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体温</w:t>
            </w:r>
          </w:p>
        </w:tc>
        <w:tc>
          <w:tcPr>
            <w:tcW w:w="965" w:type="dxa"/>
            <w:noWrap w:val="0"/>
            <w:vAlign w:val="top"/>
          </w:tcPr>
          <w:p>
            <w:pPr>
              <w:snapToGrid w:val="0"/>
              <w:spacing w:line="440" w:lineRule="exact"/>
              <w:jc w:val="left"/>
              <w:rPr>
                <w:rFonts w:ascii="宋体" w:hAnsi="宋体"/>
                <w:sz w:val="18"/>
                <w:szCs w:val="18"/>
              </w:rPr>
            </w:pPr>
            <w:r>
              <w:rPr>
                <w:rFonts w:ascii="宋体" w:hAnsi="宋体"/>
                <w:sz w:val="18"/>
                <w:szCs w:val="18"/>
              </w:rPr>
              <w:t>TW</w:t>
            </w:r>
          </w:p>
        </w:tc>
        <w:tc>
          <w:tcPr>
            <w:tcW w:w="1056"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33" w:type="dxa"/>
            <w:noWrap w:val="0"/>
            <w:vAlign w:val="top"/>
          </w:tcPr>
          <w:p>
            <w:pPr>
              <w:snapToGrid w:val="0"/>
              <w:spacing w:line="440" w:lineRule="exact"/>
              <w:jc w:val="left"/>
              <w:rPr>
                <w:rFonts w:ascii="宋体" w:hAnsi="宋体"/>
                <w:sz w:val="18"/>
                <w:szCs w:val="18"/>
              </w:rPr>
            </w:pPr>
            <w:r>
              <w:rPr>
                <w:rFonts w:ascii="宋体" w:hAnsi="宋体"/>
                <w:sz w:val="18"/>
                <w:szCs w:val="18"/>
              </w:rPr>
              <w:t>3.1</w:t>
            </w:r>
          </w:p>
        </w:tc>
        <w:tc>
          <w:tcPr>
            <w:tcW w:w="86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9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摄氏值，忽略测量方法和部位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2395" w:type="dxa"/>
            <w:noWrap w:val="0"/>
            <w:vAlign w:val="top"/>
          </w:tcPr>
          <w:p>
            <w:pPr>
              <w:snapToGrid w:val="0"/>
              <w:spacing w:line="440" w:lineRule="exact"/>
              <w:jc w:val="left"/>
              <w:rPr>
                <w:rFonts w:ascii="宋体" w:hAnsi="宋体"/>
                <w:sz w:val="18"/>
                <w:szCs w:val="18"/>
              </w:rPr>
            </w:pPr>
            <w:r>
              <w:rPr>
                <w:rFonts w:hint="eastAsia" w:ascii="宋体" w:hAnsi="宋体"/>
                <w:sz w:val="18"/>
                <w:szCs w:val="18"/>
              </w:rPr>
              <w:t>测量时间</w:t>
            </w:r>
          </w:p>
        </w:tc>
        <w:tc>
          <w:tcPr>
            <w:tcW w:w="965" w:type="dxa"/>
            <w:noWrap w:val="0"/>
            <w:vAlign w:val="top"/>
          </w:tcPr>
          <w:p>
            <w:pPr>
              <w:snapToGrid w:val="0"/>
              <w:spacing w:line="440" w:lineRule="exact"/>
              <w:jc w:val="left"/>
              <w:rPr>
                <w:rFonts w:ascii="宋体" w:hAnsi="宋体"/>
                <w:sz w:val="18"/>
                <w:szCs w:val="18"/>
              </w:rPr>
            </w:pPr>
            <w:r>
              <w:rPr>
                <w:rFonts w:ascii="宋体" w:hAnsi="宋体"/>
                <w:sz w:val="18"/>
                <w:szCs w:val="18"/>
              </w:rPr>
              <w:t>CLSJ</w:t>
            </w:r>
          </w:p>
        </w:tc>
        <w:tc>
          <w:tcPr>
            <w:tcW w:w="1056"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533" w:type="dxa"/>
            <w:noWrap w:val="0"/>
            <w:vAlign w:val="top"/>
          </w:tcPr>
          <w:p>
            <w:pPr>
              <w:snapToGrid w:val="0"/>
              <w:spacing w:line="440" w:lineRule="exact"/>
              <w:jc w:val="left"/>
              <w:rPr>
                <w:rFonts w:ascii="宋体" w:hAnsi="宋体"/>
                <w:sz w:val="18"/>
                <w:szCs w:val="18"/>
              </w:rPr>
            </w:pPr>
          </w:p>
        </w:tc>
        <w:tc>
          <w:tcPr>
            <w:tcW w:w="86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91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2395" w:type="dxa"/>
            <w:noWrap w:val="0"/>
            <w:vAlign w:val="top"/>
          </w:tcPr>
          <w:p>
            <w:pPr>
              <w:snapToGrid w:val="0"/>
              <w:spacing w:line="440" w:lineRule="exact"/>
              <w:jc w:val="left"/>
              <w:rPr>
                <w:rFonts w:ascii="宋体" w:hAnsi="宋体"/>
                <w:sz w:val="18"/>
                <w:szCs w:val="18"/>
              </w:rPr>
            </w:pPr>
            <w:r>
              <w:rPr>
                <w:rFonts w:hint="eastAsia" w:ascii="宋体" w:hAnsi="宋体"/>
                <w:sz w:val="18"/>
                <w:szCs w:val="18"/>
              </w:rPr>
              <w:t>心率</w:t>
            </w:r>
          </w:p>
        </w:tc>
        <w:tc>
          <w:tcPr>
            <w:tcW w:w="965" w:type="dxa"/>
            <w:noWrap w:val="0"/>
            <w:vAlign w:val="top"/>
          </w:tcPr>
          <w:p>
            <w:pPr>
              <w:snapToGrid w:val="0"/>
              <w:spacing w:line="440" w:lineRule="exact"/>
              <w:jc w:val="left"/>
              <w:rPr>
                <w:rFonts w:ascii="宋体" w:hAnsi="宋体"/>
                <w:sz w:val="18"/>
                <w:szCs w:val="18"/>
              </w:rPr>
            </w:pPr>
            <w:r>
              <w:rPr>
                <w:rFonts w:ascii="宋体" w:hAnsi="宋体"/>
                <w:sz w:val="18"/>
                <w:szCs w:val="18"/>
              </w:rPr>
              <w:t>XL</w:t>
            </w:r>
          </w:p>
        </w:tc>
        <w:tc>
          <w:tcPr>
            <w:tcW w:w="1056"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33" w:type="dxa"/>
            <w:noWrap w:val="0"/>
            <w:vAlign w:val="top"/>
          </w:tcPr>
          <w:p>
            <w:pPr>
              <w:snapToGrid w:val="0"/>
              <w:spacing w:line="440" w:lineRule="exact"/>
              <w:jc w:val="left"/>
              <w:rPr>
                <w:rFonts w:ascii="宋体" w:hAnsi="宋体"/>
                <w:sz w:val="18"/>
                <w:szCs w:val="18"/>
              </w:rPr>
            </w:pPr>
            <w:r>
              <w:rPr>
                <w:rFonts w:ascii="宋体" w:hAnsi="宋体"/>
                <w:sz w:val="18"/>
                <w:szCs w:val="18"/>
              </w:rPr>
              <w:t>3</w:t>
            </w:r>
          </w:p>
        </w:tc>
        <w:tc>
          <w:tcPr>
            <w:tcW w:w="86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9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心脏搏动频率的测量值，计量单位为次/分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2395" w:type="dxa"/>
            <w:noWrap w:val="0"/>
            <w:vAlign w:val="top"/>
          </w:tcPr>
          <w:p>
            <w:pPr>
              <w:snapToGrid w:val="0"/>
              <w:spacing w:line="440" w:lineRule="exact"/>
              <w:jc w:val="left"/>
              <w:rPr>
                <w:rFonts w:ascii="宋体" w:hAnsi="宋体"/>
                <w:sz w:val="18"/>
                <w:szCs w:val="18"/>
              </w:rPr>
            </w:pPr>
            <w:r>
              <w:rPr>
                <w:rFonts w:hint="eastAsia" w:ascii="宋体" w:hAnsi="宋体"/>
                <w:sz w:val="18"/>
                <w:szCs w:val="18"/>
              </w:rPr>
              <w:t>收缩压</w:t>
            </w:r>
          </w:p>
        </w:tc>
        <w:tc>
          <w:tcPr>
            <w:tcW w:w="965" w:type="dxa"/>
            <w:noWrap w:val="0"/>
            <w:vAlign w:val="top"/>
          </w:tcPr>
          <w:p>
            <w:pPr>
              <w:snapToGrid w:val="0"/>
              <w:spacing w:line="440" w:lineRule="exact"/>
              <w:jc w:val="left"/>
              <w:rPr>
                <w:rFonts w:ascii="宋体" w:hAnsi="宋体"/>
                <w:sz w:val="18"/>
                <w:szCs w:val="18"/>
              </w:rPr>
            </w:pPr>
            <w:r>
              <w:rPr>
                <w:rFonts w:ascii="宋体" w:hAnsi="宋体"/>
                <w:sz w:val="18"/>
                <w:szCs w:val="18"/>
              </w:rPr>
              <w:t>SSY</w:t>
            </w:r>
          </w:p>
        </w:tc>
        <w:tc>
          <w:tcPr>
            <w:tcW w:w="1056"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33" w:type="dxa"/>
            <w:noWrap w:val="0"/>
            <w:vAlign w:val="top"/>
          </w:tcPr>
          <w:p>
            <w:pPr>
              <w:snapToGrid w:val="0"/>
              <w:spacing w:line="440" w:lineRule="exact"/>
              <w:jc w:val="left"/>
              <w:rPr>
                <w:rFonts w:ascii="宋体" w:hAnsi="宋体"/>
                <w:sz w:val="18"/>
                <w:szCs w:val="18"/>
              </w:rPr>
            </w:pPr>
            <w:r>
              <w:rPr>
                <w:rFonts w:ascii="宋体" w:hAnsi="宋体"/>
                <w:sz w:val="18"/>
                <w:szCs w:val="18"/>
              </w:rPr>
              <w:t>3</w:t>
            </w:r>
          </w:p>
        </w:tc>
        <w:tc>
          <w:tcPr>
            <w:tcW w:w="86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9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收缩压的测量值，计量单位为</w:t>
            </w:r>
            <w:r>
              <w:rPr>
                <w:rFonts w:ascii="宋体" w:hAnsi="宋体"/>
                <w:sz w:val="18"/>
                <w:szCs w:val="18"/>
              </w:rPr>
              <w:t>mmHg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2395" w:type="dxa"/>
            <w:noWrap w:val="0"/>
            <w:vAlign w:val="top"/>
          </w:tcPr>
          <w:p>
            <w:pPr>
              <w:snapToGrid w:val="0"/>
              <w:spacing w:line="440" w:lineRule="exact"/>
              <w:jc w:val="left"/>
              <w:rPr>
                <w:rFonts w:ascii="宋体" w:hAnsi="宋体"/>
                <w:sz w:val="18"/>
                <w:szCs w:val="18"/>
              </w:rPr>
            </w:pPr>
            <w:r>
              <w:rPr>
                <w:rFonts w:hint="eastAsia" w:ascii="宋体" w:hAnsi="宋体"/>
                <w:sz w:val="18"/>
                <w:szCs w:val="18"/>
              </w:rPr>
              <w:t>舒张压</w:t>
            </w:r>
          </w:p>
        </w:tc>
        <w:tc>
          <w:tcPr>
            <w:tcW w:w="965" w:type="dxa"/>
            <w:noWrap w:val="0"/>
            <w:vAlign w:val="top"/>
          </w:tcPr>
          <w:p>
            <w:pPr>
              <w:snapToGrid w:val="0"/>
              <w:spacing w:line="440" w:lineRule="exact"/>
              <w:jc w:val="left"/>
              <w:rPr>
                <w:rFonts w:ascii="宋体" w:hAnsi="宋体"/>
                <w:sz w:val="18"/>
                <w:szCs w:val="18"/>
              </w:rPr>
            </w:pPr>
            <w:r>
              <w:rPr>
                <w:rFonts w:ascii="宋体" w:hAnsi="宋体"/>
                <w:sz w:val="18"/>
                <w:szCs w:val="18"/>
              </w:rPr>
              <w:t>SZY</w:t>
            </w:r>
          </w:p>
        </w:tc>
        <w:tc>
          <w:tcPr>
            <w:tcW w:w="1056"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33" w:type="dxa"/>
            <w:noWrap w:val="0"/>
            <w:vAlign w:val="top"/>
          </w:tcPr>
          <w:p>
            <w:pPr>
              <w:snapToGrid w:val="0"/>
              <w:spacing w:line="440" w:lineRule="exact"/>
              <w:jc w:val="left"/>
              <w:rPr>
                <w:rFonts w:ascii="宋体" w:hAnsi="宋体"/>
                <w:sz w:val="18"/>
                <w:szCs w:val="18"/>
              </w:rPr>
            </w:pPr>
            <w:r>
              <w:rPr>
                <w:rFonts w:ascii="宋体" w:hAnsi="宋体"/>
                <w:sz w:val="18"/>
                <w:szCs w:val="18"/>
              </w:rPr>
              <w:t>3</w:t>
            </w:r>
          </w:p>
        </w:tc>
        <w:tc>
          <w:tcPr>
            <w:tcW w:w="86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9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舒张压的测量值，计量单位为</w:t>
            </w:r>
            <w:r>
              <w:rPr>
                <w:rFonts w:ascii="宋体" w:hAnsi="宋体"/>
                <w:sz w:val="18"/>
                <w:szCs w:val="18"/>
              </w:rPr>
              <w:t>mmHg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2395" w:type="dxa"/>
            <w:noWrap w:val="0"/>
            <w:vAlign w:val="top"/>
          </w:tcPr>
          <w:p>
            <w:pPr>
              <w:snapToGrid w:val="0"/>
              <w:spacing w:line="440" w:lineRule="exact"/>
              <w:jc w:val="left"/>
              <w:rPr>
                <w:rFonts w:ascii="宋体" w:hAnsi="宋体"/>
                <w:sz w:val="18"/>
                <w:szCs w:val="18"/>
              </w:rPr>
            </w:pPr>
            <w:r>
              <w:rPr>
                <w:rFonts w:hint="eastAsia" w:ascii="宋体" w:hAnsi="宋体"/>
                <w:sz w:val="18"/>
                <w:szCs w:val="18"/>
              </w:rPr>
              <w:t>身高</w:t>
            </w:r>
          </w:p>
        </w:tc>
        <w:tc>
          <w:tcPr>
            <w:tcW w:w="965" w:type="dxa"/>
            <w:noWrap w:val="0"/>
            <w:vAlign w:val="top"/>
          </w:tcPr>
          <w:p>
            <w:pPr>
              <w:snapToGrid w:val="0"/>
              <w:spacing w:line="440" w:lineRule="exact"/>
              <w:jc w:val="left"/>
              <w:rPr>
                <w:rFonts w:ascii="宋体" w:hAnsi="宋体"/>
                <w:sz w:val="18"/>
                <w:szCs w:val="18"/>
              </w:rPr>
            </w:pPr>
            <w:r>
              <w:rPr>
                <w:rFonts w:ascii="宋体" w:hAnsi="宋体"/>
                <w:sz w:val="18"/>
                <w:szCs w:val="18"/>
              </w:rPr>
              <w:t>SG</w:t>
            </w:r>
          </w:p>
        </w:tc>
        <w:tc>
          <w:tcPr>
            <w:tcW w:w="1056"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33" w:type="dxa"/>
            <w:noWrap w:val="0"/>
            <w:vAlign w:val="top"/>
          </w:tcPr>
          <w:p>
            <w:pPr>
              <w:snapToGrid w:val="0"/>
              <w:spacing w:line="440" w:lineRule="exact"/>
              <w:jc w:val="left"/>
              <w:rPr>
                <w:rFonts w:ascii="宋体" w:hAnsi="宋体"/>
                <w:sz w:val="18"/>
                <w:szCs w:val="18"/>
              </w:rPr>
            </w:pPr>
            <w:r>
              <w:rPr>
                <w:rFonts w:ascii="宋体" w:hAnsi="宋体"/>
                <w:sz w:val="18"/>
                <w:szCs w:val="18"/>
              </w:rPr>
              <w:t>5.1</w:t>
            </w:r>
          </w:p>
        </w:tc>
        <w:tc>
          <w:tcPr>
            <w:tcW w:w="86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9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身高的测量值，计量单位为cm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2395"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体重</w:t>
            </w:r>
          </w:p>
        </w:tc>
        <w:tc>
          <w:tcPr>
            <w:tcW w:w="965" w:type="dxa"/>
            <w:noWrap w:val="0"/>
            <w:vAlign w:val="top"/>
          </w:tcPr>
          <w:p>
            <w:pPr>
              <w:snapToGrid w:val="0"/>
              <w:spacing w:line="440" w:lineRule="exact"/>
              <w:jc w:val="left"/>
              <w:rPr>
                <w:rFonts w:ascii="宋体" w:hAnsi="宋体"/>
                <w:sz w:val="18"/>
                <w:szCs w:val="18"/>
              </w:rPr>
            </w:pPr>
            <w:r>
              <w:rPr>
                <w:rFonts w:ascii="宋体" w:hAnsi="宋体"/>
                <w:sz w:val="18"/>
                <w:szCs w:val="18"/>
              </w:rPr>
              <w:t>TZ</w:t>
            </w:r>
          </w:p>
        </w:tc>
        <w:tc>
          <w:tcPr>
            <w:tcW w:w="1056"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33" w:type="dxa"/>
            <w:noWrap w:val="0"/>
            <w:vAlign w:val="top"/>
          </w:tcPr>
          <w:p>
            <w:pPr>
              <w:snapToGrid w:val="0"/>
              <w:spacing w:line="440" w:lineRule="exact"/>
              <w:jc w:val="left"/>
              <w:rPr>
                <w:rFonts w:ascii="宋体" w:hAnsi="宋体"/>
                <w:sz w:val="18"/>
                <w:szCs w:val="18"/>
              </w:rPr>
            </w:pPr>
            <w:r>
              <w:rPr>
                <w:rFonts w:ascii="宋体" w:hAnsi="宋体"/>
                <w:sz w:val="18"/>
                <w:szCs w:val="18"/>
              </w:rPr>
              <w:t>5.1</w:t>
            </w:r>
          </w:p>
        </w:tc>
        <w:tc>
          <w:tcPr>
            <w:tcW w:w="86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9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体重的测量值，计量单位为kg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2395" w:type="dxa"/>
            <w:noWrap w:val="0"/>
            <w:vAlign w:val="top"/>
          </w:tcPr>
          <w:p>
            <w:pPr>
              <w:snapToGrid w:val="0"/>
              <w:spacing w:line="440" w:lineRule="exact"/>
              <w:jc w:val="left"/>
              <w:rPr>
                <w:rFonts w:ascii="宋体" w:hAnsi="宋体"/>
                <w:sz w:val="18"/>
                <w:szCs w:val="18"/>
              </w:rPr>
            </w:pPr>
            <w:r>
              <w:rPr>
                <w:rFonts w:hint="eastAsia" w:ascii="宋体" w:hAnsi="宋体"/>
                <w:sz w:val="18"/>
                <w:szCs w:val="18"/>
              </w:rPr>
              <w:t>呼吸频率</w:t>
            </w:r>
          </w:p>
        </w:tc>
        <w:tc>
          <w:tcPr>
            <w:tcW w:w="965" w:type="dxa"/>
            <w:noWrap w:val="0"/>
            <w:vAlign w:val="top"/>
          </w:tcPr>
          <w:p>
            <w:pPr>
              <w:snapToGrid w:val="0"/>
              <w:spacing w:line="440" w:lineRule="exact"/>
              <w:jc w:val="left"/>
              <w:rPr>
                <w:rFonts w:ascii="宋体" w:hAnsi="宋体"/>
                <w:sz w:val="18"/>
                <w:szCs w:val="18"/>
              </w:rPr>
            </w:pPr>
            <w:r>
              <w:rPr>
                <w:rFonts w:ascii="宋体" w:hAnsi="宋体"/>
                <w:sz w:val="18"/>
                <w:szCs w:val="18"/>
              </w:rPr>
              <w:t>HXPL</w:t>
            </w:r>
          </w:p>
        </w:tc>
        <w:tc>
          <w:tcPr>
            <w:tcW w:w="1056"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33"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6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9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单位时间内呼吸的次数，计量单位为次/分钟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2395"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预留一</w:t>
            </w:r>
          </w:p>
        </w:tc>
        <w:tc>
          <w:tcPr>
            <w:tcW w:w="965" w:type="dxa"/>
            <w:noWrap w:val="0"/>
            <w:vAlign w:val="top"/>
          </w:tcPr>
          <w:p>
            <w:pPr>
              <w:snapToGrid w:val="0"/>
              <w:spacing w:line="440" w:lineRule="exact"/>
              <w:jc w:val="left"/>
              <w:rPr>
                <w:rFonts w:ascii="宋体" w:hAnsi="宋体"/>
                <w:sz w:val="18"/>
                <w:szCs w:val="18"/>
              </w:rPr>
            </w:pPr>
            <w:r>
              <w:rPr>
                <w:rFonts w:ascii="宋体" w:hAnsi="宋体"/>
                <w:sz w:val="18"/>
                <w:szCs w:val="18"/>
              </w:rPr>
              <w:t>YLYL1</w:t>
            </w:r>
          </w:p>
        </w:tc>
        <w:tc>
          <w:tcPr>
            <w:tcW w:w="1056"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33"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63"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29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2395"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预留二</w:t>
            </w:r>
          </w:p>
        </w:tc>
        <w:tc>
          <w:tcPr>
            <w:tcW w:w="965" w:type="dxa"/>
            <w:noWrap w:val="0"/>
            <w:vAlign w:val="top"/>
          </w:tcPr>
          <w:p>
            <w:pPr>
              <w:snapToGrid w:val="0"/>
              <w:spacing w:line="440" w:lineRule="exact"/>
              <w:jc w:val="left"/>
              <w:rPr>
                <w:rFonts w:ascii="宋体" w:hAnsi="宋体"/>
                <w:sz w:val="18"/>
                <w:szCs w:val="18"/>
              </w:rPr>
            </w:pPr>
            <w:r>
              <w:rPr>
                <w:rFonts w:ascii="宋体" w:hAnsi="宋体"/>
                <w:sz w:val="18"/>
                <w:szCs w:val="18"/>
              </w:rPr>
              <w:t>YLYL2</w:t>
            </w:r>
          </w:p>
        </w:tc>
        <w:tc>
          <w:tcPr>
            <w:tcW w:w="1056"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33"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63"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29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r>
    </w:tbl>
    <w:p>
      <w:pPr>
        <w:snapToGrid w:val="0"/>
        <w:spacing w:line="440" w:lineRule="exact"/>
        <w:jc w:val="left"/>
        <w:rPr>
          <w:rFonts w:ascii="宋体" w:hAnsi="宋体"/>
          <w:sz w:val="24"/>
        </w:rPr>
      </w:pPr>
      <w:r>
        <w:rPr>
          <w:rFonts w:hint="eastAsia" w:ascii="宋体" w:hAnsi="宋体"/>
          <w:sz w:val="24"/>
        </w:rPr>
        <w:t>2.1.4</w:t>
      </w:r>
      <w:r>
        <w:rPr>
          <w:rFonts w:ascii="宋体" w:hAnsi="宋体"/>
          <w:sz w:val="24"/>
        </w:rPr>
        <w:t>实验室检验报告</w:t>
      </w:r>
    </w:p>
    <w:p>
      <w:pPr>
        <w:snapToGrid w:val="0"/>
        <w:spacing w:line="440" w:lineRule="exact"/>
        <w:jc w:val="left"/>
        <w:rPr>
          <w:rFonts w:ascii="宋体" w:hAnsi="宋体"/>
          <w:sz w:val="24"/>
        </w:rPr>
      </w:pPr>
      <w:r>
        <w:rPr>
          <w:rFonts w:hint="eastAsia" w:ascii="宋体" w:hAnsi="宋体"/>
          <w:sz w:val="24"/>
        </w:rPr>
        <w:t>实验室检验报告中的各表关系如下图：</w:t>
      </w:r>
    </w:p>
    <w:p>
      <w:pPr>
        <w:snapToGrid w:val="0"/>
        <w:spacing w:line="440" w:lineRule="exact"/>
        <w:jc w:val="left"/>
        <w:rPr>
          <w:rFonts w:ascii="宋体" w:hAnsi="宋体"/>
          <w:sz w:val="24"/>
        </w:rPr>
      </w:pPr>
      <w:r>
        <w:rPr>
          <w:rFonts w:ascii="宋体" w:hAnsi="宋体"/>
          <w:sz w:val="24"/>
        </w:rPr>
        <w:drawing>
          <wp:anchor distT="0" distB="0" distL="0" distR="0" simplePos="0" relativeHeight="251660288" behindDoc="0" locked="0" layoutInCell="1" allowOverlap="1">
            <wp:simplePos x="0" y="0"/>
            <wp:positionH relativeFrom="page">
              <wp:posOffset>1116330</wp:posOffset>
            </wp:positionH>
            <wp:positionV relativeFrom="paragraph">
              <wp:posOffset>300355</wp:posOffset>
            </wp:positionV>
            <wp:extent cx="5041900" cy="1764030"/>
            <wp:effectExtent l="0" t="0" r="2540" b="3810"/>
            <wp:wrapTopAndBottom/>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a:picLocks noChangeAspect="1"/>
                    </pic:cNvPicPr>
                  </pic:nvPicPr>
                  <pic:blipFill>
                    <a:blip r:embed="rId11"/>
                    <a:stretch>
                      <a:fillRect/>
                    </a:stretch>
                  </pic:blipFill>
                  <pic:spPr>
                    <a:xfrm>
                      <a:off x="0" y="0"/>
                      <a:ext cx="5041900" cy="1764030"/>
                    </a:xfrm>
                    <a:prstGeom prst="rect">
                      <a:avLst/>
                    </a:prstGeom>
                    <a:noFill/>
                    <a:ln>
                      <a:noFill/>
                    </a:ln>
                  </pic:spPr>
                </pic:pic>
              </a:graphicData>
            </a:graphic>
          </wp:anchor>
        </w:drawing>
      </w:r>
    </w:p>
    <w:p>
      <w:pPr>
        <w:snapToGrid w:val="0"/>
        <w:spacing w:line="440" w:lineRule="exact"/>
        <w:jc w:val="left"/>
        <w:rPr>
          <w:rFonts w:ascii="宋体" w:hAnsi="宋体"/>
          <w:sz w:val="24"/>
        </w:rPr>
      </w:pPr>
      <w:r>
        <w:rPr>
          <w:rFonts w:hint="eastAsia" w:ascii="宋体" w:hAnsi="宋体"/>
          <w:sz w:val="24"/>
        </w:rPr>
        <w:t>其中，《实验室检验报告表头》为主表；《检验结果指标表》、《细菌结果》、《药敏结果》为从表。必须保证此图所示各表之间的关联性。</w:t>
      </w:r>
    </w:p>
    <w:p>
      <w:pPr>
        <w:snapToGrid w:val="0"/>
        <w:spacing w:line="440" w:lineRule="exact"/>
        <w:jc w:val="left"/>
        <w:rPr>
          <w:rFonts w:ascii="宋体" w:hAnsi="宋体"/>
          <w:sz w:val="24"/>
        </w:rPr>
      </w:pPr>
      <w:r>
        <w:rPr>
          <w:rFonts w:hint="eastAsia" w:ascii="宋体" w:hAnsi="宋体"/>
          <w:sz w:val="24"/>
        </w:rPr>
        <w:t>2.1.4.1</w:t>
      </w:r>
      <w:r>
        <w:rPr>
          <w:rFonts w:ascii="宋体" w:hAnsi="宋体"/>
          <w:sz w:val="24"/>
        </w:rPr>
        <w:t>实验室检验报告表头(TB_LIS_Report)</w:t>
      </w:r>
    </w:p>
    <w:tbl>
      <w:tblPr>
        <w:tblStyle w:val="48"/>
        <w:tblW w:w="9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850"/>
        <w:gridCol w:w="993"/>
        <w:gridCol w:w="567"/>
        <w:gridCol w:w="850"/>
        <w:gridCol w:w="4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wAfter w:w="0" w:type="dxa"/>
          <w:trHeight w:val="20" w:hRule="atLeast"/>
        </w:trPr>
        <w:tc>
          <w:tcPr>
            <w:tcW w:w="1418"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s</w:t>
            </w:r>
            <w:r>
              <w:rPr>
                <w:rFonts w:ascii="宋体" w:hAnsi="宋体"/>
                <w:sz w:val="18"/>
                <w:szCs w:val="18"/>
              </w:rPr>
              <w:t>ss</w:t>
            </w:r>
          </w:p>
        </w:tc>
        <w:tc>
          <w:tcPr>
            <w:tcW w:w="850"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字段名</w:t>
            </w:r>
          </w:p>
        </w:tc>
        <w:tc>
          <w:tcPr>
            <w:tcW w:w="993"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数据类型</w:t>
            </w:r>
          </w:p>
        </w:tc>
        <w:tc>
          <w:tcPr>
            <w:tcW w:w="567"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宽度</w:t>
            </w:r>
          </w:p>
        </w:tc>
        <w:tc>
          <w:tcPr>
            <w:tcW w:w="850"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填报要求</w:t>
            </w:r>
          </w:p>
        </w:tc>
        <w:tc>
          <w:tcPr>
            <w:tcW w:w="4618"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993"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618"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复合主键；卫生机构分类代码 22位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检验报告单号</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BGDH</w:t>
            </w:r>
          </w:p>
        </w:tc>
        <w:tc>
          <w:tcPr>
            <w:tcW w:w="993"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618"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复合主键；见说明（1）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报告日期</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BGRQ</w:t>
            </w:r>
          </w:p>
        </w:tc>
        <w:tc>
          <w:tcPr>
            <w:tcW w:w="993"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8</w:t>
            </w:r>
          </w:p>
        </w:tc>
        <w:tc>
          <w:tcPr>
            <w:tcW w:w="8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618"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复合主键；YYYYMMDD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就诊流水号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JZLSH</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6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用于与住院就诊记录表或门诊就诊记录表关联的外键(可选关联关系)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门诊/住院标志</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MZZYBZ</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6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1：门诊，2：住院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KH</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618"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必须与患者基本信息关联，见前述” 患者信息表”的说明(1)以及相关说</w:t>
            </w:r>
          </w:p>
          <w:p>
            <w:pPr>
              <w:snapToGrid w:val="0"/>
              <w:spacing w:line="440" w:lineRule="exact"/>
              <w:jc w:val="left"/>
              <w:rPr>
                <w:rFonts w:ascii="宋体" w:hAnsi="宋体"/>
                <w:sz w:val="18"/>
                <w:szCs w:val="18"/>
              </w:rPr>
            </w:pPr>
            <w:r>
              <w:rPr>
                <w:rFonts w:hint="eastAsia" w:ascii="宋体" w:hAnsi="宋体"/>
                <w:sz w:val="18"/>
                <w:szCs w:val="18"/>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卡类型</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KLX</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618" w:type="dxa"/>
            <w:vMerge w:val="continue"/>
            <w:tcBorders>
              <w:top w:val="nil"/>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病人姓名</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BRXM</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61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性别</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BRXB</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6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编码。按国标GB2261-80执行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年龄</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BRNL</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61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申请人工号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SQRGH</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6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编码。见医护人员字典表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申请人姓名</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SQRXM</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61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报告人工号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BGRGH</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6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编码。见医护人员字典表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报告人姓名</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BGRXM</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61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审核人工号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SHRGH</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6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编码。见医护人员字典表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审核人姓名</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SHRXM</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61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申请科室编码</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SQKS</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6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编码。见科室字典表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申请科室名称</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SQKSMC</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61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病区</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BQ</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61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床号</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CH</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61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打印日期</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DYRQ</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567" w:type="dxa"/>
            <w:noWrap w:val="0"/>
            <w:vAlign w:val="top"/>
          </w:tcPr>
          <w:p>
            <w:pPr>
              <w:snapToGrid w:val="0"/>
              <w:spacing w:line="440" w:lineRule="exact"/>
              <w:jc w:val="left"/>
              <w:rPr>
                <w:rFonts w:ascii="宋体" w:hAnsi="宋体"/>
                <w:sz w:val="18"/>
                <w:szCs w:val="18"/>
              </w:rPr>
            </w:pP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61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申请日期</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SQRQ</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567" w:type="dxa"/>
            <w:noWrap w:val="0"/>
            <w:vAlign w:val="top"/>
          </w:tcPr>
          <w:p>
            <w:pPr>
              <w:snapToGrid w:val="0"/>
              <w:spacing w:line="440" w:lineRule="exact"/>
              <w:jc w:val="left"/>
              <w:rPr>
                <w:rFonts w:ascii="宋体" w:hAnsi="宋体"/>
                <w:sz w:val="18"/>
                <w:szCs w:val="18"/>
              </w:rPr>
            </w:pP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61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采集日期</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CJRQ</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567" w:type="dxa"/>
            <w:noWrap w:val="0"/>
            <w:vAlign w:val="top"/>
          </w:tcPr>
          <w:p>
            <w:pPr>
              <w:snapToGrid w:val="0"/>
              <w:spacing w:line="440" w:lineRule="exact"/>
              <w:jc w:val="left"/>
              <w:rPr>
                <w:rFonts w:ascii="宋体" w:hAnsi="宋体"/>
                <w:sz w:val="18"/>
                <w:szCs w:val="18"/>
              </w:rPr>
            </w:pP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61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检验日期</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JYRQ</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567" w:type="dxa"/>
            <w:noWrap w:val="0"/>
            <w:vAlign w:val="top"/>
          </w:tcPr>
          <w:p>
            <w:pPr>
              <w:snapToGrid w:val="0"/>
              <w:spacing w:line="440" w:lineRule="exact"/>
              <w:jc w:val="left"/>
              <w:rPr>
                <w:rFonts w:ascii="宋体" w:hAnsi="宋体"/>
                <w:sz w:val="18"/>
                <w:szCs w:val="18"/>
              </w:rPr>
            </w:pP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61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报告备注</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BGBZ</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1024</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61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标本代码</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BBDM</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4</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6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编码。见标本字典表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标本名称</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BBMC</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6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必填写具体的标本名称。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报告单类别编码</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BGDLBBM</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4</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6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 = 一般临床检验2 = 血液学检查3 = 临床化学检查4 = 临床免疫学检查5 = 临床微生物学检查6 = 临床寄生虫学检查7 = 分子生物学检查9999 = 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报告单类别名称</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BGDLB</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256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6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必填写中文。如“血常规”、“尿常规”等行业常识的名称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密级</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MJ</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6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见说明（2）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文件链接</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WJLJ</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256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6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见说明（3）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修改标志</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XGBZ</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6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编码。1：正常、2：修改、3：撤销。见说明（4）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预留一</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YLYL1</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46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预留二</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YLYL2</w:t>
            </w:r>
          </w:p>
        </w:tc>
        <w:tc>
          <w:tcPr>
            <w:tcW w:w="99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46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r>
    </w:tbl>
    <w:p>
      <w:pPr>
        <w:snapToGrid w:val="0"/>
        <w:spacing w:line="440" w:lineRule="exact"/>
        <w:jc w:val="left"/>
        <w:rPr>
          <w:rFonts w:ascii="宋体" w:hAnsi="宋体"/>
          <w:sz w:val="24"/>
        </w:rPr>
      </w:pPr>
      <w:r>
        <w:rPr>
          <w:rFonts w:hint="eastAsia" w:ascii="宋体" w:hAnsi="宋体"/>
          <w:sz w:val="24"/>
        </w:rPr>
        <w:t>2.1.4.2</w:t>
      </w:r>
      <w:r>
        <w:rPr>
          <w:rFonts w:ascii="宋体" w:hAnsi="宋体"/>
          <w:sz w:val="24"/>
        </w:rPr>
        <w:t>检验结果指标表（TB_LIS_Indicators）</w:t>
      </w:r>
    </w:p>
    <w:tbl>
      <w:tblPr>
        <w:tblStyle w:val="48"/>
        <w:tblW w:w="93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993"/>
        <w:gridCol w:w="992"/>
        <w:gridCol w:w="567"/>
        <w:gridCol w:w="850"/>
        <w:gridCol w:w="4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95" w:hRule="atLeast"/>
        </w:trPr>
        <w:tc>
          <w:tcPr>
            <w:tcW w:w="170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数据项</w:t>
            </w:r>
          </w:p>
        </w:tc>
        <w:tc>
          <w:tcPr>
            <w:tcW w:w="993"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字段名</w:t>
            </w:r>
          </w:p>
        </w:tc>
        <w:tc>
          <w:tcPr>
            <w:tcW w:w="992"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数据类型</w:t>
            </w:r>
          </w:p>
        </w:tc>
        <w:tc>
          <w:tcPr>
            <w:tcW w:w="567"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宽度</w:t>
            </w:r>
          </w:p>
        </w:tc>
        <w:tc>
          <w:tcPr>
            <w:tcW w:w="850"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填报要求</w:t>
            </w:r>
          </w:p>
        </w:tc>
        <w:tc>
          <w:tcPr>
            <w:tcW w:w="4198"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2" w:hRule="atLeast"/>
        </w:trPr>
        <w:tc>
          <w:tcPr>
            <w:tcW w:w="170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检验指标流水号</w:t>
            </w:r>
          </w:p>
        </w:tc>
        <w:tc>
          <w:tcPr>
            <w:tcW w:w="993"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JYZBLSH</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198"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复合主键；见说明（1）；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2" w:hRule="atLeast"/>
        </w:trPr>
        <w:tc>
          <w:tcPr>
            <w:tcW w:w="170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c>
          <w:tcPr>
            <w:tcW w:w="993"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198"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复合主键；卫生机构分类代码 22位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检验报告单号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BGDH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1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与报告日期一起作为关联“试验室检验报告表头”的外键。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5"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报告日期</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BGRQ</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8</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198" w:type="dxa"/>
            <w:noWrap w:val="0"/>
            <w:vAlign w:val="top"/>
          </w:tcPr>
          <w:p>
            <w:pPr>
              <w:snapToGrid w:val="0"/>
              <w:spacing w:line="440" w:lineRule="exact"/>
              <w:jc w:val="left"/>
              <w:rPr>
                <w:rFonts w:ascii="宋体" w:hAnsi="宋体"/>
                <w:sz w:val="18"/>
                <w:szCs w:val="18"/>
              </w:rPr>
            </w:pPr>
            <w:r>
              <w:rPr>
                <w:rFonts w:ascii="宋体" w:hAnsi="宋体"/>
                <w:sz w:val="18"/>
                <w:szCs w:val="18"/>
              </w:rPr>
              <w:t>YYYYMMDD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3"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检测人工号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JCRGH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1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编码。见医护人员字典表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2"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检测人姓名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JCRXM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19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2"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审核人工号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SHRGH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1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编码。见医护人员字典表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2"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审核人姓名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SHRXM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19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检测收费代码</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YBSFDM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1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编码。见说明（2）填新农保诊疗目录编码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2"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检验项目代码</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JCZBDM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1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编码。见说明（3）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2"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检测方法</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JCFF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1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如：“化学法”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2"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检测指标名称</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JCZBMC</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100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1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如：“红细胞压积”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4"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检测指标结果</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JCZBJG</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1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量化结果或定性结果；例如：“阴性”或“+”，以及描述性文字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5"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LOINC 编码</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LOINC</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1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检测项目的LOINC编码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设备编码</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SBBM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1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非特指某台物理设备，而指能表示某类设备的编号。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2"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参考值范围</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CKZ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19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2"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计量单位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JLDW</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19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异常提示</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YCTS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1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编码。1：正常；2：无法识别的异常；3：异常偏高；4：异常偏低。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4"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相关医嘱ID 或处方项目明细编号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YZID</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1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见说明（4）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3"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打印序号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DYXH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整数</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4</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19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修改标志</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XGBZ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41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编码。1：正常、2：修改、3：撤销。见说明（5）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1"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预留一</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YLYL1</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41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3"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预留二</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YLYL2</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4198"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r>
    </w:tbl>
    <w:p>
      <w:pPr>
        <w:snapToGrid w:val="0"/>
        <w:spacing w:line="440" w:lineRule="exact"/>
        <w:jc w:val="left"/>
        <w:rPr>
          <w:rFonts w:ascii="宋体" w:hAnsi="宋体"/>
          <w:sz w:val="24"/>
        </w:rPr>
      </w:pPr>
      <w:r>
        <w:rPr>
          <w:rFonts w:hint="eastAsia" w:ascii="宋体" w:hAnsi="宋体"/>
          <w:sz w:val="24"/>
        </w:rPr>
        <w:t>2.1.4.3</w:t>
      </w:r>
      <w:r>
        <w:rPr>
          <w:rFonts w:ascii="宋体" w:hAnsi="宋体"/>
          <w:sz w:val="24"/>
        </w:rPr>
        <w:t>细菌结果(TB_LIS_Bacteria_Result)</w:t>
      </w:r>
    </w:p>
    <w:p>
      <w:pPr>
        <w:snapToGrid w:val="0"/>
        <w:spacing w:line="440" w:lineRule="exact"/>
        <w:jc w:val="left"/>
        <w:rPr>
          <w:rFonts w:ascii="宋体" w:hAnsi="宋体"/>
          <w:sz w:val="24"/>
        </w:rPr>
      </w:pPr>
      <w:r>
        <w:rPr>
          <w:rFonts w:hint="eastAsia" w:ascii="宋体" w:hAnsi="宋体"/>
          <w:sz w:val="24"/>
        </w:rPr>
        <w:t>说明：微生物检验是实验室检验中的一个特殊检验类别，包含一些特殊内容，因此设置此表。细菌结果的一条记录可能会对应多条药敏结果的记录。如果医院LIS 系统中并未将微生物检验独立出来，则可根据现有实施情况决定是否填写本表。</w:t>
      </w:r>
    </w:p>
    <w:tbl>
      <w:tblPr>
        <w:tblStyle w:val="48"/>
        <w:tblW w:w="93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851"/>
        <w:gridCol w:w="850"/>
        <w:gridCol w:w="709"/>
        <w:gridCol w:w="851"/>
        <w:gridCol w:w="4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62" w:hRule="atLeast"/>
        </w:trPr>
        <w:tc>
          <w:tcPr>
            <w:tcW w:w="170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数据项</w:t>
            </w:r>
          </w:p>
        </w:tc>
        <w:tc>
          <w:tcPr>
            <w:tcW w:w="85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字段名</w:t>
            </w:r>
          </w:p>
        </w:tc>
        <w:tc>
          <w:tcPr>
            <w:tcW w:w="850"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数据类型</w:t>
            </w:r>
          </w:p>
        </w:tc>
        <w:tc>
          <w:tcPr>
            <w:tcW w:w="709"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宽度</w:t>
            </w:r>
          </w:p>
        </w:tc>
        <w:tc>
          <w:tcPr>
            <w:tcW w:w="85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填报要求</w:t>
            </w:r>
          </w:p>
        </w:tc>
        <w:tc>
          <w:tcPr>
            <w:tcW w:w="4339"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2" w:hRule="atLeast"/>
        </w:trPr>
        <w:tc>
          <w:tcPr>
            <w:tcW w:w="170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细菌结果流水号</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XJJGLSH</w:t>
            </w:r>
          </w:p>
        </w:tc>
        <w:tc>
          <w:tcPr>
            <w:tcW w:w="8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4339"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复合主键；见说明（1）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2" w:hRule="atLeast"/>
        </w:trPr>
        <w:tc>
          <w:tcPr>
            <w:tcW w:w="170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8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4339"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复合主键；卫生机构分类代码 22 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检验报告单号</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BGDH</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4339"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与报告日期一起作为关联“试验室检验报告表头”的外键。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5"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报告日期</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BGRQ</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8</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4339" w:type="dxa"/>
            <w:noWrap w:val="0"/>
            <w:vAlign w:val="top"/>
          </w:tcPr>
          <w:p>
            <w:pPr>
              <w:snapToGrid w:val="0"/>
              <w:spacing w:line="440" w:lineRule="exact"/>
              <w:jc w:val="left"/>
              <w:rPr>
                <w:rFonts w:ascii="宋体" w:hAnsi="宋体"/>
                <w:sz w:val="18"/>
                <w:szCs w:val="18"/>
              </w:rPr>
            </w:pPr>
            <w:r>
              <w:rPr>
                <w:rFonts w:ascii="宋体" w:hAnsi="宋体"/>
                <w:sz w:val="18"/>
                <w:szCs w:val="18"/>
              </w:rPr>
              <w:t>YYYYMMDD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4"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细菌代号</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XJDH</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4339"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见说明（5）； 如未发现细菌， 填</w:t>
            </w:r>
            <w:r>
              <w:rPr>
                <w:rFonts w:ascii="宋体" w:hAnsi="宋体"/>
                <w:sz w:val="18"/>
                <w:szCs w:val="18"/>
              </w:rPr>
              <w:t>“YLJYXJ_WFX”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细菌名称</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XJMC</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4339"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中文名称。如：“金黄色葡萄球菌”等；如未发现细菌，填“无”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2"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菌落计数</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JLJS</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39"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单位：cfu/ml；如“&gt;10万”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培养基</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BYJ</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40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39" w:type="dxa"/>
            <w:noWrap w:val="0"/>
            <w:vAlign w:val="top"/>
          </w:tcPr>
          <w:p>
            <w:pPr>
              <w:snapToGrid w:val="0"/>
              <w:spacing w:line="440" w:lineRule="exact"/>
              <w:jc w:val="left"/>
              <w:rPr>
                <w:rFonts w:ascii="宋体" w:hAnsi="宋体"/>
                <w:sz w:val="18"/>
                <w:szCs w:val="18"/>
              </w:rPr>
            </w:pPr>
            <w:r>
              <w:rPr>
                <w:rFonts w:hint="eastAsia" w:ascii="宋体" w:hAnsi="宋体"/>
                <w:sz w:val="18"/>
                <w:szCs w:val="18"/>
              </w:rPr>
              <w:t>例如：“巧克力平板”、“血平板”、“琼脂平板”等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2"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培养时间</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BYSJ</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39"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应包含单位；例如：72小时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培养条件</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PYTJ</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39" w:type="dxa"/>
            <w:noWrap w:val="0"/>
            <w:vAlign w:val="top"/>
          </w:tcPr>
          <w:p>
            <w:pPr>
              <w:snapToGrid w:val="0"/>
              <w:spacing w:line="440" w:lineRule="exact"/>
              <w:jc w:val="left"/>
              <w:rPr>
                <w:rFonts w:ascii="宋体" w:hAnsi="宋体"/>
                <w:sz w:val="18"/>
                <w:szCs w:val="18"/>
              </w:rPr>
            </w:pPr>
            <w:r>
              <w:rPr>
                <w:rFonts w:hint="eastAsia" w:ascii="宋体" w:hAnsi="宋体"/>
                <w:sz w:val="18"/>
                <w:szCs w:val="18"/>
              </w:rPr>
              <w:t>例如：“37℃；空气”或“35℃±2℃；</w:t>
            </w:r>
            <w:r>
              <w:rPr>
                <w:rFonts w:ascii="宋体" w:hAnsi="宋体"/>
                <w:sz w:val="18"/>
                <w:szCs w:val="18"/>
              </w:rPr>
              <w:t>5</w:t>
            </w:r>
            <w:r>
              <w:rPr>
                <w:rFonts w:ascii="宋体" w:hAnsi="宋体"/>
                <w:sz w:val="18"/>
                <w:szCs w:val="18"/>
              </w:rPr>
              <w:drawing>
                <wp:inline distT="0" distB="0" distL="114300" distR="114300">
                  <wp:extent cx="63500" cy="95250"/>
                  <wp:effectExtent l="0" t="0" r="12700" b="11430"/>
                  <wp:docPr id="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a:picLocks noChangeAspect="1"/>
                          </pic:cNvPicPr>
                        </pic:nvPicPr>
                        <pic:blipFill>
                          <a:blip r:embed="rId12"/>
                          <a:stretch>
                            <a:fillRect/>
                          </a:stretch>
                        </pic:blipFill>
                        <pic:spPr>
                          <a:xfrm>
                            <a:off x="0" y="0"/>
                            <a:ext cx="63500" cy="95250"/>
                          </a:xfrm>
                          <a:prstGeom prst="rect">
                            <a:avLst/>
                          </a:prstGeom>
                          <a:noFill/>
                          <a:ln>
                            <a:noFill/>
                          </a:ln>
                        </pic:spPr>
                      </pic:pic>
                    </a:graphicData>
                  </a:graphic>
                </wp:inline>
              </w:drawing>
            </w:r>
            <w:r>
              <w:rPr>
                <w:rFonts w:ascii="宋体" w:hAnsi="宋体"/>
                <w:sz w:val="18"/>
                <w:szCs w:val="18"/>
              </w:rPr>
              <w:t>CO2”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3"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发现方式</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FXFS</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39" w:type="dxa"/>
            <w:noWrap w:val="0"/>
            <w:vAlign w:val="top"/>
          </w:tcPr>
          <w:p>
            <w:pPr>
              <w:snapToGrid w:val="0"/>
              <w:spacing w:line="440" w:lineRule="exact"/>
              <w:jc w:val="left"/>
              <w:rPr>
                <w:rFonts w:ascii="宋体" w:hAnsi="宋体"/>
                <w:sz w:val="18"/>
                <w:szCs w:val="18"/>
              </w:rPr>
            </w:pPr>
            <w:r>
              <w:rPr>
                <w:rFonts w:hint="eastAsia" w:ascii="宋体" w:hAnsi="宋体"/>
                <w:sz w:val="18"/>
                <w:szCs w:val="18"/>
              </w:rPr>
              <w:t>例如：“肉眼”或“镜检”等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5"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检测结果</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JCJG</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4339" w:type="dxa"/>
            <w:noWrap w:val="0"/>
            <w:vAlign w:val="top"/>
          </w:tcPr>
          <w:p>
            <w:pPr>
              <w:snapToGrid w:val="0"/>
              <w:spacing w:line="440" w:lineRule="exact"/>
              <w:jc w:val="left"/>
              <w:rPr>
                <w:rFonts w:ascii="宋体" w:hAnsi="宋体"/>
                <w:sz w:val="18"/>
                <w:szCs w:val="18"/>
              </w:rPr>
            </w:pPr>
            <w:r>
              <w:rPr>
                <w:rFonts w:hint="eastAsia" w:ascii="宋体" w:hAnsi="宋体"/>
                <w:sz w:val="18"/>
                <w:szCs w:val="18"/>
              </w:rPr>
              <w:t>简要描述是否发现或是否生长等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2"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检测结果文字描述</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JCJGWZ</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1024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39"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详细描述检验的结果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设备编码</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SBBM</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4339" w:type="dxa"/>
            <w:noWrap w:val="0"/>
            <w:vAlign w:val="top"/>
          </w:tcPr>
          <w:p>
            <w:pPr>
              <w:snapToGrid w:val="0"/>
              <w:spacing w:line="440" w:lineRule="exact"/>
              <w:jc w:val="left"/>
              <w:rPr>
                <w:rFonts w:ascii="宋体" w:hAnsi="宋体"/>
                <w:sz w:val="18"/>
                <w:szCs w:val="18"/>
              </w:rPr>
            </w:pPr>
            <w:r>
              <w:rPr>
                <w:rFonts w:hint="eastAsia" w:ascii="宋体" w:hAnsi="宋体"/>
                <w:sz w:val="18"/>
                <w:szCs w:val="18"/>
              </w:rPr>
              <w:t>非特指某台物理设备，而指能表示某类设备的编号。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3"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修改标志</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XGBZ</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必填</w:t>
            </w:r>
          </w:p>
        </w:tc>
        <w:tc>
          <w:tcPr>
            <w:tcW w:w="4339"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编码。1：正常、2：修改、3：撤销。说明同检验指标表。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2"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预留一</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YLYL1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4339"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2"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预留二</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YLYL2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4339"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r>
    </w:tbl>
    <w:p>
      <w:pPr>
        <w:snapToGrid w:val="0"/>
        <w:spacing w:line="440" w:lineRule="exact"/>
        <w:jc w:val="left"/>
        <w:rPr>
          <w:rFonts w:ascii="宋体" w:hAnsi="宋体"/>
          <w:sz w:val="24"/>
        </w:rPr>
      </w:pPr>
      <w:r>
        <w:rPr>
          <w:rFonts w:hint="eastAsia" w:ascii="宋体" w:hAnsi="宋体"/>
          <w:sz w:val="24"/>
        </w:rPr>
        <w:t>2.1.5</w:t>
      </w:r>
      <w:r>
        <w:rPr>
          <w:rFonts w:ascii="宋体" w:hAnsi="宋体"/>
          <w:sz w:val="24"/>
        </w:rPr>
        <w:t>医学影像检查报告</w:t>
      </w:r>
    </w:p>
    <w:p>
      <w:pPr>
        <w:snapToGrid w:val="0"/>
        <w:spacing w:line="440" w:lineRule="exact"/>
        <w:jc w:val="left"/>
        <w:rPr>
          <w:rFonts w:ascii="宋体" w:hAnsi="宋体"/>
          <w:sz w:val="24"/>
        </w:rPr>
      </w:pPr>
      <w:r>
        <w:rPr>
          <w:rFonts w:hint="eastAsia" w:ascii="宋体" w:hAnsi="宋体"/>
          <w:sz w:val="24"/>
        </w:rPr>
        <w:t>2.1.5.1</w:t>
      </w:r>
      <w:r>
        <w:rPr>
          <w:rFonts w:ascii="宋体" w:hAnsi="宋体"/>
          <w:sz w:val="24"/>
        </w:rPr>
        <w:t>医学影像检查报告表(TB_RIS_Report)</w:t>
      </w:r>
    </w:p>
    <w:tbl>
      <w:tblPr>
        <w:tblStyle w:val="48"/>
        <w:tblW w:w="93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0"/>
        <w:gridCol w:w="1261"/>
        <w:gridCol w:w="1080"/>
        <w:gridCol w:w="590"/>
        <w:gridCol w:w="780"/>
        <w:gridCol w:w="3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740" w:type="dxa"/>
            <w:shd w:val="clear" w:color="auto" w:fill="DFDFDF"/>
            <w:noWrap w:val="0"/>
            <w:vAlign w:val="top"/>
          </w:tcPr>
          <w:p>
            <w:pPr>
              <w:snapToGrid w:val="0"/>
              <w:spacing w:line="440" w:lineRule="exact"/>
              <w:jc w:val="left"/>
              <w:rPr>
                <w:rFonts w:ascii="宋体" w:hAnsi="宋体"/>
                <w:sz w:val="18"/>
                <w:szCs w:val="18"/>
              </w:rPr>
            </w:pPr>
            <w:r>
              <w:rPr>
                <w:rFonts w:hint="eastAsia" w:ascii="宋体" w:hAnsi="宋体"/>
                <w:sz w:val="18"/>
                <w:szCs w:val="18"/>
              </w:rPr>
              <w:t>数据项</w:t>
            </w:r>
          </w:p>
        </w:tc>
        <w:tc>
          <w:tcPr>
            <w:tcW w:w="1261" w:type="dxa"/>
            <w:shd w:val="clear" w:color="auto" w:fill="DFDFDF"/>
            <w:noWrap w:val="0"/>
            <w:vAlign w:val="top"/>
          </w:tcPr>
          <w:p>
            <w:pPr>
              <w:snapToGrid w:val="0"/>
              <w:spacing w:line="440" w:lineRule="exact"/>
              <w:jc w:val="left"/>
              <w:rPr>
                <w:rFonts w:ascii="宋体" w:hAnsi="宋体"/>
                <w:sz w:val="18"/>
                <w:szCs w:val="18"/>
              </w:rPr>
            </w:pPr>
            <w:r>
              <w:rPr>
                <w:rFonts w:hint="eastAsia" w:ascii="宋体" w:hAnsi="宋体"/>
                <w:sz w:val="18"/>
                <w:szCs w:val="18"/>
              </w:rPr>
              <w:t>字段名</w:t>
            </w:r>
          </w:p>
        </w:tc>
        <w:tc>
          <w:tcPr>
            <w:tcW w:w="1080" w:type="dxa"/>
            <w:shd w:val="clear" w:color="auto" w:fill="DFDFDF"/>
            <w:noWrap w:val="0"/>
            <w:vAlign w:val="top"/>
          </w:tcPr>
          <w:p>
            <w:pPr>
              <w:snapToGrid w:val="0"/>
              <w:spacing w:line="440" w:lineRule="exact"/>
              <w:jc w:val="left"/>
              <w:rPr>
                <w:rFonts w:ascii="宋体" w:hAnsi="宋体"/>
                <w:sz w:val="18"/>
                <w:szCs w:val="18"/>
              </w:rPr>
            </w:pPr>
            <w:r>
              <w:rPr>
                <w:rFonts w:hint="eastAsia" w:ascii="宋体" w:hAnsi="宋体"/>
                <w:sz w:val="18"/>
                <w:szCs w:val="18"/>
              </w:rPr>
              <w:t>数据类型</w:t>
            </w:r>
          </w:p>
        </w:tc>
        <w:tc>
          <w:tcPr>
            <w:tcW w:w="590" w:type="dxa"/>
            <w:shd w:val="clear" w:color="auto" w:fill="DFDFDF"/>
            <w:noWrap w:val="0"/>
            <w:vAlign w:val="top"/>
          </w:tcPr>
          <w:p>
            <w:pPr>
              <w:snapToGrid w:val="0"/>
              <w:spacing w:line="440" w:lineRule="exact"/>
              <w:jc w:val="left"/>
              <w:rPr>
                <w:rFonts w:ascii="宋体" w:hAnsi="宋体"/>
                <w:sz w:val="18"/>
                <w:szCs w:val="18"/>
              </w:rPr>
            </w:pPr>
            <w:r>
              <w:rPr>
                <w:rFonts w:hint="eastAsia" w:ascii="宋体" w:hAnsi="宋体"/>
                <w:sz w:val="18"/>
                <w:szCs w:val="18"/>
              </w:rPr>
              <w:t>宽度</w:t>
            </w:r>
          </w:p>
        </w:tc>
        <w:tc>
          <w:tcPr>
            <w:tcW w:w="780" w:type="dxa"/>
            <w:shd w:val="clear" w:color="auto" w:fill="DFDFDF"/>
            <w:noWrap w:val="0"/>
            <w:vAlign w:val="top"/>
          </w:tcPr>
          <w:p>
            <w:pPr>
              <w:snapToGrid w:val="0"/>
              <w:spacing w:line="440" w:lineRule="exact"/>
              <w:jc w:val="left"/>
              <w:rPr>
                <w:rFonts w:ascii="宋体" w:hAnsi="宋体"/>
                <w:sz w:val="18"/>
                <w:szCs w:val="18"/>
              </w:rPr>
            </w:pPr>
            <w:r>
              <w:rPr>
                <w:rFonts w:hint="eastAsia" w:ascii="宋体" w:hAnsi="宋体"/>
                <w:sz w:val="18"/>
                <w:szCs w:val="18"/>
              </w:rPr>
              <w:t>填报要求</w:t>
            </w:r>
          </w:p>
        </w:tc>
        <w:tc>
          <w:tcPr>
            <w:tcW w:w="3850" w:type="dxa"/>
            <w:shd w:val="clear" w:color="auto" w:fill="DFDFDF"/>
            <w:noWrap w:val="0"/>
            <w:vAlign w:val="top"/>
          </w:tcPr>
          <w:p>
            <w:pPr>
              <w:snapToGrid w:val="0"/>
              <w:spacing w:line="440" w:lineRule="exact"/>
              <w:jc w:val="left"/>
              <w:rPr>
                <w:rFonts w:ascii="宋体" w:hAnsi="宋体"/>
                <w:sz w:val="18"/>
                <w:szCs w:val="18"/>
              </w:rPr>
            </w:pPr>
            <w:r>
              <w:rPr>
                <w:rFonts w:hint="eastAsia" w:ascii="宋体" w:hAnsi="宋体"/>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40" w:type="dxa"/>
            <w:shd w:val="clear" w:color="auto" w:fill="FFCC99"/>
            <w:noWrap w:val="0"/>
            <w:vAlign w:val="top"/>
          </w:tcPr>
          <w:p>
            <w:pPr>
              <w:snapToGrid w:val="0"/>
              <w:spacing w:line="440" w:lineRule="exact"/>
              <w:jc w:val="left"/>
              <w:rPr>
                <w:rFonts w:ascii="宋体" w:hAnsi="宋体"/>
                <w:sz w:val="18"/>
                <w:szCs w:val="18"/>
              </w:rPr>
            </w:pPr>
            <w:r>
              <w:rPr>
                <w:rFonts w:hint="eastAsia" w:ascii="宋体" w:hAnsi="宋体"/>
                <w:sz w:val="18"/>
                <w:szCs w:val="18"/>
              </w:rPr>
              <w:t>检查号</w:t>
            </w:r>
          </w:p>
        </w:tc>
        <w:tc>
          <w:tcPr>
            <w:tcW w:w="1261"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StudyUid</w:t>
            </w:r>
          </w:p>
        </w:tc>
        <w:tc>
          <w:tcPr>
            <w:tcW w:w="1080" w:type="dxa"/>
            <w:shd w:val="clear" w:color="auto" w:fill="FFCC99"/>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780" w:type="dxa"/>
            <w:shd w:val="clear" w:color="auto" w:fill="FFCC99"/>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850" w:type="dxa"/>
            <w:shd w:val="clear" w:color="auto" w:fill="FFCC99"/>
            <w:noWrap w:val="0"/>
            <w:vAlign w:val="top"/>
          </w:tcPr>
          <w:p>
            <w:pPr>
              <w:snapToGrid w:val="0"/>
              <w:spacing w:line="440" w:lineRule="exact"/>
              <w:jc w:val="left"/>
              <w:rPr>
                <w:rFonts w:ascii="宋体" w:hAnsi="宋体"/>
                <w:sz w:val="18"/>
                <w:szCs w:val="18"/>
              </w:rPr>
            </w:pPr>
            <w:r>
              <w:rPr>
                <w:rFonts w:hint="eastAsia" w:ascii="宋体" w:hAnsi="宋体"/>
                <w:sz w:val="18"/>
                <w:szCs w:val="18"/>
              </w:rPr>
              <w:t>主键。Dicom 标准中每个study 的 uid，多个时使用“,”连接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40" w:type="dxa"/>
            <w:shd w:val="clear" w:color="auto" w:fill="FFCC99"/>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c>
          <w:tcPr>
            <w:tcW w:w="1261"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1080" w:type="dxa"/>
            <w:shd w:val="clear" w:color="auto" w:fill="FFCC99"/>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780" w:type="dxa"/>
            <w:shd w:val="clear" w:color="auto" w:fill="FFCC99"/>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850" w:type="dxa"/>
            <w:shd w:val="clear" w:color="auto" w:fill="FFCC99"/>
            <w:noWrap w:val="0"/>
            <w:vAlign w:val="top"/>
          </w:tcPr>
          <w:p>
            <w:pPr>
              <w:snapToGrid w:val="0"/>
              <w:spacing w:line="440" w:lineRule="exact"/>
              <w:jc w:val="left"/>
              <w:rPr>
                <w:rFonts w:ascii="宋体" w:hAnsi="宋体"/>
                <w:sz w:val="18"/>
                <w:szCs w:val="18"/>
              </w:rPr>
            </w:pPr>
            <w:r>
              <w:rPr>
                <w:rFonts w:hint="eastAsia" w:ascii="宋体" w:hAnsi="宋体"/>
                <w:sz w:val="18"/>
                <w:szCs w:val="18"/>
              </w:rPr>
              <w:t>卫生机构分类代码 22 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就诊流水号</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JZLSH</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用于与住院就诊记录表或门诊就诊记录表关联的外键(可选关联关系)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门诊/住院标志</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MZZYBZ</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1：门诊，2：住院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卡号</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KH</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850"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必须与患者基本信息关联，见前述”患者信息表”的说明(1)以及相关说明。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卡类型</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KLX</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850" w:type="dxa"/>
            <w:vMerge w:val="continue"/>
            <w:tcBorders>
              <w:top w:val="nil"/>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病人姓名</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BRXM</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病人性别</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BRXB</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编码。按国标GB2261-80执行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影像号</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PatientID</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被检查的病人在医院内部的影像号码， 即影像图像DICOM文件中对应Dicom中位置(0010,0020)的值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检查项目代码</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JCXMDM</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与本次检查关联的收费项目代码或RIS内部项目操作代码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申请单号</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SQDH</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该检查在 HIS 或 RIS 中的申请单编号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开单时间</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KDSJ</w:t>
            </w:r>
          </w:p>
        </w:tc>
        <w:tc>
          <w:tcPr>
            <w:tcW w:w="1080"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590" w:type="dxa"/>
            <w:noWrap w:val="0"/>
            <w:vAlign w:val="top"/>
          </w:tcPr>
          <w:p>
            <w:pPr>
              <w:snapToGrid w:val="0"/>
              <w:spacing w:line="440" w:lineRule="exact"/>
              <w:jc w:val="left"/>
              <w:rPr>
                <w:rFonts w:ascii="宋体" w:hAnsi="宋体"/>
                <w:sz w:val="18"/>
                <w:szCs w:val="18"/>
              </w:rPr>
            </w:pP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检查单开单时间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检查时间</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JYSJ</w:t>
            </w:r>
          </w:p>
        </w:tc>
        <w:tc>
          <w:tcPr>
            <w:tcW w:w="1080"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590" w:type="dxa"/>
            <w:noWrap w:val="0"/>
            <w:vAlign w:val="top"/>
          </w:tcPr>
          <w:p>
            <w:pPr>
              <w:snapToGrid w:val="0"/>
              <w:spacing w:line="440" w:lineRule="exact"/>
              <w:jc w:val="left"/>
              <w:rPr>
                <w:rFonts w:ascii="宋体" w:hAnsi="宋体"/>
                <w:sz w:val="18"/>
                <w:szCs w:val="18"/>
              </w:rPr>
            </w:pP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检查类型</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ExamType</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编码：表明病人检查的类型。（见检查类型字典表）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检查设备仪器</w:t>
            </w:r>
          </w:p>
          <w:p>
            <w:pPr>
              <w:snapToGrid w:val="0"/>
              <w:spacing w:line="440" w:lineRule="exact"/>
              <w:jc w:val="left"/>
              <w:rPr>
                <w:rFonts w:ascii="宋体" w:hAnsi="宋体"/>
                <w:sz w:val="18"/>
                <w:szCs w:val="18"/>
              </w:rPr>
            </w:pPr>
            <w:r>
              <w:rPr>
                <w:rFonts w:hint="eastAsia" w:ascii="宋体" w:hAnsi="宋体"/>
                <w:sz w:val="18"/>
                <w:szCs w:val="18"/>
              </w:rPr>
              <w:t>型号</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SBBM</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设备编码并非特指某一台物理设备，而是能够表示某类设备的编号。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检查仪器号</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YQBM</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申请科室编码</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SQKS</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编码。见科室字典表。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申请人工号</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SQRGH</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申请人姓名</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SQRXM</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检查科室编码</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JCKS</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医院填报的科室代码（见科室字典表）。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检查医生姓名</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JCYS</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检查医生工号</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JCYSGH</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报告日期</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BGRQ</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8</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850" w:type="dxa"/>
            <w:noWrap w:val="0"/>
            <w:vAlign w:val="top"/>
          </w:tcPr>
          <w:p>
            <w:pPr>
              <w:snapToGrid w:val="0"/>
              <w:spacing w:line="440" w:lineRule="exact"/>
              <w:jc w:val="left"/>
              <w:rPr>
                <w:rFonts w:ascii="宋体" w:hAnsi="宋体"/>
                <w:sz w:val="18"/>
                <w:szCs w:val="18"/>
              </w:rPr>
            </w:pPr>
            <w:r>
              <w:rPr>
                <w:rFonts w:ascii="宋体" w:hAnsi="宋体"/>
                <w:sz w:val="18"/>
                <w:szCs w:val="18"/>
              </w:rPr>
              <w:t>YYYYMMDD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报告时间</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BGSJ</w:t>
            </w:r>
          </w:p>
        </w:tc>
        <w:tc>
          <w:tcPr>
            <w:tcW w:w="1080"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590" w:type="dxa"/>
            <w:noWrap w:val="0"/>
            <w:vAlign w:val="top"/>
          </w:tcPr>
          <w:p>
            <w:pPr>
              <w:snapToGrid w:val="0"/>
              <w:spacing w:line="440" w:lineRule="exact"/>
              <w:jc w:val="left"/>
              <w:rPr>
                <w:rFonts w:ascii="宋体" w:hAnsi="宋体"/>
                <w:sz w:val="18"/>
                <w:szCs w:val="18"/>
              </w:rPr>
            </w:pP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报告人工号</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BGRGH</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报告人姓名</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BGRXM</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审核人工号</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SHRGH</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编码。见医护人员字典表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审核人姓名</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SHRXM</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8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检查部位</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JCBW</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文字说明被检查的部位。或活检部位。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检查部位ACR编码</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BWACR</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表明病人的检查部位的编码（见附件ACR 部位编码），若未填写该字段则数据中心端根据部位自动对应。若对应到多个部位，则ACR编码中间用</w:t>
            </w:r>
            <w:r>
              <w:rPr>
                <w:rFonts w:ascii="宋体" w:hAnsi="宋体"/>
                <w:sz w:val="18"/>
                <w:szCs w:val="18"/>
              </w:rPr>
              <w:t>“</w:t>
            </w:r>
            <w:r>
              <w:rPr>
                <w:rFonts w:hint="eastAsia" w:ascii="宋体" w:hAnsi="宋体"/>
                <w:sz w:val="18"/>
                <w:szCs w:val="18"/>
              </w:rPr>
              <w:t>,</w:t>
            </w:r>
            <w:r>
              <w:rPr>
                <w:rFonts w:ascii="宋体" w:hAnsi="宋体"/>
                <w:sz w:val="18"/>
                <w:szCs w:val="18"/>
              </w:rPr>
              <w:t>”</w:t>
            </w:r>
            <w:r>
              <w:rPr>
                <w:rFonts w:hint="eastAsia" w:ascii="宋体" w:hAnsi="宋体"/>
                <w:sz w:val="18"/>
                <w:szCs w:val="18"/>
              </w:rPr>
              <w:t>分隔。对填写的ACR编码必须至少精确到二级目录。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检查名称</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JCMC</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检查内容名称的文字描述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阴阳性</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YYS</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0：阴性；1：阳性；2：未定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报告临床诊断</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BGLCZD</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文字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影像表现或检查所见</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YXBX</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文字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检查诊断或提示</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YXZD</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文字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备注或建议</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BZHJY</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文字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是否有影像</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SFYYY</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1：有；2：无；3：未定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修改标志</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XGBZ</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编码。1：正常、2：修改、3：撤销。 见说明(1)。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密级</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MJ</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见就诊记录表的相关说明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预留一</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YLYL1</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0"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预留二</w:t>
            </w:r>
          </w:p>
        </w:tc>
        <w:tc>
          <w:tcPr>
            <w:tcW w:w="1261" w:type="dxa"/>
            <w:noWrap w:val="0"/>
            <w:vAlign w:val="top"/>
          </w:tcPr>
          <w:p>
            <w:pPr>
              <w:snapToGrid w:val="0"/>
              <w:spacing w:line="440" w:lineRule="exact"/>
              <w:jc w:val="left"/>
              <w:rPr>
                <w:rFonts w:ascii="宋体" w:hAnsi="宋体"/>
                <w:sz w:val="18"/>
                <w:szCs w:val="18"/>
              </w:rPr>
            </w:pPr>
            <w:r>
              <w:rPr>
                <w:rFonts w:ascii="宋体" w:hAnsi="宋体"/>
                <w:sz w:val="18"/>
                <w:szCs w:val="18"/>
              </w:rPr>
              <w:t>YLYL2</w:t>
            </w:r>
          </w:p>
        </w:tc>
        <w:tc>
          <w:tcPr>
            <w:tcW w:w="10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90"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78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3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r>
    </w:tbl>
    <w:p>
      <w:pPr>
        <w:snapToGrid w:val="0"/>
        <w:spacing w:line="440" w:lineRule="exact"/>
        <w:jc w:val="left"/>
        <w:rPr>
          <w:rFonts w:ascii="宋体" w:hAnsi="宋体"/>
          <w:sz w:val="24"/>
        </w:rPr>
      </w:pPr>
      <w:r>
        <w:rPr>
          <w:rFonts w:hint="eastAsia" w:ascii="宋体" w:hAnsi="宋体"/>
          <w:sz w:val="24"/>
        </w:rPr>
        <w:t>2.1.6</w:t>
      </w:r>
      <w:r>
        <w:rPr>
          <w:rFonts w:ascii="宋体" w:hAnsi="宋体"/>
          <w:sz w:val="24"/>
        </w:rPr>
        <w:t>住院病案首页主体报告</w:t>
      </w:r>
    </w:p>
    <w:p>
      <w:pPr>
        <w:snapToGrid w:val="0"/>
        <w:spacing w:line="440" w:lineRule="exact"/>
        <w:jc w:val="left"/>
        <w:rPr>
          <w:rFonts w:ascii="宋体" w:hAnsi="宋体"/>
          <w:sz w:val="24"/>
        </w:rPr>
      </w:pPr>
      <w:r>
        <w:rPr>
          <w:rFonts w:hint="eastAsia" w:ascii="宋体" w:hAnsi="宋体"/>
          <w:sz w:val="24"/>
        </w:rPr>
        <w:t>对于肿瘤专科医院、精神病专科医院、中医专科医院、中西医结合医院等，或许病案首页的内容与通常的西医综合性医院具有差别，所以将根据调研后另外专门进行补充界定。以下内容的界定是按照综合性西医医院的病案首页样式编写的。</w:t>
      </w:r>
    </w:p>
    <w:p>
      <w:pPr>
        <w:snapToGrid w:val="0"/>
        <w:spacing w:line="440" w:lineRule="exact"/>
        <w:jc w:val="left"/>
        <w:rPr>
          <w:rFonts w:ascii="宋体" w:hAnsi="宋体"/>
          <w:sz w:val="24"/>
        </w:rPr>
      </w:pPr>
      <w:r>
        <w:rPr>
          <w:rFonts w:hint="eastAsia" w:ascii="宋体" w:hAnsi="宋体"/>
          <w:sz w:val="24"/>
        </w:rPr>
        <w:t>2.1.6.1</w:t>
      </w:r>
      <w:r>
        <w:rPr>
          <w:rFonts w:ascii="宋体" w:hAnsi="宋体"/>
          <w:sz w:val="24"/>
        </w:rPr>
        <w:t>住院病案首页主体表(TB_CIS_Main)</w:t>
      </w:r>
    </w:p>
    <w:tbl>
      <w:tblPr>
        <w:tblStyle w:val="48"/>
        <w:tblW w:w="87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993"/>
        <w:gridCol w:w="992"/>
        <w:gridCol w:w="567"/>
        <w:gridCol w:w="850"/>
        <w:gridCol w:w="2357"/>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数据项</w:t>
            </w:r>
          </w:p>
        </w:tc>
        <w:tc>
          <w:tcPr>
            <w:tcW w:w="993"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字段名</w:t>
            </w:r>
          </w:p>
        </w:tc>
        <w:tc>
          <w:tcPr>
            <w:tcW w:w="992"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类型</w:t>
            </w:r>
          </w:p>
        </w:tc>
        <w:tc>
          <w:tcPr>
            <w:tcW w:w="567"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长度</w:t>
            </w:r>
          </w:p>
        </w:tc>
        <w:tc>
          <w:tcPr>
            <w:tcW w:w="850"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填报要求</w:t>
            </w:r>
          </w:p>
        </w:tc>
        <w:tc>
          <w:tcPr>
            <w:tcW w:w="2357"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说明</w:t>
            </w:r>
          </w:p>
        </w:tc>
        <w:tc>
          <w:tcPr>
            <w:tcW w:w="1307"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数据集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住院就诊流水号</w:t>
            </w:r>
          </w:p>
        </w:tc>
        <w:tc>
          <w:tcPr>
            <w:tcW w:w="993"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JZLSH</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 医院 HIS 的唯一编号</w:t>
            </w:r>
          </w:p>
        </w:tc>
        <w:tc>
          <w:tcPr>
            <w:tcW w:w="1307"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c>
          <w:tcPr>
            <w:tcW w:w="993"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 卫生机构分类代码 22 位</w:t>
            </w:r>
          </w:p>
        </w:tc>
        <w:tc>
          <w:tcPr>
            <w:tcW w:w="1307"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院区ID </w:t>
            </w:r>
          </w:p>
        </w:tc>
        <w:tc>
          <w:tcPr>
            <w:tcW w:w="993"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YQID </w:t>
            </w:r>
          </w:p>
        </w:tc>
        <w:tc>
          <w:tcPr>
            <w:tcW w:w="992"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35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本院传00，分院按实际传 </w:t>
            </w:r>
          </w:p>
        </w:tc>
        <w:tc>
          <w:tcPr>
            <w:tcW w:w="1307"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院区名称 </w:t>
            </w:r>
          </w:p>
        </w:tc>
        <w:tc>
          <w:tcPr>
            <w:tcW w:w="993"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JGYQMC </w:t>
            </w:r>
          </w:p>
        </w:tc>
        <w:tc>
          <w:tcPr>
            <w:tcW w:w="992"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357" w:type="dxa"/>
            <w:shd w:val="clear" w:color="auto" w:fill="FAD3B4"/>
            <w:noWrap w:val="0"/>
            <w:vAlign w:val="top"/>
          </w:tcPr>
          <w:p>
            <w:pPr>
              <w:snapToGrid w:val="0"/>
              <w:spacing w:line="440" w:lineRule="exact"/>
              <w:jc w:val="left"/>
              <w:rPr>
                <w:rFonts w:ascii="宋体" w:hAnsi="宋体"/>
                <w:sz w:val="18"/>
                <w:szCs w:val="18"/>
              </w:rPr>
            </w:pPr>
          </w:p>
        </w:tc>
        <w:tc>
          <w:tcPr>
            <w:tcW w:w="1307" w:type="dxa"/>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入院时间</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RYSJ</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567" w:type="dxa"/>
            <w:noWrap w:val="0"/>
            <w:vAlign w:val="top"/>
          </w:tcPr>
          <w:p>
            <w:pPr>
              <w:snapToGrid w:val="0"/>
              <w:spacing w:line="440" w:lineRule="exact"/>
              <w:jc w:val="left"/>
              <w:rPr>
                <w:rFonts w:ascii="宋体" w:hAnsi="宋体"/>
                <w:sz w:val="18"/>
                <w:szCs w:val="18"/>
              </w:rPr>
            </w:pP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入院类型（途径）</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RYLX</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编码。01：门诊入院、02 ： 急诊入院、03：转院</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治疗类别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ZLLB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10.中医，11. 民族医，20. 中西医，30.西医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离院方式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LYFS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医嘱离院，医嘱转院，医嘱转社区卫生服务机构_乡镇卫生院，4.非医嘱离院， 5.</w:t>
            </w:r>
          </w:p>
          <w:p>
            <w:pPr>
              <w:snapToGrid w:val="0"/>
              <w:spacing w:line="440" w:lineRule="exact"/>
              <w:jc w:val="left"/>
              <w:rPr>
                <w:rFonts w:ascii="宋体" w:hAnsi="宋体"/>
                <w:sz w:val="18"/>
                <w:szCs w:val="18"/>
              </w:rPr>
            </w:pPr>
            <w:r>
              <w:rPr>
                <w:rFonts w:ascii="宋体" w:hAnsi="宋体"/>
                <w:sz w:val="18"/>
                <w:szCs w:val="18"/>
              </w:rPr>
              <w:t xml:space="preserve">死亡，9.其他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转归情况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BQZGDM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1. 治愈， 2. 好转， 3. 稳定，4.恶化， 5. 死亡， 9.</w:t>
            </w:r>
          </w:p>
          <w:p>
            <w:pPr>
              <w:snapToGrid w:val="0"/>
              <w:spacing w:line="440" w:lineRule="exact"/>
              <w:jc w:val="left"/>
              <w:rPr>
                <w:rFonts w:ascii="宋体" w:hAnsi="宋体"/>
                <w:sz w:val="18"/>
                <w:szCs w:val="18"/>
              </w:rPr>
            </w:pPr>
            <w:r>
              <w:rPr>
                <w:rFonts w:ascii="宋体" w:hAnsi="宋体"/>
                <w:sz w:val="18"/>
                <w:szCs w:val="18"/>
              </w:rPr>
              <w:t xml:space="preserve">其他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KH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必须与患者基本信息关联， 见前述”患者信息表”的说明 (1) 以及相关说明。</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卡类型</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KLX</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vMerge w:val="continue"/>
            <w:tcBorders>
              <w:top w:val="nil"/>
            </w:tcBorders>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健康卡号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JKKH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患者所持有的健康卡卡号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保险类型</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BXLX</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用来区分对象所 属 保 险 类型。见前述“挂号”的说明（6）</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医疗付费方式</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YLFFFS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参见CV0209.01医疗保险类别代码</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医保类别名称</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YBLBMC</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本人参加的某个医疗保险的类别名称</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医保类别代码</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YBLBDM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本人参加的某个医疗保险的类别代码 参见CV0209.01医疗保险类别代码</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编码员</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BMY</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负责病案编目的分类人员姓名</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住院号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CISID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若无则可填住院就诊流水号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住院次数</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ZYCS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整数</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4</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病案号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BAH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入院病区</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RYBINGQU</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入院床号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RYCH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出院病区</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CYBQ</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出院床号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CYCH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姓名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XM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性别代码</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XBDM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r>
              <w:rPr>
                <w:rFonts w:ascii="宋体" w:hAnsi="宋体"/>
                <w:sz w:val="18"/>
                <w:szCs w:val="18"/>
              </w:rPr>
              <w:t>字</w:t>
            </w:r>
            <w:r>
              <w:rPr>
                <w:rFonts w:ascii="宋体" w:hAnsi="宋体"/>
                <w:sz w:val="18"/>
                <w:szCs w:val="18"/>
              </w:rPr>
              <w:tab/>
            </w:r>
            <w:r>
              <w:rPr>
                <w:rFonts w:ascii="宋体" w:hAnsi="宋体"/>
                <w:sz w:val="18"/>
                <w:szCs w:val="18"/>
              </w:rPr>
              <w:t>典</w:t>
            </w:r>
            <w:r>
              <w:rPr>
                <w:rFonts w:ascii="宋体" w:hAnsi="宋体"/>
                <w:sz w:val="18"/>
                <w:szCs w:val="18"/>
              </w:rPr>
              <w:tab/>
            </w:r>
            <w:r>
              <w:rPr>
                <w:rFonts w:ascii="宋体" w:hAnsi="宋体"/>
                <w:sz w:val="18"/>
                <w:szCs w:val="18"/>
              </w:rPr>
              <w:t>: GB_T2261_ 1_2003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性别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XB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r>
              <w:rPr>
                <w:rFonts w:ascii="宋体" w:hAnsi="宋体"/>
                <w:sz w:val="18"/>
                <w:szCs w:val="18"/>
              </w:rPr>
              <w:t>医院本地 中文性别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出生日期</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CSNY</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8</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格</w:t>
            </w:r>
            <w:r>
              <w:rPr>
                <w:rFonts w:hint="eastAsia" w:ascii="宋体" w:hAnsi="宋体"/>
                <w:sz w:val="18"/>
                <w:szCs w:val="18"/>
              </w:rPr>
              <w:tab/>
            </w:r>
            <w:r>
              <w:rPr>
                <w:rFonts w:hint="eastAsia" w:ascii="宋体" w:hAnsi="宋体"/>
                <w:sz w:val="18"/>
                <w:szCs w:val="18"/>
              </w:rPr>
              <w:t>式</w:t>
            </w:r>
            <w:r>
              <w:rPr>
                <w:rFonts w:hint="eastAsia" w:ascii="宋体" w:hAnsi="宋体"/>
                <w:sz w:val="18"/>
                <w:szCs w:val="18"/>
              </w:rPr>
              <w:tab/>
            </w:r>
            <w:r>
              <w:rPr>
                <w:rFonts w:hint="eastAsia" w:ascii="宋体" w:hAnsi="宋体"/>
                <w:sz w:val="18"/>
                <w:szCs w:val="18"/>
              </w:rPr>
              <w:t>：</w:t>
            </w:r>
            <w:r>
              <w:rPr>
                <w:rFonts w:ascii="宋体" w:hAnsi="宋体"/>
                <w:sz w:val="18"/>
                <w:szCs w:val="18"/>
              </w:rPr>
              <w:t>YYYYMMDD</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年龄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NL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年龄单位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NLDW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1.年，2.月，3.日，4.小时 </w:t>
            </w:r>
          </w:p>
        </w:tc>
        <w:tc>
          <w:tcPr>
            <w:tcW w:w="1307" w:type="dxa"/>
            <w:noWrap w:val="0"/>
            <w:vAlign w:val="top"/>
          </w:tcPr>
          <w:p>
            <w:pPr>
              <w:snapToGrid w:val="0"/>
              <w:spacing w:line="440" w:lineRule="exact"/>
              <w:jc w:val="left"/>
              <w:rPr>
                <w:rFonts w:ascii="宋体" w:hAnsi="宋体"/>
                <w:sz w:val="18"/>
                <w:szCs w:val="18"/>
              </w:rPr>
            </w:pPr>
            <w:r>
              <w:rPr>
                <w:rFonts w:ascii="宋体" w:hAnsi="宋体"/>
                <w:sz w:val="18"/>
                <w:szCs w:val="18"/>
              </w:rPr>
              <w:t>字</w:t>
            </w:r>
            <w:r>
              <w:rPr>
                <w:rFonts w:ascii="宋体" w:hAnsi="宋体"/>
                <w:sz w:val="18"/>
                <w:szCs w:val="18"/>
              </w:rPr>
              <w:tab/>
            </w:r>
            <w:r>
              <w:rPr>
                <w:rFonts w:ascii="宋体" w:hAnsi="宋体"/>
                <w:sz w:val="18"/>
                <w:szCs w:val="18"/>
              </w:rPr>
              <w:t>典</w:t>
            </w:r>
            <w:r>
              <w:rPr>
                <w:rFonts w:ascii="宋体" w:hAnsi="宋体"/>
                <w:sz w:val="18"/>
                <w:szCs w:val="18"/>
              </w:rPr>
              <w:tab/>
            </w:r>
            <w:r>
              <w:rPr>
                <w:rFonts w:ascii="宋体" w:hAnsi="宋体"/>
                <w:sz w:val="18"/>
                <w:szCs w:val="18"/>
              </w:rPr>
              <w:t xml:space="preserve">: CVX_AGEUNIT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身份证件类型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ZJLX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字</w:t>
            </w:r>
            <w:r>
              <w:rPr>
                <w:rFonts w:ascii="宋体" w:hAnsi="宋体"/>
                <w:sz w:val="18"/>
                <w:szCs w:val="18"/>
              </w:rPr>
              <w:tab/>
            </w:r>
            <w:r>
              <w:rPr>
                <w:rFonts w:ascii="宋体" w:hAnsi="宋体"/>
                <w:sz w:val="18"/>
                <w:szCs w:val="18"/>
              </w:rPr>
              <w:t>典</w:t>
            </w:r>
            <w:r>
              <w:rPr>
                <w:rFonts w:ascii="宋体" w:hAnsi="宋体"/>
                <w:sz w:val="18"/>
                <w:szCs w:val="18"/>
              </w:rPr>
              <w:tab/>
            </w:r>
            <w:r>
              <w:rPr>
                <w:rFonts w:ascii="宋体" w:hAnsi="宋体"/>
                <w:sz w:val="18"/>
                <w:szCs w:val="18"/>
              </w:rPr>
              <w:t xml:space="preserve">： CV02_01_101，默认身份证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身份证号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SFZ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18</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如没有，请填入 18 个“0”。</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职业</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ZYBM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r>
              <w:rPr>
                <w:rFonts w:ascii="宋体" w:hAnsi="宋体"/>
                <w:sz w:val="18"/>
                <w:szCs w:val="18"/>
              </w:rPr>
              <w:t>字</w:t>
            </w:r>
            <w:r>
              <w:rPr>
                <w:rFonts w:ascii="宋体" w:hAnsi="宋体"/>
                <w:sz w:val="18"/>
                <w:szCs w:val="18"/>
              </w:rPr>
              <w:tab/>
            </w:r>
            <w:r>
              <w:rPr>
                <w:rFonts w:ascii="宋体" w:hAnsi="宋体"/>
                <w:sz w:val="18"/>
                <w:szCs w:val="18"/>
              </w:rPr>
              <w:t>典</w:t>
            </w:r>
            <w:r>
              <w:rPr>
                <w:rFonts w:ascii="宋体" w:hAnsi="宋体"/>
                <w:sz w:val="18"/>
                <w:szCs w:val="18"/>
              </w:rPr>
              <w:tab/>
            </w:r>
            <w:r>
              <w:rPr>
                <w:rFonts w:ascii="宋体" w:hAnsi="宋体"/>
                <w:sz w:val="18"/>
                <w:szCs w:val="18"/>
              </w:rPr>
              <w:t xml:space="preserve">: GB_T2261_ 4_2003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婚姻状况</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HYZK</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w:t>
            </w:r>
            <w:r>
              <w:rPr>
                <w:rFonts w:hint="eastAsia" w:ascii="宋体" w:hAnsi="宋体"/>
                <w:sz w:val="18"/>
                <w:szCs w:val="18"/>
              </w:rPr>
              <w:tab/>
            </w:r>
            <w:r>
              <w:rPr>
                <w:rFonts w:hint="eastAsia" w:ascii="宋体" w:hAnsi="宋体"/>
                <w:sz w:val="18"/>
                <w:szCs w:val="18"/>
              </w:rPr>
              <w:t>典</w:t>
            </w:r>
            <w:r>
              <w:rPr>
                <w:rFonts w:hint="eastAsia" w:ascii="宋体" w:hAnsi="宋体"/>
                <w:sz w:val="18"/>
                <w:szCs w:val="18"/>
              </w:rPr>
              <w:tab/>
            </w:r>
            <w:r>
              <w:rPr>
                <w:rFonts w:hint="eastAsia" w:ascii="宋体" w:hAnsi="宋体"/>
                <w:sz w:val="18"/>
                <w:szCs w:val="18"/>
              </w:rPr>
              <w:t>：</w:t>
            </w:r>
            <w:r>
              <w:rPr>
                <w:rFonts w:ascii="宋体" w:hAnsi="宋体"/>
                <w:sz w:val="18"/>
                <w:szCs w:val="18"/>
              </w:rPr>
              <w:t>GB_T2261_2_2003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民族</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MZ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w:t>
            </w:r>
            <w:r>
              <w:rPr>
                <w:rFonts w:hint="eastAsia" w:ascii="宋体" w:hAnsi="宋体"/>
                <w:sz w:val="18"/>
                <w:szCs w:val="18"/>
              </w:rPr>
              <w:tab/>
            </w:r>
            <w:r>
              <w:rPr>
                <w:rFonts w:hint="eastAsia" w:ascii="宋体" w:hAnsi="宋体"/>
                <w:sz w:val="18"/>
                <w:szCs w:val="18"/>
              </w:rPr>
              <w:t>典</w:t>
            </w:r>
            <w:r>
              <w:rPr>
                <w:rFonts w:hint="eastAsia" w:ascii="宋体" w:hAnsi="宋体"/>
                <w:sz w:val="18"/>
                <w:szCs w:val="18"/>
              </w:rPr>
              <w:tab/>
            </w:r>
            <w:r>
              <w:rPr>
                <w:rFonts w:hint="eastAsia" w:ascii="宋体" w:hAnsi="宋体"/>
                <w:sz w:val="18"/>
                <w:szCs w:val="18"/>
              </w:rPr>
              <w:t>：</w:t>
            </w:r>
            <w:r>
              <w:rPr>
                <w:rFonts w:ascii="宋体" w:hAnsi="宋体"/>
                <w:sz w:val="18"/>
                <w:szCs w:val="18"/>
              </w:rPr>
              <w:t>GB_T3304_1991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国籍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GJ</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直接上传中文</w:t>
            </w:r>
          </w:p>
        </w:tc>
        <w:tc>
          <w:tcPr>
            <w:tcW w:w="130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w:t>
            </w:r>
            <w:r>
              <w:rPr>
                <w:rFonts w:hint="eastAsia" w:ascii="宋体" w:hAnsi="宋体"/>
                <w:sz w:val="18"/>
                <w:szCs w:val="18"/>
              </w:rPr>
              <w:tab/>
            </w:r>
            <w:r>
              <w:rPr>
                <w:rFonts w:hint="eastAsia" w:ascii="宋体" w:hAnsi="宋体"/>
                <w:sz w:val="18"/>
                <w:szCs w:val="18"/>
              </w:rPr>
              <w:t>典</w:t>
            </w:r>
            <w:r>
              <w:rPr>
                <w:rFonts w:hint="eastAsia" w:ascii="宋体" w:hAnsi="宋体"/>
                <w:sz w:val="18"/>
                <w:szCs w:val="18"/>
              </w:rPr>
              <w:tab/>
            </w:r>
            <w:r>
              <w:rPr>
                <w:rFonts w:hint="eastAsia" w:ascii="宋体" w:hAnsi="宋体"/>
                <w:sz w:val="18"/>
                <w:szCs w:val="18"/>
              </w:rPr>
              <w:t>：</w:t>
            </w:r>
            <w:r>
              <w:rPr>
                <w:rFonts w:ascii="宋体" w:hAnsi="宋体"/>
                <w:sz w:val="18"/>
                <w:szCs w:val="18"/>
              </w:rPr>
              <w:t>GB_T2659_2000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出生地</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CSD</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籍贯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JG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70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患者的籍贯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联系电话</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LXDH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工作单位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GZDW</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工作单位电话号码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GZDWDHHM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填写患者工作单位的电话号码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工作单位邮编</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GZDWYB</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居住地</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JZD</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50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现住址电话号码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XZDZDHHM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个体或机构联系电话的号码，包括国际、国内区号和分机号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现住地址邮编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XZDZYB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户口地址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HKDZ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患者户口所在地址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户口地址邮编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HKDZYB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6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户口电话</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HKDH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地区</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DQBM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直接上传中文</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区县</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QXBM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编码。按国标编码执行。</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街道/乡镇</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JDBM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编码。卫生局的街道编码执</w:t>
            </w:r>
          </w:p>
          <w:p>
            <w:pPr>
              <w:snapToGrid w:val="0"/>
              <w:spacing w:line="440" w:lineRule="exact"/>
              <w:jc w:val="left"/>
              <w:rPr>
                <w:rFonts w:ascii="宋体" w:hAnsi="宋体"/>
                <w:sz w:val="18"/>
                <w:szCs w:val="18"/>
              </w:rPr>
            </w:pPr>
            <w:r>
              <w:rPr>
                <w:rFonts w:hint="eastAsia" w:ascii="宋体" w:hAnsi="宋体"/>
                <w:sz w:val="18"/>
                <w:szCs w:val="18"/>
              </w:rPr>
              <w:t>行</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联系人姓名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LXRXM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联系人与患者关系</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LXRGX</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4</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值</w:t>
            </w:r>
            <w:r>
              <w:rPr>
                <w:rFonts w:hint="eastAsia" w:ascii="宋体" w:hAnsi="宋体"/>
                <w:sz w:val="18"/>
                <w:szCs w:val="18"/>
              </w:rPr>
              <w:tab/>
            </w:r>
            <w:r>
              <w:rPr>
                <w:rFonts w:hint="eastAsia" w:ascii="宋体" w:hAnsi="宋体"/>
                <w:sz w:val="18"/>
                <w:szCs w:val="18"/>
              </w:rPr>
              <w:t>域</w:t>
            </w:r>
            <w:r>
              <w:rPr>
                <w:rFonts w:hint="eastAsia" w:ascii="宋体" w:hAnsi="宋体"/>
                <w:sz w:val="18"/>
                <w:szCs w:val="18"/>
              </w:rPr>
              <w:tab/>
            </w:r>
            <w:r>
              <w:rPr>
                <w:rFonts w:hint="eastAsia" w:ascii="宋体" w:hAnsi="宋体"/>
                <w:sz w:val="18"/>
                <w:szCs w:val="18"/>
              </w:rPr>
              <w:t>： CV0218.01</w:t>
            </w:r>
            <w:r>
              <w:rPr>
                <w:rFonts w:hint="eastAsia" w:ascii="宋体" w:hAnsi="宋体"/>
                <w:sz w:val="18"/>
                <w:szCs w:val="18"/>
              </w:rPr>
              <w:tab/>
            </w:r>
            <w:r>
              <w:rPr>
                <w:rFonts w:hint="eastAsia" w:ascii="宋体" w:hAnsi="宋体"/>
                <w:sz w:val="18"/>
                <w:szCs w:val="18"/>
              </w:rPr>
              <w:t>家庭和社会关系代码</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联系人电话</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LXRDH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联系人通信地址</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LXRTXDZ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50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入院科别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RYKB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卫生服务机构内就诊科室的名称,患者入院科室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入院科室编码</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RYKSBM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入院科室名称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KSMC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转科科室编码 1</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ZKKSBM1</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编码。见科室字典表</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转科科室编码 2</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ZKKSBM2</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编码。见科室字典表</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转科科室编码 3</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ZKKSBM3</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编码。见科室字典表</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转科科别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BZZKKB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患者从入院时所在的科室转往的科室名称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所转病区</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SZBQ</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指“入院病区” 和“出院病区” 外， 患者在本次住院中住过的所有病区。如有多个， 以“,”间隔</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出院时间</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CYSJ</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567" w:type="dxa"/>
            <w:noWrap w:val="0"/>
            <w:vAlign w:val="top"/>
          </w:tcPr>
          <w:p>
            <w:pPr>
              <w:snapToGrid w:val="0"/>
              <w:spacing w:line="440" w:lineRule="exact"/>
              <w:jc w:val="left"/>
              <w:rPr>
                <w:rFonts w:ascii="宋体" w:hAnsi="宋体"/>
                <w:sz w:val="18"/>
                <w:szCs w:val="18"/>
              </w:rPr>
            </w:pP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住院患者出院日，格式： YYYY-MM-DDThh24:mi:ss</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出院科别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CYKB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卫生服务机构内出院科室的名称,患者出院科室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出院科室编码</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CYKSBM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出院科室名称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CYKSMC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字符春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实际住院天数</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SJZYTS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4</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出院方式</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CYFS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编码。1：常规、2：自动、3： 转院</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入院时情况</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RYQK</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CV5501.12</w:t>
            </w:r>
            <w:r>
              <w:rPr>
                <w:rFonts w:hint="eastAsia" w:ascii="宋体" w:hAnsi="宋体"/>
                <w:sz w:val="18"/>
                <w:szCs w:val="18"/>
              </w:rPr>
              <w:tab/>
            </w:r>
            <w:r>
              <w:rPr>
                <w:rFonts w:hint="eastAsia" w:ascii="宋体" w:hAnsi="宋体"/>
                <w:sz w:val="18"/>
                <w:szCs w:val="18"/>
              </w:rPr>
              <w:t>入院病情代码。1 危重、2：急诊、3：一般、9：其他</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入院前经外院诊治</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RYQWYZZ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编码。1：有、2：无</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确诊日期</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QZRQ</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8</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YYYYMMDD</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3天内确诊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SRNQZ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见门诊说明 3（ </w:t>
            </w:r>
            <w:r>
              <w:rPr>
                <w:rFonts w:ascii="宋体" w:hAnsi="宋体"/>
                <w:sz w:val="18"/>
                <w:szCs w:val="18"/>
              </w:rPr>
              <w:t xml:space="preserve">CVX_Righ t） </w:t>
            </w:r>
          </w:p>
        </w:tc>
        <w:tc>
          <w:tcPr>
            <w:tcW w:w="1307" w:type="dxa"/>
            <w:noWrap w:val="0"/>
            <w:vAlign w:val="top"/>
          </w:tcPr>
          <w:p>
            <w:pPr>
              <w:snapToGrid w:val="0"/>
              <w:spacing w:line="440" w:lineRule="exact"/>
              <w:jc w:val="left"/>
              <w:rPr>
                <w:rFonts w:ascii="宋体" w:hAnsi="宋体"/>
                <w:sz w:val="18"/>
                <w:szCs w:val="18"/>
              </w:rPr>
            </w:pPr>
          </w:p>
        </w:tc>
      </w:tr>
      <w:tr>
        <w:tblPrEx>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医院感染名称</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YYGRMC</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按《卫生部关于印发医院感染 诊 断 标 准（ 试行）的通知》（ 卫医发[2001]2 号）执行</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医院感染结果</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YYGRJG</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编码。1：治愈、2：好转、3： 未愈、4：死亡、5：其它</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实施临床路径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SSLCLJ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1. 中医， 2. 西医，3.否，</w:t>
            </w:r>
          </w:p>
          <w:p>
            <w:pPr>
              <w:snapToGrid w:val="0"/>
              <w:spacing w:line="440" w:lineRule="exact"/>
              <w:jc w:val="left"/>
              <w:rPr>
                <w:rFonts w:ascii="宋体" w:hAnsi="宋体"/>
                <w:sz w:val="18"/>
                <w:szCs w:val="18"/>
              </w:rPr>
            </w:pPr>
            <w:r>
              <w:rPr>
                <w:rFonts w:ascii="宋体" w:hAnsi="宋体"/>
                <w:sz w:val="18"/>
                <w:szCs w:val="18"/>
              </w:rPr>
              <w:t xml:space="preserve">4.情况不明 </w:t>
            </w:r>
          </w:p>
        </w:tc>
        <w:tc>
          <w:tcPr>
            <w:tcW w:w="1307"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单病种管理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DBZGL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见门诊说明 3（ </w:t>
            </w:r>
            <w:r>
              <w:rPr>
                <w:rFonts w:ascii="宋体" w:hAnsi="宋体"/>
                <w:sz w:val="18"/>
                <w:szCs w:val="18"/>
              </w:rPr>
              <w:t xml:space="preserve">CVX_Righ t）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使用医疗机构中药制剂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SYYLJGZYZJ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见门诊说明 3（ </w:t>
            </w:r>
            <w:r>
              <w:rPr>
                <w:rFonts w:ascii="宋体" w:hAnsi="宋体"/>
                <w:sz w:val="18"/>
                <w:szCs w:val="18"/>
              </w:rPr>
              <w:t xml:space="preserve">CVX_Righ t）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使用中医诊疗设备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SYZYZLSB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见门诊说明 3（ </w:t>
            </w:r>
            <w:r>
              <w:rPr>
                <w:rFonts w:ascii="宋体" w:hAnsi="宋体"/>
                <w:sz w:val="18"/>
                <w:szCs w:val="18"/>
              </w:rPr>
              <w:t xml:space="preserve">CVX_Righ t）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使用中医诊疗技术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SYZYZLJS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见门诊说明 3（ </w:t>
            </w:r>
            <w:r>
              <w:rPr>
                <w:rFonts w:ascii="宋体" w:hAnsi="宋体"/>
                <w:sz w:val="18"/>
                <w:szCs w:val="18"/>
              </w:rPr>
              <w:t xml:space="preserve">CVX_Righ t）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辩证施护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BZSH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见门诊说明 3（ </w:t>
            </w:r>
            <w:r>
              <w:rPr>
                <w:rFonts w:ascii="宋体" w:hAnsi="宋体"/>
                <w:sz w:val="18"/>
                <w:szCs w:val="18"/>
              </w:rPr>
              <w:t xml:space="preserve">CVX_Righ t）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门（急）诊诊断 (中医诊断)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ZYMJZZD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 患者在住院前的门（急） 诊诊断信息， 以ICD10诊断编码以节点值形式上传。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门（急）诊诊断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MJZZD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 患者在住院前的门（急） 诊 诊 断 , ICD10诊断编码以节点值</w:t>
            </w:r>
          </w:p>
          <w:p>
            <w:pPr>
              <w:snapToGrid w:val="0"/>
              <w:spacing w:line="440" w:lineRule="exact"/>
              <w:jc w:val="left"/>
              <w:rPr>
                <w:rFonts w:ascii="宋体" w:hAnsi="宋体"/>
                <w:sz w:val="18"/>
                <w:szCs w:val="18"/>
              </w:rPr>
            </w:pPr>
            <w:r>
              <w:rPr>
                <w:rFonts w:ascii="宋体" w:hAnsi="宋体"/>
                <w:sz w:val="18"/>
                <w:szCs w:val="18"/>
              </w:rPr>
              <w:t>形式上传</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门诊出院诊断符合编码</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MZCYZD</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0. 未做，1. 符合，2.不符合，3.不确定</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入院出院诊断符合编码</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RYCYZD</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0. 未做，1. 符合，2.不符合，3.不确定</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术前术后诊断符合编码</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SQSHZD</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同上述门诊出院诊断符合编码。</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临床病理诊断符合编码</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LCBLZD</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0. 未做，1. 符合，2.不符合， 3.不确定</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放射病理诊断符合编码</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FSBLZD</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0. 未做，1. 符合，2.不符合，3.不确定</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损伤中毒的外部因素</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SSZD</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3072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填写造成损伤的外部原因及引起中毒的物质</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损伤中毒的外部原因-疾病编码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SSZDWBYY JBDM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患者发生损伤和中毒的外部原因的代 码 , ICD-10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 xml:space="preserve">病理诊断编码 </w:t>
            </w:r>
          </w:p>
        </w:tc>
        <w:tc>
          <w:tcPr>
            <w:tcW w:w="993"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 xml:space="preserve">JBBM </w:t>
            </w:r>
          </w:p>
        </w:tc>
        <w:tc>
          <w:tcPr>
            <w:tcW w:w="992"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10</w:t>
            </w:r>
          </w:p>
          <w:p>
            <w:pPr>
              <w:snapToGrid w:val="0"/>
              <w:spacing w:line="440" w:lineRule="exact"/>
              <w:jc w:val="left"/>
              <w:rPr>
                <w:rFonts w:ascii="宋体" w:hAnsi="宋体"/>
                <w:sz w:val="18"/>
                <w:szCs w:val="18"/>
              </w:rPr>
            </w:pPr>
            <w:r>
              <w:rPr>
                <w:rFonts w:ascii="宋体" w:hAnsi="宋体"/>
                <w:sz w:val="18"/>
                <w:szCs w:val="18"/>
              </w:rPr>
              <w:t xml:space="preserve">0 </w:t>
            </w:r>
          </w:p>
        </w:tc>
        <w:tc>
          <w:tcPr>
            <w:tcW w:w="850"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ICD10诊断编</w:t>
            </w:r>
          </w:p>
          <w:p>
            <w:pPr>
              <w:snapToGrid w:val="0"/>
              <w:spacing w:line="440" w:lineRule="exact"/>
              <w:jc w:val="left"/>
              <w:rPr>
                <w:rFonts w:ascii="宋体" w:hAnsi="宋体"/>
                <w:sz w:val="18"/>
                <w:szCs w:val="18"/>
              </w:rPr>
            </w:pPr>
            <w:r>
              <w:rPr>
                <w:rFonts w:ascii="宋体" w:hAnsi="宋体"/>
                <w:sz w:val="18"/>
                <w:szCs w:val="18"/>
              </w:rPr>
              <w:t xml:space="preserve">码以节点值形式上传.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药物过敏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YWGM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 xml:space="preserve">见门诊说明 3（ </w:t>
            </w:r>
            <w:r>
              <w:rPr>
                <w:rFonts w:ascii="宋体" w:hAnsi="宋体"/>
                <w:sz w:val="18"/>
                <w:szCs w:val="18"/>
              </w:rPr>
              <w:t xml:space="preserve">CVX_Righ t）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体格检查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TGJC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4000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患者入院时所做的体检内容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出院诊断- 疾病名称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CYQTZDJBMC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ICD10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出院诊断- 疾病编码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CYQTZDJBBM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ICD10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出院诊断- 入院病情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RYBQ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32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药物过敏名称</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YWGMMC</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256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GMYWMC 过敏药物的通用化学名称，多个 值 使 用“|” 隔开, 记录中的过敏药物名称</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HBSAG 检查结果编码</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HBSAG_JG</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编码。0：未作、1：阴性、2：阳性</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tcBorders>
              <w:bottom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HCVab 检查结果编码</w:t>
            </w:r>
          </w:p>
        </w:tc>
        <w:tc>
          <w:tcPr>
            <w:tcW w:w="993" w:type="dxa"/>
            <w:tcBorders>
              <w:bottom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HCVab_JG</w:t>
            </w:r>
          </w:p>
        </w:tc>
        <w:tc>
          <w:tcPr>
            <w:tcW w:w="992" w:type="dxa"/>
            <w:tcBorders>
              <w:bottom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tcBorders>
              <w:bottom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tcBorders>
              <w:bottom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tcBorders>
              <w:bottom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编码。0：未作、1：阴性、2： 阳性</w:t>
            </w:r>
          </w:p>
        </w:tc>
        <w:tc>
          <w:tcPr>
            <w:tcW w:w="1307" w:type="dxa"/>
            <w:tcBorders>
              <w:bottom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tcBorders>
              <w:top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HIVab 检查结果编码</w:t>
            </w:r>
          </w:p>
        </w:tc>
        <w:tc>
          <w:tcPr>
            <w:tcW w:w="993" w:type="dxa"/>
            <w:tcBorders>
              <w:top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HIVab_JG</w:t>
            </w:r>
          </w:p>
        </w:tc>
        <w:tc>
          <w:tcPr>
            <w:tcW w:w="992" w:type="dxa"/>
            <w:tcBorders>
              <w:top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tcBorders>
              <w:top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tcBorders>
              <w:top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tcBorders>
              <w:top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编码。0：未作、1：阴性、2： 阳性</w:t>
            </w:r>
          </w:p>
        </w:tc>
        <w:tc>
          <w:tcPr>
            <w:tcW w:w="1307" w:type="dxa"/>
            <w:tcBorders>
              <w:top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抢救次数</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QJCS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整数</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4</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成功次数</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CGCS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整数</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4</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住院是否出现危重、急症、疑难</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SFCXWJN</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编码。见说明（1）</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手术治疗检查诊断</w:t>
            </w:r>
          </w:p>
          <w:p>
            <w:pPr>
              <w:snapToGrid w:val="0"/>
              <w:spacing w:line="440" w:lineRule="exact"/>
              <w:jc w:val="left"/>
              <w:rPr>
                <w:rFonts w:ascii="宋体" w:hAnsi="宋体"/>
                <w:sz w:val="18"/>
                <w:szCs w:val="18"/>
              </w:rPr>
            </w:pPr>
            <w:r>
              <w:rPr>
                <w:rFonts w:hint="eastAsia" w:ascii="宋体" w:hAnsi="宋体"/>
                <w:sz w:val="18"/>
                <w:szCs w:val="18"/>
              </w:rPr>
              <w:t>为本院第一例</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SSDYL</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4</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编码。1：是、2：否。</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血型</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XX</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编码。见说明（2）</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Rh血型代码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RHXX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1. 阴性， 2. 阳性，3未知，</w:t>
            </w:r>
          </w:p>
          <w:p>
            <w:pPr>
              <w:snapToGrid w:val="0"/>
              <w:spacing w:line="440" w:lineRule="exact"/>
              <w:jc w:val="left"/>
              <w:rPr>
                <w:rFonts w:ascii="宋体" w:hAnsi="宋体"/>
                <w:sz w:val="18"/>
                <w:szCs w:val="18"/>
              </w:rPr>
            </w:pPr>
            <w:r>
              <w:rPr>
                <w:rFonts w:ascii="宋体" w:hAnsi="宋体"/>
                <w:sz w:val="18"/>
                <w:szCs w:val="18"/>
              </w:rPr>
              <w:t xml:space="preserve">4.未查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红细胞输血量</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HXBSXL</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8.3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计量单位：单位</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血小板输血量</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XXBSXL</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8.3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计量单位：袋</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血浆输血量</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XJSXL</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8.3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计量单位：ml</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全血输血量</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QXSXL</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8.3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计量单位：ml</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其它输血量</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QTSXL</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8.3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计量单位：ml</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有输血反应</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SXFY</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编码。1：有、2：无</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有传染病报告</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CRBBG</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编码。1：有、2：无</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有肿瘤报告</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ZLBG</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编码。1：有、2：无</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有新生儿死亡报告</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XSEBG</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编码。1：有、2：无</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孕产妇死亡报告</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SWBG</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编码。1：有、2：无</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有其它报告</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QTBG</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编码。1：有、2：无</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是否随诊</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编码。1：是、2：否</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随诊期限</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SZQX</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8.3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随诊期限单位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SZQXDW</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编码。1：周、2：月、3：年</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是否示教病例</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SJBL</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编码。1：是、2：否</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是否尸检</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SJ</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1. 是， 2.否， 3.非死亡</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是否妊娠梅毒筛查</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RSMDSC</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编码。1：是、2：否</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新生儿疾病筛查</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XSEJBSC</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编码。见说明（3）</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产后出血量</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CHCYL</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8.3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单位为 ml</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新生儿性别</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XSE_XB</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编码。按国标GB2261-80</w:t>
            </w:r>
            <w:r>
              <w:rPr>
                <w:rFonts w:hint="eastAsia" w:ascii="宋体" w:hAnsi="宋体"/>
                <w:sz w:val="18"/>
                <w:szCs w:val="18"/>
              </w:rPr>
              <w:tab/>
            </w:r>
            <w:r>
              <w:rPr>
                <w:rFonts w:hint="eastAsia" w:ascii="宋体" w:hAnsi="宋体"/>
                <w:sz w:val="18"/>
                <w:szCs w:val="18"/>
              </w:rPr>
              <w:t>执行</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新生儿体重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XSE_TZ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8.3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单位为 g</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新生儿入院体重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XSRRYTZ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新生儿入院时的体重，单位(克)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就诊医生身份证号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JZYSGH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18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科主任身份证号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KZRSFZH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身份证号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主（副主）任医生身份证号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ZFZRYSXM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身份证号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主治医师身份证号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ZZYSSFZ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身份证号 </w:t>
            </w:r>
          </w:p>
        </w:tc>
        <w:tc>
          <w:tcPr>
            <w:tcW w:w="1307" w:type="dxa"/>
            <w:noWrap w:val="0"/>
            <w:vAlign w:val="top"/>
          </w:tcPr>
          <w:p>
            <w:pPr>
              <w:snapToGrid w:val="0"/>
              <w:spacing w:line="440" w:lineRule="exact"/>
              <w:jc w:val="left"/>
              <w:rPr>
                <w:rFonts w:ascii="宋体" w:hAnsi="宋体"/>
                <w:sz w:val="18"/>
                <w:szCs w:val="18"/>
              </w:rPr>
            </w:pPr>
          </w:p>
        </w:tc>
      </w:tr>
      <w:tr>
        <w:tblPrEx>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住院医师身份证号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ZYYSSFZ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身份证号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责任护士身份证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ZRHSSFZ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负责该病案的病案编码员，身份证号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进修医生身份证号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JXYSSFZ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身份证号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研究生实习医生身份证号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YJSSXYSXM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身份证号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实习医生身份证号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SXYSXM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身份证号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编码员身份证号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BMYXM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负责该病案的病案编码员，身份证号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质控医师身份证</w:t>
            </w:r>
            <w:r>
              <w:rPr>
                <w:rFonts w:hint="eastAsia" w:ascii="宋体" w:hAnsi="宋体"/>
                <w:sz w:val="18"/>
                <w:szCs w:val="18"/>
              </w:rPr>
              <w:t>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ZKYSXM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身份证号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质控护士身份证号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ZKHSXM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身份证号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主任医师工号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ZRYSGH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编码。见医护人员字典表</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主任医师姓名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ZRYSXM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科主任姓名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KZRXM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进修医生姓名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JXYSXM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研究生实习医生姓</w:t>
            </w:r>
          </w:p>
          <w:p>
            <w:pPr>
              <w:snapToGrid w:val="0"/>
              <w:spacing w:line="440" w:lineRule="exact"/>
              <w:jc w:val="left"/>
              <w:rPr>
                <w:rFonts w:ascii="宋体" w:hAnsi="宋体"/>
                <w:sz w:val="18"/>
                <w:szCs w:val="18"/>
              </w:rPr>
            </w:pPr>
            <w:r>
              <w:rPr>
                <w:rFonts w:hint="eastAsia" w:ascii="宋体" w:hAnsi="宋体"/>
                <w:sz w:val="18"/>
                <w:szCs w:val="18"/>
              </w:rPr>
              <w:t>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YJSSXYS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实习医师姓名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SXYS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质控医生姓名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ZKYS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质控护士姓名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ZKHS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主治医师工号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ZZYSGH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编码。见医护人员字典表</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主治医师姓名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ZZYSXM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住院医师工号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ZYYSGH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编码。见医护人员字典表</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住院医师姓名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ZYYSXM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护士长工号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HSZGH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编码。见医护人员字典表</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护士长姓名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HSZXM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病案质量</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BAZL</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编码。1：甲、2：乙、3：丙</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病理号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BLH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质控填写日期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ZKTXRQ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Datetim e </w:t>
            </w:r>
          </w:p>
        </w:tc>
        <w:tc>
          <w:tcPr>
            <w:tcW w:w="567" w:type="dxa"/>
            <w:noWrap w:val="0"/>
            <w:vAlign w:val="top"/>
          </w:tcPr>
          <w:p>
            <w:pPr>
              <w:snapToGrid w:val="0"/>
              <w:spacing w:line="440" w:lineRule="exact"/>
              <w:jc w:val="left"/>
              <w:rPr>
                <w:rFonts w:ascii="宋体" w:hAnsi="宋体"/>
                <w:sz w:val="18"/>
                <w:szCs w:val="18"/>
              </w:rPr>
            </w:pP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病案首页书写时由质控医师填写的日期，业务时间。格式： YYYY-MM-DDThh24:mi:ss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拟接受医疗机构名称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NJSYLJGMC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70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转院患者所要转至的医院 </w:t>
            </w:r>
          </w:p>
        </w:tc>
        <w:tc>
          <w:tcPr>
            <w:tcW w:w="1307"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出院31 天内再住院标志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CY31TNZZY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1.无，2.有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出院 31 天内再住院目的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CY31TNZZ YMD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患者出院31 天内再住院目的描述 </w:t>
            </w:r>
          </w:p>
        </w:tc>
        <w:tc>
          <w:tcPr>
            <w:tcW w:w="1307"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颅脑损伤患者入院前昏迷时间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LNSSHZRYQHMSJ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16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颅脑损伤患者在入院前昏迷时间，按照*天*小时*</w:t>
            </w:r>
          </w:p>
          <w:p>
            <w:pPr>
              <w:snapToGrid w:val="0"/>
              <w:spacing w:line="440" w:lineRule="exact"/>
              <w:jc w:val="left"/>
              <w:rPr>
                <w:rFonts w:ascii="宋体" w:hAnsi="宋体"/>
                <w:sz w:val="18"/>
                <w:szCs w:val="18"/>
              </w:rPr>
            </w:pPr>
            <w:r>
              <w:rPr>
                <w:rFonts w:ascii="宋体" w:hAnsi="宋体"/>
                <w:sz w:val="18"/>
                <w:szCs w:val="18"/>
              </w:rPr>
              <w:t>分钟传。</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颅脑损伤患者入院后昏迷时间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LNSSHZRY HHMSJ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16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颅脑损伤患者在入院后昏迷时间，按照*天*小时*</w:t>
            </w:r>
          </w:p>
          <w:p>
            <w:pPr>
              <w:snapToGrid w:val="0"/>
              <w:spacing w:line="440" w:lineRule="exact"/>
              <w:jc w:val="left"/>
              <w:rPr>
                <w:rFonts w:ascii="宋体" w:hAnsi="宋体"/>
                <w:sz w:val="18"/>
                <w:szCs w:val="18"/>
              </w:rPr>
            </w:pPr>
            <w:r>
              <w:rPr>
                <w:rFonts w:ascii="宋体" w:hAnsi="宋体"/>
                <w:sz w:val="18"/>
                <w:szCs w:val="18"/>
              </w:rPr>
              <w:t xml:space="preserve">分钟传。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tcBorders>
              <w:bottom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 xml:space="preserve">X线号 </w:t>
            </w:r>
          </w:p>
        </w:tc>
        <w:tc>
          <w:tcPr>
            <w:tcW w:w="993" w:type="dxa"/>
            <w:tcBorders>
              <w:bottom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 xml:space="preserve">XXH </w:t>
            </w:r>
          </w:p>
        </w:tc>
        <w:tc>
          <w:tcPr>
            <w:tcW w:w="992" w:type="dxa"/>
            <w:tcBorders>
              <w:bottom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tcBorders>
              <w:bottom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 xml:space="preserve">20 </w:t>
            </w:r>
          </w:p>
        </w:tc>
        <w:tc>
          <w:tcPr>
            <w:tcW w:w="850" w:type="dxa"/>
            <w:tcBorders>
              <w:bottom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tcBorders>
              <w:bottom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 xml:space="preserve">X 线编号, 多个编号使用“；”分开 </w:t>
            </w:r>
          </w:p>
        </w:tc>
        <w:tc>
          <w:tcPr>
            <w:tcW w:w="1307" w:type="dxa"/>
            <w:tcBorders>
              <w:bottom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tcBorders>
              <w:top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 xml:space="preserve">CT号 </w:t>
            </w:r>
          </w:p>
        </w:tc>
        <w:tc>
          <w:tcPr>
            <w:tcW w:w="993" w:type="dxa"/>
            <w:tcBorders>
              <w:top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 xml:space="preserve">CTH </w:t>
            </w:r>
          </w:p>
        </w:tc>
        <w:tc>
          <w:tcPr>
            <w:tcW w:w="992" w:type="dxa"/>
            <w:tcBorders>
              <w:top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tcBorders>
              <w:top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 xml:space="preserve">20 </w:t>
            </w:r>
          </w:p>
        </w:tc>
        <w:tc>
          <w:tcPr>
            <w:tcW w:w="850" w:type="dxa"/>
            <w:tcBorders>
              <w:top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tcBorders>
              <w:top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 xml:space="preserve">CT编号,多个编号使用“；”分开 </w:t>
            </w:r>
          </w:p>
        </w:tc>
        <w:tc>
          <w:tcPr>
            <w:tcW w:w="1307" w:type="dxa"/>
            <w:tcBorders>
              <w:top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磁共振号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CGZH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磁共振编号,多个编号使用“；”分开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病理切片号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BLQPH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病理切片编号,多个编号使用“；”分开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病理诊断</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BLZD</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256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死亡根本原因</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SWGBYY</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256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死亡时间</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SWSJ</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567" w:type="dxa"/>
            <w:noWrap w:val="0"/>
            <w:vAlign w:val="top"/>
          </w:tcPr>
          <w:p>
            <w:pPr>
              <w:snapToGrid w:val="0"/>
              <w:spacing w:line="440" w:lineRule="exact"/>
              <w:jc w:val="left"/>
              <w:rPr>
                <w:rFonts w:ascii="宋体" w:hAnsi="宋体"/>
                <w:sz w:val="18"/>
                <w:szCs w:val="18"/>
              </w:rPr>
            </w:pP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死亡当天的公元纪年日期和时间的完整描述，格式       ：YYYY-MM-DDThh24:mi:ss</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门诊医师工号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MZYSGH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 医护人员字典表</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门诊医师姓名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MZYSXM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输液反应</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SYFY</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编码。1：有输、2：有反应、3：未输</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是否为科研病案</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S**YBA</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编码。1：是、2：否</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住院费用总计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FYZJ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表示因治疗疾病花费的住院总费用，计量单位为元/人民币 </w:t>
            </w:r>
          </w:p>
        </w:tc>
        <w:tc>
          <w:tcPr>
            <w:tcW w:w="1307"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住院总费用- 自付金额（元）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ZYFJZFJE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住院所有费用中患者自付的金额 </w:t>
            </w:r>
          </w:p>
        </w:tc>
        <w:tc>
          <w:tcPr>
            <w:tcW w:w="1307"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一般医疗服务费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YBYLFWF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本次住院期间一般医疗服务费 </w:t>
            </w:r>
          </w:p>
        </w:tc>
        <w:tc>
          <w:tcPr>
            <w:tcW w:w="1307"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中医辨证论治费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ZYBZLZF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中医辨证论治会诊费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ZYBZLZHZF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综合医疗服务类其他费用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ZFYLWFLQTF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本次住院期间综合医疗服务类其它费用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病理诊断费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BLZDF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本次住院期间病理诊断费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实验室诊断费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SYSZDF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本次住院期间实验室诊断费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影像学诊断费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YXXZDF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本次住院期间影像学诊断费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临床诊断项目费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LCZDXMF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本次住院期间临床诊断项目费 </w:t>
            </w:r>
          </w:p>
        </w:tc>
        <w:tc>
          <w:tcPr>
            <w:tcW w:w="1307" w:type="dxa"/>
            <w:noWrap w:val="0"/>
            <w:vAlign w:val="top"/>
          </w:tcPr>
          <w:p>
            <w:pPr>
              <w:snapToGrid w:val="0"/>
              <w:spacing w:line="440" w:lineRule="exact"/>
              <w:jc w:val="left"/>
              <w:rPr>
                <w:rFonts w:ascii="宋体" w:hAnsi="宋体"/>
                <w:sz w:val="18"/>
                <w:szCs w:val="18"/>
              </w:rPr>
            </w:pPr>
          </w:p>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非手术治疗项目费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FSSZLXM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本次住院期间非手术治疗项目费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临床物理治疗费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LCWLZLF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本次住院期间临床物理治疗费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手术治疗费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SSZLF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本次住院期间手术治疗费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麻醉费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本次住院期间麻醉费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康复费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KFF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本次住院期间康复费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中医诊断费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ZYZDF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中医治疗费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ZYZLF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本次住院期间中医治疗费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中医外治费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ZYWZF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中医骨伤费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ZYGSF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针刺与灸法费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ZCYJFF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中医推拿治疗费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ZYTNZLF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中医肛肠治疗费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ZYGCZLF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中医特殊治疗费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ZYTSZLF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中医其他费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ZYQTF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中药特殊调配加工费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ZYTSTPF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医疗机构中药制剂费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ZYZJF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辨证施膳费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BZSSF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抗菌药物费用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KJYWFY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本次住院期间抗菌药物费用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血费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10</w:t>
            </w:r>
          </w:p>
          <w:p>
            <w:pPr>
              <w:snapToGrid w:val="0"/>
              <w:spacing w:line="440" w:lineRule="exact"/>
              <w:jc w:val="left"/>
              <w:rPr>
                <w:rFonts w:ascii="宋体" w:hAnsi="宋体"/>
                <w:sz w:val="18"/>
                <w:szCs w:val="18"/>
              </w:rPr>
            </w:pPr>
            <w:r>
              <w:rPr>
                <w:rFonts w:ascii="宋体" w:hAnsi="宋体"/>
                <w:sz w:val="18"/>
                <w:szCs w:val="18"/>
              </w:rPr>
              <w:t xml:space="preserve">,2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本次住院期间用血的费用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白蛋白类制品费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BDBLZPF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本次住院期间白蛋白类制品费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球蛋白类制品费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QDBLZPF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本次住院期间球蛋白类制品费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凝血因子类制品费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NXBYZLZPF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本次住院期间凝血因子类制品费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细胞因子类制品费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XBYZLZPF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本次住院期间细胞因子类制品费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检查用一次性医用材料费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YCYYCXYY CLF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本次住院期间检查一次性医用材料费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治疗用一次性医用材料费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ZLYYCXYYCLF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本次住院期间治疗一次性医用材料费</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手术用一次性医用材料费 </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SSYYCXYY CLF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本次住院期间手术一次性医用材料费 </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西药费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XYF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收退费均以正数表达，口径</w:t>
            </w:r>
          </w:p>
          <w:p>
            <w:pPr>
              <w:snapToGrid w:val="0"/>
              <w:spacing w:line="440" w:lineRule="exact"/>
              <w:jc w:val="left"/>
              <w:rPr>
                <w:rFonts w:ascii="宋体" w:hAnsi="宋体"/>
                <w:sz w:val="18"/>
                <w:szCs w:val="18"/>
              </w:rPr>
            </w:pPr>
            <w:r>
              <w:rPr>
                <w:rFonts w:hint="eastAsia" w:ascii="宋体" w:hAnsi="宋体"/>
                <w:sz w:val="18"/>
                <w:szCs w:val="18"/>
              </w:rPr>
              <w:t>按医保</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中成药费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ZCYF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中草药费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ZCAF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检查费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JCF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手术费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SSF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接生费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JSF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空调费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KTF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陪客费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PKF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伙食费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HSF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婴儿费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YEF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化验费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HYF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治疗费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ZHF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材料费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CLF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放疗费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FLF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特治费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TZF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特检费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TJF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输血费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SXF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放射费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FSF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输氧费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SYF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床位费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CWF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护理费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HLF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诊察费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ZCF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其他费用</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QTF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15.3</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同上</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密级</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MJ</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见就诊记录表的说明</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修改标志</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XGBZ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57" w:type="dxa"/>
            <w:noWrap w:val="0"/>
            <w:vAlign w:val="top"/>
          </w:tcPr>
          <w:p>
            <w:pPr>
              <w:snapToGrid w:val="0"/>
              <w:spacing w:line="440" w:lineRule="exact"/>
              <w:jc w:val="left"/>
              <w:rPr>
                <w:rFonts w:ascii="宋体" w:hAnsi="宋体"/>
                <w:sz w:val="18"/>
                <w:szCs w:val="18"/>
              </w:rPr>
            </w:pPr>
            <w:r>
              <w:rPr>
                <w:rFonts w:ascii="宋体" w:hAnsi="宋体"/>
                <w:sz w:val="18"/>
                <w:szCs w:val="18"/>
              </w:rPr>
              <w:t>见患者信息表表说明 4</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预留一</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YLYL1</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c>
          <w:tcPr>
            <w:tcW w:w="1307"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预留二</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YLYL2</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2357"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为系统处理该s数据而预留</w:t>
            </w:r>
          </w:p>
        </w:tc>
        <w:tc>
          <w:tcPr>
            <w:tcW w:w="1307" w:type="dxa"/>
            <w:noWrap w:val="0"/>
            <w:vAlign w:val="top"/>
          </w:tcPr>
          <w:p>
            <w:pPr>
              <w:snapToGrid w:val="0"/>
              <w:spacing w:line="440" w:lineRule="exact"/>
              <w:jc w:val="left"/>
              <w:rPr>
                <w:rFonts w:ascii="宋体" w:hAnsi="宋体"/>
                <w:sz w:val="18"/>
                <w:szCs w:val="18"/>
              </w:rPr>
            </w:pPr>
          </w:p>
        </w:tc>
      </w:tr>
    </w:tbl>
    <w:p>
      <w:pPr>
        <w:snapToGrid w:val="0"/>
        <w:spacing w:line="440" w:lineRule="exact"/>
        <w:jc w:val="left"/>
        <w:rPr>
          <w:rFonts w:ascii="宋体" w:hAnsi="宋体"/>
          <w:sz w:val="24"/>
        </w:rPr>
      </w:pPr>
      <w:r>
        <w:rPr>
          <w:rFonts w:hint="eastAsia" w:ascii="宋体" w:hAnsi="宋体"/>
          <w:sz w:val="24"/>
        </w:rPr>
        <w:t>2.1.7</w:t>
      </w:r>
      <w:r>
        <w:rPr>
          <w:rFonts w:ascii="宋体" w:hAnsi="宋体"/>
          <w:sz w:val="24"/>
        </w:rPr>
        <w:t>手术明细报告</w:t>
      </w:r>
    </w:p>
    <w:p>
      <w:pPr>
        <w:snapToGrid w:val="0"/>
        <w:spacing w:line="440" w:lineRule="exact"/>
        <w:jc w:val="left"/>
        <w:rPr>
          <w:rFonts w:ascii="宋体" w:hAnsi="宋体"/>
          <w:sz w:val="24"/>
        </w:rPr>
      </w:pPr>
      <w:r>
        <w:rPr>
          <w:rFonts w:hint="eastAsia" w:ascii="宋体" w:hAnsi="宋体"/>
          <w:sz w:val="24"/>
        </w:rPr>
        <w:t>2.1.7.1</w:t>
      </w:r>
      <w:r>
        <w:rPr>
          <w:rFonts w:ascii="宋体" w:hAnsi="宋体"/>
          <w:sz w:val="24"/>
        </w:rPr>
        <w:t>手术明细表(TB_Operation_Detail)</w:t>
      </w:r>
    </w:p>
    <w:tbl>
      <w:tblPr>
        <w:tblStyle w:val="48"/>
        <w:tblW w:w="88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993"/>
        <w:gridCol w:w="992"/>
        <w:gridCol w:w="709"/>
        <w:gridCol w:w="850"/>
        <w:gridCol w:w="2304"/>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数据项</w:t>
            </w:r>
          </w:p>
        </w:tc>
        <w:tc>
          <w:tcPr>
            <w:tcW w:w="993"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字段名</w:t>
            </w:r>
          </w:p>
        </w:tc>
        <w:tc>
          <w:tcPr>
            <w:tcW w:w="992"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类型</w:t>
            </w:r>
          </w:p>
        </w:tc>
        <w:tc>
          <w:tcPr>
            <w:tcW w:w="709"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长度</w:t>
            </w:r>
          </w:p>
        </w:tc>
        <w:tc>
          <w:tcPr>
            <w:tcW w:w="850"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填报要求</w:t>
            </w:r>
          </w:p>
        </w:tc>
        <w:tc>
          <w:tcPr>
            <w:tcW w:w="2304" w:type="dxa"/>
            <w:tcBorders>
              <w:right w:val="single" w:color="000000" w:sz="6" w:space="0"/>
            </w:tcBorders>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说明</w:t>
            </w:r>
          </w:p>
        </w:tc>
        <w:tc>
          <w:tcPr>
            <w:tcW w:w="1260" w:type="dxa"/>
            <w:tcBorders>
              <w:left w:val="single" w:color="000000" w:sz="6" w:space="0"/>
            </w:tcBorders>
            <w:shd w:val="clear" w:color="auto" w:fill="D9D9D9"/>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c>
          <w:tcPr>
            <w:tcW w:w="993"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04" w:type="dxa"/>
            <w:tcBorders>
              <w:right w:val="single" w:color="000000" w:sz="6" w:space="0"/>
            </w:tcBorders>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复合主键；卫生机构分类代码 22 位</w:t>
            </w:r>
          </w:p>
        </w:tc>
        <w:tc>
          <w:tcPr>
            <w:tcW w:w="1260" w:type="dxa"/>
            <w:tcBorders>
              <w:left w:val="single" w:color="000000" w:sz="6" w:space="0"/>
            </w:tcBorders>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院区ID </w:t>
            </w:r>
          </w:p>
        </w:tc>
        <w:tc>
          <w:tcPr>
            <w:tcW w:w="993"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YQID </w:t>
            </w:r>
          </w:p>
        </w:tc>
        <w:tc>
          <w:tcPr>
            <w:tcW w:w="992"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709"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304" w:type="dxa"/>
            <w:tcBorders>
              <w:right w:val="single" w:color="000000" w:sz="6" w:space="0"/>
            </w:tcBorders>
            <w:shd w:val="clear" w:color="auto" w:fill="FAD3B4"/>
            <w:noWrap w:val="0"/>
            <w:vAlign w:val="top"/>
          </w:tcPr>
          <w:p>
            <w:pPr>
              <w:snapToGrid w:val="0"/>
              <w:spacing w:line="440" w:lineRule="exact"/>
              <w:jc w:val="left"/>
              <w:rPr>
                <w:rFonts w:ascii="宋体" w:hAnsi="宋体"/>
                <w:sz w:val="18"/>
                <w:szCs w:val="18"/>
              </w:rPr>
            </w:pPr>
          </w:p>
        </w:tc>
        <w:tc>
          <w:tcPr>
            <w:tcW w:w="1260" w:type="dxa"/>
            <w:tcBorders>
              <w:left w:val="single" w:color="000000" w:sz="6" w:space="0"/>
            </w:tcBorders>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本院传00，分院按实际传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院区名称</w:t>
            </w:r>
          </w:p>
        </w:tc>
        <w:tc>
          <w:tcPr>
            <w:tcW w:w="993"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JGYQMC </w:t>
            </w:r>
          </w:p>
        </w:tc>
        <w:tc>
          <w:tcPr>
            <w:tcW w:w="992"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709"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304" w:type="dxa"/>
            <w:tcBorders>
              <w:right w:val="single" w:color="000000" w:sz="6" w:space="0"/>
            </w:tcBorders>
            <w:shd w:val="clear" w:color="auto" w:fill="FAD3B4"/>
            <w:noWrap w:val="0"/>
            <w:vAlign w:val="top"/>
          </w:tcPr>
          <w:p>
            <w:pPr>
              <w:snapToGrid w:val="0"/>
              <w:spacing w:line="440" w:lineRule="exact"/>
              <w:jc w:val="left"/>
              <w:rPr>
                <w:rFonts w:ascii="宋体" w:hAnsi="宋体"/>
                <w:sz w:val="18"/>
                <w:szCs w:val="18"/>
              </w:rPr>
            </w:pPr>
          </w:p>
        </w:tc>
        <w:tc>
          <w:tcPr>
            <w:tcW w:w="1260" w:type="dxa"/>
            <w:tcBorders>
              <w:left w:val="single" w:color="000000" w:sz="6" w:space="0"/>
            </w:tcBorders>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手术明细流水号</w:t>
            </w:r>
          </w:p>
        </w:tc>
        <w:tc>
          <w:tcPr>
            <w:tcW w:w="993"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SSMXLSH</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04" w:type="dxa"/>
            <w:tcBorders>
              <w:right w:val="single" w:color="000000" w:sz="6" w:space="0"/>
            </w:tcBorders>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复合主键；见说明（1）</w:t>
            </w:r>
          </w:p>
        </w:tc>
        <w:tc>
          <w:tcPr>
            <w:tcW w:w="1260" w:type="dxa"/>
            <w:tcBorders>
              <w:left w:val="single" w:color="000000" w:sz="6" w:space="0"/>
            </w:tcBorders>
            <w:shd w:val="clear" w:color="auto" w:fill="FAD3B4"/>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KH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04" w:type="dxa"/>
            <w:vMerge w:val="restart"/>
            <w:tcBorders>
              <w:right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必须与患者基本信息关联， 见前述“患者信息表”说明(1) 及相关说明。</w:t>
            </w: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卡类型</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KLX</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04" w:type="dxa"/>
            <w:vMerge w:val="continue"/>
            <w:tcBorders>
              <w:top w:val="nil"/>
              <w:right w:val="single" w:color="000000" w:sz="6" w:space="0"/>
            </w:tcBorders>
            <w:noWrap w:val="0"/>
            <w:vAlign w:val="top"/>
          </w:tcPr>
          <w:p>
            <w:pPr>
              <w:snapToGrid w:val="0"/>
              <w:spacing w:line="440" w:lineRule="exact"/>
              <w:jc w:val="left"/>
              <w:rPr>
                <w:rFonts w:ascii="宋体" w:hAnsi="宋体"/>
                <w:sz w:val="18"/>
                <w:szCs w:val="18"/>
              </w:rPr>
            </w:pP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就诊流水号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JZLSH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用于与住院就诊记录表或门诊就诊记录表关联的外键</w:t>
            </w: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门诊/住院标志</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MZZYBZ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1门诊，2住院</w:t>
            </w: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手术类型</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SSLX</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1 一般、2 抢</w:t>
            </w:r>
          </w:p>
          <w:p>
            <w:pPr>
              <w:snapToGrid w:val="0"/>
              <w:spacing w:line="440" w:lineRule="exact"/>
              <w:jc w:val="left"/>
              <w:rPr>
                <w:rFonts w:ascii="宋体" w:hAnsi="宋体"/>
                <w:sz w:val="18"/>
                <w:szCs w:val="18"/>
              </w:rPr>
            </w:pPr>
            <w:r>
              <w:rPr>
                <w:rFonts w:hint="eastAsia" w:ascii="宋体" w:hAnsi="宋体"/>
                <w:sz w:val="18"/>
                <w:szCs w:val="18"/>
              </w:rPr>
              <w:t>救、3 术中及抢救 9 其他</w:t>
            </w: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手术级别</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SSJB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字典：CV05_10_</w:t>
            </w:r>
          </w:p>
          <w:p>
            <w:pPr>
              <w:snapToGrid w:val="0"/>
              <w:spacing w:line="440" w:lineRule="exact"/>
              <w:jc w:val="left"/>
              <w:rPr>
                <w:rFonts w:ascii="宋体" w:hAnsi="宋体"/>
                <w:sz w:val="18"/>
                <w:szCs w:val="18"/>
              </w:rPr>
            </w:pPr>
            <w:r>
              <w:rPr>
                <w:rFonts w:ascii="宋体" w:hAnsi="宋体"/>
                <w:sz w:val="18"/>
                <w:szCs w:val="18"/>
              </w:rPr>
              <w:t>024手术级别代码根据风险性和难易程度不同，对手</w:t>
            </w:r>
          </w:p>
          <w:p>
            <w:pPr>
              <w:snapToGrid w:val="0"/>
              <w:spacing w:line="440" w:lineRule="exact"/>
              <w:jc w:val="left"/>
              <w:rPr>
                <w:rFonts w:ascii="宋体" w:hAnsi="宋体"/>
                <w:sz w:val="18"/>
                <w:szCs w:val="18"/>
              </w:rPr>
            </w:pPr>
            <w:r>
              <w:rPr>
                <w:rFonts w:ascii="宋体" w:hAnsi="宋体"/>
                <w:sz w:val="18"/>
                <w:szCs w:val="18"/>
              </w:rPr>
              <w:t>术进行的分级。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手术操作编码</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SSCZBM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编码。按规定的 ICD-9-CM3字典执行</w:t>
            </w: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手术操作名称</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SSCZMC</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对</w:t>
            </w:r>
            <w:r>
              <w:rPr>
                <w:rFonts w:hint="eastAsia" w:ascii="宋体" w:hAnsi="宋体"/>
                <w:sz w:val="18"/>
                <w:szCs w:val="18"/>
              </w:rPr>
              <w:tab/>
            </w:r>
            <w:r>
              <w:rPr>
                <w:rFonts w:hint="eastAsia" w:ascii="宋体" w:hAnsi="宋体"/>
                <w:sz w:val="18"/>
                <w:szCs w:val="18"/>
              </w:rPr>
              <w:t>应</w:t>
            </w:r>
            <w:r>
              <w:rPr>
                <w:rFonts w:hint="eastAsia" w:ascii="宋体" w:hAnsi="宋体"/>
                <w:sz w:val="18"/>
                <w:szCs w:val="18"/>
              </w:rPr>
              <w:tab/>
            </w:r>
            <w:r>
              <w:rPr>
                <w:rFonts w:hint="eastAsia" w:ascii="宋体" w:hAnsi="宋体"/>
                <w:sz w:val="18"/>
                <w:szCs w:val="18"/>
              </w:rPr>
              <w:t>于SSCZBM的中文名称</w:t>
            </w: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手术部位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SSBW</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值域</w:t>
            </w:r>
            <w:r>
              <w:rPr>
                <w:rFonts w:ascii="宋体" w:hAnsi="宋体"/>
                <w:sz w:val="18"/>
                <w:szCs w:val="18"/>
              </w:rPr>
              <w:t>CV5201.23</w:t>
            </w:r>
            <w:r>
              <w:rPr>
                <w:rFonts w:hint="eastAsia" w:ascii="宋体" w:hAnsi="宋体"/>
                <w:sz w:val="18"/>
                <w:szCs w:val="18"/>
              </w:rPr>
              <w:t>手术/ 操作的人体部位代码</w:t>
            </w: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手术前诊断</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SSQZD</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编码。按规定的 ICD10 字典执行</w:t>
            </w: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tcBorders>
              <w:bottom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手术后诊断</w:t>
            </w:r>
          </w:p>
        </w:tc>
        <w:tc>
          <w:tcPr>
            <w:tcW w:w="993" w:type="dxa"/>
            <w:tcBorders>
              <w:bottom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SSHZD</w:t>
            </w:r>
          </w:p>
        </w:tc>
        <w:tc>
          <w:tcPr>
            <w:tcW w:w="992" w:type="dxa"/>
            <w:tcBorders>
              <w:bottom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tcBorders>
              <w:bottom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10</w:t>
            </w:r>
          </w:p>
        </w:tc>
        <w:tc>
          <w:tcPr>
            <w:tcW w:w="850" w:type="dxa"/>
            <w:tcBorders>
              <w:bottom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04" w:type="dxa"/>
            <w:tcBorders>
              <w:bottom w:val="single" w:color="000000" w:sz="6" w:space="0"/>
              <w:right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编码。按规定的 ICD10 字典</w:t>
            </w:r>
          </w:p>
          <w:p>
            <w:pPr>
              <w:snapToGrid w:val="0"/>
              <w:spacing w:line="440" w:lineRule="exact"/>
              <w:jc w:val="left"/>
              <w:rPr>
                <w:rFonts w:ascii="宋体" w:hAnsi="宋体"/>
                <w:sz w:val="18"/>
                <w:szCs w:val="18"/>
              </w:rPr>
            </w:pPr>
            <w:r>
              <w:rPr>
                <w:rFonts w:hint="eastAsia" w:ascii="宋体" w:hAnsi="宋体"/>
                <w:sz w:val="18"/>
                <w:szCs w:val="18"/>
              </w:rPr>
              <w:t>执行</w:t>
            </w:r>
          </w:p>
        </w:tc>
        <w:tc>
          <w:tcPr>
            <w:tcW w:w="1260" w:type="dxa"/>
            <w:tcBorders>
              <w:left w:val="single" w:color="000000" w:sz="6" w:space="0"/>
              <w:bottom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tcBorders>
              <w:top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手术起始时间</w:t>
            </w:r>
          </w:p>
        </w:tc>
        <w:tc>
          <w:tcPr>
            <w:tcW w:w="993" w:type="dxa"/>
            <w:tcBorders>
              <w:top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SSKSSJ</w:t>
            </w:r>
          </w:p>
        </w:tc>
        <w:tc>
          <w:tcPr>
            <w:tcW w:w="992" w:type="dxa"/>
            <w:tcBorders>
              <w:top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709" w:type="dxa"/>
            <w:tcBorders>
              <w:top w:val="single" w:color="000000" w:sz="6" w:space="0"/>
            </w:tcBorders>
            <w:noWrap w:val="0"/>
            <w:vAlign w:val="top"/>
          </w:tcPr>
          <w:p>
            <w:pPr>
              <w:snapToGrid w:val="0"/>
              <w:spacing w:line="440" w:lineRule="exact"/>
              <w:jc w:val="left"/>
              <w:rPr>
                <w:rFonts w:ascii="宋体" w:hAnsi="宋体"/>
                <w:sz w:val="18"/>
                <w:szCs w:val="18"/>
              </w:rPr>
            </w:pPr>
          </w:p>
        </w:tc>
        <w:tc>
          <w:tcPr>
            <w:tcW w:w="850" w:type="dxa"/>
            <w:tcBorders>
              <w:top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04" w:type="dxa"/>
            <w:tcBorders>
              <w:top w:val="single" w:color="000000" w:sz="6" w:space="0"/>
              <w:right w:val="single" w:color="000000" w:sz="6" w:space="0"/>
            </w:tcBorders>
            <w:noWrap w:val="0"/>
            <w:vAlign w:val="top"/>
          </w:tcPr>
          <w:p>
            <w:pPr>
              <w:snapToGrid w:val="0"/>
              <w:spacing w:line="440" w:lineRule="exact"/>
              <w:jc w:val="left"/>
              <w:rPr>
                <w:rFonts w:ascii="宋体" w:hAnsi="宋体"/>
                <w:sz w:val="18"/>
                <w:szCs w:val="18"/>
              </w:rPr>
            </w:pPr>
          </w:p>
        </w:tc>
        <w:tc>
          <w:tcPr>
            <w:tcW w:w="1260" w:type="dxa"/>
            <w:tcBorders>
              <w:top w:val="single" w:color="000000" w:sz="6" w:space="0"/>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手术结束时间</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SSJSSJ</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709" w:type="dxa"/>
            <w:noWrap w:val="0"/>
            <w:vAlign w:val="top"/>
          </w:tcPr>
          <w:p>
            <w:pPr>
              <w:snapToGrid w:val="0"/>
              <w:spacing w:line="440" w:lineRule="exact"/>
              <w:jc w:val="left"/>
              <w:rPr>
                <w:rFonts w:ascii="宋体" w:hAnsi="宋体"/>
                <w:sz w:val="18"/>
                <w:szCs w:val="18"/>
              </w:rPr>
            </w:pP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手术医生身份证号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SSYSSFZ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18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执行手术的医生的身份证号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手术助手I 身份证号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SSZSISFZ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18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手术助手I 的身份证号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手术助手II身份证号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SSZSIISFZ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18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手术助手II的身份证号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手术医生工号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SSYSGH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编码。见医护人员字典表</w:t>
            </w: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手术医生姓名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SSYSXM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手术医生 I 助工号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SSYSZ1GH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编码。见医护人员字典表</w:t>
            </w: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手术医生 I 助姓名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SSYSZ1XM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手术医生 II 助工号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SSYSZ2GH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编码。见医护人员字典表</w:t>
            </w: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手术医生 II 助姓名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SSYSZ2XM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麻醉医生身份证号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MZYSSFZ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18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可选</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r>
              <w:rPr>
                <w:rFonts w:ascii="宋体" w:hAnsi="宋体"/>
                <w:sz w:val="18"/>
                <w:szCs w:val="18"/>
              </w:rPr>
              <w:t>麻醉医生的身份证号。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麻醉医师工号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MZYSGH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编码。见医护人员字典表</w:t>
            </w: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麻醉医师姓名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MZYSXM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麻醉方式编码</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MZFSBM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采用CV5201.24。见</w:t>
            </w:r>
          </w:p>
          <w:p>
            <w:pPr>
              <w:snapToGrid w:val="0"/>
              <w:spacing w:line="440" w:lineRule="exact"/>
              <w:jc w:val="left"/>
              <w:rPr>
                <w:rFonts w:ascii="宋体" w:hAnsi="宋体"/>
                <w:sz w:val="18"/>
                <w:szCs w:val="18"/>
              </w:rPr>
            </w:pPr>
            <w:r>
              <w:rPr>
                <w:rFonts w:hint="eastAsia" w:ascii="宋体" w:hAnsi="宋体"/>
                <w:sz w:val="18"/>
                <w:szCs w:val="18"/>
              </w:rPr>
              <w:t>说明（2）</w:t>
            </w: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切口愈合等级编码</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QKYHDJ</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必填</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采用CV5501.14。见</w:t>
            </w:r>
          </w:p>
          <w:p>
            <w:pPr>
              <w:snapToGrid w:val="0"/>
              <w:spacing w:line="440" w:lineRule="exact"/>
              <w:jc w:val="left"/>
              <w:rPr>
                <w:rFonts w:ascii="宋体" w:hAnsi="宋体"/>
                <w:sz w:val="18"/>
                <w:szCs w:val="18"/>
              </w:rPr>
            </w:pPr>
            <w:r>
              <w:rPr>
                <w:rFonts w:hint="eastAsia" w:ascii="宋体" w:hAnsi="宋体"/>
                <w:sz w:val="18"/>
                <w:szCs w:val="18"/>
              </w:rPr>
              <w:t>说明（3）</w:t>
            </w: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密级</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MJ</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见就诊记录表的相关说明</w:t>
            </w: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修改标志</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XGBZ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编码。1：正常、2：撤销。 见说明（4）</w:t>
            </w: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预留一</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YLYL1</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2304" w:type="dxa"/>
            <w:tcBorders>
              <w:right w:val="single" w:color="000000" w:sz="6"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c>
          <w:tcPr>
            <w:tcW w:w="1260" w:type="dxa"/>
            <w:tcBorders>
              <w:left w:val="single" w:color="000000" w:sz="6" w:space="0"/>
            </w:tcBorders>
            <w:noWrap w:val="0"/>
            <w:vAlign w:val="top"/>
          </w:tcPr>
          <w:p>
            <w:pPr>
              <w:snapToGrid w:val="0"/>
              <w:spacing w:line="440" w:lineRule="exact"/>
              <w:jc w:val="left"/>
              <w:rPr>
                <w:rFonts w:ascii="宋体" w:hAnsi="宋体"/>
                <w:sz w:val="18"/>
                <w:szCs w:val="18"/>
              </w:rPr>
            </w:pPr>
          </w:p>
        </w:tc>
      </w:tr>
    </w:tbl>
    <w:p>
      <w:pPr>
        <w:snapToGrid w:val="0"/>
        <w:spacing w:line="440" w:lineRule="exact"/>
        <w:jc w:val="left"/>
        <w:rPr>
          <w:rFonts w:ascii="宋体" w:hAnsi="宋体"/>
          <w:sz w:val="24"/>
        </w:rPr>
      </w:pPr>
      <w:r>
        <w:rPr>
          <w:rFonts w:hint="eastAsia" w:ascii="宋体" w:hAnsi="宋体"/>
          <w:sz w:val="24"/>
        </w:rPr>
        <w:t>2.1.8</w:t>
      </w:r>
      <w:r>
        <w:rPr>
          <w:rFonts w:ascii="宋体" w:hAnsi="宋体"/>
          <w:sz w:val="24"/>
        </w:rPr>
        <w:t>诊断明细报告</w:t>
      </w:r>
    </w:p>
    <w:p>
      <w:pPr>
        <w:snapToGrid w:val="0"/>
        <w:spacing w:line="440" w:lineRule="exact"/>
        <w:jc w:val="left"/>
        <w:rPr>
          <w:rFonts w:ascii="宋体" w:hAnsi="宋体"/>
          <w:sz w:val="24"/>
        </w:rPr>
      </w:pPr>
      <w:r>
        <w:rPr>
          <w:rFonts w:hint="eastAsia" w:ascii="宋体" w:hAnsi="宋体"/>
          <w:sz w:val="24"/>
        </w:rPr>
        <w:t>2.1.8.1</w:t>
      </w:r>
      <w:r>
        <w:rPr>
          <w:rFonts w:ascii="宋体" w:hAnsi="宋体"/>
          <w:sz w:val="24"/>
        </w:rPr>
        <w:t>诊断明细表(TB_IH_Diagnosis_Detail)</w:t>
      </w:r>
    </w:p>
    <w:tbl>
      <w:tblPr>
        <w:tblStyle w:val="48"/>
        <w:tblW w:w="92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1276"/>
        <w:gridCol w:w="992"/>
        <w:gridCol w:w="567"/>
        <w:gridCol w:w="850"/>
        <w:gridCol w:w="2369"/>
        <w:gridCol w:w="1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数据项</w:t>
            </w:r>
          </w:p>
        </w:tc>
        <w:tc>
          <w:tcPr>
            <w:tcW w:w="1276"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字段名</w:t>
            </w:r>
          </w:p>
        </w:tc>
        <w:tc>
          <w:tcPr>
            <w:tcW w:w="992"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数据类型</w:t>
            </w:r>
          </w:p>
        </w:tc>
        <w:tc>
          <w:tcPr>
            <w:tcW w:w="567"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长度</w:t>
            </w:r>
          </w:p>
        </w:tc>
        <w:tc>
          <w:tcPr>
            <w:tcW w:w="850"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填报要求</w:t>
            </w:r>
          </w:p>
        </w:tc>
        <w:tc>
          <w:tcPr>
            <w:tcW w:w="2369"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说明</w:t>
            </w:r>
          </w:p>
        </w:tc>
        <w:tc>
          <w:tcPr>
            <w:tcW w:w="1774"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诊断流水号</w:t>
            </w:r>
          </w:p>
        </w:tc>
        <w:tc>
          <w:tcPr>
            <w:tcW w:w="1276"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ZYZDLSH</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69"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复合主键；见说明（1）</w:t>
            </w:r>
          </w:p>
        </w:tc>
        <w:tc>
          <w:tcPr>
            <w:tcW w:w="1774"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诊断流水号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c>
          <w:tcPr>
            <w:tcW w:w="1276"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69"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复合主键；卫生机 构 分 类 代 码22 位</w:t>
            </w:r>
          </w:p>
        </w:tc>
        <w:tc>
          <w:tcPr>
            <w:tcW w:w="1774"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就诊流水号</w:t>
            </w:r>
          </w:p>
        </w:tc>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JZLSH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69"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用于与住院就诊记录表或门诊就诊记录表关联的外键</w:t>
            </w:r>
          </w:p>
        </w:tc>
        <w:tc>
          <w:tcPr>
            <w:tcW w:w="177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就诊流水号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门诊/住院标志</w:t>
            </w:r>
          </w:p>
        </w:tc>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MZZYBZ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69" w:type="dxa"/>
            <w:noWrap w:val="0"/>
            <w:vAlign w:val="top"/>
          </w:tcPr>
          <w:p>
            <w:pPr>
              <w:snapToGrid w:val="0"/>
              <w:spacing w:line="440" w:lineRule="exact"/>
              <w:jc w:val="left"/>
              <w:rPr>
                <w:rFonts w:ascii="宋体" w:hAnsi="宋体"/>
                <w:sz w:val="18"/>
                <w:szCs w:val="18"/>
              </w:rPr>
            </w:pPr>
            <w:r>
              <w:rPr>
                <w:rFonts w:hint="eastAsia" w:ascii="宋体" w:hAnsi="宋体"/>
                <w:sz w:val="18"/>
                <w:szCs w:val="18"/>
              </w:rPr>
              <w:t>1：门诊，2：住院</w:t>
            </w:r>
          </w:p>
        </w:tc>
        <w:tc>
          <w:tcPr>
            <w:tcW w:w="1774" w:type="dxa"/>
            <w:noWrap w:val="0"/>
            <w:vAlign w:val="top"/>
          </w:tcPr>
          <w:p>
            <w:pPr>
              <w:snapToGrid w:val="0"/>
              <w:spacing w:line="440" w:lineRule="exact"/>
              <w:jc w:val="left"/>
              <w:rPr>
                <w:rFonts w:ascii="宋体" w:hAnsi="宋体"/>
                <w:sz w:val="18"/>
                <w:szCs w:val="18"/>
              </w:rPr>
            </w:pPr>
            <w:r>
              <w:rPr>
                <w:rFonts w:hint="eastAsia" w:ascii="宋体" w:hAnsi="宋体"/>
                <w:sz w:val="18"/>
                <w:szCs w:val="18"/>
              </w:rPr>
              <w:t>门诊/住院标志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卡号</w:t>
            </w:r>
          </w:p>
        </w:tc>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KH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69"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与患者信息表关联的外键，必须具备关联关系。见患者信息表说明（1）</w:t>
            </w:r>
          </w:p>
        </w:tc>
        <w:tc>
          <w:tcPr>
            <w:tcW w:w="177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卡类型</w:t>
            </w:r>
          </w:p>
        </w:tc>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KLX</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69" w:type="dxa"/>
            <w:vMerge w:val="continue"/>
            <w:tcBorders>
              <w:top w:val="nil"/>
            </w:tcBorders>
            <w:noWrap w:val="0"/>
            <w:vAlign w:val="top"/>
          </w:tcPr>
          <w:p>
            <w:pPr>
              <w:snapToGrid w:val="0"/>
              <w:spacing w:line="440" w:lineRule="exact"/>
              <w:jc w:val="left"/>
              <w:rPr>
                <w:rFonts w:ascii="宋体" w:hAnsi="宋体"/>
                <w:sz w:val="18"/>
                <w:szCs w:val="18"/>
              </w:rPr>
            </w:pPr>
          </w:p>
        </w:tc>
        <w:tc>
          <w:tcPr>
            <w:tcW w:w="177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诊断类型区分</w:t>
            </w:r>
          </w:p>
        </w:tc>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ZDLXQF</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69"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编码。第一位，1：西医、2：中医</w:t>
            </w:r>
          </w:p>
        </w:tc>
        <w:tc>
          <w:tcPr>
            <w:tcW w:w="1774"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诊断类型区分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诊断类别代码</w:t>
            </w:r>
          </w:p>
        </w:tc>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ZDLB</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69" w:type="dxa"/>
            <w:noWrap w:val="0"/>
            <w:vAlign w:val="top"/>
          </w:tcPr>
          <w:p>
            <w:pPr>
              <w:snapToGrid w:val="0"/>
              <w:spacing w:line="440" w:lineRule="exact"/>
              <w:jc w:val="left"/>
              <w:rPr>
                <w:rFonts w:ascii="宋体" w:hAnsi="宋体"/>
                <w:sz w:val="18"/>
                <w:szCs w:val="18"/>
              </w:rPr>
            </w:pPr>
            <w:r>
              <w:rPr>
                <w:rFonts w:hint="eastAsia" w:ascii="宋体" w:hAnsi="宋体"/>
                <w:sz w:val="18"/>
                <w:szCs w:val="18"/>
              </w:rPr>
              <w:t>西</w:t>
            </w:r>
            <w:r>
              <w:rPr>
                <w:rFonts w:hint="eastAsia" w:ascii="宋体" w:hAnsi="宋体"/>
                <w:sz w:val="18"/>
                <w:szCs w:val="18"/>
              </w:rPr>
              <w:tab/>
            </w:r>
            <w:r>
              <w:rPr>
                <w:rFonts w:hint="eastAsia" w:ascii="宋体" w:hAnsi="宋体"/>
                <w:sz w:val="18"/>
                <w:szCs w:val="18"/>
              </w:rPr>
              <w:t>医</w:t>
            </w:r>
            <w:r>
              <w:rPr>
                <w:rFonts w:hint="eastAsia" w:ascii="宋体" w:hAnsi="宋体"/>
                <w:sz w:val="18"/>
                <w:szCs w:val="18"/>
              </w:rPr>
              <w:tab/>
            </w:r>
            <w:r>
              <w:rPr>
                <w:rFonts w:hint="eastAsia" w:ascii="宋体" w:hAnsi="宋体"/>
                <w:sz w:val="18"/>
                <w:szCs w:val="18"/>
              </w:rPr>
              <w:t>采</w:t>
            </w:r>
            <w:r>
              <w:rPr>
                <w:rFonts w:hint="eastAsia" w:ascii="宋体" w:hAnsi="宋体"/>
                <w:sz w:val="18"/>
                <w:szCs w:val="18"/>
              </w:rPr>
              <w:tab/>
            </w:r>
            <w:r>
              <w:rPr>
                <w:rFonts w:hint="eastAsia" w:ascii="宋体" w:hAnsi="宋体"/>
                <w:sz w:val="18"/>
                <w:szCs w:val="18"/>
              </w:rPr>
              <w:t>用CV5502.20，见说明（2）中</w:t>
            </w:r>
            <w:r>
              <w:rPr>
                <w:rFonts w:hint="eastAsia" w:ascii="宋体" w:hAnsi="宋体"/>
                <w:sz w:val="18"/>
                <w:szCs w:val="18"/>
              </w:rPr>
              <w:tab/>
            </w:r>
            <w:r>
              <w:rPr>
                <w:rFonts w:hint="eastAsia" w:ascii="宋体" w:hAnsi="宋体"/>
                <w:sz w:val="18"/>
                <w:szCs w:val="18"/>
              </w:rPr>
              <w:t>医</w:t>
            </w:r>
            <w:r>
              <w:rPr>
                <w:rFonts w:hint="eastAsia" w:ascii="宋体" w:hAnsi="宋体"/>
                <w:sz w:val="18"/>
                <w:szCs w:val="18"/>
              </w:rPr>
              <w:tab/>
            </w:r>
            <w:r>
              <w:rPr>
                <w:rFonts w:hint="eastAsia" w:ascii="宋体" w:hAnsi="宋体"/>
                <w:sz w:val="18"/>
                <w:szCs w:val="18"/>
              </w:rPr>
              <w:t>采</w:t>
            </w:r>
            <w:r>
              <w:rPr>
                <w:rFonts w:hint="eastAsia" w:ascii="宋体" w:hAnsi="宋体"/>
                <w:sz w:val="18"/>
                <w:szCs w:val="18"/>
              </w:rPr>
              <w:tab/>
            </w:r>
            <w:r>
              <w:rPr>
                <w:rFonts w:hint="eastAsia" w:ascii="宋体" w:hAnsi="宋体"/>
                <w:sz w:val="18"/>
                <w:szCs w:val="18"/>
              </w:rPr>
              <w:t>用CV5502.21，见说明（2）</w:t>
            </w:r>
          </w:p>
        </w:tc>
        <w:tc>
          <w:tcPr>
            <w:tcW w:w="1774"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诊断类别代码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诊断时间</w:t>
            </w:r>
          </w:p>
        </w:tc>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ZDSJ</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datetime</w:t>
            </w:r>
          </w:p>
        </w:tc>
        <w:tc>
          <w:tcPr>
            <w:tcW w:w="567" w:type="dxa"/>
            <w:noWrap w:val="0"/>
            <w:vAlign w:val="top"/>
          </w:tcPr>
          <w:p>
            <w:pPr>
              <w:snapToGrid w:val="0"/>
              <w:spacing w:line="440" w:lineRule="exact"/>
              <w:jc w:val="left"/>
              <w:rPr>
                <w:rFonts w:ascii="宋体" w:hAnsi="宋体"/>
                <w:sz w:val="18"/>
                <w:szCs w:val="18"/>
              </w:rPr>
            </w:pP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69" w:type="dxa"/>
            <w:noWrap w:val="0"/>
            <w:vAlign w:val="top"/>
          </w:tcPr>
          <w:p>
            <w:pPr>
              <w:snapToGrid w:val="0"/>
              <w:spacing w:line="440" w:lineRule="exact"/>
              <w:jc w:val="left"/>
              <w:rPr>
                <w:rFonts w:ascii="宋体" w:hAnsi="宋体"/>
                <w:sz w:val="18"/>
                <w:szCs w:val="18"/>
              </w:rPr>
            </w:pPr>
          </w:p>
        </w:tc>
        <w:tc>
          <w:tcPr>
            <w:tcW w:w="1774"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诊断时间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诊断编码</w:t>
            </w:r>
          </w:p>
        </w:tc>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ZDBM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10</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69" w:type="dxa"/>
            <w:noWrap w:val="0"/>
            <w:vAlign w:val="top"/>
          </w:tcPr>
          <w:p>
            <w:pPr>
              <w:snapToGrid w:val="0"/>
              <w:spacing w:line="440" w:lineRule="exact"/>
              <w:jc w:val="left"/>
              <w:rPr>
                <w:rFonts w:ascii="宋体" w:hAnsi="宋体"/>
                <w:sz w:val="18"/>
                <w:szCs w:val="18"/>
              </w:rPr>
            </w:pPr>
            <w:r>
              <w:rPr>
                <w:rFonts w:hint="eastAsia" w:ascii="宋体" w:hAnsi="宋体"/>
                <w:sz w:val="18"/>
                <w:szCs w:val="18"/>
              </w:rPr>
              <w:t>西医：按统一规定的 ICD10 字典表执行；中医： 按国标-95 或国标-97 执行；院内诊断编码：院内自定义编码，但需 要 同 时 报TB_Dic_Detail_Comparison 表。</w:t>
            </w:r>
          </w:p>
        </w:tc>
        <w:tc>
          <w:tcPr>
            <w:tcW w:w="1774"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诊断编码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诊断编码类型</w:t>
            </w:r>
          </w:p>
        </w:tc>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BMLX</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69"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 码 。 01 ： ICD-10；02:国标-95 ； 03 ： 国标-97；04 院内诊断编码</w:t>
            </w:r>
          </w:p>
        </w:tc>
        <w:tc>
          <w:tcPr>
            <w:tcW w:w="1774"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诊断编码类型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诊断说明</w:t>
            </w:r>
          </w:p>
        </w:tc>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ZDSM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69" w:type="dxa"/>
            <w:noWrap w:val="0"/>
            <w:vAlign w:val="top"/>
          </w:tcPr>
          <w:p>
            <w:pPr>
              <w:snapToGrid w:val="0"/>
              <w:spacing w:line="440" w:lineRule="exact"/>
              <w:jc w:val="left"/>
              <w:rPr>
                <w:rFonts w:ascii="宋体" w:hAnsi="宋体"/>
                <w:sz w:val="18"/>
                <w:szCs w:val="18"/>
              </w:rPr>
            </w:pPr>
            <w:r>
              <w:rPr>
                <w:rFonts w:hint="eastAsia" w:ascii="宋体" w:hAnsi="宋体"/>
                <w:sz w:val="18"/>
                <w:szCs w:val="18"/>
              </w:rPr>
              <w:t>文字描述</w:t>
            </w:r>
          </w:p>
        </w:tc>
        <w:tc>
          <w:tcPr>
            <w:tcW w:w="1774"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诊断说明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主要诊断标志</w:t>
            </w:r>
          </w:p>
        </w:tc>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CYZDBZ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69"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编码。1：主要诊断、2：次要诊断</w:t>
            </w:r>
          </w:p>
        </w:tc>
        <w:tc>
          <w:tcPr>
            <w:tcW w:w="1774"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主要诊断标志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疑似诊断标志</w:t>
            </w:r>
          </w:p>
        </w:tc>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YZDBZ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69" w:type="dxa"/>
            <w:noWrap w:val="0"/>
            <w:vAlign w:val="top"/>
          </w:tcPr>
          <w:p>
            <w:pPr>
              <w:snapToGrid w:val="0"/>
              <w:spacing w:line="440" w:lineRule="exact"/>
              <w:jc w:val="left"/>
              <w:rPr>
                <w:rFonts w:ascii="宋体" w:hAnsi="宋体"/>
                <w:sz w:val="18"/>
                <w:szCs w:val="18"/>
              </w:rPr>
            </w:pPr>
            <w:r>
              <w:rPr>
                <w:rFonts w:hint="eastAsia" w:ascii="宋体" w:hAnsi="宋体"/>
                <w:sz w:val="18"/>
                <w:szCs w:val="18"/>
              </w:rPr>
              <w:t>1：仍疑似；0：已确诊</w:t>
            </w:r>
          </w:p>
        </w:tc>
        <w:tc>
          <w:tcPr>
            <w:tcW w:w="1774" w:type="dxa"/>
            <w:noWrap w:val="0"/>
            <w:vAlign w:val="top"/>
          </w:tcPr>
          <w:p>
            <w:pPr>
              <w:snapToGrid w:val="0"/>
              <w:spacing w:line="440" w:lineRule="exact"/>
              <w:jc w:val="left"/>
              <w:rPr>
                <w:rFonts w:ascii="宋体" w:hAnsi="宋体"/>
                <w:sz w:val="18"/>
                <w:szCs w:val="18"/>
              </w:rPr>
            </w:pPr>
            <w:r>
              <w:rPr>
                <w:rFonts w:hint="eastAsia" w:ascii="宋体" w:hAnsi="宋体"/>
                <w:sz w:val="18"/>
                <w:szCs w:val="18"/>
              </w:rPr>
              <w:t>疑似诊断标志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出院情况编码</w:t>
            </w:r>
          </w:p>
        </w:tc>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CYQKBM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69"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出院时疾病的治疗结果，可参考CV5501.11治疗结果代码（出院时应填）</w:t>
            </w:r>
          </w:p>
        </w:tc>
        <w:tc>
          <w:tcPr>
            <w:tcW w:w="177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出院情况编码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密级</w:t>
            </w:r>
          </w:p>
        </w:tc>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MJ</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369"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见就诊记录表的相关说明</w:t>
            </w:r>
          </w:p>
        </w:tc>
        <w:tc>
          <w:tcPr>
            <w:tcW w:w="1774" w:type="dxa"/>
            <w:noWrap w:val="0"/>
            <w:vAlign w:val="top"/>
          </w:tcPr>
          <w:p>
            <w:pPr>
              <w:snapToGrid w:val="0"/>
              <w:spacing w:line="440" w:lineRule="exact"/>
              <w:jc w:val="left"/>
              <w:rPr>
                <w:rFonts w:ascii="宋体" w:hAnsi="宋体"/>
                <w:sz w:val="18"/>
                <w:szCs w:val="18"/>
              </w:rPr>
            </w:pPr>
            <w:r>
              <w:rPr>
                <w:rFonts w:hint="eastAsia" w:ascii="宋体" w:hAnsi="宋体"/>
                <w:sz w:val="18"/>
                <w:szCs w:val="18"/>
              </w:rPr>
              <w:t>密级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修改标志</w:t>
            </w:r>
          </w:p>
        </w:tc>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XGBZ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369"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编码。1：正常、2：撤销。 见说明（4）</w:t>
            </w:r>
          </w:p>
        </w:tc>
        <w:tc>
          <w:tcPr>
            <w:tcW w:w="1774" w:type="dxa"/>
            <w:noWrap w:val="0"/>
            <w:vAlign w:val="top"/>
          </w:tcPr>
          <w:p>
            <w:pPr>
              <w:snapToGrid w:val="0"/>
              <w:spacing w:line="440" w:lineRule="exact"/>
              <w:jc w:val="left"/>
              <w:rPr>
                <w:rFonts w:ascii="宋体" w:hAnsi="宋体"/>
                <w:sz w:val="18"/>
                <w:szCs w:val="18"/>
              </w:rPr>
            </w:pPr>
            <w:r>
              <w:rPr>
                <w:rFonts w:hint="eastAsia" w:ascii="宋体" w:hAnsi="宋体"/>
                <w:sz w:val="18"/>
                <w:szCs w:val="18"/>
              </w:rPr>
              <w:t>修改标志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预留一</w:t>
            </w:r>
          </w:p>
        </w:tc>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YLYL1</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2369"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c>
          <w:tcPr>
            <w:tcW w:w="1774"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预留二</w:t>
            </w:r>
          </w:p>
        </w:tc>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YLYL2</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2369"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c>
          <w:tcPr>
            <w:tcW w:w="1774"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预留二</w:t>
            </w:r>
          </w:p>
        </w:tc>
      </w:tr>
    </w:tbl>
    <w:p>
      <w:pPr>
        <w:snapToGrid w:val="0"/>
        <w:spacing w:line="440" w:lineRule="exact"/>
        <w:jc w:val="left"/>
        <w:rPr>
          <w:rFonts w:ascii="宋体" w:hAnsi="宋体"/>
          <w:sz w:val="24"/>
        </w:rPr>
      </w:pPr>
      <w:r>
        <w:rPr>
          <w:rFonts w:hint="eastAsia" w:ascii="宋体" w:hAnsi="宋体"/>
          <w:sz w:val="24"/>
        </w:rPr>
        <w:t>2.1.9出院小结报告</w:t>
      </w:r>
    </w:p>
    <w:p>
      <w:pPr>
        <w:snapToGrid w:val="0"/>
        <w:spacing w:line="440" w:lineRule="exact"/>
        <w:jc w:val="left"/>
        <w:rPr>
          <w:rFonts w:ascii="宋体" w:hAnsi="宋体"/>
          <w:sz w:val="24"/>
        </w:rPr>
      </w:pPr>
      <w:r>
        <w:rPr>
          <w:rFonts w:hint="eastAsia" w:ascii="宋体" w:hAnsi="宋体"/>
          <w:sz w:val="24"/>
        </w:rPr>
        <w:t>2.1.9.1实时出院小结表(TB_CIS_LeaveHospital_Summary)</w:t>
      </w:r>
    </w:p>
    <w:tbl>
      <w:tblPr>
        <w:tblStyle w:val="48"/>
        <w:tblW w:w="914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01"/>
        <w:gridCol w:w="993"/>
        <w:gridCol w:w="992"/>
        <w:gridCol w:w="850"/>
        <w:gridCol w:w="851"/>
        <w:gridCol w:w="2034"/>
        <w:gridCol w:w="17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数据项</w:t>
            </w:r>
          </w:p>
        </w:tc>
        <w:tc>
          <w:tcPr>
            <w:tcW w:w="993"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字段名</w:t>
            </w:r>
          </w:p>
        </w:tc>
        <w:tc>
          <w:tcPr>
            <w:tcW w:w="992"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数据类型</w:t>
            </w:r>
          </w:p>
        </w:tc>
        <w:tc>
          <w:tcPr>
            <w:tcW w:w="850"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宽度</w:t>
            </w:r>
          </w:p>
        </w:tc>
        <w:tc>
          <w:tcPr>
            <w:tcW w:w="85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填报要求</w:t>
            </w:r>
          </w:p>
        </w:tc>
        <w:tc>
          <w:tcPr>
            <w:tcW w:w="2034"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说明</w:t>
            </w:r>
          </w:p>
        </w:tc>
        <w:tc>
          <w:tcPr>
            <w:tcW w:w="172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住院就诊流水号</w:t>
            </w:r>
          </w:p>
        </w:tc>
        <w:tc>
          <w:tcPr>
            <w:tcW w:w="993"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JZLSH</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复合主键；同时用于与住院就诊记录表关联的外键</w:t>
            </w:r>
          </w:p>
        </w:tc>
        <w:tc>
          <w:tcPr>
            <w:tcW w:w="172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住院就诊流水号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c>
          <w:tcPr>
            <w:tcW w:w="993"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992"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复合主键；卫生机构分类代码22 位</w:t>
            </w:r>
          </w:p>
        </w:tc>
        <w:tc>
          <w:tcPr>
            <w:tcW w:w="172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科室</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KS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15</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编码。见科室字典表</w:t>
            </w: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科室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KH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与患者信息表关联的外键，必须具备关联关系。</w:t>
            </w: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卡类型</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KLX</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vMerge w:val="continue"/>
            <w:tcBorders>
              <w:top w:val="nil"/>
            </w:tcBorders>
            <w:noWrap w:val="0"/>
            <w:vAlign w:val="top"/>
          </w:tcPr>
          <w:p>
            <w:pPr>
              <w:snapToGrid w:val="0"/>
              <w:spacing w:line="440" w:lineRule="exact"/>
              <w:jc w:val="left"/>
              <w:rPr>
                <w:rFonts w:ascii="宋体" w:hAnsi="宋体"/>
                <w:sz w:val="18"/>
                <w:szCs w:val="18"/>
              </w:rPr>
            </w:pP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卡类型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tcBorders>
              <w:left w:val="single" w:color="000000" w:sz="4" w:space="0"/>
              <w:bottom w:val="single" w:color="000000" w:sz="4" w:space="0"/>
              <w:right w:val="single" w:color="000000" w:sz="4"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床号</w:t>
            </w:r>
          </w:p>
        </w:tc>
        <w:tc>
          <w:tcPr>
            <w:tcW w:w="993" w:type="dxa"/>
            <w:tcBorders>
              <w:left w:val="single" w:color="000000" w:sz="4" w:space="0"/>
              <w:bottom w:val="single" w:color="000000" w:sz="4" w:space="0"/>
              <w:right w:val="single" w:color="000000" w:sz="4" w:space="0"/>
            </w:tcBorders>
            <w:noWrap w:val="0"/>
            <w:vAlign w:val="top"/>
          </w:tcPr>
          <w:p>
            <w:pPr>
              <w:snapToGrid w:val="0"/>
              <w:spacing w:line="440" w:lineRule="exact"/>
              <w:jc w:val="left"/>
              <w:rPr>
                <w:rFonts w:ascii="宋体" w:hAnsi="宋体"/>
                <w:sz w:val="18"/>
                <w:szCs w:val="18"/>
              </w:rPr>
            </w:pPr>
            <w:r>
              <w:rPr>
                <w:rFonts w:ascii="宋体" w:hAnsi="宋体"/>
                <w:sz w:val="18"/>
                <w:szCs w:val="18"/>
              </w:rPr>
              <w:t>CH</w:t>
            </w:r>
          </w:p>
        </w:tc>
        <w:tc>
          <w:tcPr>
            <w:tcW w:w="992" w:type="dxa"/>
            <w:tcBorders>
              <w:left w:val="single" w:color="000000" w:sz="4" w:space="0"/>
              <w:bottom w:val="single" w:color="000000" w:sz="4" w:space="0"/>
              <w:right w:val="single" w:color="000000" w:sz="4"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tcBorders>
              <w:left w:val="single" w:color="000000" w:sz="4" w:space="0"/>
              <w:bottom w:val="single" w:color="000000" w:sz="4" w:space="0"/>
              <w:right w:val="single" w:color="000000" w:sz="4" w:space="0"/>
            </w:tcBorders>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1" w:type="dxa"/>
            <w:tcBorders>
              <w:left w:val="single" w:color="000000" w:sz="4" w:space="0"/>
              <w:bottom w:val="single" w:color="000000" w:sz="4" w:space="0"/>
              <w:right w:val="single" w:color="000000" w:sz="4"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tcBorders>
              <w:left w:val="single" w:color="000000" w:sz="4" w:space="0"/>
              <w:bottom w:val="single" w:color="000000" w:sz="4" w:space="0"/>
              <w:right w:val="single" w:color="000000" w:sz="4" w:space="0"/>
            </w:tcBorders>
            <w:noWrap w:val="0"/>
            <w:vAlign w:val="top"/>
          </w:tcPr>
          <w:p>
            <w:pPr>
              <w:snapToGrid w:val="0"/>
              <w:spacing w:line="440" w:lineRule="exact"/>
              <w:jc w:val="left"/>
              <w:rPr>
                <w:rFonts w:ascii="宋体" w:hAnsi="宋体"/>
                <w:sz w:val="18"/>
                <w:szCs w:val="18"/>
              </w:rPr>
            </w:pPr>
          </w:p>
        </w:tc>
        <w:tc>
          <w:tcPr>
            <w:tcW w:w="1721" w:type="dxa"/>
            <w:tcBorders>
              <w:left w:val="single" w:color="000000" w:sz="4" w:space="0"/>
              <w:bottom w:val="single" w:color="000000" w:sz="4" w:space="0"/>
              <w:right w:val="single" w:color="000000" w:sz="4"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床号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姓名</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40" w:lineRule="exact"/>
              <w:jc w:val="left"/>
              <w:rPr>
                <w:rFonts w:ascii="宋体" w:hAnsi="宋体"/>
                <w:sz w:val="18"/>
                <w:szCs w:val="18"/>
              </w:rPr>
            </w:pPr>
            <w:r>
              <w:rPr>
                <w:rFonts w:ascii="宋体" w:hAnsi="宋体"/>
                <w:sz w:val="18"/>
                <w:szCs w:val="18"/>
              </w:rPr>
              <w:t>XM</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40" w:lineRule="exact"/>
              <w:jc w:val="left"/>
              <w:rPr>
                <w:rFonts w:ascii="宋体" w:hAnsi="宋体"/>
                <w:sz w:val="18"/>
                <w:szCs w:val="18"/>
              </w:rPr>
            </w:pPr>
          </w:p>
        </w:tc>
        <w:tc>
          <w:tcPr>
            <w:tcW w:w="1721"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姓名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tcBorders>
              <w:top w:val="single" w:color="000000" w:sz="4"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性别</w:t>
            </w:r>
          </w:p>
        </w:tc>
        <w:tc>
          <w:tcPr>
            <w:tcW w:w="993" w:type="dxa"/>
            <w:tcBorders>
              <w:top w:val="single" w:color="000000" w:sz="4" w:space="0"/>
            </w:tcBorders>
            <w:noWrap w:val="0"/>
            <w:vAlign w:val="top"/>
          </w:tcPr>
          <w:p>
            <w:pPr>
              <w:snapToGrid w:val="0"/>
              <w:spacing w:line="440" w:lineRule="exact"/>
              <w:jc w:val="left"/>
              <w:rPr>
                <w:rFonts w:ascii="宋体" w:hAnsi="宋体"/>
                <w:sz w:val="18"/>
                <w:szCs w:val="18"/>
              </w:rPr>
            </w:pPr>
            <w:r>
              <w:rPr>
                <w:rFonts w:ascii="宋体" w:hAnsi="宋体"/>
                <w:sz w:val="18"/>
                <w:szCs w:val="18"/>
              </w:rPr>
              <w:t>XB</w:t>
            </w:r>
          </w:p>
        </w:tc>
        <w:tc>
          <w:tcPr>
            <w:tcW w:w="992" w:type="dxa"/>
            <w:tcBorders>
              <w:top w:val="single" w:color="000000" w:sz="4"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tcBorders>
              <w:top w:val="single" w:color="000000" w:sz="4" w:space="0"/>
            </w:tcBorders>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tcBorders>
              <w:top w:val="single" w:color="000000" w:sz="4"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tcBorders>
              <w:top w:val="single" w:color="000000" w:sz="4"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编码。按国标GB2261-80 执行</w:t>
            </w:r>
          </w:p>
        </w:tc>
        <w:tc>
          <w:tcPr>
            <w:tcW w:w="1721" w:type="dxa"/>
            <w:tcBorders>
              <w:top w:val="single" w:color="000000" w:sz="4" w:space="0"/>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性别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年龄</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NL</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noWrap w:val="0"/>
            <w:vAlign w:val="top"/>
          </w:tcPr>
          <w:p>
            <w:pPr>
              <w:snapToGrid w:val="0"/>
              <w:spacing w:line="440" w:lineRule="exact"/>
              <w:jc w:val="left"/>
              <w:rPr>
                <w:rFonts w:ascii="宋体" w:hAnsi="宋体"/>
                <w:sz w:val="18"/>
                <w:szCs w:val="18"/>
              </w:rPr>
            </w:pP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年龄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tcBorders>
              <w:top w:val="nil"/>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入院时间</w:t>
            </w:r>
          </w:p>
        </w:tc>
        <w:tc>
          <w:tcPr>
            <w:tcW w:w="993" w:type="dxa"/>
            <w:tcBorders>
              <w:top w:val="nil"/>
            </w:tcBorders>
            <w:noWrap w:val="0"/>
            <w:vAlign w:val="top"/>
          </w:tcPr>
          <w:p>
            <w:pPr>
              <w:snapToGrid w:val="0"/>
              <w:spacing w:line="440" w:lineRule="exact"/>
              <w:jc w:val="left"/>
              <w:rPr>
                <w:rFonts w:ascii="宋体" w:hAnsi="宋体"/>
                <w:sz w:val="18"/>
                <w:szCs w:val="18"/>
              </w:rPr>
            </w:pPr>
            <w:r>
              <w:rPr>
                <w:rFonts w:ascii="宋体" w:hAnsi="宋体"/>
                <w:sz w:val="18"/>
                <w:szCs w:val="18"/>
              </w:rPr>
              <w:t>RYSJ</w:t>
            </w:r>
          </w:p>
        </w:tc>
        <w:tc>
          <w:tcPr>
            <w:tcW w:w="992" w:type="dxa"/>
            <w:tcBorders>
              <w:top w:val="nil"/>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tcBorders>
              <w:top w:val="nil"/>
            </w:tcBorders>
            <w:noWrap w:val="0"/>
            <w:vAlign w:val="top"/>
          </w:tcPr>
          <w:p>
            <w:pPr>
              <w:snapToGrid w:val="0"/>
              <w:spacing w:line="440" w:lineRule="exact"/>
              <w:jc w:val="left"/>
              <w:rPr>
                <w:rFonts w:ascii="宋体" w:hAnsi="宋体"/>
                <w:sz w:val="18"/>
                <w:szCs w:val="18"/>
              </w:rPr>
            </w:pPr>
            <w:r>
              <w:rPr>
                <w:rFonts w:ascii="宋体" w:hAnsi="宋体"/>
                <w:sz w:val="18"/>
                <w:szCs w:val="18"/>
              </w:rPr>
              <w:t>8</w:t>
            </w:r>
          </w:p>
        </w:tc>
        <w:tc>
          <w:tcPr>
            <w:tcW w:w="851" w:type="dxa"/>
            <w:tcBorders>
              <w:top w:val="nil"/>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tcBorders>
              <w:top w:val="nil"/>
            </w:tcBorders>
            <w:noWrap w:val="0"/>
            <w:vAlign w:val="top"/>
          </w:tcPr>
          <w:p>
            <w:pPr>
              <w:snapToGrid w:val="0"/>
              <w:spacing w:line="440" w:lineRule="exact"/>
              <w:jc w:val="left"/>
              <w:rPr>
                <w:rFonts w:ascii="宋体" w:hAnsi="宋体"/>
                <w:sz w:val="18"/>
                <w:szCs w:val="18"/>
              </w:rPr>
            </w:pPr>
          </w:p>
        </w:tc>
        <w:tc>
          <w:tcPr>
            <w:tcW w:w="1721" w:type="dxa"/>
            <w:tcBorders>
              <w:top w:val="nil"/>
            </w:tcBorders>
            <w:noWrap w:val="0"/>
            <w:vAlign w:val="top"/>
          </w:tcPr>
          <w:p>
            <w:pPr>
              <w:snapToGrid w:val="0"/>
              <w:spacing w:line="440" w:lineRule="exact"/>
              <w:jc w:val="left"/>
              <w:rPr>
                <w:rFonts w:ascii="宋体" w:hAnsi="宋体"/>
                <w:sz w:val="18"/>
                <w:szCs w:val="18"/>
              </w:rPr>
            </w:pPr>
            <w:r>
              <w:rPr>
                <w:rFonts w:hint="eastAsia" w:ascii="宋体" w:hAnsi="宋体"/>
                <w:sz w:val="18"/>
                <w:szCs w:val="18"/>
              </w:rPr>
              <w:t>入院时间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出院时间</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CYSJ</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8</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noWrap w:val="0"/>
            <w:vAlign w:val="top"/>
          </w:tcPr>
          <w:p>
            <w:pPr>
              <w:snapToGrid w:val="0"/>
              <w:spacing w:line="440" w:lineRule="exact"/>
              <w:jc w:val="left"/>
              <w:rPr>
                <w:rFonts w:ascii="宋体" w:hAnsi="宋体"/>
                <w:sz w:val="18"/>
                <w:szCs w:val="18"/>
              </w:rPr>
            </w:pP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住院天数</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ZYTS</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5</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noWrap w:val="0"/>
            <w:vAlign w:val="top"/>
          </w:tcPr>
          <w:p>
            <w:pPr>
              <w:snapToGrid w:val="0"/>
              <w:spacing w:line="440" w:lineRule="exact"/>
              <w:jc w:val="left"/>
              <w:rPr>
                <w:rFonts w:ascii="宋体" w:hAnsi="宋体"/>
                <w:sz w:val="18"/>
                <w:szCs w:val="18"/>
              </w:rPr>
            </w:pP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住院天数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门诊诊断</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MZZD</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3072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034" w:type="dxa"/>
            <w:noWrap w:val="0"/>
            <w:vAlign w:val="top"/>
          </w:tcPr>
          <w:p>
            <w:pPr>
              <w:snapToGrid w:val="0"/>
              <w:spacing w:line="440" w:lineRule="exact"/>
              <w:jc w:val="left"/>
              <w:rPr>
                <w:rFonts w:ascii="宋体" w:hAnsi="宋体"/>
                <w:sz w:val="18"/>
                <w:szCs w:val="18"/>
              </w:rPr>
            </w:pP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门诊诊断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入院诊断</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RYZD</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3072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034" w:type="dxa"/>
            <w:noWrap w:val="0"/>
            <w:vAlign w:val="top"/>
          </w:tcPr>
          <w:p>
            <w:pPr>
              <w:snapToGrid w:val="0"/>
              <w:spacing w:line="440" w:lineRule="exact"/>
              <w:jc w:val="left"/>
              <w:rPr>
                <w:rFonts w:ascii="宋体" w:hAnsi="宋体"/>
                <w:sz w:val="18"/>
                <w:szCs w:val="18"/>
              </w:rPr>
            </w:pP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入院诊断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出院诊断</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CYZD</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3072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noWrap w:val="0"/>
            <w:vAlign w:val="top"/>
          </w:tcPr>
          <w:p>
            <w:pPr>
              <w:snapToGrid w:val="0"/>
              <w:spacing w:line="440" w:lineRule="exact"/>
              <w:jc w:val="left"/>
              <w:rPr>
                <w:rFonts w:ascii="宋体" w:hAnsi="宋体"/>
                <w:sz w:val="18"/>
                <w:szCs w:val="18"/>
              </w:rPr>
            </w:pP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出院诊断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入院时主要症状及体征</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RYZZTZ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3072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该数据项在某些医院的出院小结中还包括入院时主要重要检查结果</w:t>
            </w: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入院时主要症状及体征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实验室检查及主要会诊</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JCHZ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3072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该数据项在某些医院的出院小结中称为“住院期间主要检查结果”</w:t>
            </w: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实验室检查及主要会诊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住院期间特殊检查</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TSJC</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3072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034" w:type="dxa"/>
            <w:noWrap w:val="0"/>
            <w:vAlign w:val="top"/>
          </w:tcPr>
          <w:p>
            <w:pPr>
              <w:snapToGrid w:val="0"/>
              <w:spacing w:line="440" w:lineRule="exact"/>
              <w:jc w:val="left"/>
              <w:rPr>
                <w:rFonts w:ascii="宋体" w:hAnsi="宋体"/>
                <w:sz w:val="18"/>
                <w:szCs w:val="18"/>
              </w:rPr>
            </w:pP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住院期间特殊检查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诊疗过程</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ZLGC</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3072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该数据项在某些医院的出院小结中称为“住院期间病程与诊疗结果”</w:t>
            </w: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诊疗过程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合并症</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HBZ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1024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034" w:type="dxa"/>
            <w:noWrap w:val="0"/>
            <w:vAlign w:val="top"/>
          </w:tcPr>
          <w:p>
            <w:pPr>
              <w:snapToGrid w:val="0"/>
              <w:spacing w:line="440" w:lineRule="exact"/>
              <w:jc w:val="left"/>
              <w:rPr>
                <w:rFonts w:ascii="宋体" w:hAnsi="宋体"/>
                <w:sz w:val="18"/>
                <w:szCs w:val="18"/>
              </w:rPr>
            </w:pP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合并症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出院时情况</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CYQK</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3072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该数据项在某些医院的出院小结中称为“出院时情况（症状、体征）”</w:t>
            </w: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出院时情况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出院医嘱</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CYYZ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3072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该数据项在某些医院的出院小结中称为“出院后用药及建议”</w:t>
            </w: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出院医嘱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治疗结果</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ZLJG</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1024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noWrap w:val="0"/>
            <w:vAlign w:val="top"/>
          </w:tcPr>
          <w:p>
            <w:pPr>
              <w:snapToGrid w:val="0"/>
              <w:spacing w:line="440" w:lineRule="exact"/>
              <w:jc w:val="left"/>
              <w:rPr>
                <w:rFonts w:ascii="宋体" w:hAnsi="宋体"/>
                <w:sz w:val="18"/>
                <w:szCs w:val="18"/>
              </w:rPr>
            </w:pP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治疗结果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主治医师工号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ZZYSGH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编码。见医护人员字典表</w:t>
            </w: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主治医师工号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主治医师姓名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ZZYSXM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noWrap w:val="0"/>
            <w:vAlign w:val="top"/>
          </w:tcPr>
          <w:p>
            <w:pPr>
              <w:snapToGrid w:val="0"/>
              <w:spacing w:line="440" w:lineRule="exact"/>
              <w:jc w:val="left"/>
              <w:rPr>
                <w:rFonts w:ascii="宋体" w:hAnsi="宋体"/>
                <w:sz w:val="18"/>
                <w:szCs w:val="18"/>
              </w:rPr>
            </w:pP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主治医师姓名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住院医师工号</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ZYYSGH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编码。见医护人员字典表</w:t>
            </w: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住院医师工号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住院医师姓名</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ZYYSXM</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noWrap w:val="0"/>
            <w:vAlign w:val="top"/>
          </w:tcPr>
          <w:p>
            <w:pPr>
              <w:snapToGrid w:val="0"/>
              <w:spacing w:line="440" w:lineRule="exact"/>
              <w:jc w:val="left"/>
              <w:rPr>
                <w:rFonts w:ascii="宋体" w:hAnsi="宋体"/>
                <w:sz w:val="18"/>
                <w:szCs w:val="18"/>
              </w:rPr>
            </w:pP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住院医师姓名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医院自填报内容 1</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YYZTB1</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034"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由于出院小结在各医院具有灵活性，可根据各自样式自行填写认为重要的内容， 供展示(不用于计算分析处理)</w:t>
            </w: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医院自填报内容</w:t>
            </w:r>
            <w:r>
              <w:rPr>
                <w:rFonts w:ascii="宋体" w:hAnsi="宋体"/>
                <w:sz w:val="18"/>
                <w:szCs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医院自填报内容 2</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YYZTB1</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034" w:type="dxa"/>
            <w:vMerge w:val="continue"/>
            <w:tcBorders>
              <w:top w:val="nil"/>
            </w:tcBorders>
            <w:noWrap w:val="0"/>
            <w:vAlign w:val="top"/>
          </w:tcPr>
          <w:p>
            <w:pPr>
              <w:snapToGrid w:val="0"/>
              <w:spacing w:line="440" w:lineRule="exact"/>
              <w:jc w:val="left"/>
              <w:rPr>
                <w:rFonts w:ascii="宋体" w:hAnsi="宋体"/>
                <w:sz w:val="18"/>
                <w:szCs w:val="18"/>
              </w:rPr>
            </w:pP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医院自填报内容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文件链接</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WJLJ</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256</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0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自由格式内容文件的链接。见“实验室检验报告表头”的相关说明。</w:t>
            </w: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文件链接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修改标志</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XGBZ</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20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编码。1：正常、2：修改、3：撤销。见说明（1）</w:t>
            </w: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修改标志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出院注意事项</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CYZYSX</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1024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034" w:type="dxa"/>
            <w:noWrap w:val="0"/>
            <w:vAlign w:val="top"/>
          </w:tcPr>
          <w:p>
            <w:pPr>
              <w:snapToGrid w:val="0"/>
              <w:spacing w:line="440" w:lineRule="exact"/>
              <w:jc w:val="left"/>
              <w:rPr>
                <w:rFonts w:ascii="宋体" w:hAnsi="宋体"/>
                <w:sz w:val="18"/>
                <w:szCs w:val="18"/>
              </w:rPr>
            </w:pP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出院注意事项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复诊计划</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FZJH</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1024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034" w:type="dxa"/>
            <w:noWrap w:val="0"/>
            <w:vAlign w:val="top"/>
          </w:tcPr>
          <w:p>
            <w:pPr>
              <w:snapToGrid w:val="0"/>
              <w:spacing w:line="440" w:lineRule="exact"/>
              <w:jc w:val="left"/>
              <w:rPr>
                <w:rFonts w:ascii="宋体" w:hAnsi="宋体"/>
                <w:sz w:val="18"/>
                <w:szCs w:val="18"/>
              </w:rPr>
            </w:pP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复诊计划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康复指导</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KFZD</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1024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034" w:type="dxa"/>
            <w:noWrap w:val="0"/>
            <w:vAlign w:val="top"/>
          </w:tcPr>
          <w:p>
            <w:pPr>
              <w:snapToGrid w:val="0"/>
              <w:spacing w:line="440" w:lineRule="exact"/>
              <w:jc w:val="left"/>
              <w:rPr>
                <w:rFonts w:ascii="宋体" w:hAnsi="宋体"/>
                <w:sz w:val="18"/>
                <w:szCs w:val="18"/>
              </w:rPr>
            </w:pP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康复指导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密级</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MJ</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20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见诊疗记录表的相关说明</w:t>
            </w: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密级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预留一</w:t>
            </w:r>
          </w:p>
        </w:tc>
        <w:tc>
          <w:tcPr>
            <w:tcW w:w="993" w:type="dxa"/>
            <w:noWrap w:val="0"/>
            <w:vAlign w:val="top"/>
          </w:tcPr>
          <w:p>
            <w:pPr>
              <w:snapToGrid w:val="0"/>
              <w:spacing w:line="440" w:lineRule="exact"/>
              <w:jc w:val="left"/>
              <w:rPr>
                <w:rFonts w:ascii="宋体" w:hAnsi="宋体"/>
                <w:sz w:val="18"/>
                <w:szCs w:val="18"/>
              </w:rPr>
            </w:pPr>
            <w:r>
              <w:rPr>
                <w:rFonts w:ascii="宋体" w:hAnsi="宋体"/>
                <w:sz w:val="18"/>
                <w:szCs w:val="18"/>
              </w:rPr>
              <w:t>YLYL1</w:t>
            </w:r>
          </w:p>
        </w:tc>
        <w:tc>
          <w:tcPr>
            <w:tcW w:w="992"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不填</w:t>
            </w:r>
          </w:p>
        </w:tc>
        <w:tc>
          <w:tcPr>
            <w:tcW w:w="2034"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c>
          <w:tcPr>
            <w:tcW w:w="172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预留一</w:t>
            </w:r>
          </w:p>
        </w:tc>
      </w:tr>
    </w:tbl>
    <w:p>
      <w:pPr>
        <w:snapToGrid w:val="0"/>
        <w:spacing w:line="440" w:lineRule="exact"/>
        <w:jc w:val="left"/>
        <w:rPr>
          <w:rFonts w:ascii="宋体" w:hAnsi="宋体"/>
          <w:sz w:val="24"/>
        </w:rPr>
      </w:pPr>
      <w:r>
        <w:rPr>
          <w:rFonts w:hint="eastAsia" w:ascii="宋体" w:hAnsi="宋体"/>
          <w:sz w:val="24"/>
        </w:rPr>
        <w:t>2.1.10</w:t>
      </w:r>
      <w:r>
        <w:rPr>
          <w:rFonts w:ascii="宋体" w:hAnsi="宋体"/>
          <w:sz w:val="24"/>
        </w:rPr>
        <w:t>体检小结报告</w:t>
      </w:r>
    </w:p>
    <w:p>
      <w:pPr>
        <w:snapToGrid w:val="0"/>
        <w:spacing w:line="440" w:lineRule="exact"/>
        <w:ind w:firstLine="480" w:firstLineChars="200"/>
        <w:jc w:val="left"/>
        <w:rPr>
          <w:rFonts w:ascii="宋体" w:hAnsi="宋体"/>
          <w:sz w:val="24"/>
        </w:rPr>
      </w:pPr>
      <w:r>
        <w:rPr>
          <w:rFonts w:ascii="宋体" w:hAnsi="宋体"/>
          <w:sz w:val="24"/>
        </w:rPr>
        <w:t>体检项目的范围按照目前通常的做法包括三大部分：一是一般性体格检查，包括内科、外科、妇科、五官科的专科检查；二是医学影像检查，包括心电图、X 光、B 超（包括肝、胆、脾、肾和生殖系统）等；三是实验室检验，包括血、尿、便三大常规及血糖、血脂、肝肾功能、乙肝五项。此外，还有肿瘤三项（甲胎蛋白、EB 病毒、癌胚抗原）检查等。</w:t>
      </w:r>
    </w:p>
    <w:p>
      <w:pPr>
        <w:snapToGrid w:val="0"/>
        <w:spacing w:line="440" w:lineRule="exact"/>
        <w:ind w:firstLine="480" w:firstLineChars="200"/>
        <w:jc w:val="left"/>
        <w:rPr>
          <w:rFonts w:ascii="宋体" w:hAnsi="宋体"/>
          <w:sz w:val="24"/>
        </w:rPr>
      </w:pPr>
      <w:r>
        <w:rPr>
          <w:rFonts w:ascii="宋体" w:hAnsi="宋体"/>
          <w:sz w:val="24"/>
        </w:rPr>
        <w:t>对于医学影像检查报告和实验室检验报告按照本文档所界定的专门章节传报即可，不必独立出来按体检的报告提交。在相关的报告中，必须将体检对象的卡号和卡类型填写准确，其中“就诊流水号”如无困难则可按“体检编号”填写即可。</w:t>
      </w:r>
    </w:p>
    <w:p>
      <w:pPr>
        <w:snapToGrid w:val="0"/>
        <w:spacing w:line="440" w:lineRule="exact"/>
        <w:ind w:firstLine="480" w:firstLineChars="200"/>
        <w:jc w:val="left"/>
        <w:rPr>
          <w:rFonts w:ascii="宋体" w:hAnsi="宋体"/>
          <w:sz w:val="24"/>
        </w:rPr>
      </w:pPr>
      <w:r>
        <w:rPr>
          <w:rFonts w:ascii="宋体" w:hAnsi="宋体"/>
          <w:sz w:val="24"/>
        </w:rPr>
        <w:t>本接口针对此类体检的情况采集相关的数据。由于在基层医疗机构对于体检并没有像门急诊、住院那样比较规范性的操作流程，各区县和各基层机构体检信息系统的规范性也相当差。为此，各区县可以根据各自的需求，参考性地选择是否以及如何采集这一部分的数据。</w:t>
      </w:r>
    </w:p>
    <w:p>
      <w:pPr>
        <w:snapToGrid w:val="0"/>
        <w:spacing w:line="440" w:lineRule="exact"/>
        <w:ind w:firstLine="480" w:firstLineChars="200"/>
        <w:jc w:val="left"/>
        <w:rPr>
          <w:rFonts w:ascii="宋体" w:hAnsi="宋体"/>
          <w:sz w:val="24"/>
        </w:rPr>
      </w:pPr>
      <w:r>
        <w:rPr>
          <w:rFonts w:ascii="宋体" w:hAnsi="宋体"/>
          <w:sz w:val="24"/>
        </w:rPr>
        <w:t>作为报告的概念，与其他类型的报告类似，必须与某患者（作为体检不一定是患者）唯一关联。可以不予任何“就诊”相互关联。</w:t>
      </w:r>
    </w:p>
    <w:p>
      <w:pPr>
        <w:snapToGrid w:val="0"/>
        <w:spacing w:line="440" w:lineRule="exact"/>
        <w:ind w:firstLine="480" w:firstLineChars="200"/>
        <w:jc w:val="left"/>
        <w:rPr>
          <w:rFonts w:ascii="宋体" w:hAnsi="宋体"/>
          <w:sz w:val="24"/>
        </w:rPr>
      </w:pPr>
      <w:r>
        <w:rPr>
          <w:rFonts w:ascii="宋体" w:hAnsi="宋体"/>
          <w:sz w:val="24"/>
        </w:rPr>
        <w:t>“体检报告首页”与“体检分科（分组）报告”之间是 1：0..N 的关系；“体检分科（分组）报告”与“体检明细表”之间是 1：0..N 的关系。</w:t>
      </w:r>
    </w:p>
    <w:p>
      <w:pPr>
        <w:snapToGrid w:val="0"/>
        <w:spacing w:line="440" w:lineRule="exact"/>
        <w:jc w:val="left"/>
        <w:rPr>
          <w:rFonts w:ascii="宋体" w:hAnsi="宋体"/>
          <w:sz w:val="24"/>
        </w:rPr>
      </w:pPr>
      <w:r>
        <w:rPr>
          <w:rFonts w:hint="eastAsia" w:ascii="宋体" w:hAnsi="宋体"/>
          <w:sz w:val="24"/>
        </w:rPr>
        <w:t>2.1.10.1</w:t>
      </w:r>
      <w:r>
        <w:rPr>
          <w:rFonts w:ascii="宋体" w:hAnsi="宋体"/>
          <w:sz w:val="24"/>
        </w:rPr>
        <w:t>体检报告首页(TB_YL_TJBGSY)</w:t>
      </w:r>
    </w:p>
    <w:tbl>
      <w:tblPr>
        <w:tblStyle w:val="4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851"/>
        <w:gridCol w:w="850"/>
        <w:gridCol w:w="709"/>
        <w:gridCol w:w="851"/>
        <w:gridCol w:w="3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数据项</w:t>
            </w:r>
          </w:p>
        </w:tc>
        <w:tc>
          <w:tcPr>
            <w:tcW w:w="85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字段名</w:t>
            </w:r>
          </w:p>
        </w:tc>
        <w:tc>
          <w:tcPr>
            <w:tcW w:w="850"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数据类型</w:t>
            </w:r>
          </w:p>
        </w:tc>
        <w:tc>
          <w:tcPr>
            <w:tcW w:w="709"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宽度</w:t>
            </w:r>
          </w:p>
        </w:tc>
        <w:tc>
          <w:tcPr>
            <w:tcW w:w="85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填报要求</w:t>
            </w:r>
          </w:p>
        </w:tc>
        <w:tc>
          <w:tcPr>
            <w:tcW w:w="3648"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体检编号</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TJBH</w:t>
            </w:r>
          </w:p>
        </w:tc>
        <w:tc>
          <w:tcPr>
            <w:tcW w:w="8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8"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主键。对某人一次完整体检过程的唯一标识编号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8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8"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编码，填写本院的机构代码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体检类别代码</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TJLBDM</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编码，目前固定填写为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卡号</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KH</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vMerge w:val="restart"/>
            <w:noWrap w:val="0"/>
            <w:vAlign w:val="top"/>
          </w:tcPr>
          <w:p>
            <w:pPr>
              <w:snapToGrid w:val="0"/>
              <w:spacing w:line="440" w:lineRule="exact"/>
              <w:jc w:val="left"/>
              <w:rPr>
                <w:rFonts w:ascii="宋体" w:hAnsi="宋体"/>
                <w:sz w:val="18"/>
                <w:szCs w:val="18"/>
              </w:rPr>
            </w:pPr>
            <w:r>
              <w:rPr>
                <w:rFonts w:hint="eastAsia" w:ascii="宋体" w:hAnsi="宋体"/>
                <w:sz w:val="18"/>
                <w:szCs w:val="18"/>
              </w:rPr>
              <w:t>与患者信息表关联的外</w:t>
            </w:r>
          </w:p>
          <w:p>
            <w:pPr>
              <w:snapToGrid w:val="0"/>
              <w:spacing w:line="440" w:lineRule="exact"/>
              <w:jc w:val="left"/>
              <w:rPr>
                <w:rFonts w:ascii="宋体" w:hAnsi="宋体"/>
                <w:sz w:val="18"/>
                <w:szCs w:val="18"/>
              </w:rPr>
            </w:pPr>
            <w:r>
              <w:rPr>
                <w:rFonts w:hint="eastAsia" w:ascii="宋体" w:hAnsi="宋体"/>
                <w:sz w:val="18"/>
                <w:szCs w:val="18"/>
              </w:rPr>
              <w:t>键，必须具备关联关系。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卡类型</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KLX</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vMerge w:val="continue"/>
            <w:tcBorders>
              <w:top w:val="nil"/>
            </w:tcBorders>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证件类型</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ZJLX</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证件号码</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ZJHM</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姓名</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XM</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81" w:hRule="atLeast"/>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性别</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XB</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编码。按国标 GB2261-80执行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年龄</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NL</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联系电话</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LXDH</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出生日期</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CSRQ</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DATE</w:t>
            </w:r>
          </w:p>
        </w:tc>
        <w:tc>
          <w:tcPr>
            <w:tcW w:w="709"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格式：YYYYMMDD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婚姻状况</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HYZK</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见说明（4）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职业名称</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ZYMC</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职业名称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职业类别代码</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ZYLBDM</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3</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编码.(GB/T6565-1999)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生活习惯-工作运动</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SHXG_GZYD</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生活习惯-睡眠</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SHXG_SM</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生活习惯-饮食情况</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SHXG_YSQK</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生活习惯-其它</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SHXG_J</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烟、酒、茶、咖啡等习惯描述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曾患何种疾病</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CHHZJB</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曾做过何种手术</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CZGHZSS</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描述手术名称和时间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外伤史</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WSS</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描述外伤时间、部位、性质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精神创伤史</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JSCS</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女士月经初潮</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NSYJSCC</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女士月经周期</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NSYJSZQ</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女士月经史-白带</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NSYJS_BD</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女士月经史-绝经</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NSYJS_JJ</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女士月经史-流产</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NSYJS_LC</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生产史</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SCS</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患者有过的生产史，足月及早产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家庭史</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JTS</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患者家庭史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过敏史</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GMS</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512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r>
              <w:rPr>
                <w:rFonts w:hint="eastAsia" w:ascii="宋体" w:hAnsi="宋体"/>
                <w:sz w:val="18"/>
                <w:szCs w:val="18"/>
              </w:rPr>
              <w:t>过敏史描述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总检结果</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ZJJG</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3072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总检的结果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建议</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JY</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1024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医生的建议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总检日期</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ZJRQ</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DATE</w:t>
            </w:r>
          </w:p>
        </w:tc>
        <w:tc>
          <w:tcPr>
            <w:tcW w:w="709"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总检的日期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总检医生工号</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ZJYSGH</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总检医生工号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总检医生姓名</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ZJYS</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8" w:type="dxa"/>
            <w:noWrap w:val="0"/>
            <w:vAlign w:val="top"/>
          </w:tcPr>
          <w:p>
            <w:pPr>
              <w:snapToGrid w:val="0"/>
              <w:spacing w:line="440" w:lineRule="exact"/>
              <w:jc w:val="left"/>
              <w:rPr>
                <w:rFonts w:ascii="宋体" w:hAnsi="宋体"/>
                <w:sz w:val="18"/>
                <w:szCs w:val="18"/>
              </w:rPr>
            </w:pPr>
            <w:r>
              <w:rPr>
                <w:rFonts w:hint="eastAsia" w:ascii="宋体" w:hAnsi="宋体"/>
                <w:sz w:val="18"/>
                <w:szCs w:val="18"/>
              </w:rPr>
              <w:t>总检的医生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密级</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MJ</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8" w:type="dxa"/>
            <w:noWrap w:val="0"/>
            <w:vAlign w:val="top"/>
          </w:tcPr>
          <w:p>
            <w:pPr>
              <w:snapToGrid w:val="0"/>
              <w:spacing w:line="440" w:lineRule="exact"/>
              <w:jc w:val="left"/>
              <w:rPr>
                <w:rFonts w:ascii="宋体" w:hAnsi="宋体"/>
                <w:sz w:val="18"/>
                <w:szCs w:val="18"/>
              </w:rPr>
            </w:pPr>
            <w:r>
              <w:rPr>
                <w:rFonts w:hint="eastAsia" w:ascii="宋体" w:hAnsi="宋体"/>
                <w:sz w:val="18"/>
                <w:szCs w:val="18"/>
              </w:rPr>
              <w:t>密级暂填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修改标志</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XGBZ</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8"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编码。1：正常、2：修改、3：撤销。</w:t>
            </w:r>
          </w:p>
        </w:tc>
      </w:tr>
    </w:tbl>
    <w:p>
      <w:pPr>
        <w:snapToGrid w:val="0"/>
        <w:spacing w:line="440" w:lineRule="exact"/>
        <w:jc w:val="left"/>
        <w:rPr>
          <w:rFonts w:ascii="宋体" w:hAnsi="宋体"/>
          <w:sz w:val="24"/>
        </w:rPr>
      </w:pPr>
      <w:r>
        <w:rPr>
          <w:rFonts w:hint="eastAsia" w:ascii="宋体" w:hAnsi="宋体"/>
          <w:sz w:val="24"/>
        </w:rPr>
        <w:t>2.1.10.2</w:t>
      </w:r>
      <w:r>
        <w:rPr>
          <w:rFonts w:ascii="宋体" w:hAnsi="宋体"/>
          <w:sz w:val="24"/>
        </w:rPr>
        <w:t>体检分科（分组）报告(TB_YL_TJBG)</w:t>
      </w:r>
    </w:p>
    <w:tbl>
      <w:tblPr>
        <w:tblStyle w:val="4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851"/>
        <w:gridCol w:w="850"/>
        <w:gridCol w:w="709"/>
        <w:gridCol w:w="851"/>
        <w:gridCol w:w="3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数据项</w:t>
            </w:r>
          </w:p>
        </w:tc>
        <w:tc>
          <w:tcPr>
            <w:tcW w:w="85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字段名</w:t>
            </w:r>
          </w:p>
        </w:tc>
        <w:tc>
          <w:tcPr>
            <w:tcW w:w="850"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数据类型</w:t>
            </w:r>
          </w:p>
        </w:tc>
        <w:tc>
          <w:tcPr>
            <w:tcW w:w="709"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宽度</w:t>
            </w:r>
          </w:p>
        </w:tc>
        <w:tc>
          <w:tcPr>
            <w:tcW w:w="85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填报要求</w:t>
            </w:r>
          </w:p>
        </w:tc>
        <w:tc>
          <w:tcPr>
            <w:tcW w:w="3650"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分科报告流水号</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BGLSH</w:t>
            </w:r>
          </w:p>
        </w:tc>
        <w:tc>
          <w:tcPr>
            <w:tcW w:w="8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主键。唯一标识此项分科体检。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c>
          <w:tcPr>
            <w:tcW w:w="851"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8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shd w:val="clear" w:color="auto" w:fill="FAD3B4"/>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51"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50" w:type="dxa"/>
            <w:shd w:val="clear" w:color="auto" w:fill="FAD3B4"/>
            <w:noWrap w:val="0"/>
            <w:vAlign w:val="top"/>
          </w:tcPr>
          <w:p>
            <w:pPr>
              <w:snapToGrid w:val="0"/>
              <w:spacing w:line="440" w:lineRule="exact"/>
              <w:jc w:val="left"/>
              <w:rPr>
                <w:rFonts w:ascii="宋体" w:hAnsi="宋体"/>
                <w:sz w:val="18"/>
                <w:szCs w:val="18"/>
              </w:rPr>
            </w:pPr>
            <w:r>
              <w:rPr>
                <w:rFonts w:hint="eastAsia" w:ascii="宋体" w:hAnsi="宋体"/>
                <w:sz w:val="18"/>
                <w:szCs w:val="18"/>
              </w:rPr>
              <w:t>主键，编码，填写本院的机构代码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体检编号</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TJBH</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关联体检报告首页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科室编码</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KSBM</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编码。见科室字典表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科室名称</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KSMC</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50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科室中文名称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组合名称</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ZHMC</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50</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指相关科室开展体检业务项目的统称，如口腔科的组合名称为“口腔检查”，内科对应的组合名称为“内科检查”等。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组合代码</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ZHDM</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64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总检日期</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ZJRQ</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DATE</w:t>
            </w:r>
          </w:p>
        </w:tc>
        <w:tc>
          <w:tcPr>
            <w:tcW w:w="709"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总检的日期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体检小结</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TJXJ</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1024</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体检结论的描述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报告日期</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BGRQ</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DATE</w:t>
            </w:r>
          </w:p>
        </w:tc>
        <w:tc>
          <w:tcPr>
            <w:tcW w:w="709"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50"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报告医师工号</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BGYSGH</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16</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报告医师工号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报告医师姓名</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BGYSXM</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报告医师姓名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修改标志</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XGBZ</w:t>
            </w:r>
          </w:p>
        </w:tc>
        <w:tc>
          <w:tcPr>
            <w:tcW w:w="8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5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50"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编码。1：正常、2：修改、3：撤销。</w:t>
            </w:r>
          </w:p>
        </w:tc>
      </w:tr>
    </w:tbl>
    <w:p>
      <w:pPr>
        <w:snapToGrid w:val="0"/>
        <w:spacing w:line="440" w:lineRule="exact"/>
        <w:jc w:val="left"/>
        <w:rPr>
          <w:rFonts w:ascii="宋体" w:hAnsi="宋体"/>
          <w:sz w:val="24"/>
        </w:rPr>
      </w:pPr>
      <w:r>
        <w:rPr>
          <w:rFonts w:hint="eastAsia" w:ascii="宋体" w:hAnsi="宋体"/>
          <w:sz w:val="24"/>
        </w:rPr>
        <w:t>2.1.10.3</w:t>
      </w:r>
      <w:r>
        <w:rPr>
          <w:rFonts w:ascii="宋体" w:hAnsi="宋体"/>
          <w:sz w:val="24"/>
        </w:rPr>
        <w:t>体检明细表(TB_YL_TJMX)</w:t>
      </w:r>
    </w:p>
    <w:tbl>
      <w:tblPr>
        <w:tblStyle w:val="48"/>
        <w:tblW w:w="86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851"/>
        <w:gridCol w:w="1006"/>
        <w:gridCol w:w="581"/>
        <w:gridCol w:w="823"/>
        <w:gridCol w:w="3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数据项</w:t>
            </w:r>
          </w:p>
        </w:tc>
        <w:tc>
          <w:tcPr>
            <w:tcW w:w="85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字段名</w:t>
            </w:r>
          </w:p>
        </w:tc>
        <w:tc>
          <w:tcPr>
            <w:tcW w:w="1006"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数据类型</w:t>
            </w:r>
          </w:p>
        </w:tc>
        <w:tc>
          <w:tcPr>
            <w:tcW w:w="58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宽度</w:t>
            </w:r>
          </w:p>
        </w:tc>
        <w:tc>
          <w:tcPr>
            <w:tcW w:w="823"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填报要求</w:t>
            </w:r>
          </w:p>
        </w:tc>
        <w:tc>
          <w:tcPr>
            <w:tcW w:w="3641" w:type="dxa"/>
            <w:shd w:val="clear" w:color="auto" w:fill="D9D9D9"/>
            <w:noWrap w:val="0"/>
            <w:vAlign w:val="top"/>
          </w:tcPr>
          <w:p>
            <w:pPr>
              <w:snapToGrid w:val="0"/>
              <w:spacing w:line="440" w:lineRule="exact"/>
              <w:jc w:val="left"/>
              <w:rPr>
                <w:rFonts w:ascii="宋体" w:hAnsi="宋体"/>
                <w:sz w:val="18"/>
                <w:szCs w:val="18"/>
              </w:rPr>
            </w:pPr>
            <w:r>
              <w:rPr>
                <w:rFonts w:hint="eastAsia" w:ascii="宋体" w:hAnsi="宋体"/>
                <w:sz w:val="18"/>
                <w:szCs w:val="18"/>
              </w:rPr>
              <w:t>数据项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9BE8F"/>
            <w:noWrap w:val="0"/>
            <w:vAlign w:val="top"/>
          </w:tcPr>
          <w:p>
            <w:pPr>
              <w:snapToGrid w:val="0"/>
              <w:spacing w:line="440" w:lineRule="exact"/>
              <w:jc w:val="left"/>
              <w:rPr>
                <w:rFonts w:ascii="宋体" w:hAnsi="宋体"/>
                <w:sz w:val="18"/>
                <w:szCs w:val="18"/>
              </w:rPr>
            </w:pPr>
            <w:r>
              <w:rPr>
                <w:rFonts w:hint="eastAsia" w:ascii="宋体" w:hAnsi="宋体"/>
                <w:sz w:val="18"/>
                <w:szCs w:val="18"/>
              </w:rPr>
              <w:t>项目明细 ID</w:t>
            </w:r>
          </w:p>
        </w:tc>
        <w:tc>
          <w:tcPr>
            <w:tcW w:w="851"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XMMXID</w:t>
            </w:r>
          </w:p>
        </w:tc>
        <w:tc>
          <w:tcPr>
            <w:tcW w:w="1006"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VARCHAR</w:t>
            </w:r>
          </w:p>
        </w:tc>
        <w:tc>
          <w:tcPr>
            <w:tcW w:w="581"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23" w:type="dxa"/>
            <w:shd w:val="clear" w:color="auto" w:fill="F9BE8F"/>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1" w:type="dxa"/>
            <w:shd w:val="clear" w:color="auto" w:fill="F9BE8F"/>
            <w:noWrap w:val="0"/>
            <w:vAlign w:val="top"/>
          </w:tcPr>
          <w:p>
            <w:pPr>
              <w:snapToGrid w:val="0"/>
              <w:spacing w:line="440" w:lineRule="exact"/>
              <w:jc w:val="left"/>
              <w:rPr>
                <w:rFonts w:ascii="宋体" w:hAnsi="宋体"/>
                <w:sz w:val="18"/>
                <w:szCs w:val="18"/>
              </w:rPr>
            </w:pPr>
            <w:r>
              <w:rPr>
                <w:rFonts w:hint="eastAsia" w:ascii="宋体" w:hAnsi="宋体"/>
                <w:sz w:val="18"/>
                <w:szCs w:val="18"/>
              </w:rPr>
              <w:t>主键。唯一标示一条明细记录的序号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9BE8F"/>
            <w:noWrap w:val="0"/>
            <w:vAlign w:val="top"/>
          </w:tcPr>
          <w:p>
            <w:pPr>
              <w:snapToGrid w:val="0"/>
              <w:spacing w:line="440" w:lineRule="exact"/>
              <w:jc w:val="left"/>
              <w:rPr>
                <w:rFonts w:ascii="宋体" w:hAnsi="宋体"/>
                <w:sz w:val="18"/>
                <w:szCs w:val="18"/>
              </w:rPr>
            </w:pPr>
            <w:r>
              <w:rPr>
                <w:rFonts w:hint="eastAsia" w:ascii="宋体" w:hAnsi="宋体"/>
                <w:sz w:val="18"/>
                <w:szCs w:val="18"/>
              </w:rPr>
              <w:t>医疗机构代码</w:t>
            </w:r>
          </w:p>
        </w:tc>
        <w:tc>
          <w:tcPr>
            <w:tcW w:w="851"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YLJGDM</w:t>
            </w:r>
          </w:p>
        </w:tc>
        <w:tc>
          <w:tcPr>
            <w:tcW w:w="1006"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VARCHAR</w:t>
            </w:r>
          </w:p>
        </w:tc>
        <w:tc>
          <w:tcPr>
            <w:tcW w:w="581" w:type="dxa"/>
            <w:shd w:val="clear" w:color="auto" w:fill="F9BE8F"/>
            <w:noWrap w:val="0"/>
            <w:vAlign w:val="top"/>
          </w:tcPr>
          <w:p>
            <w:pPr>
              <w:snapToGrid w:val="0"/>
              <w:spacing w:line="440" w:lineRule="exact"/>
              <w:jc w:val="left"/>
              <w:rPr>
                <w:rFonts w:ascii="宋体" w:hAnsi="宋体"/>
                <w:sz w:val="18"/>
                <w:szCs w:val="18"/>
              </w:rPr>
            </w:pPr>
            <w:r>
              <w:rPr>
                <w:rFonts w:ascii="宋体" w:hAnsi="宋体"/>
                <w:sz w:val="18"/>
                <w:szCs w:val="18"/>
              </w:rPr>
              <w:t>22</w:t>
            </w:r>
          </w:p>
        </w:tc>
        <w:tc>
          <w:tcPr>
            <w:tcW w:w="823" w:type="dxa"/>
            <w:shd w:val="clear" w:color="auto" w:fill="F9BE8F"/>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1" w:type="dxa"/>
            <w:shd w:val="clear" w:color="auto" w:fill="F9BE8F"/>
            <w:noWrap w:val="0"/>
            <w:vAlign w:val="top"/>
          </w:tcPr>
          <w:p>
            <w:pPr>
              <w:snapToGrid w:val="0"/>
              <w:spacing w:line="440" w:lineRule="exact"/>
              <w:jc w:val="left"/>
              <w:rPr>
                <w:rFonts w:ascii="宋体" w:hAnsi="宋体"/>
                <w:sz w:val="18"/>
                <w:szCs w:val="18"/>
              </w:rPr>
            </w:pPr>
            <w:r>
              <w:rPr>
                <w:rFonts w:hint="eastAsia" w:ascii="宋体" w:hAnsi="宋体"/>
                <w:sz w:val="18"/>
                <w:szCs w:val="18"/>
              </w:rPr>
              <w:t>主键，编码，填写本院的机构</w:t>
            </w:r>
          </w:p>
          <w:p>
            <w:pPr>
              <w:snapToGrid w:val="0"/>
              <w:spacing w:line="440" w:lineRule="exact"/>
              <w:jc w:val="left"/>
              <w:rPr>
                <w:rFonts w:ascii="宋体" w:hAnsi="宋体"/>
                <w:sz w:val="18"/>
                <w:szCs w:val="18"/>
              </w:rPr>
            </w:pPr>
            <w:r>
              <w:rPr>
                <w:rFonts w:hint="eastAsia" w:ascii="宋体" w:hAnsi="宋体"/>
                <w:sz w:val="18"/>
                <w:szCs w:val="18"/>
              </w:rPr>
              <w:t>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分科报告流水号</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BGLSH</w:t>
            </w:r>
          </w:p>
        </w:tc>
        <w:tc>
          <w:tcPr>
            <w:tcW w:w="1006" w:type="dxa"/>
            <w:noWrap w:val="0"/>
            <w:vAlign w:val="top"/>
          </w:tcPr>
          <w:p>
            <w:pPr>
              <w:snapToGrid w:val="0"/>
              <w:spacing w:line="440" w:lineRule="exact"/>
              <w:jc w:val="left"/>
              <w:rPr>
                <w:rFonts w:ascii="宋体" w:hAnsi="宋体"/>
                <w:sz w:val="18"/>
                <w:szCs w:val="18"/>
              </w:rPr>
            </w:pPr>
            <w:r>
              <w:rPr>
                <w:rFonts w:ascii="宋体" w:hAnsi="宋体"/>
                <w:sz w:val="18"/>
                <w:szCs w:val="18"/>
              </w:rPr>
              <w:t>VARCHAR</w:t>
            </w:r>
          </w:p>
        </w:tc>
        <w:tc>
          <w:tcPr>
            <w:tcW w:w="581"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2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关联体检分科报告。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总检日期</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ZJRQ</w:t>
            </w:r>
          </w:p>
        </w:tc>
        <w:tc>
          <w:tcPr>
            <w:tcW w:w="1006" w:type="dxa"/>
            <w:noWrap w:val="0"/>
            <w:vAlign w:val="top"/>
          </w:tcPr>
          <w:p>
            <w:pPr>
              <w:snapToGrid w:val="0"/>
              <w:spacing w:line="440" w:lineRule="exact"/>
              <w:jc w:val="left"/>
              <w:rPr>
                <w:rFonts w:ascii="宋体" w:hAnsi="宋体"/>
                <w:sz w:val="18"/>
                <w:szCs w:val="18"/>
              </w:rPr>
            </w:pPr>
            <w:r>
              <w:rPr>
                <w:rFonts w:ascii="宋体" w:hAnsi="宋体"/>
                <w:sz w:val="18"/>
                <w:szCs w:val="18"/>
              </w:rPr>
              <w:t>DATE</w:t>
            </w:r>
          </w:p>
        </w:tc>
        <w:tc>
          <w:tcPr>
            <w:tcW w:w="581" w:type="dxa"/>
            <w:noWrap w:val="0"/>
            <w:vAlign w:val="top"/>
          </w:tcPr>
          <w:p>
            <w:pPr>
              <w:snapToGrid w:val="0"/>
              <w:spacing w:line="440" w:lineRule="exact"/>
              <w:jc w:val="left"/>
              <w:rPr>
                <w:rFonts w:ascii="宋体" w:hAnsi="宋体"/>
                <w:sz w:val="18"/>
                <w:szCs w:val="18"/>
              </w:rPr>
            </w:pPr>
          </w:p>
        </w:tc>
        <w:tc>
          <w:tcPr>
            <w:tcW w:w="82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总检的日期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项目代码</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XMDM</w:t>
            </w:r>
          </w:p>
        </w:tc>
        <w:tc>
          <w:tcPr>
            <w:tcW w:w="1006" w:type="dxa"/>
            <w:noWrap w:val="0"/>
            <w:vAlign w:val="top"/>
          </w:tcPr>
          <w:p>
            <w:pPr>
              <w:snapToGrid w:val="0"/>
              <w:spacing w:line="440" w:lineRule="exact"/>
              <w:jc w:val="left"/>
              <w:rPr>
                <w:rFonts w:ascii="宋体" w:hAnsi="宋体"/>
                <w:sz w:val="18"/>
                <w:szCs w:val="18"/>
              </w:rPr>
            </w:pPr>
            <w:r>
              <w:rPr>
                <w:rFonts w:ascii="宋体" w:hAnsi="宋体"/>
                <w:sz w:val="18"/>
                <w:szCs w:val="18"/>
              </w:rPr>
              <w:t>VARCHAR</w:t>
            </w:r>
          </w:p>
        </w:tc>
        <w:tc>
          <w:tcPr>
            <w:tcW w:w="581" w:type="dxa"/>
            <w:noWrap w:val="0"/>
            <w:vAlign w:val="top"/>
          </w:tcPr>
          <w:p>
            <w:pPr>
              <w:snapToGrid w:val="0"/>
              <w:spacing w:line="440" w:lineRule="exact"/>
              <w:jc w:val="left"/>
              <w:rPr>
                <w:rFonts w:ascii="宋体" w:hAnsi="宋体"/>
                <w:sz w:val="18"/>
                <w:szCs w:val="18"/>
              </w:rPr>
            </w:pPr>
            <w:r>
              <w:rPr>
                <w:rFonts w:ascii="宋体" w:hAnsi="宋体"/>
                <w:sz w:val="18"/>
                <w:szCs w:val="18"/>
              </w:rPr>
              <w:t>20</w:t>
            </w:r>
          </w:p>
        </w:tc>
        <w:tc>
          <w:tcPr>
            <w:tcW w:w="82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1" w:type="dxa"/>
            <w:noWrap w:val="0"/>
            <w:vAlign w:val="top"/>
          </w:tcPr>
          <w:p>
            <w:pPr>
              <w:snapToGrid w:val="0"/>
              <w:spacing w:line="440" w:lineRule="exact"/>
              <w:jc w:val="left"/>
              <w:rPr>
                <w:rFonts w:ascii="宋体" w:hAnsi="宋体"/>
                <w:sz w:val="18"/>
                <w:szCs w:val="18"/>
              </w:rPr>
            </w:pPr>
            <w:r>
              <w:rPr>
                <w:rFonts w:hint="eastAsia" w:ascii="宋体" w:hAnsi="宋体"/>
                <w:sz w:val="18"/>
                <w:szCs w:val="18"/>
              </w:rPr>
              <w:t>填写说明(1)表中的卫标代码即可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项目名称</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XMMC</w:t>
            </w:r>
          </w:p>
        </w:tc>
        <w:tc>
          <w:tcPr>
            <w:tcW w:w="1006" w:type="dxa"/>
            <w:noWrap w:val="0"/>
            <w:vAlign w:val="top"/>
          </w:tcPr>
          <w:p>
            <w:pPr>
              <w:snapToGrid w:val="0"/>
              <w:spacing w:line="440" w:lineRule="exact"/>
              <w:jc w:val="left"/>
              <w:rPr>
                <w:rFonts w:ascii="宋体" w:hAnsi="宋体"/>
                <w:sz w:val="18"/>
                <w:szCs w:val="18"/>
              </w:rPr>
            </w:pPr>
            <w:r>
              <w:rPr>
                <w:rFonts w:ascii="宋体" w:hAnsi="宋体"/>
                <w:sz w:val="18"/>
                <w:szCs w:val="18"/>
              </w:rPr>
              <w:t>VARCHAR</w:t>
            </w:r>
          </w:p>
        </w:tc>
        <w:tc>
          <w:tcPr>
            <w:tcW w:w="581" w:type="dxa"/>
            <w:noWrap w:val="0"/>
            <w:vAlign w:val="top"/>
          </w:tcPr>
          <w:p>
            <w:pPr>
              <w:snapToGrid w:val="0"/>
              <w:spacing w:line="440" w:lineRule="exact"/>
              <w:jc w:val="left"/>
              <w:rPr>
                <w:rFonts w:ascii="宋体" w:hAnsi="宋体"/>
                <w:sz w:val="18"/>
                <w:szCs w:val="18"/>
              </w:rPr>
            </w:pPr>
            <w:r>
              <w:rPr>
                <w:rFonts w:ascii="宋体" w:hAnsi="宋体"/>
                <w:sz w:val="18"/>
                <w:szCs w:val="18"/>
              </w:rPr>
              <w:t>40</w:t>
            </w:r>
          </w:p>
        </w:tc>
        <w:tc>
          <w:tcPr>
            <w:tcW w:w="82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检查项目的名称，如“心率”。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项目计量单位</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JLDW</w:t>
            </w:r>
          </w:p>
        </w:tc>
        <w:tc>
          <w:tcPr>
            <w:tcW w:w="1006" w:type="dxa"/>
            <w:noWrap w:val="0"/>
            <w:vAlign w:val="top"/>
          </w:tcPr>
          <w:p>
            <w:pPr>
              <w:snapToGrid w:val="0"/>
              <w:spacing w:line="440" w:lineRule="exact"/>
              <w:jc w:val="left"/>
              <w:rPr>
                <w:rFonts w:ascii="宋体" w:hAnsi="宋体"/>
                <w:sz w:val="18"/>
                <w:szCs w:val="18"/>
              </w:rPr>
            </w:pPr>
            <w:r>
              <w:rPr>
                <w:rFonts w:ascii="宋体" w:hAnsi="宋体"/>
                <w:sz w:val="18"/>
                <w:szCs w:val="18"/>
              </w:rPr>
              <w:t>VARCHAR</w:t>
            </w:r>
          </w:p>
        </w:tc>
        <w:tc>
          <w:tcPr>
            <w:tcW w:w="581"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2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1"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体检结果参考值</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CKZ</w:t>
            </w:r>
          </w:p>
        </w:tc>
        <w:tc>
          <w:tcPr>
            <w:tcW w:w="1006" w:type="dxa"/>
            <w:noWrap w:val="0"/>
            <w:vAlign w:val="top"/>
          </w:tcPr>
          <w:p>
            <w:pPr>
              <w:snapToGrid w:val="0"/>
              <w:spacing w:line="440" w:lineRule="exact"/>
              <w:jc w:val="left"/>
              <w:rPr>
                <w:rFonts w:ascii="宋体" w:hAnsi="宋体"/>
                <w:sz w:val="18"/>
                <w:szCs w:val="18"/>
              </w:rPr>
            </w:pPr>
            <w:r>
              <w:rPr>
                <w:rFonts w:ascii="宋体" w:hAnsi="宋体"/>
                <w:sz w:val="18"/>
                <w:szCs w:val="18"/>
              </w:rPr>
              <w:t>VARCHAR</w:t>
            </w:r>
          </w:p>
        </w:tc>
        <w:tc>
          <w:tcPr>
            <w:tcW w:w="581" w:type="dxa"/>
            <w:noWrap w:val="0"/>
            <w:vAlign w:val="top"/>
          </w:tcPr>
          <w:p>
            <w:pPr>
              <w:snapToGrid w:val="0"/>
              <w:spacing w:line="440" w:lineRule="exact"/>
              <w:jc w:val="left"/>
              <w:rPr>
                <w:rFonts w:ascii="宋体" w:hAnsi="宋体"/>
                <w:sz w:val="18"/>
                <w:szCs w:val="18"/>
              </w:rPr>
            </w:pPr>
            <w:r>
              <w:rPr>
                <w:rFonts w:ascii="宋体" w:hAnsi="宋体"/>
                <w:sz w:val="18"/>
                <w:szCs w:val="18"/>
              </w:rPr>
              <w:t>50</w:t>
            </w:r>
          </w:p>
        </w:tc>
        <w:tc>
          <w:tcPr>
            <w:tcW w:w="82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1"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体检医师姓名</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TJYSXM</w:t>
            </w:r>
          </w:p>
        </w:tc>
        <w:tc>
          <w:tcPr>
            <w:tcW w:w="1006" w:type="dxa"/>
            <w:noWrap w:val="0"/>
            <w:vAlign w:val="top"/>
          </w:tcPr>
          <w:p>
            <w:pPr>
              <w:snapToGrid w:val="0"/>
              <w:spacing w:line="440" w:lineRule="exact"/>
              <w:jc w:val="left"/>
              <w:rPr>
                <w:rFonts w:ascii="宋体" w:hAnsi="宋体"/>
                <w:sz w:val="18"/>
                <w:szCs w:val="18"/>
              </w:rPr>
            </w:pPr>
            <w:r>
              <w:rPr>
                <w:rFonts w:hint="eastAsia" w:ascii="宋体" w:hAnsi="宋体"/>
                <w:sz w:val="18"/>
                <w:szCs w:val="18"/>
              </w:rPr>
              <w:t>字符串</w:t>
            </w:r>
          </w:p>
        </w:tc>
        <w:tc>
          <w:tcPr>
            <w:tcW w:w="581" w:type="dxa"/>
            <w:noWrap w:val="0"/>
            <w:vAlign w:val="top"/>
          </w:tcPr>
          <w:p>
            <w:pPr>
              <w:snapToGrid w:val="0"/>
              <w:spacing w:line="440" w:lineRule="exact"/>
              <w:jc w:val="left"/>
              <w:rPr>
                <w:rFonts w:ascii="宋体" w:hAnsi="宋体"/>
                <w:sz w:val="18"/>
                <w:szCs w:val="18"/>
              </w:rPr>
            </w:pPr>
            <w:r>
              <w:rPr>
                <w:rFonts w:ascii="宋体" w:hAnsi="宋体"/>
                <w:sz w:val="18"/>
                <w:szCs w:val="18"/>
              </w:rPr>
              <w:t>32</w:t>
            </w:r>
          </w:p>
        </w:tc>
        <w:tc>
          <w:tcPr>
            <w:tcW w:w="82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1"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项目检查结果</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XMJCJG</w:t>
            </w:r>
          </w:p>
        </w:tc>
        <w:tc>
          <w:tcPr>
            <w:tcW w:w="1006" w:type="dxa"/>
            <w:noWrap w:val="0"/>
            <w:vAlign w:val="top"/>
          </w:tcPr>
          <w:p>
            <w:pPr>
              <w:snapToGrid w:val="0"/>
              <w:spacing w:line="440" w:lineRule="exact"/>
              <w:jc w:val="left"/>
              <w:rPr>
                <w:rFonts w:ascii="宋体" w:hAnsi="宋体"/>
                <w:sz w:val="18"/>
                <w:szCs w:val="18"/>
              </w:rPr>
            </w:pPr>
            <w:r>
              <w:rPr>
                <w:rFonts w:ascii="宋体" w:hAnsi="宋体"/>
                <w:sz w:val="18"/>
                <w:szCs w:val="18"/>
              </w:rPr>
              <w:t>VARCHAR</w:t>
            </w:r>
          </w:p>
        </w:tc>
        <w:tc>
          <w:tcPr>
            <w:tcW w:w="581" w:type="dxa"/>
            <w:noWrap w:val="0"/>
            <w:vAlign w:val="top"/>
          </w:tcPr>
          <w:p>
            <w:pPr>
              <w:snapToGrid w:val="0"/>
              <w:spacing w:line="440" w:lineRule="exact"/>
              <w:jc w:val="left"/>
              <w:rPr>
                <w:rFonts w:ascii="宋体" w:hAnsi="宋体"/>
                <w:sz w:val="18"/>
                <w:szCs w:val="18"/>
              </w:rPr>
            </w:pPr>
            <w:r>
              <w:rPr>
                <w:rFonts w:ascii="宋体" w:hAnsi="宋体"/>
                <w:sz w:val="18"/>
                <w:szCs w:val="18"/>
              </w:rPr>
              <w:t>100</w:t>
            </w:r>
          </w:p>
        </w:tc>
        <w:tc>
          <w:tcPr>
            <w:tcW w:w="82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检查项目的结果，如心率的检查结果为：80/分钟；见说明（2）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检查异常标志</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JCYCBZ</w:t>
            </w:r>
          </w:p>
        </w:tc>
        <w:tc>
          <w:tcPr>
            <w:tcW w:w="1006" w:type="dxa"/>
            <w:noWrap w:val="0"/>
            <w:vAlign w:val="top"/>
          </w:tcPr>
          <w:p>
            <w:pPr>
              <w:snapToGrid w:val="0"/>
              <w:spacing w:line="440" w:lineRule="exact"/>
              <w:jc w:val="left"/>
              <w:rPr>
                <w:rFonts w:ascii="宋体" w:hAnsi="宋体"/>
                <w:sz w:val="18"/>
                <w:szCs w:val="18"/>
              </w:rPr>
            </w:pPr>
            <w:r>
              <w:rPr>
                <w:rFonts w:ascii="宋体" w:hAnsi="宋体"/>
                <w:sz w:val="18"/>
                <w:szCs w:val="18"/>
              </w:rPr>
              <w:t>CHAR</w:t>
            </w:r>
          </w:p>
        </w:tc>
        <w:tc>
          <w:tcPr>
            <w:tcW w:w="581"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2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1" w:type="dxa"/>
            <w:noWrap w:val="0"/>
            <w:vAlign w:val="top"/>
          </w:tcPr>
          <w:p>
            <w:pPr>
              <w:snapToGrid w:val="0"/>
              <w:spacing w:line="440" w:lineRule="exact"/>
              <w:jc w:val="left"/>
              <w:rPr>
                <w:rFonts w:ascii="宋体" w:hAnsi="宋体"/>
                <w:sz w:val="18"/>
                <w:szCs w:val="18"/>
              </w:rPr>
            </w:pPr>
            <w:r>
              <w:rPr>
                <w:rFonts w:hint="eastAsia" w:ascii="宋体" w:hAnsi="宋体"/>
                <w:sz w:val="18"/>
                <w:szCs w:val="18"/>
              </w:rPr>
              <w:t>0：正常；1：异常；9：其他情况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修改标志</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XGBZ</w:t>
            </w:r>
          </w:p>
        </w:tc>
        <w:tc>
          <w:tcPr>
            <w:tcW w:w="1006" w:type="dxa"/>
            <w:noWrap w:val="0"/>
            <w:vAlign w:val="top"/>
          </w:tcPr>
          <w:p>
            <w:pPr>
              <w:snapToGrid w:val="0"/>
              <w:spacing w:line="440" w:lineRule="exact"/>
              <w:jc w:val="left"/>
              <w:rPr>
                <w:rFonts w:ascii="宋体" w:hAnsi="宋体"/>
                <w:sz w:val="18"/>
                <w:szCs w:val="18"/>
              </w:rPr>
            </w:pPr>
            <w:r>
              <w:rPr>
                <w:rFonts w:ascii="宋体" w:hAnsi="宋体"/>
                <w:sz w:val="18"/>
                <w:szCs w:val="18"/>
              </w:rPr>
              <w:t>CHAR</w:t>
            </w:r>
          </w:p>
        </w:tc>
        <w:tc>
          <w:tcPr>
            <w:tcW w:w="581" w:type="dxa"/>
            <w:noWrap w:val="0"/>
            <w:vAlign w:val="top"/>
          </w:tcPr>
          <w:p>
            <w:pPr>
              <w:snapToGrid w:val="0"/>
              <w:spacing w:line="440" w:lineRule="exact"/>
              <w:jc w:val="left"/>
              <w:rPr>
                <w:rFonts w:ascii="宋体" w:hAnsi="宋体"/>
                <w:sz w:val="18"/>
                <w:szCs w:val="18"/>
              </w:rPr>
            </w:pPr>
            <w:r>
              <w:rPr>
                <w:rFonts w:ascii="宋体" w:hAnsi="宋体"/>
                <w:sz w:val="18"/>
                <w:szCs w:val="18"/>
              </w:rPr>
              <w:t>1</w:t>
            </w:r>
          </w:p>
        </w:tc>
        <w:tc>
          <w:tcPr>
            <w:tcW w:w="82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1" w:type="dxa"/>
            <w:noWrap w:val="0"/>
            <w:vAlign w:val="top"/>
          </w:tcPr>
          <w:p>
            <w:pPr>
              <w:snapToGrid w:val="0"/>
              <w:spacing w:line="440" w:lineRule="exact"/>
              <w:jc w:val="left"/>
              <w:rPr>
                <w:rFonts w:ascii="宋体" w:hAnsi="宋体"/>
                <w:sz w:val="18"/>
                <w:szCs w:val="18"/>
              </w:rPr>
            </w:pPr>
            <w:r>
              <w:rPr>
                <w:rFonts w:hint="eastAsia" w:ascii="宋体" w:hAnsi="宋体"/>
                <w:sz w:val="18"/>
                <w:szCs w:val="18"/>
              </w:rPr>
              <w:t>编码。1：正常、2：修改、3：撤销。同《健康体检记录主表》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显示顺序</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XSSX</w:t>
            </w:r>
          </w:p>
        </w:tc>
        <w:tc>
          <w:tcPr>
            <w:tcW w:w="1006" w:type="dxa"/>
            <w:noWrap w:val="0"/>
            <w:vAlign w:val="top"/>
          </w:tcPr>
          <w:p>
            <w:pPr>
              <w:snapToGrid w:val="0"/>
              <w:spacing w:line="440" w:lineRule="exact"/>
              <w:jc w:val="left"/>
              <w:rPr>
                <w:rFonts w:ascii="宋体" w:hAnsi="宋体"/>
                <w:sz w:val="18"/>
                <w:szCs w:val="18"/>
              </w:rPr>
            </w:pPr>
            <w:r>
              <w:rPr>
                <w:rFonts w:ascii="宋体" w:hAnsi="宋体"/>
                <w:sz w:val="18"/>
                <w:szCs w:val="18"/>
              </w:rPr>
              <w:t>INT</w:t>
            </w:r>
          </w:p>
        </w:tc>
        <w:tc>
          <w:tcPr>
            <w:tcW w:w="581" w:type="dxa"/>
            <w:noWrap w:val="0"/>
            <w:vAlign w:val="top"/>
          </w:tcPr>
          <w:p>
            <w:pPr>
              <w:snapToGrid w:val="0"/>
              <w:spacing w:line="440" w:lineRule="exact"/>
              <w:jc w:val="left"/>
              <w:rPr>
                <w:rFonts w:ascii="宋体" w:hAnsi="宋体"/>
                <w:sz w:val="18"/>
                <w:szCs w:val="18"/>
              </w:rPr>
            </w:pPr>
          </w:p>
        </w:tc>
        <w:tc>
          <w:tcPr>
            <w:tcW w:w="82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应填</w:t>
            </w:r>
          </w:p>
        </w:tc>
        <w:tc>
          <w:tcPr>
            <w:tcW w:w="3641" w:type="dxa"/>
            <w:noWrap w:val="0"/>
            <w:vAlign w:val="top"/>
          </w:tcPr>
          <w:p>
            <w:pPr>
              <w:snapToGrid w:val="0"/>
              <w:spacing w:line="440" w:lineRule="exact"/>
              <w:jc w:val="left"/>
              <w:rPr>
                <w:rFonts w:ascii="宋体" w:hAnsi="宋体"/>
                <w:sz w:val="18"/>
                <w:szCs w:val="18"/>
              </w:rPr>
            </w:pPr>
            <w:r>
              <w:rPr>
                <w:rFonts w:hint="eastAsia" w:ascii="宋体" w:hAnsi="宋体"/>
                <w:sz w:val="18"/>
                <w:szCs w:val="18"/>
              </w:rPr>
              <w:t>数字顺序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预留一</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YLYL1</w:t>
            </w:r>
          </w:p>
        </w:tc>
        <w:tc>
          <w:tcPr>
            <w:tcW w:w="1006" w:type="dxa"/>
            <w:noWrap w:val="0"/>
            <w:vAlign w:val="top"/>
          </w:tcPr>
          <w:p>
            <w:pPr>
              <w:snapToGrid w:val="0"/>
              <w:spacing w:line="440" w:lineRule="exact"/>
              <w:jc w:val="left"/>
              <w:rPr>
                <w:rFonts w:ascii="宋体" w:hAnsi="宋体"/>
                <w:sz w:val="18"/>
                <w:szCs w:val="18"/>
              </w:rPr>
            </w:pPr>
            <w:r>
              <w:rPr>
                <w:rFonts w:ascii="宋体" w:hAnsi="宋体"/>
                <w:sz w:val="18"/>
                <w:szCs w:val="18"/>
              </w:rPr>
              <w:t>VARCHAR</w:t>
            </w:r>
          </w:p>
        </w:tc>
        <w:tc>
          <w:tcPr>
            <w:tcW w:w="581"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2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项目结果备注字段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hint="eastAsia" w:ascii="宋体" w:hAnsi="宋体"/>
                <w:sz w:val="18"/>
                <w:szCs w:val="18"/>
              </w:rPr>
              <w:t>预留二</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YLYL2</w:t>
            </w:r>
          </w:p>
        </w:tc>
        <w:tc>
          <w:tcPr>
            <w:tcW w:w="1006" w:type="dxa"/>
            <w:noWrap w:val="0"/>
            <w:vAlign w:val="top"/>
          </w:tcPr>
          <w:p>
            <w:pPr>
              <w:snapToGrid w:val="0"/>
              <w:spacing w:line="440" w:lineRule="exact"/>
              <w:jc w:val="left"/>
              <w:rPr>
                <w:rFonts w:ascii="宋体" w:hAnsi="宋体"/>
                <w:sz w:val="18"/>
                <w:szCs w:val="18"/>
              </w:rPr>
            </w:pPr>
            <w:r>
              <w:rPr>
                <w:rFonts w:ascii="宋体" w:hAnsi="宋体"/>
                <w:sz w:val="18"/>
                <w:szCs w:val="18"/>
              </w:rPr>
              <w:t>VARCHAR</w:t>
            </w:r>
          </w:p>
        </w:tc>
        <w:tc>
          <w:tcPr>
            <w:tcW w:w="581" w:type="dxa"/>
            <w:noWrap w:val="0"/>
            <w:vAlign w:val="top"/>
          </w:tcPr>
          <w:p>
            <w:pPr>
              <w:snapToGrid w:val="0"/>
              <w:spacing w:line="440" w:lineRule="exact"/>
              <w:jc w:val="left"/>
              <w:rPr>
                <w:rFonts w:ascii="宋体" w:hAnsi="宋体"/>
                <w:sz w:val="18"/>
                <w:szCs w:val="18"/>
              </w:rPr>
            </w:pPr>
            <w:r>
              <w:rPr>
                <w:rFonts w:ascii="宋体" w:hAnsi="宋体"/>
                <w:sz w:val="18"/>
                <w:szCs w:val="18"/>
              </w:rPr>
              <w:t>128</w:t>
            </w:r>
          </w:p>
        </w:tc>
        <w:tc>
          <w:tcPr>
            <w:tcW w:w="823" w:type="dxa"/>
            <w:noWrap w:val="0"/>
            <w:vAlign w:val="top"/>
          </w:tcPr>
          <w:p>
            <w:pPr>
              <w:snapToGrid w:val="0"/>
              <w:spacing w:line="440" w:lineRule="exact"/>
              <w:jc w:val="left"/>
              <w:rPr>
                <w:rFonts w:ascii="宋体" w:hAnsi="宋体"/>
                <w:sz w:val="18"/>
                <w:szCs w:val="18"/>
              </w:rPr>
            </w:pPr>
            <w:r>
              <w:rPr>
                <w:rFonts w:hint="eastAsia" w:ascii="宋体" w:hAnsi="宋体"/>
                <w:sz w:val="18"/>
                <w:szCs w:val="18"/>
              </w:rPr>
              <w:t>可选</w:t>
            </w:r>
          </w:p>
        </w:tc>
        <w:tc>
          <w:tcPr>
            <w:tcW w:w="3641" w:type="dxa"/>
            <w:noWrap w:val="0"/>
            <w:vAlign w:val="top"/>
          </w:tcPr>
          <w:p>
            <w:pPr>
              <w:snapToGrid w:val="0"/>
              <w:spacing w:line="440" w:lineRule="exact"/>
              <w:jc w:val="left"/>
              <w:rPr>
                <w:rFonts w:ascii="宋体" w:hAnsi="宋体"/>
                <w:sz w:val="18"/>
                <w:szCs w:val="18"/>
              </w:rPr>
            </w:pPr>
            <w:r>
              <w:rPr>
                <w:rFonts w:hint="eastAsia" w:ascii="宋体" w:hAnsi="宋体"/>
                <w:sz w:val="18"/>
                <w:szCs w:val="18"/>
              </w:rPr>
              <w:t>为系统处理该数据而预留</w:t>
            </w:r>
          </w:p>
        </w:tc>
      </w:tr>
    </w:tbl>
    <w:p>
      <w:pPr>
        <w:snapToGrid w:val="0"/>
        <w:spacing w:line="440" w:lineRule="exact"/>
        <w:jc w:val="left"/>
        <w:rPr>
          <w:rFonts w:ascii="宋体" w:hAnsi="宋体"/>
          <w:sz w:val="24"/>
        </w:rPr>
      </w:pPr>
      <w:r>
        <w:rPr>
          <w:rFonts w:hint="eastAsia" w:ascii="宋体" w:hAnsi="宋体"/>
          <w:sz w:val="24"/>
        </w:rPr>
        <w:t>2.1.11</w:t>
      </w:r>
      <w:r>
        <w:rPr>
          <w:rFonts w:ascii="宋体" w:hAnsi="宋体"/>
          <w:sz w:val="24"/>
        </w:rPr>
        <w:t>医院业务日报</w:t>
      </w:r>
    </w:p>
    <w:p>
      <w:pPr>
        <w:snapToGrid w:val="0"/>
        <w:spacing w:line="440" w:lineRule="exact"/>
        <w:jc w:val="left"/>
        <w:rPr>
          <w:rFonts w:ascii="宋体" w:hAnsi="宋体"/>
          <w:sz w:val="24"/>
        </w:rPr>
      </w:pPr>
      <w:r>
        <w:rPr>
          <w:rFonts w:hint="eastAsia" w:ascii="宋体" w:hAnsi="宋体"/>
          <w:sz w:val="24"/>
        </w:rPr>
        <w:t>2.1.11.1</w:t>
      </w:r>
      <w:r>
        <w:rPr>
          <w:rFonts w:ascii="宋体" w:hAnsi="宋体"/>
          <w:sz w:val="24"/>
        </w:rPr>
        <w:t>医院业务量日报(TB_ HIS_YYYWLRB)</w:t>
      </w:r>
    </w:p>
    <w:tbl>
      <w:tblPr>
        <w:tblStyle w:val="4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851"/>
        <w:gridCol w:w="992"/>
        <w:gridCol w:w="709"/>
        <w:gridCol w:w="850"/>
        <w:gridCol w:w="3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DFDFDF"/>
            <w:noWrap w:val="0"/>
            <w:vAlign w:val="top"/>
          </w:tcPr>
          <w:p>
            <w:pPr>
              <w:snapToGrid w:val="0"/>
              <w:spacing w:line="440" w:lineRule="exact"/>
              <w:jc w:val="left"/>
              <w:rPr>
                <w:rFonts w:ascii="宋体" w:hAnsi="宋体"/>
                <w:sz w:val="18"/>
                <w:szCs w:val="18"/>
              </w:rPr>
            </w:pPr>
            <w:r>
              <w:rPr>
                <w:rFonts w:ascii="宋体" w:hAnsi="宋体"/>
                <w:sz w:val="18"/>
                <w:szCs w:val="18"/>
              </w:rPr>
              <w:t>数据项</w:t>
            </w:r>
          </w:p>
        </w:tc>
        <w:tc>
          <w:tcPr>
            <w:tcW w:w="851" w:type="dxa"/>
            <w:shd w:val="clear" w:color="auto" w:fill="DFDFDF"/>
            <w:noWrap w:val="0"/>
            <w:vAlign w:val="top"/>
          </w:tcPr>
          <w:p>
            <w:pPr>
              <w:snapToGrid w:val="0"/>
              <w:spacing w:line="440" w:lineRule="exact"/>
              <w:jc w:val="left"/>
              <w:rPr>
                <w:rFonts w:ascii="宋体" w:hAnsi="宋体"/>
                <w:sz w:val="18"/>
                <w:szCs w:val="18"/>
              </w:rPr>
            </w:pPr>
            <w:r>
              <w:rPr>
                <w:rFonts w:ascii="宋体" w:hAnsi="宋体"/>
                <w:sz w:val="18"/>
                <w:szCs w:val="18"/>
              </w:rPr>
              <w:t>字段名</w:t>
            </w:r>
          </w:p>
        </w:tc>
        <w:tc>
          <w:tcPr>
            <w:tcW w:w="992" w:type="dxa"/>
            <w:shd w:val="clear" w:color="auto" w:fill="DFDFDF"/>
            <w:noWrap w:val="0"/>
            <w:vAlign w:val="top"/>
          </w:tcPr>
          <w:p>
            <w:pPr>
              <w:snapToGrid w:val="0"/>
              <w:spacing w:line="440" w:lineRule="exact"/>
              <w:jc w:val="left"/>
              <w:rPr>
                <w:rFonts w:ascii="宋体" w:hAnsi="宋体"/>
                <w:sz w:val="18"/>
                <w:szCs w:val="18"/>
              </w:rPr>
            </w:pPr>
            <w:r>
              <w:rPr>
                <w:rFonts w:ascii="宋体" w:hAnsi="宋体"/>
                <w:sz w:val="18"/>
                <w:szCs w:val="18"/>
              </w:rPr>
              <w:t>数据类型</w:t>
            </w:r>
          </w:p>
        </w:tc>
        <w:tc>
          <w:tcPr>
            <w:tcW w:w="709" w:type="dxa"/>
            <w:shd w:val="clear" w:color="auto" w:fill="DFDFDF"/>
            <w:noWrap w:val="0"/>
            <w:vAlign w:val="top"/>
          </w:tcPr>
          <w:p>
            <w:pPr>
              <w:snapToGrid w:val="0"/>
              <w:spacing w:line="440" w:lineRule="exact"/>
              <w:jc w:val="left"/>
              <w:rPr>
                <w:rFonts w:ascii="宋体" w:hAnsi="宋体"/>
                <w:sz w:val="18"/>
                <w:szCs w:val="18"/>
              </w:rPr>
            </w:pPr>
            <w:r>
              <w:rPr>
                <w:rFonts w:ascii="宋体" w:hAnsi="宋体"/>
                <w:sz w:val="18"/>
                <w:szCs w:val="18"/>
              </w:rPr>
              <w:t>长度</w:t>
            </w:r>
          </w:p>
        </w:tc>
        <w:tc>
          <w:tcPr>
            <w:tcW w:w="850" w:type="dxa"/>
            <w:shd w:val="clear" w:color="auto" w:fill="DFDFDF"/>
            <w:noWrap w:val="0"/>
            <w:vAlign w:val="top"/>
          </w:tcPr>
          <w:p>
            <w:pPr>
              <w:snapToGrid w:val="0"/>
              <w:spacing w:line="440" w:lineRule="exact"/>
              <w:jc w:val="left"/>
              <w:rPr>
                <w:rFonts w:ascii="宋体" w:hAnsi="宋体"/>
                <w:sz w:val="18"/>
                <w:szCs w:val="18"/>
              </w:rPr>
            </w:pPr>
            <w:r>
              <w:rPr>
                <w:rFonts w:ascii="宋体" w:hAnsi="宋体"/>
                <w:sz w:val="18"/>
                <w:szCs w:val="18"/>
              </w:rPr>
              <w:t>填报要求</w:t>
            </w:r>
          </w:p>
        </w:tc>
        <w:tc>
          <w:tcPr>
            <w:tcW w:w="3506" w:type="dxa"/>
            <w:shd w:val="clear" w:color="auto" w:fill="DFDFDF"/>
            <w:noWrap w:val="0"/>
            <w:vAlign w:val="top"/>
          </w:tcPr>
          <w:p>
            <w:pPr>
              <w:snapToGrid w:val="0"/>
              <w:spacing w:line="440" w:lineRule="exact"/>
              <w:jc w:val="left"/>
              <w:rPr>
                <w:rFonts w:ascii="宋体" w:hAnsi="宋体"/>
                <w:sz w:val="18"/>
                <w:szCs w:val="18"/>
              </w:rPr>
            </w:pPr>
            <w:r>
              <w:rPr>
                <w:rFonts w:ascii="宋体" w:hAnsi="宋体"/>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医疗机构代码 </w:t>
            </w:r>
          </w:p>
        </w:tc>
        <w:tc>
          <w:tcPr>
            <w:tcW w:w="851"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YLJGDM </w:t>
            </w:r>
          </w:p>
        </w:tc>
        <w:tc>
          <w:tcPr>
            <w:tcW w:w="992"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9"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22 </w:t>
            </w:r>
          </w:p>
        </w:tc>
        <w:tc>
          <w:tcPr>
            <w:tcW w:w="850"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506"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22 位医疗机构执业许可证登记号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院区ID </w:t>
            </w:r>
          </w:p>
        </w:tc>
        <w:tc>
          <w:tcPr>
            <w:tcW w:w="851"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YQID </w:t>
            </w:r>
          </w:p>
        </w:tc>
        <w:tc>
          <w:tcPr>
            <w:tcW w:w="992"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9"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506"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本院传00，分院按实际传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院区名称 </w:t>
            </w:r>
          </w:p>
        </w:tc>
        <w:tc>
          <w:tcPr>
            <w:tcW w:w="851"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JGYQMC </w:t>
            </w:r>
          </w:p>
        </w:tc>
        <w:tc>
          <w:tcPr>
            <w:tcW w:w="992"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9"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506" w:type="dxa"/>
            <w:shd w:val="clear" w:color="auto" w:fill="FFCC99"/>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科室编码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KSBM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506"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填写医院本地最小颗粒度科室编码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科室名称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KSMC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506"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医院本地最小颗粒度科室名称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重点科室标志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ZDKSBZ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506"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包括感染科，重症医学科，急诊科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业务时间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YWSJ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Date </w:t>
            </w:r>
          </w:p>
        </w:tc>
        <w:tc>
          <w:tcPr>
            <w:tcW w:w="709" w:type="dxa"/>
            <w:noWrap w:val="0"/>
            <w:vAlign w:val="top"/>
          </w:tcPr>
          <w:p>
            <w:pPr>
              <w:snapToGrid w:val="0"/>
              <w:spacing w:line="440" w:lineRule="exact"/>
              <w:jc w:val="left"/>
              <w:rPr>
                <w:rFonts w:ascii="宋体" w:hAnsi="宋体"/>
                <w:sz w:val="18"/>
                <w:szCs w:val="18"/>
              </w:rPr>
            </w:pP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506"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指业务发生的日期，格式为YYYY-MM-DD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挂号人次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GHRC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506"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门诊人次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MZRC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506"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急诊人次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JZRC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506"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入院人次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RYRC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506"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期内结算(出院)人</w:t>
            </w:r>
          </w:p>
          <w:p>
            <w:pPr>
              <w:snapToGrid w:val="0"/>
              <w:spacing w:line="440" w:lineRule="exact"/>
              <w:jc w:val="left"/>
              <w:rPr>
                <w:rFonts w:ascii="宋体" w:hAnsi="宋体"/>
                <w:sz w:val="18"/>
                <w:szCs w:val="18"/>
              </w:rPr>
            </w:pPr>
            <w:r>
              <w:rPr>
                <w:rFonts w:ascii="宋体" w:hAnsi="宋体"/>
                <w:sz w:val="18"/>
                <w:szCs w:val="18"/>
              </w:rPr>
              <w:t xml:space="preserve">次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CYRC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506"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在院人数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ZYRS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506"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实有床位数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SYCWS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506"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实际开放床位数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KFCS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506"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今日转入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JRZR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506"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今日转出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JRZC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506"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实际占用床位数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SJZYCWS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506"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实际占用特需床位</w:t>
            </w:r>
          </w:p>
          <w:p>
            <w:pPr>
              <w:snapToGrid w:val="0"/>
              <w:spacing w:line="440" w:lineRule="exact"/>
              <w:jc w:val="left"/>
              <w:rPr>
                <w:rFonts w:ascii="宋体" w:hAnsi="宋体"/>
                <w:sz w:val="18"/>
                <w:szCs w:val="18"/>
              </w:rPr>
            </w:pPr>
            <w:r>
              <w:rPr>
                <w:rFonts w:ascii="宋体" w:hAnsi="宋体"/>
                <w:sz w:val="18"/>
                <w:szCs w:val="18"/>
              </w:rPr>
              <w:t xml:space="preserve">数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SJZYTXCWS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506"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负压床位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FYCW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506"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修改标志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XGBZ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整数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506"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见患者信息表表说明4 </w:t>
            </w:r>
          </w:p>
        </w:tc>
      </w:tr>
    </w:tbl>
    <w:p>
      <w:pPr>
        <w:snapToGrid w:val="0"/>
        <w:spacing w:line="440" w:lineRule="exact"/>
        <w:jc w:val="left"/>
        <w:rPr>
          <w:rFonts w:ascii="宋体" w:hAnsi="宋体"/>
          <w:sz w:val="24"/>
        </w:rPr>
      </w:pPr>
      <w:r>
        <w:rPr>
          <w:rFonts w:hint="eastAsia" w:ascii="宋体" w:hAnsi="宋体"/>
          <w:sz w:val="24"/>
        </w:rPr>
        <w:t>2.1.11.2</w:t>
      </w:r>
      <w:r>
        <w:rPr>
          <w:rFonts w:ascii="宋体" w:hAnsi="宋体"/>
          <w:sz w:val="24"/>
        </w:rPr>
        <w:t>医院业务收入日报(TB_HIS_YYYWSRRB)</w:t>
      </w:r>
    </w:p>
    <w:tbl>
      <w:tblPr>
        <w:tblStyle w:val="4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851"/>
        <w:gridCol w:w="992"/>
        <w:gridCol w:w="709"/>
        <w:gridCol w:w="850"/>
        <w:gridCol w:w="3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DFDFDF"/>
            <w:noWrap w:val="0"/>
            <w:vAlign w:val="top"/>
          </w:tcPr>
          <w:p>
            <w:pPr>
              <w:snapToGrid w:val="0"/>
              <w:spacing w:line="440" w:lineRule="exact"/>
              <w:jc w:val="left"/>
              <w:rPr>
                <w:rFonts w:ascii="宋体" w:hAnsi="宋体"/>
                <w:sz w:val="18"/>
                <w:szCs w:val="18"/>
              </w:rPr>
            </w:pPr>
            <w:r>
              <w:rPr>
                <w:rFonts w:ascii="宋体" w:hAnsi="宋体"/>
                <w:sz w:val="18"/>
                <w:szCs w:val="18"/>
              </w:rPr>
              <w:t>数据项</w:t>
            </w:r>
          </w:p>
        </w:tc>
        <w:tc>
          <w:tcPr>
            <w:tcW w:w="851" w:type="dxa"/>
            <w:shd w:val="clear" w:color="auto" w:fill="DFDFDF"/>
            <w:noWrap w:val="0"/>
            <w:vAlign w:val="top"/>
          </w:tcPr>
          <w:p>
            <w:pPr>
              <w:snapToGrid w:val="0"/>
              <w:spacing w:line="440" w:lineRule="exact"/>
              <w:jc w:val="left"/>
              <w:rPr>
                <w:rFonts w:ascii="宋体" w:hAnsi="宋体"/>
                <w:sz w:val="18"/>
                <w:szCs w:val="18"/>
              </w:rPr>
            </w:pPr>
            <w:r>
              <w:rPr>
                <w:rFonts w:ascii="宋体" w:hAnsi="宋体"/>
                <w:sz w:val="18"/>
                <w:szCs w:val="18"/>
              </w:rPr>
              <w:t>字段名</w:t>
            </w:r>
          </w:p>
        </w:tc>
        <w:tc>
          <w:tcPr>
            <w:tcW w:w="992" w:type="dxa"/>
            <w:shd w:val="clear" w:color="auto" w:fill="DFDFDF"/>
            <w:noWrap w:val="0"/>
            <w:vAlign w:val="top"/>
          </w:tcPr>
          <w:p>
            <w:pPr>
              <w:snapToGrid w:val="0"/>
              <w:spacing w:line="440" w:lineRule="exact"/>
              <w:jc w:val="left"/>
              <w:rPr>
                <w:rFonts w:ascii="宋体" w:hAnsi="宋体"/>
                <w:sz w:val="18"/>
                <w:szCs w:val="18"/>
              </w:rPr>
            </w:pPr>
            <w:r>
              <w:rPr>
                <w:rFonts w:ascii="宋体" w:hAnsi="宋体"/>
                <w:sz w:val="18"/>
                <w:szCs w:val="18"/>
              </w:rPr>
              <w:t>数据类型</w:t>
            </w:r>
          </w:p>
        </w:tc>
        <w:tc>
          <w:tcPr>
            <w:tcW w:w="709" w:type="dxa"/>
            <w:shd w:val="clear" w:color="auto" w:fill="DFDFDF"/>
            <w:noWrap w:val="0"/>
            <w:vAlign w:val="top"/>
          </w:tcPr>
          <w:p>
            <w:pPr>
              <w:snapToGrid w:val="0"/>
              <w:spacing w:line="440" w:lineRule="exact"/>
              <w:jc w:val="left"/>
              <w:rPr>
                <w:rFonts w:ascii="宋体" w:hAnsi="宋体"/>
                <w:sz w:val="18"/>
                <w:szCs w:val="18"/>
              </w:rPr>
            </w:pPr>
            <w:r>
              <w:rPr>
                <w:rFonts w:ascii="宋体" w:hAnsi="宋体"/>
                <w:sz w:val="18"/>
                <w:szCs w:val="18"/>
              </w:rPr>
              <w:t>长度</w:t>
            </w:r>
          </w:p>
        </w:tc>
        <w:tc>
          <w:tcPr>
            <w:tcW w:w="850" w:type="dxa"/>
            <w:shd w:val="clear" w:color="auto" w:fill="DFDFDF"/>
            <w:noWrap w:val="0"/>
            <w:vAlign w:val="top"/>
          </w:tcPr>
          <w:p>
            <w:pPr>
              <w:snapToGrid w:val="0"/>
              <w:spacing w:line="440" w:lineRule="exact"/>
              <w:jc w:val="left"/>
              <w:rPr>
                <w:rFonts w:ascii="宋体" w:hAnsi="宋体"/>
                <w:sz w:val="18"/>
                <w:szCs w:val="18"/>
              </w:rPr>
            </w:pPr>
            <w:r>
              <w:rPr>
                <w:rFonts w:ascii="宋体" w:hAnsi="宋体"/>
                <w:sz w:val="18"/>
                <w:szCs w:val="18"/>
              </w:rPr>
              <w:t>填报要求</w:t>
            </w:r>
          </w:p>
        </w:tc>
        <w:tc>
          <w:tcPr>
            <w:tcW w:w="3405" w:type="dxa"/>
            <w:shd w:val="clear" w:color="auto" w:fill="DFDFDF"/>
            <w:noWrap w:val="0"/>
            <w:vAlign w:val="top"/>
          </w:tcPr>
          <w:p>
            <w:pPr>
              <w:snapToGrid w:val="0"/>
              <w:spacing w:line="440" w:lineRule="exact"/>
              <w:jc w:val="left"/>
              <w:rPr>
                <w:rFonts w:ascii="宋体" w:hAnsi="宋体"/>
                <w:sz w:val="18"/>
                <w:szCs w:val="18"/>
              </w:rPr>
            </w:pPr>
            <w:r>
              <w:rPr>
                <w:rFonts w:ascii="宋体" w:hAnsi="宋体"/>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医疗机构代码 </w:t>
            </w:r>
          </w:p>
        </w:tc>
        <w:tc>
          <w:tcPr>
            <w:tcW w:w="851"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YLJGDM </w:t>
            </w:r>
          </w:p>
        </w:tc>
        <w:tc>
          <w:tcPr>
            <w:tcW w:w="992"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9"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22 </w:t>
            </w:r>
          </w:p>
        </w:tc>
        <w:tc>
          <w:tcPr>
            <w:tcW w:w="850"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22位医疗机构执业许可证登记号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院区ID </w:t>
            </w:r>
          </w:p>
        </w:tc>
        <w:tc>
          <w:tcPr>
            <w:tcW w:w="851"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YQID </w:t>
            </w:r>
          </w:p>
        </w:tc>
        <w:tc>
          <w:tcPr>
            <w:tcW w:w="992"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9"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本院传00，分院按实际传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院区名称 </w:t>
            </w:r>
          </w:p>
        </w:tc>
        <w:tc>
          <w:tcPr>
            <w:tcW w:w="851"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JGYQMC </w:t>
            </w:r>
          </w:p>
        </w:tc>
        <w:tc>
          <w:tcPr>
            <w:tcW w:w="992"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9"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shd w:val="clear" w:color="auto" w:fill="FFCC99"/>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shd w:val="clear" w:color="auto" w:fill="FFCC99"/>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科室编码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KSBM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r>
              <w:rPr>
                <w:rFonts w:ascii="宋体" w:hAnsi="宋体"/>
                <w:sz w:val="18"/>
                <w:szCs w:val="18"/>
              </w:rPr>
              <w:t>填写医院内部科室编码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科室名称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KSMC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医院本地最小颗粒度科室名称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业务时间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YWSJ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Date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8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指业务发生的日期 ， 格 式 为YYYY-MM-DD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医疗收入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YLSR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医疗收入= 门诊收入+住院收入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门诊收入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门诊挂号收入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MZGHSR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门诊诊察收入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MZZCSR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门诊检查收入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MZJCSR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门诊化验收入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MZHYSR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门诊治疗收入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MZZLSR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门诊手术收入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MZSSSR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门诊卫生材料收入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MZWSCLSR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门诊药品收入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MZYPSR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门诊西药收入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MZXYSR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门诊疫苗收入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MZYMSR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门诊中草药收入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MZZCYAOSR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门诊中成药收入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MZZCYSR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门诊药事服务费收入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MZYSFWF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其他门诊收入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QTMZSR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门诊结算差额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MZJSCE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住院床位收入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ZYCWSR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住院诊察收入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ZYZCSR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住院检查收入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ZYJCSR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住院化验收入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ZYHYSR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住院治疗收入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ZYZLSR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住院手术收入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SYSSSR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住院护理收入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ZYHLSR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住院卫生材料收入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ZYWSCLSR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住院药品收入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ZYYPSR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住院西药收入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ZYXYSR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住院疫苗收入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ZYYMSR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住院中草药收入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ZYZCYAOSR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住院中成药收入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ZYZCYSR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住院药事服务费收入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ZYYSFWF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其他住院收入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ZYQTSR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住院结算差额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ZYJSCE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15,3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70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修改标志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XGBZ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整数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3405" w:type="dxa"/>
            <w:noWrap w:val="0"/>
            <w:vAlign w:val="top"/>
          </w:tcPr>
          <w:p>
            <w:pPr>
              <w:snapToGrid w:val="0"/>
              <w:spacing w:line="440" w:lineRule="exact"/>
              <w:jc w:val="left"/>
              <w:rPr>
                <w:rFonts w:ascii="宋体" w:hAnsi="宋体"/>
                <w:sz w:val="18"/>
                <w:szCs w:val="18"/>
              </w:rPr>
            </w:pPr>
            <w:r>
              <w:rPr>
                <w:rFonts w:ascii="宋体" w:hAnsi="宋体"/>
                <w:sz w:val="18"/>
                <w:szCs w:val="18"/>
              </w:rPr>
              <w:t>见患者信息表表</w:t>
            </w:r>
            <w:r>
              <w:rPr>
                <w:rFonts w:hint="eastAsia" w:ascii="宋体" w:hAnsi="宋体"/>
                <w:sz w:val="18"/>
                <w:szCs w:val="18"/>
              </w:rPr>
              <w:t>S</w:t>
            </w:r>
            <w:r>
              <w:rPr>
                <w:rFonts w:ascii="宋体" w:hAnsi="宋体"/>
                <w:sz w:val="18"/>
                <w:szCs w:val="18"/>
              </w:rPr>
              <w:t>SSSS说明4</w:t>
            </w:r>
          </w:p>
        </w:tc>
      </w:tr>
    </w:tbl>
    <w:p>
      <w:pPr>
        <w:snapToGrid w:val="0"/>
        <w:spacing w:line="440" w:lineRule="exact"/>
        <w:jc w:val="left"/>
        <w:rPr>
          <w:rFonts w:ascii="宋体" w:hAnsi="宋体"/>
          <w:sz w:val="24"/>
        </w:rPr>
      </w:pPr>
      <w:r>
        <w:rPr>
          <w:rFonts w:hint="eastAsia" w:ascii="宋体" w:hAnsi="宋体"/>
          <w:sz w:val="24"/>
        </w:rPr>
        <w:t>2.1.12</w:t>
      </w:r>
      <w:r>
        <w:rPr>
          <w:rFonts w:ascii="宋体" w:hAnsi="宋体"/>
          <w:sz w:val="24"/>
        </w:rPr>
        <w:t>对账数据集</w:t>
      </w:r>
    </w:p>
    <w:p>
      <w:pPr>
        <w:snapToGrid w:val="0"/>
        <w:spacing w:line="440" w:lineRule="exact"/>
        <w:jc w:val="left"/>
        <w:rPr>
          <w:rFonts w:ascii="宋体" w:hAnsi="宋体"/>
          <w:sz w:val="24"/>
        </w:rPr>
      </w:pPr>
      <w:r>
        <w:rPr>
          <w:rFonts w:hint="eastAsia" w:ascii="宋体" w:hAnsi="宋体"/>
          <w:sz w:val="24"/>
        </w:rPr>
        <w:t xml:space="preserve">备注：统计按业务日期统计，按上传日期统计。 </w:t>
      </w:r>
    </w:p>
    <w:p>
      <w:pPr>
        <w:snapToGrid w:val="0"/>
        <w:spacing w:line="440" w:lineRule="exact"/>
        <w:jc w:val="left"/>
        <w:rPr>
          <w:rFonts w:ascii="宋体" w:hAnsi="宋体"/>
          <w:sz w:val="24"/>
        </w:rPr>
      </w:pPr>
      <w:r>
        <w:rPr>
          <w:rFonts w:hint="eastAsia" w:ascii="宋体" w:hAnsi="宋体"/>
          <w:sz w:val="24"/>
        </w:rPr>
        <w:t xml:space="preserve">其中业务日期是医院上传数据的 EffectiveTime 时间； </w:t>
      </w:r>
    </w:p>
    <w:p>
      <w:pPr>
        <w:snapToGrid w:val="0"/>
        <w:spacing w:line="440" w:lineRule="exact"/>
        <w:jc w:val="left"/>
        <w:rPr>
          <w:rFonts w:ascii="宋体" w:hAnsi="宋体"/>
          <w:sz w:val="24"/>
        </w:rPr>
      </w:pPr>
      <w:r>
        <w:rPr>
          <w:rFonts w:hint="eastAsia" w:ascii="宋体" w:hAnsi="宋体"/>
          <w:sz w:val="24"/>
        </w:rPr>
        <w:t>上传日期是医院数据上传到前置机时前置机服务器的系统时间，与医院服务器系统时间可能存在时间上的差异，可能相差几分钟，所以医院上传数据尽可能的提早上传，在凌晨 0 点之前尽早传完，防止医院统计数据和前置机上传统计数量存在偏差。</w:t>
      </w:r>
    </w:p>
    <w:p>
      <w:pPr>
        <w:snapToGrid w:val="0"/>
        <w:spacing w:line="440" w:lineRule="exact"/>
        <w:jc w:val="left"/>
        <w:rPr>
          <w:rFonts w:ascii="宋体" w:hAnsi="宋体"/>
          <w:sz w:val="24"/>
        </w:rPr>
      </w:pPr>
      <w:r>
        <w:rPr>
          <w:rFonts w:hint="eastAsia" w:ascii="宋体" w:hAnsi="宋体"/>
          <w:sz w:val="24"/>
        </w:rPr>
        <w:t>2.1.12.1</w:t>
      </w:r>
      <w:r>
        <w:rPr>
          <w:rFonts w:ascii="宋体" w:hAnsi="宋体"/>
          <w:sz w:val="24"/>
        </w:rPr>
        <w:t>上传对账数据集（Pt_ReconciliationUpload）</w:t>
      </w:r>
    </w:p>
    <w:tbl>
      <w:tblPr>
        <w:tblStyle w:val="4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850"/>
        <w:gridCol w:w="1134"/>
        <w:gridCol w:w="567"/>
        <w:gridCol w:w="1418"/>
        <w:gridCol w:w="850"/>
        <w:gridCol w:w="2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数据项</w:t>
            </w:r>
          </w:p>
        </w:tc>
        <w:tc>
          <w:tcPr>
            <w:tcW w:w="850"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字段名</w:t>
            </w:r>
          </w:p>
        </w:tc>
        <w:tc>
          <w:tcPr>
            <w:tcW w:w="1134"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数据类型</w:t>
            </w:r>
          </w:p>
        </w:tc>
        <w:tc>
          <w:tcPr>
            <w:tcW w:w="567"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长度</w:t>
            </w:r>
          </w:p>
        </w:tc>
        <w:tc>
          <w:tcPr>
            <w:tcW w:w="1418"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段落</w:t>
            </w:r>
          </w:p>
        </w:tc>
        <w:tc>
          <w:tcPr>
            <w:tcW w:w="850"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填报要求</w:t>
            </w:r>
          </w:p>
        </w:tc>
        <w:tc>
          <w:tcPr>
            <w:tcW w:w="2478" w:type="dxa"/>
            <w:shd w:val="clear" w:color="auto" w:fill="D9D9D9"/>
            <w:noWrap w:val="0"/>
            <w:vAlign w:val="top"/>
          </w:tcPr>
          <w:p>
            <w:pPr>
              <w:snapToGrid w:val="0"/>
              <w:spacing w:line="440" w:lineRule="exact"/>
              <w:jc w:val="left"/>
              <w:rPr>
                <w:rFonts w:ascii="宋体" w:hAnsi="宋体"/>
                <w:sz w:val="18"/>
                <w:szCs w:val="18"/>
              </w:rPr>
            </w:pPr>
            <w:r>
              <w:rPr>
                <w:rFonts w:ascii="宋体" w:hAnsi="宋体"/>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医疗机构代码 </w:t>
            </w:r>
          </w:p>
        </w:tc>
        <w:tc>
          <w:tcPr>
            <w:tcW w:w="850"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YLJGDM </w:t>
            </w:r>
          </w:p>
        </w:tc>
        <w:tc>
          <w:tcPr>
            <w:tcW w:w="1134"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22 </w:t>
            </w:r>
          </w:p>
        </w:tc>
        <w:tc>
          <w:tcPr>
            <w:tcW w:w="1418"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上传对账明细 </w:t>
            </w:r>
          </w:p>
        </w:tc>
        <w:tc>
          <w:tcPr>
            <w:tcW w:w="850"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8"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22 位医疗 机 构执 业 许可 证 登记号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院区ID </w:t>
            </w:r>
          </w:p>
        </w:tc>
        <w:tc>
          <w:tcPr>
            <w:tcW w:w="850"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YQID </w:t>
            </w:r>
          </w:p>
        </w:tc>
        <w:tc>
          <w:tcPr>
            <w:tcW w:w="1134"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1418"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上传对账明细 </w:t>
            </w:r>
          </w:p>
        </w:tc>
        <w:tc>
          <w:tcPr>
            <w:tcW w:w="850"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8"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本 院 传00，分院按 实 际传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院区名称 </w:t>
            </w:r>
          </w:p>
        </w:tc>
        <w:tc>
          <w:tcPr>
            <w:tcW w:w="850"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JGYQMC </w:t>
            </w:r>
          </w:p>
        </w:tc>
        <w:tc>
          <w:tcPr>
            <w:tcW w:w="1134"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1418"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上传对账明细 </w:t>
            </w:r>
          </w:p>
        </w:tc>
        <w:tc>
          <w:tcPr>
            <w:tcW w:w="850"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8" w:type="dxa"/>
            <w:shd w:val="clear" w:color="auto" w:fill="FFFF00"/>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数据上传日期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YWSCRQ </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DATE </w:t>
            </w:r>
          </w:p>
        </w:tc>
        <w:tc>
          <w:tcPr>
            <w:tcW w:w="567" w:type="dxa"/>
            <w:noWrap w:val="0"/>
            <w:vAlign w:val="top"/>
          </w:tcPr>
          <w:p>
            <w:pPr>
              <w:snapToGrid w:val="0"/>
              <w:spacing w:line="440" w:lineRule="exact"/>
              <w:jc w:val="left"/>
              <w:rPr>
                <w:rFonts w:ascii="宋体" w:hAnsi="宋体"/>
                <w:sz w:val="18"/>
                <w:szCs w:val="18"/>
              </w:rPr>
            </w:pPr>
          </w:p>
        </w:tc>
        <w:tc>
          <w:tcPr>
            <w:tcW w:w="1418" w:type="dxa"/>
            <w:noWrap w:val="0"/>
            <w:vAlign w:val="top"/>
          </w:tcPr>
          <w:p>
            <w:pPr>
              <w:snapToGrid w:val="0"/>
              <w:spacing w:line="440" w:lineRule="exact"/>
              <w:jc w:val="left"/>
              <w:rPr>
                <w:rFonts w:ascii="宋体" w:hAnsi="宋体"/>
                <w:sz w:val="18"/>
                <w:szCs w:val="18"/>
              </w:rPr>
            </w:pP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格 式 ： YYYY-MM-DD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数据集代码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SJJDM </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上传对账明细</w:t>
            </w:r>
          </w:p>
          <w:p>
            <w:pPr>
              <w:snapToGrid w:val="0"/>
              <w:spacing w:line="440" w:lineRule="exact"/>
              <w:jc w:val="left"/>
              <w:rPr>
                <w:rFonts w:ascii="宋体" w:hAnsi="宋体"/>
                <w:sz w:val="18"/>
                <w:szCs w:val="18"/>
              </w:rPr>
            </w:pPr>
            <w:r>
              <w:rPr>
                <w:rFonts w:ascii="宋体" w:hAnsi="宋体"/>
                <w:sz w:val="18"/>
                <w:szCs w:val="18"/>
              </w:rPr>
              <w:t xml:space="preserve">（ Pt_Recon ciliationU ploadDetail）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值域 :CC10_01_01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业务数据集代码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YYSJJDM </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上传对账明细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数据集英文名字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数据集名称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SJJMC </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上传对账明细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478"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数据集上传数量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SJJSCSL </w:t>
            </w:r>
          </w:p>
        </w:tc>
        <w:tc>
          <w:tcPr>
            <w:tcW w:w="1134"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567"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 </w:t>
            </w:r>
          </w:p>
        </w:tc>
        <w:tc>
          <w:tcPr>
            <w:tcW w:w="141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上传对账明细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478"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按 天 上传 的 总量 </w:t>
            </w:r>
          </w:p>
        </w:tc>
      </w:tr>
    </w:tbl>
    <w:p>
      <w:pPr>
        <w:snapToGrid w:val="0"/>
        <w:spacing w:line="440" w:lineRule="exact"/>
        <w:jc w:val="left"/>
        <w:rPr>
          <w:rFonts w:ascii="宋体" w:hAnsi="宋体"/>
          <w:sz w:val="24"/>
        </w:rPr>
      </w:pPr>
      <w:r>
        <w:rPr>
          <w:rFonts w:hint="eastAsia" w:ascii="宋体" w:hAnsi="宋体"/>
          <w:sz w:val="24"/>
        </w:rPr>
        <w:t>2.1.12.2</w:t>
      </w:r>
      <w:r>
        <w:rPr>
          <w:rFonts w:ascii="宋体" w:hAnsi="宋体"/>
          <w:sz w:val="24"/>
        </w:rPr>
        <w:t>业务对账数据集（Pt_ReconciliationService）</w:t>
      </w:r>
    </w:p>
    <w:tbl>
      <w:tblPr>
        <w:tblStyle w:val="4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992"/>
        <w:gridCol w:w="1276"/>
        <w:gridCol w:w="709"/>
        <w:gridCol w:w="850"/>
        <w:gridCol w:w="851"/>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276" w:type="dxa"/>
            <w:shd w:val="clear" w:color="auto" w:fill="D9D9D9"/>
            <w:noWrap w:val="0"/>
            <w:vAlign w:val="center"/>
          </w:tcPr>
          <w:p>
            <w:pPr>
              <w:snapToGrid w:val="0"/>
              <w:spacing w:line="440" w:lineRule="exact"/>
              <w:jc w:val="left"/>
              <w:rPr>
                <w:rFonts w:ascii="宋体" w:hAnsi="宋体"/>
                <w:sz w:val="18"/>
                <w:szCs w:val="18"/>
              </w:rPr>
            </w:pPr>
            <w:r>
              <w:rPr>
                <w:rFonts w:ascii="宋体" w:hAnsi="宋体"/>
                <w:sz w:val="18"/>
                <w:szCs w:val="18"/>
              </w:rPr>
              <w:t>数据项</w:t>
            </w:r>
          </w:p>
        </w:tc>
        <w:tc>
          <w:tcPr>
            <w:tcW w:w="992" w:type="dxa"/>
            <w:shd w:val="clear" w:color="auto" w:fill="D9D9D9"/>
            <w:noWrap w:val="0"/>
            <w:vAlign w:val="center"/>
          </w:tcPr>
          <w:p>
            <w:pPr>
              <w:snapToGrid w:val="0"/>
              <w:spacing w:line="440" w:lineRule="exact"/>
              <w:jc w:val="left"/>
              <w:rPr>
                <w:rFonts w:ascii="宋体" w:hAnsi="宋体"/>
                <w:sz w:val="18"/>
                <w:szCs w:val="18"/>
              </w:rPr>
            </w:pPr>
            <w:r>
              <w:rPr>
                <w:rFonts w:ascii="宋体" w:hAnsi="宋体"/>
                <w:sz w:val="18"/>
                <w:szCs w:val="18"/>
              </w:rPr>
              <w:t>字段名</w:t>
            </w:r>
          </w:p>
        </w:tc>
        <w:tc>
          <w:tcPr>
            <w:tcW w:w="1276" w:type="dxa"/>
            <w:shd w:val="clear" w:color="auto" w:fill="D9D9D9"/>
            <w:noWrap w:val="0"/>
            <w:vAlign w:val="center"/>
          </w:tcPr>
          <w:p>
            <w:pPr>
              <w:snapToGrid w:val="0"/>
              <w:spacing w:line="440" w:lineRule="exact"/>
              <w:jc w:val="left"/>
              <w:rPr>
                <w:rFonts w:ascii="宋体" w:hAnsi="宋体"/>
                <w:sz w:val="18"/>
                <w:szCs w:val="18"/>
              </w:rPr>
            </w:pPr>
            <w:r>
              <w:rPr>
                <w:rFonts w:ascii="宋体" w:hAnsi="宋体"/>
                <w:sz w:val="18"/>
                <w:szCs w:val="18"/>
              </w:rPr>
              <w:t>数据类型</w:t>
            </w:r>
          </w:p>
        </w:tc>
        <w:tc>
          <w:tcPr>
            <w:tcW w:w="709" w:type="dxa"/>
            <w:shd w:val="clear" w:color="auto" w:fill="D9D9D9"/>
            <w:noWrap w:val="0"/>
            <w:vAlign w:val="center"/>
          </w:tcPr>
          <w:p>
            <w:pPr>
              <w:snapToGrid w:val="0"/>
              <w:spacing w:line="440" w:lineRule="exact"/>
              <w:jc w:val="left"/>
              <w:rPr>
                <w:rFonts w:ascii="宋体" w:hAnsi="宋体"/>
                <w:sz w:val="18"/>
                <w:szCs w:val="18"/>
              </w:rPr>
            </w:pPr>
            <w:r>
              <w:rPr>
                <w:rFonts w:ascii="宋体" w:hAnsi="宋体"/>
                <w:sz w:val="18"/>
                <w:szCs w:val="18"/>
              </w:rPr>
              <w:t>长度</w:t>
            </w:r>
          </w:p>
        </w:tc>
        <w:tc>
          <w:tcPr>
            <w:tcW w:w="850" w:type="dxa"/>
            <w:shd w:val="clear" w:color="auto" w:fill="D9D9D9"/>
            <w:noWrap w:val="0"/>
            <w:vAlign w:val="center"/>
          </w:tcPr>
          <w:p>
            <w:pPr>
              <w:snapToGrid w:val="0"/>
              <w:spacing w:line="440" w:lineRule="exact"/>
              <w:jc w:val="left"/>
              <w:rPr>
                <w:rFonts w:ascii="宋体" w:hAnsi="宋体"/>
                <w:sz w:val="18"/>
                <w:szCs w:val="18"/>
              </w:rPr>
            </w:pPr>
            <w:r>
              <w:rPr>
                <w:rFonts w:ascii="宋体" w:hAnsi="宋体"/>
                <w:sz w:val="18"/>
                <w:szCs w:val="18"/>
              </w:rPr>
              <w:t>段落</w:t>
            </w:r>
          </w:p>
        </w:tc>
        <w:tc>
          <w:tcPr>
            <w:tcW w:w="851" w:type="dxa"/>
            <w:shd w:val="clear" w:color="auto" w:fill="D9D9D9"/>
            <w:noWrap w:val="0"/>
            <w:vAlign w:val="center"/>
          </w:tcPr>
          <w:p>
            <w:pPr>
              <w:snapToGrid w:val="0"/>
              <w:spacing w:line="440" w:lineRule="exact"/>
              <w:jc w:val="left"/>
              <w:rPr>
                <w:rFonts w:ascii="宋体" w:hAnsi="宋体"/>
                <w:sz w:val="18"/>
                <w:szCs w:val="18"/>
              </w:rPr>
            </w:pPr>
            <w:r>
              <w:rPr>
                <w:rFonts w:ascii="宋体" w:hAnsi="宋体"/>
                <w:sz w:val="18"/>
                <w:szCs w:val="18"/>
              </w:rPr>
              <w:t>填报要求</w:t>
            </w:r>
          </w:p>
        </w:tc>
        <w:tc>
          <w:tcPr>
            <w:tcW w:w="2775" w:type="dxa"/>
            <w:shd w:val="clear" w:color="auto" w:fill="D9D9D9"/>
            <w:noWrap w:val="0"/>
            <w:vAlign w:val="center"/>
          </w:tcPr>
          <w:p>
            <w:pPr>
              <w:snapToGrid w:val="0"/>
              <w:spacing w:line="440" w:lineRule="exact"/>
              <w:jc w:val="left"/>
              <w:rPr>
                <w:rFonts w:ascii="宋体" w:hAnsi="宋体"/>
                <w:sz w:val="18"/>
                <w:szCs w:val="18"/>
              </w:rPr>
            </w:pPr>
            <w:r>
              <w:rPr>
                <w:rFonts w:ascii="宋体" w:hAnsi="宋体"/>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276"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医疗机构代码 </w:t>
            </w:r>
          </w:p>
        </w:tc>
        <w:tc>
          <w:tcPr>
            <w:tcW w:w="992"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YLJGDM </w:t>
            </w:r>
          </w:p>
        </w:tc>
        <w:tc>
          <w:tcPr>
            <w:tcW w:w="1276"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9"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22 </w:t>
            </w:r>
          </w:p>
        </w:tc>
        <w:tc>
          <w:tcPr>
            <w:tcW w:w="850"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业务对账明细 </w:t>
            </w:r>
          </w:p>
        </w:tc>
        <w:tc>
          <w:tcPr>
            <w:tcW w:w="851"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775"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22 位医疗机构执业许可证登记号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276"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院区ID </w:t>
            </w:r>
          </w:p>
        </w:tc>
        <w:tc>
          <w:tcPr>
            <w:tcW w:w="992"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YQID </w:t>
            </w:r>
          </w:p>
        </w:tc>
        <w:tc>
          <w:tcPr>
            <w:tcW w:w="1276"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9"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业务对账明细 </w:t>
            </w:r>
          </w:p>
        </w:tc>
        <w:tc>
          <w:tcPr>
            <w:tcW w:w="851"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775"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本院传00，分院按实际传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276"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院区名称 </w:t>
            </w:r>
          </w:p>
        </w:tc>
        <w:tc>
          <w:tcPr>
            <w:tcW w:w="992"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JGYQMC </w:t>
            </w:r>
          </w:p>
        </w:tc>
        <w:tc>
          <w:tcPr>
            <w:tcW w:w="1276"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9"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业务对账明细 </w:t>
            </w:r>
          </w:p>
        </w:tc>
        <w:tc>
          <w:tcPr>
            <w:tcW w:w="851" w:type="dxa"/>
            <w:shd w:val="clear" w:color="auto" w:fill="FFFF00"/>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775" w:type="dxa"/>
            <w:shd w:val="clear" w:color="auto" w:fill="FFFF00"/>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业务发生日期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YWFSRQ </w:t>
            </w:r>
          </w:p>
        </w:tc>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DATE </w:t>
            </w:r>
          </w:p>
        </w:tc>
        <w:tc>
          <w:tcPr>
            <w:tcW w:w="709" w:type="dxa"/>
            <w:noWrap w:val="0"/>
            <w:vAlign w:val="top"/>
          </w:tcPr>
          <w:p>
            <w:pPr>
              <w:snapToGrid w:val="0"/>
              <w:spacing w:line="440" w:lineRule="exact"/>
              <w:jc w:val="left"/>
              <w:rPr>
                <w:rFonts w:ascii="宋体" w:hAnsi="宋体"/>
                <w:sz w:val="18"/>
                <w:szCs w:val="18"/>
              </w:rPr>
            </w:pPr>
          </w:p>
        </w:tc>
        <w:tc>
          <w:tcPr>
            <w:tcW w:w="850" w:type="dxa"/>
            <w:noWrap w:val="0"/>
            <w:vAlign w:val="top"/>
          </w:tcPr>
          <w:p>
            <w:pPr>
              <w:snapToGrid w:val="0"/>
              <w:spacing w:line="440" w:lineRule="exact"/>
              <w:jc w:val="left"/>
              <w:rPr>
                <w:rFonts w:ascii="宋体" w:hAnsi="宋体"/>
                <w:sz w:val="18"/>
                <w:szCs w:val="18"/>
              </w:rPr>
            </w:pP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775"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格式： YYYY-MM-DD  业务时间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数据集代码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SJJDM </w:t>
            </w:r>
          </w:p>
        </w:tc>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2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业务对账明细</w:t>
            </w:r>
          </w:p>
          <w:p>
            <w:pPr>
              <w:snapToGrid w:val="0"/>
              <w:spacing w:line="440" w:lineRule="exact"/>
              <w:jc w:val="left"/>
              <w:rPr>
                <w:rFonts w:ascii="宋体" w:hAnsi="宋体"/>
                <w:sz w:val="18"/>
                <w:szCs w:val="18"/>
              </w:rPr>
            </w:pPr>
            <w:r>
              <w:rPr>
                <w:rFonts w:ascii="宋体" w:hAnsi="宋体"/>
                <w:sz w:val="18"/>
                <w:szCs w:val="18"/>
              </w:rPr>
              <w:t xml:space="preserve">（ Pt_Recon ciliationS erviceDetail）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775"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值域:CC10_01_01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业务数据集代</w:t>
            </w:r>
          </w:p>
          <w:p>
            <w:pPr>
              <w:snapToGrid w:val="0"/>
              <w:spacing w:line="440" w:lineRule="exact"/>
              <w:jc w:val="left"/>
              <w:rPr>
                <w:rFonts w:ascii="宋体" w:hAnsi="宋体"/>
                <w:sz w:val="18"/>
                <w:szCs w:val="18"/>
              </w:rPr>
            </w:pPr>
            <w:r>
              <w:rPr>
                <w:rFonts w:ascii="宋体" w:hAnsi="宋体"/>
                <w:sz w:val="18"/>
                <w:szCs w:val="18"/>
              </w:rPr>
              <w:t xml:space="preserve">码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YYSJJDM </w:t>
            </w:r>
          </w:p>
        </w:tc>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业务对账明细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77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数据集名称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SJJMC </w:t>
            </w:r>
          </w:p>
        </w:tc>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字符串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50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业务对账明细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可选 </w:t>
            </w:r>
          </w:p>
        </w:tc>
        <w:tc>
          <w:tcPr>
            <w:tcW w:w="2775" w:type="dxa"/>
            <w:noWrap w:val="0"/>
            <w:vAlign w:val="top"/>
          </w:tcPr>
          <w:p>
            <w:pPr>
              <w:snapToGrid w:val="0"/>
              <w:spacing w:line="44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Pr>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数据集上传数量 </w:t>
            </w:r>
          </w:p>
        </w:tc>
        <w:tc>
          <w:tcPr>
            <w:tcW w:w="992"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SJJSCSL </w:t>
            </w:r>
          </w:p>
        </w:tc>
        <w:tc>
          <w:tcPr>
            <w:tcW w:w="1276"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数值 </w:t>
            </w:r>
          </w:p>
        </w:tc>
        <w:tc>
          <w:tcPr>
            <w:tcW w:w="709"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10 </w:t>
            </w:r>
          </w:p>
        </w:tc>
        <w:tc>
          <w:tcPr>
            <w:tcW w:w="850"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业务对账明细 </w:t>
            </w:r>
          </w:p>
        </w:tc>
        <w:tc>
          <w:tcPr>
            <w:tcW w:w="851"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必填 </w:t>
            </w:r>
          </w:p>
        </w:tc>
        <w:tc>
          <w:tcPr>
            <w:tcW w:w="2775" w:type="dxa"/>
            <w:noWrap w:val="0"/>
            <w:vAlign w:val="top"/>
          </w:tcPr>
          <w:p>
            <w:pPr>
              <w:snapToGrid w:val="0"/>
              <w:spacing w:line="440" w:lineRule="exact"/>
              <w:jc w:val="left"/>
              <w:rPr>
                <w:rFonts w:ascii="宋体" w:hAnsi="宋体"/>
                <w:sz w:val="18"/>
                <w:szCs w:val="18"/>
              </w:rPr>
            </w:pPr>
            <w:r>
              <w:rPr>
                <w:rFonts w:ascii="宋体" w:hAnsi="宋体"/>
                <w:sz w:val="18"/>
                <w:szCs w:val="18"/>
              </w:rPr>
              <w:t xml:space="preserve">按天 上传的总量 </w:t>
            </w:r>
          </w:p>
        </w:tc>
      </w:tr>
    </w:tbl>
    <w:p>
      <w:pPr>
        <w:snapToGrid w:val="0"/>
        <w:spacing w:line="440" w:lineRule="exact"/>
        <w:jc w:val="left"/>
        <w:rPr>
          <w:rFonts w:ascii="宋体" w:hAnsi="宋体"/>
          <w:b/>
          <w:sz w:val="24"/>
        </w:rPr>
      </w:pPr>
      <w:bookmarkStart w:id="8" w:name="3.2.4.2._入参BodyInParm"/>
      <w:bookmarkEnd w:id="8"/>
      <w:bookmarkStart w:id="9" w:name="_bookmark38"/>
      <w:bookmarkEnd w:id="9"/>
      <w:bookmarkStart w:id="10" w:name="_bookmark41"/>
      <w:bookmarkEnd w:id="10"/>
      <w:bookmarkStart w:id="11" w:name="_bookmark49"/>
      <w:bookmarkEnd w:id="11"/>
      <w:bookmarkStart w:id="12" w:name="_bookmark36"/>
      <w:bookmarkEnd w:id="12"/>
      <w:bookmarkStart w:id="13" w:name="4._交易功能"/>
      <w:bookmarkEnd w:id="13"/>
      <w:bookmarkStart w:id="14" w:name="4.11._【13004】居民交叉索引业务系统索引号查询"/>
      <w:bookmarkEnd w:id="14"/>
      <w:bookmarkStart w:id="15" w:name="4.3._【11002】电子健康卡信息更新"/>
      <w:bookmarkEnd w:id="15"/>
      <w:r>
        <w:rPr>
          <w:rFonts w:hint="eastAsia" w:ascii="宋体" w:hAnsi="宋体"/>
          <w:b/>
          <w:sz w:val="24"/>
        </w:rPr>
        <w:t>三、项目管理、实施、验收、培训要求</w:t>
      </w:r>
    </w:p>
    <w:p>
      <w:pPr>
        <w:snapToGrid w:val="0"/>
        <w:spacing w:line="440" w:lineRule="exact"/>
        <w:ind w:firstLine="480" w:firstLineChars="200"/>
        <w:jc w:val="left"/>
        <w:rPr>
          <w:rFonts w:ascii="宋体" w:hAnsi="宋体"/>
          <w:sz w:val="24"/>
        </w:rPr>
      </w:pPr>
      <w:r>
        <w:rPr>
          <w:rFonts w:hint="eastAsia" w:ascii="宋体" w:hAnsi="宋体"/>
          <w:sz w:val="24"/>
        </w:rPr>
        <w:t>中标人应充分考虑满足投标项目的建设要求。</w:t>
      </w:r>
    </w:p>
    <w:p>
      <w:pPr>
        <w:snapToGrid w:val="0"/>
        <w:spacing w:line="440" w:lineRule="exact"/>
        <w:ind w:firstLine="480" w:firstLineChars="200"/>
        <w:jc w:val="left"/>
        <w:rPr>
          <w:rFonts w:ascii="宋体" w:hAnsi="宋体"/>
          <w:sz w:val="24"/>
        </w:rPr>
      </w:pPr>
      <w:r>
        <w:rPr>
          <w:rFonts w:hint="eastAsia" w:ascii="宋体" w:hAnsi="宋体"/>
          <w:sz w:val="24"/>
        </w:rPr>
        <w:t>中标人应书面明确实施投标项目的人员配置管理计划，包括组织结构、项目负责人、组成人员及分工职责。中标人应派经招标人认可的有经验和能力、具有相应资质的技术人员，负责系统、设备安装工作。</w:t>
      </w:r>
    </w:p>
    <w:p>
      <w:pPr>
        <w:snapToGrid w:val="0"/>
        <w:spacing w:line="440" w:lineRule="exact"/>
        <w:ind w:firstLine="480" w:firstLineChars="200"/>
        <w:jc w:val="left"/>
        <w:rPr>
          <w:rFonts w:ascii="宋体" w:hAnsi="宋体"/>
          <w:sz w:val="24"/>
        </w:rPr>
      </w:pPr>
      <w:r>
        <w:rPr>
          <w:rFonts w:hint="eastAsia" w:ascii="宋体" w:hAnsi="宋体"/>
          <w:sz w:val="24"/>
        </w:rPr>
        <w:t>本项目为“一揽子工程”， 中标人应充分理解与满足招标文件中的需求与目标，如中标人对本项目理解有误或方案设计存在偏差等，导致项目在实施过程中发现遗漏工程的，弥补的项目费用全部由中标人承担，招标人不再另行支付其他费用。根据招标人要求与中标人现有的系统做好无缝对接，接口的产</w:t>
      </w:r>
      <w:r>
        <w:rPr>
          <w:rFonts w:ascii="宋体" w:hAnsi="宋体"/>
          <w:sz w:val="24"/>
        </w:rPr>
        <w:t>生的</w:t>
      </w:r>
      <w:r>
        <w:rPr>
          <w:rFonts w:hint="eastAsia" w:ascii="宋体" w:hAnsi="宋体"/>
          <w:sz w:val="24"/>
        </w:rPr>
        <w:t>所</w:t>
      </w:r>
      <w:r>
        <w:rPr>
          <w:rFonts w:ascii="宋体" w:hAnsi="宋体"/>
          <w:sz w:val="24"/>
        </w:rPr>
        <w:t>有</w:t>
      </w:r>
      <w:r>
        <w:rPr>
          <w:rFonts w:hint="eastAsia" w:ascii="宋体" w:hAnsi="宋体"/>
          <w:sz w:val="24"/>
        </w:rPr>
        <w:t>费用全部由中标人承担。</w:t>
      </w:r>
    </w:p>
    <w:p>
      <w:pPr>
        <w:snapToGrid w:val="0"/>
        <w:spacing w:line="440" w:lineRule="exact"/>
        <w:ind w:firstLine="480" w:firstLineChars="200"/>
        <w:jc w:val="left"/>
        <w:rPr>
          <w:rFonts w:ascii="宋体" w:hAnsi="宋体"/>
          <w:sz w:val="24"/>
        </w:rPr>
      </w:pPr>
      <w:r>
        <w:rPr>
          <w:rFonts w:hint="eastAsia" w:ascii="宋体" w:hAnsi="宋体"/>
          <w:sz w:val="24"/>
        </w:rPr>
        <w:t>中标人应按招标相关要求签订合同，在接到招标人要求安装的通知后，中标人应根据实际情况制定项目进度安排，</w:t>
      </w:r>
      <w:r>
        <w:rPr>
          <w:rFonts w:ascii="宋体" w:hAnsi="宋体"/>
          <w:sz w:val="24"/>
        </w:rPr>
        <w:t>1</w:t>
      </w:r>
      <w:r>
        <w:rPr>
          <w:rFonts w:hint="eastAsia" w:ascii="宋体" w:hAnsi="宋体"/>
          <w:sz w:val="24"/>
        </w:rPr>
        <w:t>个月内完成全部项目实施工作。中标人不能在规定的时间完成项目的，每延误</w:t>
      </w:r>
      <w:r>
        <w:rPr>
          <w:rFonts w:ascii="宋体" w:hAnsi="宋体"/>
          <w:sz w:val="24"/>
        </w:rPr>
        <w:t>1</w:t>
      </w:r>
      <w:r>
        <w:rPr>
          <w:rFonts w:hint="eastAsia" w:ascii="宋体" w:hAnsi="宋体"/>
          <w:sz w:val="24"/>
        </w:rPr>
        <w:t>天</w:t>
      </w:r>
      <w:r>
        <w:rPr>
          <w:rFonts w:ascii="宋体" w:hAnsi="宋体"/>
          <w:sz w:val="24"/>
        </w:rPr>
        <w:t>,</w:t>
      </w:r>
      <w:r>
        <w:rPr>
          <w:rFonts w:hint="eastAsia" w:ascii="宋体" w:hAnsi="宋体"/>
          <w:sz w:val="24"/>
        </w:rPr>
        <w:t>交纳投标价的</w:t>
      </w:r>
      <w:r>
        <w:rPr>
          <w:rFonts w:ascii="宋体" w:hAnsi="宋体"/>
          <w:sz w:val="24"/>
        </w:rPr>
        <w:t>5%</w:t>
      </w:r>
      <w:r>
        <w:rPr>
          <w:rFonts w:hint="eastAsia" w:ascii="宋体" w:hAnsi="宋体"/>
          <w:sz w:val="24"/>
        </w:rPr>
        <w:t>违约金。</w:t>
      </w:r>
    </w:p>
    <w:p>
      <w:pPr>
        <w:snapToGrid w:val="0"/>
        <w:spacing w:line="440" w:lineRule="exact"/>
        <w:ind w:firstLine="480" w:firstLineChars="200"/>
        <w:jc w:val="left"/>
        <w:rPr>
          <w:rFonts w:ascii="宋体" w:hAnsi="宋体"/>
          <w:sz w:val="24"/>
        </w:rPr>
      </w:pPr>
      <w:r>
        <w:rPr>
          <w:rFonts w:hint="eastAsia" w:ascii="宋体" w:hAnsi="宋体"/>
          <w:sz w:val="24"/>
        </w:rPr>
        <w:t>投入试运行后正常运行</w:t>
      </w:r>
      <w:r>
        <w:rPr>
          <w:rFonts w:ascii="宋体" w:hAnsi="宋体"/>
          <w:sz w:val="24"/>
        </w:rPr>
        <w:t>2</w:t>
      </w:r>
      <w:r>
        <w:rPr>
          <w:rFonts w:hint="eastAsia" w:ascii="宋体" w:hAnsi="宋体"/>
          <w:sz w:val="24"/>
        </w:rPr>
        <w:t>个周后，提请正式验收，验收合格，提交全部报告材料，出具终验报告，正式交付使用，进入维护期。</w:t>
      </w:r>
    </w:p>
    <w:p>
      <w:pPr>
        <w:snapToGrid w:val="0"/>
        <w:spacing w:line="440" w:lineRule="exact"/>
        <w:ind w:firstLine="480" w:firstLineChars="200"/>
        <w:jc w:val="left"/>
        <w:rPr>
          <w:rFonts w:ascii="宋体" w:hAnsi="宋体"/>
          <w:sz w:val="24"/>
        </w:rPr>
      </w:pPr>
      <w:r>
        <w:rPr>
          <w:rFonts w:hint="eastAsia" w:ascii="宋体" w:hAnsi="宋体"/>
          <w:sz w:val="24"/>
        </w:rPr>
        <w:t>中标人应在投标文件中提供详细的培训方案，其内容包括培训目标、内容、方式、计划等。中标人须在招标人指定的地点为招标人提供项目的操作、使用及维护的技术培训服务。中标人应将所有培训费用（含培训教材费）计入投标总价。</w:t>
      </w:r>
    </w:p>
    <w:p>
      <w:pPr>
        <w:snapToGrid w:val="0"/>
        <w:spacing w:line="440" w:lineRule="exact"/>
        <w:jc w:val="left"/>
        <w:rPr>
          <w:rFonts w:ascii="宋体" w:hAnsi="宋体"/>
          <w:b/>
          <w:sz w:val="24"/>
        </w:rPr>
      </w:pPr>
      <w:r>
        <w:rPr>
          <w:rFonts w:hint="eastAsia" w:ascii="宋体" w:hAnsi="宋体"/>
          <w:b/>
          <w:sz w:val="24"/>
        </w:rPr>
        <w:t>四、售后服务要求</w:t>
      </w:r>
    </w:p>
    <w:p>
      <w:pPr>
        <w:snapToGrid w:val="0"/>
        <w:spacing w:line="440" w:lineRule="exact"/>
        <w:ind w:firstLine="480" w:firstLineChars="200"/>
        <w:jc w:val="left"/>
        <w:rPr>
          <w:rFonts w:ascii="宋体" w:hAnsi="宋体"/>
          <w:sz w:val="24"/>
        </w:rPr>
      </w:pPr>
      <w:r>
        <w:rPr>
          <w:rFonts w:hint="eastAsia" w:ascii="宋体" w:hAnsi="宋体"/>
          <w:sz w:val="24"/>
        </w:rPr>
        <w:t>中标人应为本项目配备技术服务团队，并提供一年免费维保服务和永久技术支持，包括各种突发事件采取应急措施等。</w:t>
      </w:r>
    </w:p>
    <w:p>
      <w:pPr>
        <w:snapToGrid w:val="0"/>
        <w:spacing w:line="440" w:lineRule="exact"/>
        <w:ind w:firstLine="480" w:firstLineChars="200"/>
        <w:jc w:val="left"/>
        <w:rPr>
          <w:rFonts w:ascii="宋体" w:hAnsi="宋体"/>
          <w:sz w:val="24"/>
        </w:rPr>
      </w:pPr>
      <w:r>
        <w:rPr>
          <w:rFonts w:ascii="宋体" w:hAnsi="宋体"/>
          <w:sz w:val="24"/>
        </w:rPr>
        <w:t>中标</w:t>
      </w:r>
      <w:r>
        <w:rPr>
          <w:rFonts w:hint="eastAsia" w:ascii="宋体" w:hAnsi="宋体"/>
          <w:sz w:val="24"/>
        </w:rPr>
        <w:t>人</w:t>
      </w:r>
      <w:r>
        <w:rPr>
          <w:rFonts w:ascii="宋体" w:hAnsi="宋体"/>
          <w:sz w:val="24"/>
        </w:rPr>
        <w:t>在接到招标人通知后，在线响应时间30分钟内，现场响应时间在4小时内。提供7×24小时电话支持。</w:t>
      </w:r>
    </w:p>
    <w:p>
      <w:pPr>
        <w:snapToGrid w:val="0"/>
        <w:spacing w:line="440" w:lineRule="exact"/>
        <w:ind w:firstLine="480" w:firstLineChars="200"/>
        <w:jc w:val="left"/>
        <w:rPr>
          <w:rFonts w:ascii="宋体" w:hAnsi="宋体"/>
          <w:sz w:val="24"/>
        </w:rPr>
      </w:pPr>
      <w:r>
        <w:rPr>
          <w:rFonts w:hint="eastAsia" w:ascii="宋体" w:hAnsi="宋体"/>
          <w:sz w:val="24"/>
        </w:rPr>
        <w:t>中</w:t>
      </w:r>
      <w:r>
        <w:rPr>
          <w:rFonts w:ascii="宋体" w:hAnsi="宋体"/>
          <w:sz w:val="24"/>
        </w:rPr>
        <w:t>标人提供验收合格后免费维护期一年，</w:t>
      </w:r>
      <w:r>
        <w:rPr>
          <w:rFonts w:hint="eastAsia" w:ascii="宋体" w:hAnsi="宋体"/>
          <w:sz w:val="24"/>
        </w:rPr>
        <w:t>维护内容包括：系统维护；应急维护；客户化修改；数据库优化；系统更新等服务。</w:t>
      </w:r>
    </w:p>
    <w:p>
      <w:pPr>
        <w:snapToGrid w:val="0"/>
        <w:spacing w:line="440" w:lineRule="exact"/>
        <w:ind w:firstLine="480" w:firstLineChars="200"/>
        <w:jc w:val="left"/>
        <w:rPr>
          <w:rFonts w:ascii="宋体" w:hAnsi="宋体"/>
          <w:sz w:val="24"/>
        </w:rPr>
      </w:pPr>
      <w:r>
        <w:rPr>
          <w:rFonts w:hint="eastAsia" w:ascii="宋体" w:hAnsi="宋体"/>
          <w:sz w:val="24"/>
        </w:rPr>
        <w:t>在质保期满时，中标人的工程师和招标人代表对所有产品进行一次测试，任何故障须由中标人自费解决并取得招标人的认可。</w:t>
      </w:r>
    </w:p>
    <w:p>
      <w:pPr>
        <w:snapToGrid w:val="0"/>
        <w:spacing w:line="440" w:lineRule="exact"/>
        <w:ind w:firstLine="480" w:firstLineChars="200"/>
        <w:jc w:val="left"/>
        <w:rPr>
          <w:rFonts w:ascii="宋体" w:hAnsi="宋体"/>
          <w:sz w:val="24"/>
        </w:rPr>
      </w:pPr>
      <w:r>
        <w:rPr>
          <w:rFonts w:hint="eastAsia" w:ascii="宋体" w:hAnsi="宋体"/>
          <w:sz w:val="24"/>
        </w:rPr>
        <w:t>招标人保留对中标产品进行一次免费的重做接口、异地搬迁、安装、调试的权利。</w:t>
      </w:r>
    </w:p>
    <w:p>
      <w:pPr>
        <w:snapToGrid w:val="0"/>
        <w:spacing w:line="440" w:lineRule="exact"/>
        <w:jc w:val="left"/>
        <w:rPr>
          <w:rFonts w:ascii="宋体" w:hAnsi="宋体"/>
          <w:b/>
          <w:sz w:val="24"/>
        </w:rPr>
      </w:pPr>
      <w:r>
        <w:rPr>
          <w:rFonts w:hint="eastAsia" w:ascii="宋体" w:hAnsi="宋体"/>
          <w:b/>
          <w:sz w:val="24"/>
        </w:rPr>
        <w:t>五、</w:t>
      </w:r>
      <w:r>
        <w:rPr>
          <w:rFonts w:ascii="宋体" w:hAnsi="宋体"/>
          <w:b/>
          <w:sz w:val="24"/>
        </w:rPr>
        <w:t>付款方式</w:t>
      </w:r>
    </w:p>
    <w:p>
      <w:pPr>
        <w:snapToGrid w:val="0"/>
        <w:spacing w:line="440" w:lineRule="exact"/>
        <w:jc w:val="left"/>
        <w:rPr>
          <w:rFonts w:hint="eastAsia" w:ascii="宋体" w:hAnsi="宋体"/>
          <w:sz w:val="24"/>
        </w:rPr>
      </w:pPr>
      <w:r>
        <w:rPr>
          <w:rFonts w:ascii="宋体" w:hAnsi="宋体"/>
          <w:sz w:val="24"/>
        </w:rPr>
        <w:t>抗疫期间，按照浙财采监【2020】3号文件精神执行，具体支付条款双方协商。</w:t>
      </w:r>
    </w:p>
    <w:p>
      <w:pPr>
        <w:pStyle w:val="25"/>
        <w:spacing w:line="800" w:lineRule="exact"/>
        <w:ind w:firstLine="723"/>
        <w:jc w:val="center"/>
        <w:rPr>
          <w:rFonts w:hint="eastAsia" w:hAnsi="宋体"/>
          <w:b/>
          <w:color w:val="000000"/>
          <w:sz w:val="36"/>
          <w:szCs w:val="36"/>
        </w:rPr>
      </w:pPr>
      <w:r>
        <w:rPr>
          <w:rFonts w:hint="eastAsia" w:hAnsi="宋体"/>
          <w:b/>
          <w:color w:val="000000"/>
          <w:sz w:val="36"/>
          <w:szCs w:val="36"/>
        </w:rPr>
        <w:t>第四部分 合同的主要条款</w:t>
      </w:r>
    </w:p>
    <w:p>
      <w:pPr>
        <w:spacing w:line="440" w:lineRule="exact"/>
        <w:jc w:val="left"/>
        <w:rPr>
          <w:rFonts w:hint="eastAsia" w:ascii="宋体" w:hAnsi="宋体"/>
          <w:b/>
          <w:sz w:val="24"/>
        </w:rPr>
      </w:pPr>
      <w:r>
        <w:rPr>
          <w:rFonts w:hint="eastAsia" w:ascii="宋体" w:hAnsi="宋体"/>
          <w:b/>
          <w:sz w:val="24"/>
        </w:rPr>
        <w:t>1.合同</w:t>
      </w:r>
      <w:bookmarkStart w:id="16" w:name="OLE_LINK1"/>
      <w:r>
        <w:rPr>
          <w:rFonts w:hint="eastAsia" w:ascii="宋体" w:hAnsi="宋体"/>
          <w:b/>
          <w:sz w:val="24"/>
        </w:rPr>
        <w:t>范围</w:t>
      </w:r>
      <w:bookmarkEnd w:id="16"/>
    </w:p>
    <w:p>
      <w:pPr>
        <w:spacing w:line="440" w:lineRule="exact"/>
        <w:ind w:firstLine="480" w:firstLineChars="200"/>
        <w:jc w:val="left"/>
        <w:rPr>
          <w:rFonts w:hint="eastAsia" w:ascii="宋体" w:hAnsi="宋体"/>
          <w:sz w:val="24"/>
        </w:rPr>
      </w:pPr>
      <w:r>
        <w:rPr>
          <w:rFonts w:hint="eastAsia" w:ascii="宋体" w:hAnsi="宋体"/>
          <w:sz w:val="24"/>
        </w:rPr>
        <w:t>合同范围应与中标通知书、投标文件及被招标人接受的技术商务规范偏离表相一致。合同范围和双方的职责在 “投标文件”明确。</w:t>
      </w:r>
    </w:p>
    <w:p>
      <w:pPr>
        <w:pStyle w:val="197"/>
        <w:spacing w:line="440" w:lineRule="exact"/>
        <w:rPr>
          <w:rFonts w:hint="eastAsia" w:hAnsi="宋体"/>
          <w:b/>
          <w:sz w:val="24"/>
          <w:szCs w:val="24"/>
        </w:rPr>
      </w:pPr>
      <w:r>
        <w:rPr>
          <w:rFonts w:hint="eastAsia" w:hAnsi="宋体"/>
          <w:b/>
          <w:sz w:val="24"/>
          <w:szCs w:val="24"/>
        </w:rPr>
        <w:t>2.合同的签订</w:t>
      </w:r>
    </w:p>
    <w:p>
      <w:pPr>
        <w:snapToGrid w:val="0"/>
        <w:spacing w:line="440" w:lineRule="exact"/>
        <w:jc w:val="left"/>
        <w:rPr>
          <w:rFonts w:hint="eastAsia" w:ascii="宋体" w:hAnsi="宋体"/>
          <w:sz w:val="24"/>
        </w:rPr>
      </w:pPr>
      <w:r>
        <w:rPr>
          <w:rFonts w:hint="eastAsia" w:ascii="宋体" w:hAnsi="宋体"/>
          <w:sz w:val="24"/>
        </w:rPr>
        <w:t>2.1中标供应商须在中标通知书发出30日内按招标文件和中标供应商投标响应文件的约定，凭中标通知书和采购人在约定的时间、地点，由法定代表人或其授权代表与采购人签订书面合同。</w:t>
      </w:r>
    </w:p>
    <w:p>
      <w:pPr>
        <w:pStyle w:val="13"/>
        <w:widowControl w:val="0"/>
        <w:tabs>
          <w:tab w:val="clear" w:pos="1697"/>
        </w:tabs>
        <w:spacing w:after="0" w:afterLines="0" w:line="440" w:lineRule="exact"/>
        <w:ind w:left="0" w:firstLine="0"/>
        <w:rPr>
          <w:rFonts w:hint="eastAsia" w:ascii="宋体" w:hAnsi="宋体"/>
        </w:rPr>
      </w:pPr>
      <w:r>
        <w:rPr>
          <w:rFonts w:hint="eastAsia" w:ascii="宋体" w:hAnsi="宋体"/>
        </w:rPr>
        <w:t>2.1.1交货（服务）地点：用户指定地点。</w:t>
      </w:r>
    </w:p>
    <w:p>
      <w:pPr>
        <w:pStyle w:val="13"/>
        <w:widowControl w:val="0"/>
        <w:tabs>
          <w:tab w:val="clear" w:pos="1697"/>
        </w:tabs>
        <w:spacing w:after="0" w:afterLines="0" w:line="440" w:lineRule="exact"/>
        <w:ind w:left="0" w:firstLine="0"/>
        <w:rPr>
          <w:rFonts w:hint="eastAsia" w:ascii="宋体" w:hAnsi="宋体"/>
        </w:rPr>
      </w:pPr>
      <w:r>
        <w:rPr>
          <w:rFonts w:hint="eastAsia" w:ascii="宋体" w:hAnsi="宋体"/>
          <w:szCs w:val="24"/>
        </w:rPr>
        <w:t>2.1.2</w:t>
      </w:r>
      <w:r>
        <w:rPr>
          <w:rFonts w:hint="eastAsia" w:ascii="宋体" w:hAnsi="宋体"/>
        </w:rPr>
        <w:t>到货（服务）期：按标项内具体要求执行。</w:t>
      </w:r>
    </w:p>
    <w:p>
      <w:pPr>
        <w:pStyle w:val="13"/>
        <w:widowControl w:val="0"/>
        <w:tabs>
          <w:tab w:val="clear" w:pos="1697"/>
        </w:tabs>
        <w:spacing w:after="0" w:afterLines="0" w:line="440" w:lineRule="exact"/>
        <w:ind w:left="0" w:firstLine="0"/>
        <w:rPr>
          <w:rFonts w:hint="eastAsia" w:ascii="宋体" w:hAnsi="宋体"/>
          <w:szCs w:val="24"/>
        </w:rPr>
      </w:pPr>
      <w:r>
        <w:rPr>
          <w:rFonts w:hint="eastAsia" w:ascii="宋体" w:hAnsi="宋体"/>
          <w:szCs w:val="24"/>
        </w:rPr>
        <w:t>2.2交货（服务）方式：</w:t>
      </w:r>
      <w:r>
        <w:rPr>
          <w:rFonts w:hint="eastAsia" w:ascii="宋体" w:hAnsi="宋体"/>
        </w:rPr>
        <w:t>按标项内具体要求执行。</w:t>
      </w:r>
    </w:p>
    <w:p>
      <w:pPr>
        <w:pStyle w:val="13"/>
        <w:widowControl w:val="0"/>
        <w:tabs>
          <w:tab w:val="clear" w:pos="1697"/>
        </w:tabs>
        <w:spacing w:after="0" w:afterLines="0" w:line="440" w:lineRule="exact"/>
        <w:ind w:left="0" w:firstLine="0"/>
        <w:rPr>
          <w:rFonts w:hint="eastAsia" w:ascii="宋体" w:hAnsi="宋体"/>
          <w:szCs w:val="24"/>
        </w:rPr>
      </w:pPr>
      <w:r>
        <w:rPr>
          <w:rFonts w:hint="eastAsia" w:ascii="宋体" w:hAnsi="宋体"/>
          <w:b/>
          <w:szCs w:val="24"/>
        </w:rPr>
        <w:t>3.付款方式：</w:t>
      </w:r>
      <w:r>
        <w:rPr>
          <w:rFonts w:hint="eastAsia" w:ascii="宋体" w:hAnsi="宋体"/>
        </w:rPr>
        <w:t>按标项内具体要求执行。</w:t>
      </w:r>
    </w:p>
    <w:p>
      <w:pPr>
        <w:tabs>
          <w:tab w:val="left" w:pos="7950"/>
        </w:tabs>
        <w:spacing w:line="440" w:lineRule="exact"/>
        <w:jc w:val="left"/>
        <w:rPr>
          <w:rFonts w:hint="eastAsia" w:ascii="宋体" w:hAnsi="宋体"/>
          <w:b/>
          <w:sz w:val="24"/>
        </w:rPr>
      </w:pPr>
      <w:r>
        <w:rPr>
          <w:rFonts w:hint="eastAsia" w:ascii="宋体" w:hAnsi="宋体"/>
          <w:b/>
          <w:sz w:val="24"/>
        </w:rPr>
        <w:t>4.合同修改</w:t>
      </w:r>
    </w:p>
    <w:p>
      <w:pPr>
        <w:pStyle w:val="13"/>
        <w:widowControl w:val="0"/>
        <w:tabs>
          <w:tab w:val="clear" w:pos="1697"/>
        </w:tabs>
        <w:spacing w:after="0" w:afterLines="0" w:line="440" w:lineRule="exact"/>
        <w:ind w:left="0" w:firstLine="0"/>
        <w:rPr>
          <w:rFonts w:hint="eastAsia" w:ascii="宋体" w:hAnsi="宋体"/>
          <w:szCs w:val="24"/>
        </w:rPr>
      </w:pPr>
      <w:r>
        <w:rPr>
          <w:rFonts w:hint="eastAsia" w:ascii="宋体" w:hAnsi="宋体"/>
          <w:szCs w:val="24"/>
        </w:rPr>
        <w:t>4.1双方的任何一方对合同内容提出修改，均应以书面形式通知对方，并达成由双方签署的合同修改书，须报政府采购管理部门批准。</w:t>
      </w:r>
    </w:p>
    <w:p>
      <w:pPr>
        <w:pStyle w:val="13"/>
        <w:widowControl w:val="0"/>
        <w:tabs>
          <w:tab w:val="clear" w:pos="1697"/>
        </w:tabs>
        <w:spacing w:after="0" w:afterLines="0" w:line="440" w:lineRule="exact"/>
        <w:ind w:left="0" w:firstLine="0"/>
        <w:rPr>
          <w:rFonts w:hint="eastAsia" w:ascii="宋体" w:hAnsi="宋体"/>
          <w:szCs w:val="24"/>
        </w:rPr>
      </w:pPr>
      <w:r>
        <w:rPr>
          <w:rFonts w:hint="eastAsia" w:ascii="宋体" w:hAnsi="宋体"/>
          <w:szCs w:val="24"/>
        </w:rPr>
        <w:t>4.2除非招标人对产品的品牌、型号规格和涉及价格因素的技术参数提出修改，中标供应商不得对合同价格提出修改要求。</w:t>
      </w:r>
    </w:p>
    <w:p>
      <w:pPr>
        <w:snapToGrid w:val="0"/>
        <w:spacing w:line="440" w:lineRule="exact"/>
        <w:jc w:val="left"/>
        <w:rPr>
          <w:rFonts w:hint="eastAsia" w:ascii="宋体" w:hAnsi="宋体"/>
          <w:b/>
          <w:sz w:val="24"/>
        </w:rPr>
      </w:pPr>
      <w:r>
        <w:rPr>
          <w:rFonts w:hint="eastAsia" w:ascii="宋体" w:hAnsi="宋体"/>
          <w:b/>
          <w:sz w:val="24"/>
        </w:rPr>
        <w:t>5. 质量标准和验收</w:t>
      </w:r>
    </w:p>
    <w:p>
      <w:pPr>
        <w:snapToGrid w:val="0"/>
        <w:spacing w:line="440" w:lineRule="exact"/>
        <w:jc w:val="left"/>
        <w:rPr>
          <w:rFonts w:hint="eastAsia" w:ascii="宋体" w:hAnsi="宋体"/>
          <w:sz w:val="24"/>
        </w:rPr>
      </w:pPr>
      <w:r>
        <w:rPr>
          <w:rFonts w:hint="eastAsia" w:ascii="宋体" w:hAnsi="宋体"/>
          <w:sz w:val="24"/>
        </w:rPr>
        <w:t>5.1中标供应商提供的产品及服务必须是经合法途径取得的。</w:t>
      </w:r>
    </w:p>
    <w:p>
      <w:pPr>
        <w:snapToGrid w:val="0"/>
        <w:spacing w:line="440" w:lineRule="exact"/>
        <w:jc w:val="left"/>
        <w:rPr>
          <w:rFonts w:hint="eastAsia" w:ascii="宋体" w:hAnsi="宋体"/>
          <w:sz w:val="24"/>
        </w:rPr>
      </w:pPr>
      <w:r>
        <w:rPr>
          <w:rFonts w:hint="eastAsia" w:ascii="宋体" w:hAnsi="宋体"/>
          <w:sz w:val="24"/>
        </w:rPr>
        <w:t>5.2中标供应商应按现行的国家或行业技术及验收标准和招标文件的规定提供工程、货物或服务，因中标供应商提供的工程、货物或服务达不到约定的质量标准，中标供应商承担违约责任。</w:t>
      </w:r>
    </w:p>
    <w:p>
      <w:pPr>
        <w:snapToGrid w:val="0"/>
        <w:spacing w:line="440" w:lineRule="exact"/>
        <w:jc w:val="left"/>
        <w:rPr>
          <w:rFonts w:hint="eastAsia" w:ascii="宋体" w:hAnsi="宋体"/>
          <w:sz w:val="24"/>
        </w:rPr>
      </w:pPr>
      <w:r>
        <w:rPr>
          <w:rFonts w:hint="eastAsia" w:ascii="宋体" w:hAnsi="宋体"/>
          <w:sz w:val="24"/>
        </w:rPr>
        <w:t>5.3验收由使用单位按规定组织相关人员或专家进行。</w:t>
      </w:r>
    </w:p>
    <w:p>
      <w:pPr>
        <w:spacing w:line="440" w:lineRule="exact"/>
        <w:ind w:hanging="2"/>
        <w:jc w:val="left"/>
        <w:rPr>
          <w:rFonts w:hint="eastAsia" w:ascii="宋体" w:hAnsi="宋体"/>
          <w:sz w:val="24"/>
        </w:rPr>
      </w:pPr>
      <w:r>
        <w:rPr>
          <w:rFonts w:hint="eastAsia" w:ascii="宋体" w:hAnsi="宋体"/>
          <w:sz w:val="24"/>
        </w:rPr>
        <w:t>5.4双方对工程、货物或服务的质量有争议的，由双方同意的专业检测机构鉴定，所需费及因此造成的损失由责任方承担，双方均有责任的，双方根据其责任分别承担。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hint="eastAsia" w:ascii="宋体" w:hAnsi="宋体"/>
          <w:b/>
          <w:sz w:val="24"/>
        </w:rPr>
      </w:pPr>
      <w:r>
        <w:rPr>
          <w:rFonts w:hint="eastAsia" w:ascii="宋体" w:hAnsi="宋体"/>
          <w:b/>
          <w:sz w:val="24"/>
        </w:rPr>
        <w:t>6.违约责任</w:t>
      </w:r>
    </w:p>
    <w:p>
      <w:pPr>
        <w:pStyle w:val="21"/>
        <w:widowControl w:val="0"/>
        <w:numPr>
          <w:ilvl w:val="0"/>
          <w:numId w:val="0"/>
        </w:numPr>
        <w:tabs>
          <w:tab w:val="left" w:pos="1540"/>
        </w:tabs>
        <w:spacing w:after="0" w:afterLines="0" w:line="440" w:lineRule="exact"/>
        <w:ind w:left="338" w:leftChars="-1"/>
        <w:rPr>
          <w:rFonts w:hint="eastAsia" w:ascii="宋体" w:hAnsi="宋体"/>
          <w:szCs w:val="24"/>
        </w:rPr>
      </w:pPr>
      <w:r>
        <w:rPr>
          <w:rFonts w:hint="eastAsia" w:ascii="宋体" w:hAnsi="宋体"/>
          <w:szCs w:val="24"/>
        </w:rPr>
        <w:t>6.1提供的货物和服务质量必须达到合格，凡安装调试、设备试运转过程中发现的设备质量问题，中标供应商必须无偿返工直至符合质量要求，承担返工所发生的一切费用和招标人的直接经济损失。</w:t>
      </w:r>
    </w:p>
    <w:p>
      <w:pPr>
        <w:pStyle w:val="21"/>
        <w:widowControl w:val="0"/>
        <w:numPr>
          <w:ilvl w:val="0"/>
          <w:numId w:val="0"/>
        </w:numPr>
        <w:tabs>
          <w:tab w:val="left" w:pos="1540"/>
        </w:tabs>
        <w:spacing w:after="0" w:afterLines="0" w:line="440" w:lineRule="exact"/>
        <w:ind w:left="338" w:leftChars="-1"/>
        <w:rPr>
          <w:rFonts w:hint="eastAsia" w:ascii="宋体" w:hAnsi="宋体"/>
          <w:szCs w:val="24"/>
        </w:rPr>
      </w:pPr>
      <w:r>
        <w:rPr>
          <w:rFonts w:hint="eastAsia" w:ascii="宋体" w:hAnsi="宋体"/>
          <w:szCs w:val="24"/>
        </w:rPr>
        <w:t>6.2由于招标人保管不善或使用不当造成设备短缺、故障或损坏，中标供应商协助招标人及时给予补齐或修复。</w:t>
      </w:r>
    </w:p>
    <w:p>
      <w:pPr>
        <w:pStyle w:val="13"/>
        <w:widowControl w:val="0"/>
        <w:tabs>
          <w:tab w:val="left" w:pos="1560"/>
          <w:tab w:val="clear" w:pos="1697"/>
        </w:tabs>
        <w:spacing w:after="0" w:afterLines="0" w:line="440" w:lineRule="exact"/>
        <w:ind w:left="-2" w:leftChars="-1" w:firstLine="0"/>
        <w:rPr>
          <w:rFonts w:hint="eastAsia" w:ascii="宋体" w:hAnsi="宋体"/>
          <w:b/>
          <w:szCs w:val="24"/>
        </w:rPr>
      </w:pPr>
      <w:r>
        <w:rPr>
          <w:rFonts w:hint="eastAsia" w:ascii="宋体" w:hAnsi="宋体"/>
          <w:b/>
          <w:szCs w:val="24"/>
        </w:rPr>
        <w:t>7．违约赔偿</w:t>
      </w:r>
    </w:p>
    <w:p>
      <w:pPr>
        <w:spacing w:line="440" w:lineRule="exact"/>
        <w:rPr>
          <w:rFonts w:hint="eastAsia" w:ascii="宋体" w:hAnsi="宋体"/>
          <w:sz w:val="24"/>
        </w:rPr>
      </w:pPr>
      <w:r>
        <w:rPr>
          <w:rFonts w:hint="eastAsia" w:ascii="宋体" w:hAnsi="宋体"/>
          <w:sz w:val="24"/>
        </w:rPr>
        <w:t>7.1除不可抗力外，如中标供应商发生不能按期完成供货任务，招标人发生中途变更等情况，应及时以书面形式通知对方。双方应本着友好的态度进行协商，妥善解决。如协商无效，按规定处以违约金。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hint="eastAsia" w:ascii="宋体" w:hAnsi="宋体"/>
          <w:sz w:val="24"/>
        </w:rPr>
      </w:pPr>
      <w:r>
        <w:rPr>
          <w:rFonts w:hint="eastAsia" w:ascii="宋体" w:hAnsi="宋体"/>
          <w:kern w:val="0"/>
          <w:sz w:val="24"/>
        </w:rPr>
        <w:t xml:space="preserve">7.2 </w:t>
      </w:r>
      <w:r>
        <w:rPr>
          <w:rFonts w:hint="eastAsia" w:ascii="宋体" w:hAnsi="宋体"/>
          <w:sz w:val="24"/>
        </w:rPr>
        <w:t>中标供应商和采购人签订合同，按合同规定的供货时间供货并安装调试完毕。逾期每推迟一天，扣中标价0.1%的滞纳金给采购人。</w:t>
      </w:r>
    </w:p>
    <w:p>
      <w:pPr>
        <w:snapToGrid w:val="0"/>
        <w:spacing w:line="440" w:lineRule="exact"/>
        <w:jc w:val="left"/>
        <w:rPr>
          <w:rFonts w:hint="eastAsia" w:ascii="宋体" w:hAnsi="宋体"/>
          <w:sz w:val="24"/>
        </w:rPr>
      </w:pPr>
      <w:r>
        <w:rPr>
          <w:rFonts w:hint="eastAsia" w:ascii="宋体" w:hAnsi="宋体"/>
          <w:sz w:val="24"/>
        </w:rPr>
        <w:t>7.3招标人在规定时间无正当理由拒签合同者，以招标违约处理，并赔偿中标供应商由此造成的直接经济损失。</w:t>
      </w:r>
    </w:p>
    <w:p>
      <w:pPr>
        <w:spacing w:line="440" w:lineRule="exact"/>
        <w:jc w:val="left"/>
        <w:rPr>
          <w:rFonts w:hint="eastAsia" w:ascii="宋体" w:hAnsi="宋体"/>
          <w:b/>
          <w:sz w:val="24"/>
        </w:rPr>
      </w:pPr>
      <w:r>
        <w:rPr>
          <w:rFonts w:hint="eastAsia" w:ascii="宋体" w:hAnsi="宋体"/>
          <w:b/>
          <w:sz w:val="24"/>
        </w:rPr>
        <w:t>8.不可抗力</w:t>
      </w:r>
    </w:p>
    <w:p>
      <w:pPr>
        <w:pStyle w:val="13"/>
        <w:widowControl w:val="0"/>
        <w:tabs>
          <w:tab w:val="clear" w:pos="1697"/>
        </w:tabs>
        <w:spacing w:after="0" w:afterLines="0" w:line="440" w:lineRule="exact"/>
        <w:ind w:left="0" w:firstLine="0"/>
        <w:rPr>
          <w:rFonts w:hint="eastAsia" w:ascii="宋体" w:hAnsi="宋体"/>
          <w:szCs w:val="24"/>
        </w:rPr>
      </w:pPr>
      <w:r>
        <w:rPr>
          <w:rFonts w:hint="eastAsia" w:ascii="宋体" w:hAnsi="宋体"/>
          <w:szCs w:val="24"/>
        </w:rPr>
        <w:t>8.1如果双方中任何一方由于战争、严重火灾、水灾、台风和地震以及其它经双方同意属于不可抗力的事故，致使合同履行受阻时，履行合同的期限应予延长，延长的期限应相当于事故所影响的时间。</w:t>
      </w:r>
    </w:p>
    <w:p>
      <w:pPr>
        <w:pStyle w:val="13"/>
        <w:widowControl w:val="0"/>
        <w:tabs>
          <w:tab w:val="clear" w:pos="1697"/>
        </w:tabs>
        <w:spacing w:after="0" w:afterLines="0" w:line="440" w:lineRule="exact"/>
        <w:ind w:left="0" w:firstLine="0"/>
        <w:rPr>
          <w:rFonts w:hint="eastAsia" w:ascii="宋体" w:hAnsi="宋体"/>
          <w:szCs w:val="24"/>
        </w:rPr>
      </w:pPr>
      <w:r>
        <w:rPr>
          <w:rFonts w:hint="eastAsia" w:ascii="宋体" w:hAnsi="宋体"/>
          <w:szCs w:val="24"/>
        </w:rPr>
        <w:t>8.2受事故影响的一方应在不可抗力的事故发生后尽快以电报或电传通知另一方，并在事故发生后14天内，将有关部门出具的证明文件用挂号信航寄给或送给另一方。如果不可抗力影响时间延续120天以上的，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hint="eastAsia" w:ascii="宋体" w:hAnsi="宋体"/>
          <w:b/>
          <w:sz w:val="24"/>
        </w:rPr>
      </w:pPr>
      <w:r>
        <w:rPr>
          <w:rFonts w:hint="eastAsia" w:ascii="宋体" w:hAnsi="宋体"/>
          <w:b/>
          <w:sz w:val="24"/>
        </w:rPr>
        <w:t>9.解决合同纠纷的方式</w:t>
      </w:r>
    </w:p>
    <w:p>
      <w:pPr>
        <w:pStyle w:val="13"/>
        <w:widowControl w:val="0"/>
        <w:tabs>
          <w:tab w:val="clear" w:pos="1697"/>
        </w:tabs>
        <w:spacing w:after="0" w:afterLines="0" w:line="440" w:lineRule="exact"/>
        <w:ind w:left="0" w:firstLine="0"/>
        <w:rPr>
          <w:rFonts w:hint="eastAsia" w:ascii="宋体" w:hAnsi="宋体"/>
          <w:szCs w:val="24"/>
        </w:rPr>
      </w:pPr>
      <w:r>
        <w:rPr>
          <w:rFonts w:hint="eastAsia" w:ascii="宋体" w:hAnsi="宋体"/>
          <w:szCs w:val="24"/>
        </w:rPr>
        <w:t>9.1凡有关本合同或与本合同中发生的争端，双方应通过友好协商，妥善解决。如通过协商仍不能解决时，可向当地的仲裁机构申请仲裁或人民法院起诉。</w:t>
      </w:r>
    </w:p>
    <w:p>
      <w:pPr>
        <w:pStyle w:val="13"/>
        <w:widowControl w:val="0"/>
        <w:tabs>
          <w:tab w:val="clear" w:pos="1697"/>
        </w:tabs>
        <w:spacing w:after="0" w:afterLines="0" w:line="440" w:lineRule="exact"/>
        <w:ind w:left="0" w:firstLine="0"/>
        <w:rPr>
          <w:rFonts w:hint="eastAsia" w:ascii="宋体" w:hAnsi="宋体"/>
          <w:szCs w:val="24"/>
        </w:rPr>
      </w:pPr>
      <w:r>
        <w:rPr>
          <w:rFonts w:hint="eastAsia" w:ascii="宋体" w:hAnsi="宋体"/>
          <w:szCs w:val="24"/>
        </w:rPr>
        <w:t>9.2仲裁和诉讼费用除仲裁机构和人民法院另有裁决外，由败诉方承担。</w:t>
      </w:r>
    </w:p>
    <w:p>
      <w:pPr>
        <w:pStyle w:val="13"/>
        <w:widowControl w:val="0"/>
        <w:tabs>
          <w:tab w:val="clear" w:pos="1697"/>
        </w:tabs>
        <w:spacing w:after="0" w:afterLines="0" w:line="440" w:lineRule="exact"/>
        <w:ind w:left="0" w:firstLine="0"/>
        <w:rPr>
          <w:rFonts w:hint="eastAsia" w:ascii="宋体" w:hAnsi="宋体"/>
          <w:szCs w:val="24"/>
        </w:rPr>
      </w:pPr>
      <w:r>
        <w:rPr>
          <w:rFonts w:hint="eastAsia" w:ascii="宋体" w:hAnsi="宋体"/>
          <w:szCs w:val="24"/>
        </w:rPr>
        <w:t>9.3在仲裁和诉讼期间，除正在进行裁定的部分外，本合同其他部分应继续执行。</w:t>
      </w:r>
    </w:p>
    <w:p>
      <w:pPr>
        <w:spacing w:line="440" w:lineRule="exact"/>
        <w:jc w:val="left"/>
        <w:rPr>
          <w:rFonts w:hint="eastAsia" w:ascii="宋体" w:hAnsi="宋体"/>
          <w:sz w:val="24"/>
        </w:rPr>
      </w:pPr>
      <w:r>
        <w:rPr>
          <w:rFonts w:hint="eastAsia" w:ascii="宋体" w:hAnsi="宋体"/>
          <w:sz w:val="24"/>
        </w:rPr>
        <w:t>9.4合同应在双方签字盖章，采购人收到中标供应商提供的履约保证金后开始生效。</w:t>
      </w:r>
    </w:p>
    <w:p>
      <w:pPr>
        <w:spacing w:line="440" w:lineRule="exact"/>
        <w:rPr>
          <w:rFonts w:hint="eastAsia" w:ascii="宋体" w:hAnsi="宋体"/>
          <w:color w:val="000000"/>
          <w:sz w:val="24"/>
        </w:rPr>
      </w:pPr>
      <w:r>
        <w:rPr>
          <w:rFonts w:hint="eastAsia" w:ascii="宋体" w:hAnsi="宋体"/>
          <w:sz w:val="24"/>
        </w:rPr>
        <w:t>（注：在正式签约时，根据上述精神应拟就更为详尽的合同书）</w:t>
      </w:r>
    </w:p>
    <w:p>
      <w:pPr>
        <w:pStyle w:val="25"/>
        <w:spacing w:line="800" w:lineRule="exact"/>
        <w:jc w:val="center"/>
        <w:rPr>
          <w:rFonts w:hint="eastAsia" w:hAnsi="宋体"/>
          <w:b/>
          <w:color w:val="000000"/>
          <w:sz w:val="36"/>
          <w:szCs w:val="36"/>
        </w:rPr>
      </w:pPr>
      <w:r>
        <w:rPr>
          <w:rFonts w:hint="eastAsia" w:hAnsi="宋体"/>
          <w:b/>
          <w:color w:val="000000"/>
          <w:sz w:val="36"/>
          <w:szCs w:val="36"/>
        </w:rPr>
        <w:t xml:space="preserve">第五部分  </w:t>
      </w:r>
      <w:r>
        <w:rPr>
          <w:rFonts w:hint="eastAsia" w:hAnsi="宋体"/>
          <w:b/>
          <w:sz w:val="36"/>
          <w:szCs w:val="36"/>
        </w:rPr>
        <w:t>评标方法及标准</w:t>
      </w:r>
    </w:p>
    <w:p>
      <w:pPr>
        <w:spacing w:line="440" w:lineRule="exact"/>
        <w:jc w:val="left"/>
        <w:rPr>
          <w:rFonts w:hint="eastAsia" w:ascii="宋体" w:hAnsi="宋体"/>
          <w:b/>
          <w:sz w:val="24"/>
        </w:rPr>
      </w:pPr>
      <w:r>
        <w:rPr>
          <w:rFonts w:hint="eastAsia" w:ascii="宋体" w:hAnsi="宋体"/>
          <w:b/>
          <w:sz w:val="24"/>
        </w:rPr>
        <w:t>1、评标方法：</w:t>
      </w:r>
    </w:p>
    <w:p>
      <w:pPr>
        <w:spacing w:line="440" w:lineRule="exact"/>
        <w:ind w:firstLine="480" w:firstLineChars="200"/>
        <w:jc w:val="left"/>
        <w:rPr>
          <w:rFonts w:hint="eastAsia" w:ascii="宋体" w:hAnsi="宋体"/>
          <w:b/>
          <w:sz w:val="24"/>
        </w:rPr>
      </w:pPr>
      <w:r>
        <w:rPr>
          <w:rFonts w:hint="eastAsia" w:ascii="宋体" w:hAnsi="宋体"/>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jc w:val="left"/>
        <w:rPr>
          <w:rFonts w:hint="eastAsia" w:ascii="宋体" w:hAnsi="宋体"/>
          <w:sz w:val="24"/>
        </w:rPr>
      </w:pPr>
      <w:r>
        <w:rPr>
          <w:rFonts w:hint="eastAsia" w:ascii="宋体" w:hAnsi="宋体"/>
          <w:b/>
          <w:sz w:val="24"/>
        </w:rPr>
        <w:t>2.评分标准：</w:t>
      </w:r>
      <w:r>
        <w:rPr>
          <w:rFonts w:hint="eastAsia" w:ascii="宋体" w:hAnsi="宋体"/>
          <w:sz w:val="24"/>
        </w:rPr>
        <w:t>共100分，其中技术分70分，价格分30分。评分依下述所列为评标打分依据，分值如下（本次评标评委由5人及以上单数组成，计算技术分时，按其算术平均值保留小数点后2位）。</w:t>
      </w:r>
    </w:p>
    <w:p>
      <w:pPr>
        <w:spacing w:line="440" w:lineRule="exact"/>
        <w:rPr>
          <w:rFonts w:hint="eastAsia" w:ascii="宋体" w:hAnsi="宋体"/>
          <w:b/>
          <w:bCs/>
          <w:iCs/>
          <w:sz w:val="24"/>
        </w:rPr>
      </w:pPr>
      <w:r>
        <w:rPr>
          <w:rFonts w:hint="eastAsia" w:ascii="宋体" w:hAnsi="宋体"/>
          <w:b/>
          <w:bCs/>
          <w:iCs/>
          <w:sz w:val="24"/>
        </w:rPr>
        <w:t>2.1.技术分（70分）</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559"/>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spacing w:line="360" w:lineRule="auto"/>
              <w:jc w:val="center"/>
              <w:rPr>
                <w:rFonts w:hint="eastAsia"/>
              </w:rPr>
            </w:pPr>
            <w:r>
              <w:rPr>
                <w:rFonts w:hint="eastAsia"/>
              </w:rPr>
              <w:t>评分项目</w:t>
            </w:r>
          </w:p>
        </w:tc>
        <w:tc>
          <w:tcPr>
            <w:tcW w:w="1559" w:type="dxa"/>
            <w:noWrap w:val="0"/>
            <w:vAlign w:val="center"/>
          </w:tcPr>
          <w:p>
            <w:pPr>
              <w:spacing w:line="360" w:lineRule="auto"/>
              <w:jc w:val="center"/>
              <w:rPr>
                <w:rFonts w:hint="eastAsia"/>
              </w:rPr>
            </w:pPr>
            <w:r>
              <w:rPr>
                <w:rFonts w:hint="eastAsia"/>
              </w:rPr>
              <w:t>评分项目</w:t>
            </w:r>
          </w:p>
        </w:tc>
        <w:tc>
          <w:tcPr>
            <w:tcW w:w="6015" w:type="dxa"/>
            <w:noWrap w:val="0"/>
            <w:vAlign w:val="top"/>
          </w:tcPr>
          <w:p>
            <w:pPr>
              <w:spacing w:line="360" w:lineRule="auto"/>
              <w:jc w:val="center"/>
              <w:rPr>
                <w:rFonts w:hint="eastAsia"/>
              </w:rPr>
            </w:pPr>
            <w:r>
              <w:rPr>
                <w:rFonts w:hint="eastAsia"/>
              </w:rPr>
              <w:t>评分细则</w:t>
            </w:r>
          </w:p>
        </w:tc>
      </w:tr>
      <w:bookmarkEnd w:id="3"/>
      <w:bookmarkEnd w:id="4"/>
      <w:bookmarkEnd w:id="5"/>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pPr>
              <w:spacing w:line="360" w:lineRule="auto"/>
              <w:jc w:val="center"/>
            </w:pPr>
            <w:r>
              <w:rPr>
                <w:rFonts w:hint="eastAsia"/>
              </w:rPr>
              <w:t>商务部分</w:t>
            </w:r>
          </w:p>
          <w:p>
            <w:pPr>
              <w:spacing w:line="360" w:lineRule="auto"/>
              <w:jc w:val="center"/>
              <w:rPr>
                <w:rFonts w:hint="eastAsia"/>
              </w:rPr>
            </w:pPr>
            <w:r>
              <w:rPr>
                <w:rFonts w:hint="eastAsia"/>
              </w:rPr>
              <w:t>（22分）</w:t>
            </w:r>
          </w:p>
        </w:tc>
        <w:tc>
          <w:tcPr>
            <w:tcW w:w="1559" w:type="dxa"/>
            <w:vMerge w:val="restart"/>
            <w:noWrap w:val="0"/>
            <w:vAlign w:val="center"/>
          </w:tcPr>
          <w:p>
            <w:pPr>
              <w:spacing w:line="360" w:lineRule="auto"/>
              <w:jc w:val="center"/>
              <w:rPr>
                <w:rFonts w:hint="eastAsia"/>
              </w:rPr>
            </w:pPr>
            <w:r>
              <w:rPr>
                <w:rFonts w:hint="eastAsia"/>
              </w:rPr>
              <w:t>软件供应商整体技术实力评价（13分）</w:t>
            </w:r>
          </w:p>
        </w:tc>
        <w:tc>
          <w:tcPr>
            <w:tcW w:w="6015" w:type="dxa"/>
            <w:noWrap w:val="0"/>
            <w:vAlign w:val="top"/>
          </w:tcPr>
          <w:p>
            <w:pPr>
              <w:spacing w:line="360" w:lineRule="auto"/>
              <w:rPr>
                <w:rFonts w:hint="eastAsia"/>
              </w:rPr>
            </w:pPr>
            <w:r>
              <w:rPr>
                <w:rFonts w:hint="eastAsia"/>
              </w:rPr>
              <w:t>投标人具有ISO9001、ISO14001、ISO20000认证，认证范围须为医疗行业，全部满足得5分，每缺少一项扣2分，扣完为止。(相关证明文件标书内提供复印件加盖公章，原件备查，不提供不得分。)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pPr>
              <w:spacing w:line="360" w:lineRule="auto"/>
              <w:rPr>
                <w:rFonts w:hint="eastAsia"/>
              </w:rPr>
            </w:pPr>
          </w:p>
        </w:tc>
        <w:tc>
          <w:tcPr>
            <w:tcW w:w="1559" w:type="dxa"/>
            <w:vMerge w:val="continue"/>
            <w:noWrap w:val="0"/>
            <w:vAlign w:val="center"/>
          </w:tcPr>
          <w:p>
            <w:pPr>
              <w:spacing w:line="360" w:lineRule="auto"/>
              <w:jc w:val="center"/>
              <w:rPr>
                <w:rFonts w:hint="eastAsia"/>
              </w:rPr>
            </w:pPr>
          </w:p>
        </w:tc>
        <w:tc>
          <w:tcPr>
            <w:tcW w:w="6015" w:type="dxa"/>
            <w:noWrap w:val="0"/>
            <w:vAlign w:val="top"/>
          </w:tcPr>
          <w:p>
            <w:pPr>
              <w:spacing w:line="360" w:lineRule="auto"/>
              <w:rPr>
                <w:rFonts w:hint="eastAsia"/>
              </w:rPr>
            </w:pPr>
            <w:r>
              <w:rPr>
                <w:rFonts w:hint="eastAsia"/>
              </w:rPr>
              <w:t>投标人具有有效期内的软件能力成熟度（CMMI资质）资质，具有CMMI5的得2分，CMMI4得1分，其余不得分。(相关证明文件标书内提供复印件加盖公章，原件备查，不提供不得分)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pPr>
              <w:spacing w:line="360" w:lineRule="auto"/>
              <w:rPr>
                <w:rFonts w:hint="eastAsia"/>
              </w:rPr>
            </w:pPr>
          </w:p>
        </w:tc>
        <w:tc>
          <w:tcPr>
            <w:tcW w:w="1559" w:type="dxa"/>
            <w:vMerge w:val="continue"/>
            <w:noWrap w:val="0"/>
            <w:vAlign w:val="center"/>
          </w:tcPr>
          <w:p>
            <w:pPr>
              <w:spacing w:line="360" w:lineRule="auto"/>
              <w:jc w:val="center"/>
              <w:rPr>
                <w:rFonts w:hint="eastAsia"/>
              </w:rPr>
            </w:pPr>
          </w:p>
        </w:tc>
        <w:tc>
          <w:tcPr>
            <w:tcW w:w="6015" w:type="dxa"/>
            <w:noWrap w:val="0"/>
            <w:vAlign w:val="top"/>
          </w:tcPr>
          <w:p>
            <w:pPr>
              <w:spacing w:line="360" w:lineRule="auto"/>
              <w:rPr>
                <w:rFonts w:hint="eastAsia"/>
              </w:rPr>
            </w:pPr>
            <w:r>
              <w:rPr>
                <w:rFonts w:hint="eastAsia"/>
              </w:rPr>
              <w:t>投标人具有有效期内的，省级或以上高新技术企业认证证书，完全满足得1分。(相关证明文件标书内提供复印件加盖公章，原件备查，不提供不得分)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pPr>
              <w:spacing w:line="360" w:lineRule="auto"/>
              <w:rPr>
                <w:rFonts w:hint="eastAsia"/>
              </w:rPr>
            </w:pPr>
          </w:p>
        </w:tc>
        <w:tc>
          <w:tcPr>
            <w:tcW w:w="1559" w:type="dxa"/>
            <w:vMerge w:val="continue"/>
            <w:noWrap w:val="0"/>
            <w:vAlign w:val="center"/>
          </w:tcPr>
          <w:p>
            <w:pPr>
              <w:spacing w:line="360" w:lineRule="auto"/>
              <w:jc w:val="center"/>
              <w:rPr>
                <w:rFonts w:hint="eastAsia"/>
              </w:rPr>
            </w:pPr>
          </w:p>
        </w:tc>
        <w:tc>
          <w:tcPr>
            <w:tcW w:w="6015" w:type="dxa"/>
            <w:noWrap w:val="0"/>
            <w:vAlign w:val="top"/>
          </w:tcPr>
          <w:p>
            <w:pPr>
              <w:spacing w:line="360" w:lineRule="auto"/>
              <w:rPr>
                <w:rFonts w:hint="eastAsia"/>
              </w:rPr>
            </w:pPr>
            <w:r>
              <w:rPr>
                <w:rFonts w:hint="eastAsia"/>
              </w:rPr>
              <w:t>投标人具有15年以上的医疗卫生信息系统开发和项目实施经验，得2分；10-15年得1分；其余不得分。标书内须提供医疗卫生信息系统相关产品软件登记证书和医疗卫生信息系统项目合同复印件，否则不得分。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pPr>
              <w:spacing w:line="360" w:lineRule="auto"/>
              <w:rPr>
                <w:rFonts w:hint="eastAsia"/>
              </w:rPr>
            </w:pPr>
          </w:p>
        </w:tc>
        <w:tc>
          <w:tcPr>
            <w:tcW w:w="1559" w:type="dxa"/>
            <w:vMerge w:val="continue"/>
            <w:noWrap w:val="0"/>
            <w:vAlign w:val="center"/>
          </w:tcPr>
          <w:p>
            <w:pPr>
              <w:spacing w:line="360" w:lineRule="auto"/>
              <w:jc w:val="center"/>
              <w:rPr>
                <w:rFonts w:hint="eastAsia"/>
              </w:rPr>
            </w:pPr>
          </w:p>
        </w:tc>
        <w:tc>
          <w:tcPr>
            <w:tcW w:w="6015" w:type="dxa"/>
            <w:noWrap w:val="0"/>
            <w:vAlign w:val="top"/>
          </w:tcPr>
          <w:p>
            <w:pPr>
              <w:spacing w:line="360" w:lineRule="auto"/>
              <w:rPr>
                <w:rFonts w:hint="eastAsia"/>
              </w:rPr>
            </w:pPr>
            <w:r>
              <w:rPr>
                <w:rFonts w:hint="eastAsia"/>
              </w:rPr>
              <w:t>投标人连续三年具有AAA信用等级认证（信用等级须由经省级或以上社会信用管理部门备案认可的信用评级机构评定）得3分。(相关证明文件标书内提供复印件加盖公章，原件备查，不提供不得分)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pPr>
              <w:spacing w:line="360" w:lineRule="auto"/>
              <w:rPr>
                <w:rFonts w:hint="eastAsia"/>
              </w:rPr>
            </w:pPr>
          </w:p>
        </w:tc>
        <w:tc>
          <w:tcPr>
            <w:tcW w:w="1559" w:type="dxa"/>
            <w:noWrap w:val="0"/>
            <w:vAlign w:val="center"/>
          </w:tcPr>
          <w:p>
            <w:pPr>
              <w:spacing w:line="360" w:lineRule="auto"/>
              <w:jc w:val="center"/>
              <w:rPr>
                <w:rFonts w:hint="eastAsia"/>
              </w:rPr>
            </w:pPr>
            <w:r>
              <w:rPr>
                <w:rFonts w:hint="eastAsia"/>
              </w:rPr>
              <w:t>市场地位（3分）</w:t>
            </w:r>
          </w:p>
        </w:tc>
        <w:tc>
          <w:tcPr>
            <w:tcW w:w="6015" w:type="dxa"/>
            <w:noWrap w:val="0"/>
            <w:vAlign w:val="top"/>
          </w:tcPr>
          <w:p>
            <w:pPr>
              <w:spacing w:line="360" w:lineRule="auto"/>
              <w:rPr>
                <w:rFonts w:hint="eastAsia"/>
              </w:rPr>
            </w:pPr>
            <w:r>
              <w:rPr>
                <w:rFonts w:hint="eastAsia"/>
              </w:rPr>
              <w:t>投标人被市级或以上政府主管部门批准成立技术中心、研发中心、工程中心、产品中心，满足一项得1分，最高得3分。须提供市级或以上政府相关部门批准文件复印件加盖公章，否则不得分。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pPr>
              <w:spacing w:line="360" w:lineRule="auto"/>
              <w:rPr>
                <w:rFonts w:hint="eastAsia"/>
              </w:rPr>
            </w:pPr>
          </w:p>
        </w:tc>
        <w:tc>
          <w:tcPr>
            <w:tcW w:w="1559" w:type="dxa"/>
            <w:noWrap w:val="0"/>
            <w:vAlign w:val="center"/>
          </w:tcPr>
          <w:p>
            <w:pPr>
              <w:spacing w:line="360" w:lineRule="auto"/>
              <w:jc w:val="center"/>
              <w:rPr>
                <w:rFonts w:hint="eastAsia"/>
              </w:rPr>
            </w:pPr>
            <w:r>
              <w:rPr>
                <w:rFonts w:hint="eastAsia"/>
              </w:rPr>
              <w:t>软件供应商项目业绩（6分）</w:t>
            </w:r>
          </w:p>
        </w:tc>
        <w:tc>
          <w:tcPr>
            <w:tcW w:w="6015" w:type="dxa"/>
            <w:noWrap w:val="0"/>
            <w:vAlign w:val="top"/>
          </w:tcPr>
          <w:p>
            <w:pPr>
              <w:spacing w:line="360" w:lineRule="auto"/>
              <w:rPr>
                <w:rFonts w:hint="eastAsia"/>
              </w:rPr>
            </w:pPr>
            <w:r>
              <w:rPr>
                <w:rFonts w:hint="eastAsia"/>
              </w:rPr>
              <w:t>投标人2016年1月1日（以签订合同时间为准）以来类似相关案例，需提供项目合同复印件，每提供一个项目得2分，最高得6分。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384" w:type="dxa"/>
            <w:noWrap w:val="0"/>
            <w:vAlign w:val="center"/>
          </w:tcPr>
          <w:p>
            <w:pPr>
              <w:spacing w:line="360" w:lineRule="auto"/>
              <w:jc w:val="center"/>
              <w:rPr>
                <w:rFonts w:hint="eastAsia"/>
              </w:rPr>
            </w:pPr>
            <w:r>
              <w:rPr>
                <w:rFonts w:hint="eastAsia"/>
              </w:rPr>
              <w:t>技术部分（30分）</w:t>
            </w:r>
          </w:p>
        </w:tc>
        <w:tc>
          <w:tcPr>
            <w:tcW w:w="1559" w:type="dxa"/>
            <w:noWrap w:val="0"/>
            <w:vAlign w:val="center"/>
          </w:tcPr>
          <w:p>
            <w:pPr>
              <w:spacing w:line="360" w:lineRule="auto"/>
              <w:jc w:val="center"/>
              <w:rPr>
                <w:rFonts w:hint="eastAsia"/>
              </w:rPr>
            </w:pPr>
            <w:r>
              <w:rPr>
                <w:rFonts w:hint="eastAsia"/>
              </w:rPr>
              <w:t>针对本项目所提供的项目整体解决方案设计（30分）</w:t>
            </w:r>
          </w:p>
        </w:tc>
        <w:tc>
          <w:tcPr>
            <w:tcW w:w="6015" w:type="dxa"/>
            <w:noWrap w:val="0"/>
            <w:vAlign w:val="top"/>
          </w:tcPr>
          <w:p>
            <w:pPr>
              <w:spacing w:line="360" w:lineRule="auto"/>
            </w:pPr>
            <w:r>
              <w:rPr>
                <w:rFonts w:hint="eastAsia"/>
              </w:rPr>
              <w:t>投标人对本项目建设背景、系统现状具有充分了解，并能理解本项目建设需求和目标；投标方案总体设计科学，充分理解本次项目的业务需求，技术路线清晰可行，并提出规范合理的总体设计方案，能满足业主方需求。评委根据投标方案内容进行酌情打分。</w:t>
            </w:r>
          </w:p>
          <w:p>
            <w:pPr>
              <w:spacing w:line="360" w:lineRule="auto"/>
            </w:pPr>
            <w:r>
              <w:rPr>
                <w:rFonts w:hint="eastAsia"/>
              </w:rPr>
              <w:t>优（30.0-20.1分）：对项目实际情况、业务现状了解清晰，投标方案总体设计科学、技术路线清晰可行，满足业主方需求。</w:t>
            </w:r>
          </w:p>
          <w:p>
            <w:pPr>
              <w:spacing w:line="360" w:lineRule="auto"/>
            </w:pPr>
            <w:r>
              <w:rPr>
                <w:rFonts w:hint="eastAsia"/>
              </w:rPr>
              <w:t>良（20.0-10.1分）：对项目实际情况、业务现状有一定了解，能提出总体设计方案。</w:t>
            </w:r>
          </w:p>
          <w:p>
            <w:pPr>
              <w:spacing w:line="360" w:lineRule="auto"/>
              <w:rPr>
                <w:rFonts w:hint="eastAsia"/>
              </w:rPr>
            </w:pPr>
            <w:r>
              <w:rPr>
                <w:rFonts w:hint="eastAsia"/>
              </w:rPr>
              <w:t>一般（10.0-0分）：对项目实际情况、业务现状了解一般，总体设计方案一般。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1384" w:type="dxa"/>
            <w:noWrap w:val="0"/>
            <w:vAlign w:val="center"/>
          </w:tcPr>
          <w:p>
            <w:pPr>
              <w:spacing w:line="360" w:lineRule="auto"/>
              <w:jc w:val="center"/>
              <w:rPr>
                <w:rFonts w:hint="eastAsia"/>
              </w:rPr>
            </w:pPr>
            <w:r>
              <w:rPr>
                <w:rFonts w:hint="eastAsia"/>
              </w:rPr>
              <w:t>信息安全方案（3分）</w:t>
            </w:r>
          </w:p>
        </w:tc>
        <w:tc>
          <w:tcPr>
            <w:tcW w:w="1559" w:type="dxa"/>
            <w:noWrap w:val="0"/>
            <w:vAlign w:val="center"/>
          </w:tcPr>
          <w:p>
            <w:pPr>
              <w:spacing w:line="360" w:lineRule="auto"/>
              <w:jc w:val="center"/>
              <w:rPr>
                <w:rFonts w:hint="eastAsia"/>
              </w:rPr>
            </w:pPr>
            <w:r>
              <w:rPr>
                <w:rFonts w:hint="eastAsia"/>
              </w:rPr>
              <w:t>针对本项目提供信息安全整体方案（3分）</w:t>
            </w:r>
          </w:p>
        </w:tc>
        <w:tc>
          <w:tcPr>
            <w:tcW w:w="6015" w:type="dxa"/>
            <w:noWrap w:val="0"/>
            <w:vAlign w:val="top"/>
          </w:tcPr>
          <w:p>
            <w:pPr>
              <w:spacing w:line="360" w:lineRule="auto"/>
            </w:pPr>
            <w:r>
              <w:rPr>
                <w:rFonts w:hint="eastAsia"/>
              </w:rPr>
              <w:t>系统安全性设计思路清晰、安全体系架构设计合理，对系统的应用安全、隐私保护方面提出了切实可行的措施和解决方案。评委根据投标方案内容进行酌情打分。</w:t>
            </w:r>
          </w:p>
          <w:p>
            <w:pPr>
              <w:spacing w:line="360" w:lineRule="auto"/>
            </w:pPr>
            <w:r>
              <w:rPr>
                <w:rFonts w:hint="eastAsia"/>
              </w:rPr>
              <w:t>优（3分）：系统安全性设计思路清晰、安全体系架构设计合理，对系统的应用安全、隐私保护方面提出了切实可行的措施和解决方案；</w:t>
            </w:r>
          </w:p>
          <w:p>
            <w:pPr>
              <w:spacing w:line="360" w:lineRule="auto"/>
            </w:pPr>
            <w:r>
              <w:rPr>
                <w:rFonts w:hint="eastAsia"/>
              </w:rPr>
              <w:t>良（2分）：系统安全性设计思路较清晰、安全体系架构设计较合理，对系统的应用安全、隐私保护方面提出了的措施和解决方案基本可行；</w:t>
            </w:r>
          </w:p>
          <w:p>
            <w:pPr>
              <w:spacing w:line="360" w:lineRule="auto"/>
              <w:rPr>
                <w:rFonts w:hint="eastAsia"/>
              </w:rPr>
            </w:pPr>
            <w:r>
              <w:rPr>
                <w:rFonts w:hint="eastAsia"/>
              </w:rPr>
              <w:t>一般（1分）：系统安全性设计思路一般、安全体系架构设计一般，对系统的应用安全、隐私保护方面提出了的措施和解决方案。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pPr>
              <w:spacing w:line="360" w:lineRule="auto"/>
              <w:jc w:val="center"/>
              <w:rPr>
                <w:rFonts w:hint="eastAsia"/>
              </w:rPr>
            </w:pPr>
            <w:r>
              <w:rPr>
                <w:rFonts w:hint="eastAsia"/>
              </w:rPr>
              <w:t>项目实施、售后、培训方案（15分）</w:t>
            </w:r>
          </w:p>
        </w:tc>
        <w:tc>
          <w:tcPr>
            <w:tcW w:w="1559" w:type="dxa"/>
            <w:noWrap w:val="0"/>
            <w:vAlign w:val="center"/>
          </w:tcPr>
          <w:p>
            <w:pPr>
              <w:spacing w:line="360" w:lineRule="auto"/>
              <w:jc w:val="center"/>
            </w:pPr>
            <w:r>
              <w:rPr>
                <w:rFonts w:hint="eastAsia"/>
              </w:rPr>
              <w:t>实施方案</w:t>
            </w:r>
          </w:p>
          <w:p>
            <w:pPr>
              <w:spacing w:line="360" w:lineRule="auto"/>
              <w:jc w:val="center"/>
            </w:pPr>
            <w:r>
              <w:rPr>
                <w:rFonts w:hint="eastAsia"/>
              </w:rPr>
              <w:t>（3分）</w:t>
            </w:r>
          </w:p>
        </w:tc>
        <w:tc>
          <w:tcPr>
            <w:tcW w:w="6015" w:type="dxa"/>
            <w:noWrap w:val="0"/>
            <w:vAlign w:val="center"/>
          </w:tcPr>
          <w:p>
            <w:pPr>
              <w:spacing w:line="360" w:lineRule="auto"/>
            </w:pPr>
            <w:r>
              <w:rPr>
                <w:rFonts w:hint="eastAsia"/>
              </w:rPr>
              <w:t>投标人具有成熟可靠的项目实施能力，提供可行的项目实施方案，能保证项目正常实施并如期上线运行。评价优得3.0-2.1分，良得2.0-1.1分，一般得1.0-0分，差不得分。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pPr>
              <w:spacing w:line="360" w:lineRule="auto"/>
              <w:rPr>
                <w:rFonts w:hint="eastAsia"/>
              </w:rPr>
            </w:pPr>
          </w:p>
        </w:tc>
        <w:tc>
          <w:tcPr>
            <w:tcW w:w="1559" w:type="dxa"/>
            <w:vMerge w:val="restart"/>
            <w:noWrap w:val="0"/>
            <w:vAlign w:val="center"/>
          </w:tcPr>
          <w:p>
            <w:pPr>
              <w:spacing w:line="360" w:lineRule="auto"/>
              <w:jc w:val="center"/>
            </w:pPr>
            <w:r>
              <w:rPr>
                <w:rFonts w:hint="eastAsia"/>
              </w:rPr>
              <w:t>项目人员配备</w:t>
            </w:r>
          </w:p>
          <w:p>
            <w:pPr>
              <w:spacing w:line="360" w:lineRule="auto"/>
              <w:jc w:val="center"/>
              <w:rPr>
                <w:rFonts w:hint="eastAsia"/>
              </w:rPr>
            </w:pPr>
            <w:r>
              <w:rPr>
                <w:rFonts w:hint="eastAsia"/>
              </w:rPr>
              <w:t>（5分）</w:t>
            </w:r>
          </w:p>
        </w:tc>
        <w:tc>
          <w:tcPr>
            <w:tcW w:w="6015" w:type="dxa"/>
            <w:noWrap w:val="0"/>
            <w:vAlign w:val="center"/>
          </w:tcPr>
          <w:p>
            <w:pPr>
              <w:spacing w:line="360" w:lineRule="auto"/>
            </w:pPr>
            <w:r>
              <w:rPr>
                <w:rFonts w:hint="eastAsia"/>
              </w:rPr>
              <w:t>投标人拟派的项目经理（项目负责人）具有高级信息系统项目管理师证书，且需具有担任医院信息系统建设项目的项目经理经验。满足得3分，否则不得分。须提供近一</w:t>
            </w:r>
            <w:r>
              <w:t>年的</w:t>
            </w:r>
            <w:r>
              <w:rPr>
                <w:rFonts w:hint="eastAsia"/>
              </w:rPr>
              <w:t>社保证明、资质证书及用户出具的证明文件。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pPr>
              <w:spacing w:line="360" w:lineRule="auto"/>
              <w:rPr>
                <w:rFonts w:hint="eastAsia"/>
              </w:rPr>
            </w:pPr>
          </w:p>
        </w:tc>
        <w:tc>
          <w:tcPr>
            <w:tcW w:w="1559" w:type="dxa"/>
            <w:vMerge w:val="continue"/>
            <w:noWrap w:val="0"/>
            <w:vAlign w:val="center"/>
          </w:tcPr>
          <w:p>
            <w:pPr>
              <w:spacing w:line="360" w:lineRule="auto"/>
              <w:jc w:val="center"/>
              <w:rPr>
                <w:rFonts w:hint="eastAsia"/>
              </w:rPr>
            </w:pPr>
          </w:p>
        </w:tc>
        <w:tc>
          <w:tcPr>
            <w:tcW w:w="6015" w:type="dxa"/>
            <w:noWrap w:val="0"/>
            <w:vAlign w:val="center"/>
          </w:tcPr>
          <w:p>
            <w:pPr>
              <w:spacing w:line="360" w:lineRule="auto"/>
            </w:pPr>
            <w:r>
              <w:rPr>
                <w:rFonts w:hint="eastAsia"/>
              </w:rPr>
              <w:t>项目小组其他成员组成包括1名高级程序员作为技术支持、1名信息安全工程师作为项目实施团队。需提供个人资质证书和在公司任职的社保缴纳证明。完全满足得2分，每缺少一项人员资质扣一分，扣完为止。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pPr>
              <w:spacing w:line="360" w:lineRule="auto"/>
              <w:rPr>
                <w:rFonts w:hint="eastAsia"/>
              </w:rPr>
            </w:pPr>
          </w:p>
        </w:tc>
        <w:tc>
          <w:tcPr>
            <w:tcW w:w="1559" w:type="dxa"/>
            <w:vMerge w:val="restart"/>
            <w:noWrap w:val="0"/>
            <w:vAlign w:val="center"/>
          </w:tcPr>
          <w:p>
            <w:pPr>
              <w:spacing w:line="360" w:lineRule="auto"/>
              <w:jc w:val="center"/>
            </w:pPr>
            <w:r>
              <w:rPr>
                <w:rFonts w:hint="eastAsia"/>
              </w:rPr>
              <w:t>售后服务</w:t>
            </w:r>
          </w:p>
          <w:p>
            <w:pPr>
              <w:spacing w:line="360" w:lineRule="auto"/>
              <w:jc w:val="center"/>
              <w:rPr>
                <w:rFonts w:hint="eastAsia"/>
              </w:rPr>
            </w:pPr>
            <w:r>
              <w:rPr>
                <w:rFonts w:hint="eastAsia"/>
              </w:rPr>
              <w:t>（4分）</w:t>
            </w:r>
          </w:p>
        </w:tc>
        <w:tc>
          <w:tcPr>
            <w:tcW w:w="6015" w:type="dxa"/>
            <w:noWrap w:val="0"/>
            <w:vAlign w:val="center"/>
          </w:tcPr>
          <w:p>
            <w:pPr>
              <w:spacing w:line="360" w:lineRule="auto"/>
            </w:pPr>
            <w:r>
              <w:rPr>
                <w:rFonts w:hint="eastAsia"/>
              </w:rPr>
              <w:t>1、投标人能够确保项目售后服务质量，提供可行可靠的售后服务方案。须提供售后服务承诺。评委根据投标方案内容进行酌情打分。最高3分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pPr>
              <w:spacing w:line="360" w:lineRule="auto"/>
              <w:rPr>
                <w:rFonts w:hint="eastAsia"/>
              </w:rPr>
            </w:pPr>
          </w:p>
        </w:tc>
        <w:tc>
          <w:tcPr>
            <w:tcW w:w="1559" w:type="dxa"/>
            <w:vMerge w:val="continue"/>
            <w:noWrap w:val="0"/>
            <w:vAlign w:val="center"/>
          </w:tcPr>
          <w:p>
            <w:pPr>
              <w:spacing w:line="360" w:lineRule="auto"/>
              <w:jc w:val="center"/>
              <w:rPr>
                <w:rFonts w:hint="eastAsia"/>
              </w:rPr>
            </w:pPr>
          </w:p>
        </w:tc>
        <w:tc>
          <w:tcPr>
            <w:tcW w:w="6015" w:type="dxa"/>
            <w:noWrap w:val="0"/>
            <w:vAlign w:val="center"/>
          </w:tcPr>
          <w:p>
            <w:pPr>
              <w:spacing w:line="360" w:lineRule="auto"/>
            </w:pPr>
            <w:r>
              <w:rPr>
                <w:rFonts w:hint="eastAsia"/>
              </w:rPr>
              <w:t>2、投标人具有良好的信息系统维护服务体系，并具有有效期内的信息技术服务运行维护标准符合性证书（ITSS）成熟度等级2级或以上，能提供快速有效的售后维护服务，满足得1分。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pPr>
              <w:spacing w:line="360" w:lineRule="auto"/>
              <w:rPr>
                <w:rFonts w:hint="eastAsia"/>
              </w:rPr>
            </w:pPr>
          </w:p>
        </w:tc>
        <w:tc>
          <w:tcPr>
            <w:tcW w:w="1559" w:type="dxa"/>
            <w:noWrap w:val="0"/>
            <w:vAlign w:val="center"/>
          </w:tcPr>
          <w:p>
            <w:pPr>
              <w:spacing w:line="360" w:lineRule="auto"/>
              <w:jc w:val="center"/>
            </w:pPr>
            <w:r>
              <w:rPr>
                <w:rFonts w:hint="eastAsia"/>
              </w:rPr>
              <w:t>培训方案</w:t>
            </w:r>
          </w:p>
          <w:p>
            <w:pPr>
              <w:spacing w:line="360" w:lineRule="auto"/>
              <w:jc w:val="center"/>
            </w:pPr>
            <w:r>
              <w:rPr>
                <w:rFonts w:hint="eastAsia"/>
              </w:rPr>
              <w:t>（3分）</w:t>
            </w:r>
          </w:p>
        </w:tc>
        <w:tc>
          <w:tcPr>
            <w:tcW w:w="6015" w:type="dxa"/>
            <w:noWrap w:val="0"/>
            <w:vAlign w:val="center"/>
          </w:tcPr>
          <w:p>
            <w:pPr>
              <w:spacing w:line="360" w:lineRule="auto"/>
            </w:pPr>
            <w:r>
              <w:rPr>
                <w:rFonts w:hint="eastAsia"/>
              </w:rPr>
              <w:t>投标人具有稳定可靠的培训，根据所提供的项目培训打分，评价优得3分，良得2分，一般得1分，差不得分。</w:t>
            </w:r>
          </w:p>
        </w:tc>
      </w:tr>
    </w:tbl>
    <w:p>
      <w:pPr>
        <w:spacing w:line="360" w:lineRule="auto"/>
        <w:rPr>
          <w:rFonts w:ascii="宋体" w:hAnsi="宋体" w:cs="仿宋"/>
          <w:b/>
          <w:sz w:val="24"/>
        </w:rPr>
      </w:pPr>
      <w:r>
        <w:rPr>
          <w:rFonts w:hint="eastAsia" w:ascii="宋体" w:hAnsi="宋体" w:cs="仿宋"/>
          <w:b/>
          <w:sz w:val="24"/>
        </w:rPr>
        <w:t>注：</w:t>
      </w:r>
    </w:p>
    <w:p>
      <w:pPr>
        <w:spacing w:line="360" w:lineRule="auto"/>
        <w:rPr>
          <w:rFonts w:ascii="宋体" w:hAnsi="宋体" w:cs="仿宋"/>
          <w:b/>
          <w:sz w:val="24"/>
        </w:rPr>
      </w:pPr>
      <w:r>
        <w:rPr>
          <w:rFonts w:hint="eastAsia" w:ascii="宋体" w:hAnsi="宋体" w:cs="仿宋"/>
          <w:b/>
          <w:sz w:val="24"/>
        </w:rPr>
        <w:t>（1）所有证书均需在有效期内，否则不得分。</w:t>
      </w:r>
    </w:p>
    <w:p>
      <w:pPr>
        <w:spacing w:line="440" w:lineRule="exact"/>
        <w:rPr>
          <w:rFonts w:ascii="宋体"/>
          <w:b/>
          <w:bCs/>
          <w:iCs/>
          <w:sz w:val="24"/>
        </w:rPr>
      </w:pPr>
      <w:r>
        <w:rPr>
          <w:rFonts w:ascii="宋体" w:hAnsi="宋体"/>
          <w:b/>
          <w:bCs/>
          <w:iCs/>
          <w:sz w:val="24"/>
        </w:rPr>
        <w:t>2.2</w:t>
      </w:r>
      <w:r>
        <w:rPr>
          <w:rFonts w:hint="eastAsia" w:ascii="宋体" w:hAnsi="宋体"/>
          <w:b/>
          <w:bCs/>
          <w:iCs/>
          <w:sz w:val="24"/>
        </w:rPr>
        <w:t>商务分3</w:t>
      </w:r>
      <w:r>
        <w:rPr>
          <w:rFonts w:ascii="宋体" w:hAnsi="宋体"/>
          <w:b/>
          <w:bCs/>
          <w:iCs/>
          <w:sz w:val="24"/>
        </w:rPr>
        <w:t>0</w:t>
      </w:r>
      <w:r>
        <w:rPr>
          <w:rFonts w:hint="eastAsia" w:ascii="宋体" w:hAnsi="宋体"/>
          <w:b/>
          <w:bCs/>
          <w:iCs/>
          <w:sz w:val="24"/>
        </w:rPr>
        <w:t>分</w:t>
      </w:r>
    </w:p>
    <w:p>
      <w:pPr>
        <w:spacing w:line="440" w:lineRule="exact"/>
        <w:rPr>
          <w:rFonts w:ascii="宋体"/>
          <w:bCs/>
          <w:iCs/>
          <w:sz w:val="24"/>
        </w:rPr>
      </w:pPr>
      <w:r>
        <w:rPr>
          <w:rFonts w:ascii="宋体" w:hAnsi="宋体"/>
          <w:bCs/>
          <w:iCs/>
          <w:sz w:val="24"/>
        </w:rPr>
        <w:t>2.2.1</w:t>
      </w:r>
      <w:r>
        <w:rPr>
          <w:rFonts w:hint="eastAsia" w:ascii="宋体" w:hAnsi="宋体"/>
          <w:bCs/>
          <w:iCs/>
          <w:sz w:val="24"/>
        </w:rPr>
        <w:t>评标基准价：即满足招标文件要求且投标价格最低的投标报价为评标基准价，其价格分为满分。</w:t>
      </w:r>
    </w:p>
    <w:p>
      <w:pPr>
        <w:spacing w:line="440" w:lineRule="exact"/>
        <w:rPr>
          <w:rFonts w:ascii="宋体"/>
          <w:bCs/>
          <w:iCs/>
          <w:sz w:val="24"/>
        </w:rPr>
      </w:pPr>
      <w:r>
        <w:rPr>
          <w:rFonts w:ascii="宋体" w:hAnsi="宋体"/>
          <w:bCs/>
          <w:iCs/>
          <w:sz w:val="24"/>
        </w:rPr>
        <w:t>2.2.2</w:t>
      </w:r>
      <w:r>
        <w:rPr>
          <w:rFonts w:hint="eastAsia" w:ascii="宋体" w:hAnsi="宋体"/>
          <w:bCs/>
          <w:iCs/>
          <w:sz w:val="24"/>
        </w:rPr>
        <w:t>其他供应商的价格分统一按照下列公式计算：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宋体" w:hAnsi="宋体"/>
          <w:bCs/>
          <w:iCs/>
          <w:sz w:val="24"/>
        </w:rPr>
      </w:pPr>
      <w:r>
        <w:rPr>
          <w:rFonts w:hint="eastAsia" w:ascii="宋体" w:hAnsi="宋体"/>
          <w:bCs/>
          <w:iCs/>
          <w:sz w:val="24"/>
        </w:rPr>
        <w:t>投标报价得分</w:t>
      </w:r>
      <w:r>
        <w:rPr>
          <w:rFonts w:ascii="宋体" w:hAnsi="宋体"/>
          <w:bCs/>
          <w:iCs/>
          <w:sz w:val="24"/>
        </w:rPr>
        <w:t>=(</w:t>
      </w:r>
      <w:r>
        <w:rPr>
          <w:rFonts w:hint="eastAsia" w:ascii="宋体" w:hAnsi="宋体"/>
          <w:bCs/>
          <w:iCs/>
          <w:sz w:val="24"/>
        </w:rPr>
        <w:t>评标基准价／投标报价</w:t>
      </w:r>
      <w:r>
        <w:rPr>
          <w:rFonts w:ascii="宋体" w:hAnsi="宋体"/>
          <w:bCs/>
          <w:iCs/>
          <w:sz w:val="24"/>
        </w:rPr>
        <w:t>)</w:t>
      </w:r>
      <w:r>
        <w:rPr>
          <w:rFonts w:hint="eastAsia" w:ascii="宋体" w:hAnsi="宋体"/>
          <w:bCs/>
          <w:iCs/>
          <w:sz w:val="24"/>
        </w:rPr>
        <w:t>×价格权值×</w:t>
      </w:r>
      <w:r>
        <w:rPr>
          <w:rFonts w:ascii="宋体" w:hAnsi="宋体"/>
          <w:bCs/>
          <w:iCs/>
          <w:sz w:val="24"/>
        </w:rPr>
        <w:t>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宋体" w:hAnsi="宋体"/>
          <w:bCs/>
          <w:iCs/>
          <w:sz w:val="24"/>
        </w:rPr>
      </w:pPr>
      <w:r>
        <w:rPr>
          <w:rFonts w:hint="eastAsia" w:ascii="宋体" w:hAnsi="宋体"/>
          <w:bCs/>
          <w:iCs/>
          <w:sz w:val="24"/>
        </w:rPr>
        <w:t>即：投标报价得分</w:t>
      </w:r>
      <w:r>
        <w:rPr>
          <w:rFonts w:ascii="宋体" w:hAnsi="宋体"/>
          <w:bCs/>
          <w:iCs/>
          <w:sz w:val="24"/>
        </w:rPr>
        <w:t>=(</w:t>
      </w:r>
      <w:r>
        <w:rPr>
          <w:rFonts w:hint="eastAsia" w:ascii="宋体" w:hAnsi="宋体"/>
          <w:bCs/>
          <w:iCs/>
          <w:sz w:val="24"/>
        </w:rPr>
        <w:t>评标基准价／投标报价</w:t>
      </w:r>
      <w:r>
        <w:rPr>
          <w:rFonts w:ascii="宋体" w:hAnsi="宋体"/>
          <w:bCs/>
          <w:iCs/>
          <w:sz w:val="24"/>
        </w:rPr>
        <w:t>)</w:t>
      </w:r>
      <w:r>
        <w:rPr>
          <w:rFonts w:hint="eastAsia" w:ascii="宋体" w:hAnsi="宋体"/>
          <w:bCs/>
          <w:iCs/>
          <w:sz w:val="24"/>
        </w:rPr>
        <w:t>×3</w:t>
      </w:r>
      <w:r>
        <w:rPr>
          <w:rFonts w:ascii="宋体" w:hAnsi="宋体"/>
          <w:bCs/>
          <w:iCs/>
          <w:sz w:val="24"/>
        </w:rPr>
        <w:t>0</w:t>
      </w:r>
    </w:p>
    <w:p>
      <w:pPr>
        <w:spacing w:line="440" w:lineRule="exact"/>
        <w:jc w:val="left"/>
        <w:rPr>
          <w:rFonts w:hint="eastAsia" w:ascii="宋体" w:hAnsi="宋体" w:cs="宋体"/>
          <w:color w:val="000000"/>
          <w:sz w:val="24"/>
        </w:rPr>
      </w:pPr>
    </w:p>
    <w:p>
      <w:pPr>
        <w:pStyle w:val="20"/>
        <w:spacing w:line="800" w:lineRule="atLeast"/>
        <w:ind w:left="0" w:leftChars="0"/>
        <w:rPr>
          <w:rFonts w:hint="eastAsia" w:ascii="宋体" w:hAnsi="宋体"/>
          <w:b/>
          <w:sz w:val="36"/>
          <w:szCs w:val="36"/>
        </w:rPr>
      </w:pPr>
    </w:p>
    <w:p>
      <w:pPr>
        <w:pStyle w:val="20"/>
        <w:spacing w:line="800" w:lineRule="atLeast"/>
        <w:ind w:left="0" w:leftChars="0"/>
        <w:jc w:val="center"/>
        <w:rPr>
          <w:rFonts w:hint="eastAsia" w:ascii="宋体" w:hAnsi="宋体"/>
          <w:b/>
          <w:sz w:val="36"/>
          <w:szCs w:val="36"/>
        </w:rPr>
      </w:pPr>
    </w:p>
    <w:p>
      <w:pPr>
        <w:pStyle w:val="20"/>
        <w:spacing w:line="800" w:lineRule="atLeast"/>
        <w:ind w:left="0" w:leftChars="0"/>
        <w:jc w:val="center"/>
        <w:rPr>
          <w:rFonts w:hint="eastAsia" w:ascii="宋体" w:hAnsi="宋体"/>
          <w:b/>
          <w:sz w:val="36"/>
          <w:szCs w:val="36"/>
        </w:rPr>
      </w:pPr>
    </w:p>
    <w:p>
      <w:pPr>
        <w:pStyle w:val="20"/>
        <w:spacing w:line="800" w:lineRule="atLeast"/>
        <w:ind w:left="0" w:leftChars="0"/>
        <w:rPr>
          <w:rFonts w:hint="eastAsia" w:ascii="宋体" w:hAnsi="宋体"/>
          <w:b/>
          <w:sz w:val="36"/>
          <w:szCs w:val="36"/>
        </w:rPr>
      </w:pPr>
    </w:p>
    <w:p>
      <w:pPr>
        <w:pStyle w:val="20"/>
        <w:spacing w:line="800" w:lineRule="atLeast"/>
        <w:ind w:left="0" w:leftChars="0"/>
        <w:rPr>
          <w:rFonts w:hint="eastAsia" w:ascii="宋体" w:hAnsi="宋体"/>
          <w:b/>
          <w:sz w:val="36"/>
          <w:szCs w:val="36"/>
        </w:rPr>
      </w:pPr>
    </w:p>
    <w:p>
      <w:pPr>
        <w:pStyle w:val="20"/>
        <w:spacing w:line="800" w:lineRule="atLeast"/>
        <w:ind w:left="0" w:leftChars="0"/>
        <w:rPr>
          <w:rFonts w:hint="eastAsia" w:ascii="宋体" w:hAnsi="宋体"/>
          <w:b/>
          <w:sz w:val="36"/>
          <w:szCs w:val="36"/>
        </w:rPr>
      </w:pPr>
    </w:p>
    <w:p>
      <w:pPr>
        <w:pStyle w:val="20"/>
        <w:spacing w:line="800" w:lineRule="atLeast"/>
        <w:ind w:left="0" w:leftChars="0"/>
        <w:jc w:val="center"/>
        <w:rPr>
          <w:rFonts w:hint="eastAsia" w:ascii="宋体" w:hAnsi="宋体"/>
          <w:b/>
          <w:sz w:val="36"/>
          <w:szCs w:val="36"/>
        </w:rPr>
      </w:pPr>
      <w:r>
        <w:rPr>
          <w:rFonts w:hint="eastAsia" w:ascii="宋体" w:hAnsi="宋体"/>
          <w:b/>
          <w:sz w:val="36"/>
          <w:szCs w:val="36"/>
        </w:rPr>
        <w:t>第六部分 投标响应文件及其附件格式</w:t>
      </w:r>
    </w:p>
    <w:p>
      <w:pPr>
        <w:rPr>
          <w:rFonts w:hint="eastAsia" w:ascii="宋体" w:hAnsi="宋体"/>
          <w:b/>
          <w:sz w:val="24"/>
        </w:rPr>
      </w:pPr>
      <w:r>
        <w:rPr>
          <w:rFonts w:hint="eastAsia" w:ascii="宋体" w:hAnsi="宋体"/>
          <w:b/>
          <w:sz w:val="24"/>
        </w:rPr>
        <w:t>附件1：投标函（格式，放入商务资料部分内）</w:t>
      </w:r>
    </w:p>
    <w:p>
      <w:pPr>
        <w:pStyle w:val="63"/>
        <w:spacing w:after="0" w:afterLines="0" w:line="440" w:lineRule="exact"/>
        <w:ind w:firstLine="0" w:firstLineChars="0"/>
        <w:rPr>
          <w:rFonts w:hint="eastAsia" w:ascii="宋体" w:hAnsi="宋体"/>
          <w:szCs w:val="24"/>
        </w:rPr>
      </w:pPr>
    </w:p>
    <w:p>
      <w:pPr>
        <w:pStyle w:val="63"/>
        <w:spacing w:after="0" w:afterLines="0" w:line="440" w:lineRule="exact"/>
        <w:ind w:firstLine="0" w:firstLineChars="0"/>
        <w:rPr>
          <w:rFonts w:hint="eastAsia" w:ascii="宋体" w:hAnsi="宋体"/>
          <w:szCs w:val="24"/>
        </w:rPr>
      </w:pPr>
      <w:r>
        <w:rPr>
          <w:rFonts w:hint="eastAsia" w:ascii="宋体" w:hAnsi="宋体"/>
          <w:szCs w:val="24"/>
        </w:rPr>
        <w:t>致：</w:t>
      </w:r>
      <w:r>
        <w:rPr>
          <w:rFonts w:hint="eastAsia" w:ascii="宋体" w:hAnsi="宋体"/>
          <w:szCs w:val="24"/>
          <w:u w:val="single"/>
        </w:rPr>
        <w:t xml:space="preserve">绍兴市妇幼保健院、绍兴市嘉华项目管理有限公司 </w:t>
      </w:r>
    </w:p>
    <w:p>
      <w:pPr>
        <w:pStyle w:val="63"/>
        <w:spacing w:after="0" w:afterLines="0" w:line="440" w:lineRule="exact"/>
        <w:ind w:firstLine="480"/>
        <w:rPr>
          <w:rFonts w:hint="eastAsia" w:ascii="宋体" w:hAnsi="宋体"/>
          <w:szCs w:val="24"/>
        </w:rPr>
      </w:pPr>
      <w:r>
        <w:rPr>
          <w:rFonts w:hint="eastAsia" w:ascii="宋体" w:hAnsi="宋体"/>
          <w:szCs w:val="24"/>
        </w:rPr>
        <w:t>根据贵方招标文件编号：（</w:t>
      </w:r>
      <w:r>
        <w:rPr>
          <w:rFonts w:hint="eastAsia" w:ascii="宋体" w:hAnsi="宋体"/>
          <w:szCs w:val="24"/>
          <w:u w:val="single"/>
        </w:rPr>
        <w:t xml:space="preserve">            </w:t>
      </w:r>
      <w:r>
        <w:rPr>
          <w:rFonts w:hint="eastAsia" w:ascii="宋体" w:hAnsi="宋体"/>
          <w:szCs w:val="24"/>
        </w:rPr>
        <w:t>）招标文件的要求，正式授权下述签字人</w:t>
      </w:r>
      <w:r>
        <w:rPr>
          <w:rFonts w:hint="eastAsia" w:ascii="宋体" w:hAnsi="宋体"/>
          <w:szCs w:val="24"/>
          <w:u w:val="single"/>
        </w:rPr>
        <w:t xml:space="preserve">                         </w:t>
      </w:r>
      <w:r>
        <w:rPr>
          <w:rFonts w:hint="eastAsia" w:ascii="宋体" w:hAnsi="宋体"/>
          <w:szCs w:val="24"/>
        </w:rPr>
        <w:t>（姓名、单位、职务）代表供应商</w:t>
      </w:r>
      <w:r>
        <w:rPr>
          <w:rFonts w:hint="eastAsia" w:ascii="宋体" w:hAnsi="宋体"/>
          <w:szCs w:val="24"/>
          <w:u w:val="single"/>
        </w:rPr>
        <w:t xml:space="preserve">                     </w:t>
      </w:r>
      <w:r>
        <w:rPr>
          <w:rFonts w:hint="eastAsia" w:ascii="宋体" w:hAnsi="宋体"/>
          <w:szCs w:val="24"/>
        </w:rPr>
        <w:t>（单位、地址）提交以下文件正本一份、副本四份。</w:t>
      </w:r>
    </w:p>
    <w:p>
      <w:pPr>
        <w:pStyle w:val="63"/>
        <w:spacing w:after="0" w:afterLines="0" w:line="440" w:lineRule="exact"/>
        <w:ind w:firstLine="480"/>
        <w:rPr>
          <w:rFonts w:hint="eastAsia" w:ascii="宋体" w:hAnsi="宋体"/>
          <w:szCs w:val="24"/>
        </w:rPr>
      </w:pPr>
      <w:r>
        <w:rPr>
          <w:rFonts w:hint="eastAsia" w:ascii="宋体" w:hAnsi="宋体"/>
          <w:szCs w:val="24"/>
        </w:rPr>
        <w:t>我方已完全明白招标文件的所有条款要求，兹宣布同意如下：</w:t>
      </w:r>
    </w:p>
    <w:p>
      <w:pPr>
        <w:pStyle w:val="13"/>
        <w:tabs>
          <w:tab w:val="clear" w:pos="1697"/>
        </w:tabs>
        <w:spacing w:after="0" w:afterLines="0" w:line="440" w:lineRule="exact"/>
        <w:ind w:left="0" w:firstLine="480" w:firstLineChars="200"/>
        <w:rPr>
          <w:rFonts w:hint="eastAsia" w:ascii="宋体" w:hAnsi="宋体"/>
          <w:szCs w:val="24"/>
        </w:rPr>
      </w:pPr>
      <w:r>
        <w:rPr>
          <w:rFonts w:hint="eastAsia" w:ascii="宋体" w:hAnsi="宋体"/>
          <w:szCs w:val="24"/>
        </w:rPr>
        <w:t>1.根据招标文件的规定，承诺按标书和合同的规定执行责任和义务。</w:t>
      </w:r>
    </w:p>
    <w:p>
      <w:pPr>
        <w:pStyle w:val="63"/>
        <w:spacing w:after="0" w:afterLines="0" w:line="440" w:lineRule="exact"/>
        <w:ind w:firstLine="480"/>
        <w:rPr>
          <w:rFonts w:hint="eastAsia" w:ascii="宋体" w:hAnsi="宋体"/>
          <w:szCs w:val="24"/>
        </w:rPr>
      </w:pPr>
      <w:r>
        <w:rPr>
          <w:rFonts w:hint="eastAsia" w:ascii="宋体" w:hAnsi="宋体"/>
          <w:szCs w:val="24"/>
        </w:rPr>
        <w:t>2.我方承诺已经具备《中华人民共和国政府采购法》中规定的参加政府采购活动的供应商应当具备的条件：</w:t>
      </w:r>
    </w:p>
    <w:p>
      <w:pPr>
        <w:pStyle w:val="63"/>
        <w:spacing w:after="0" w:afterLines="0" w:line="440" w:lineRule="exact"/>
        <w:ind w:firstLine="480"/>
        <w:rPr>
          <w:rFonts w:hint="eastAsia" w:ascii="宋体" w:hAnsi="宋体"/>
          <w:szCs w:val="24"/>
        </w:rPr>
      </w:pPr>
      <w:r>
        <w:rPr>
          <w:rFonts w:hint="eastAsia" w:ascii="宋体" w:hAnsi="宋体"/>
          <w:szCs w:val="24"/>
        </w:rPr>
        <w:t>(1)具有独立承担民事责任的能力；</w:t>
      </w:r>
    </w:p>
    <w:p>
      <w:pPr>
        <w:pStyle w:val="63"/>
        <w:spacing w:after="0" w:afterLines="0" w:line="440" w:lineRule="exact"/>
        <w:ind w:firstLine="480"/>
        <w:rPr>
          <w:rFonts w:hint="eastAsia" w:ascii="宋体" w:hAnsi="宋体"/>
          <w:szCs w:val="24"/>
        </w:rPr>
      </w:pPr>
      <w:r>
        <w:rPr>
          <w:rFonts w:hint="eastAsia" w:ascii="宋体" w:hAnsi="宋体"/>
          <w:szCs w:val="24"/>
        </w:rPr>
        <w:t>(2)遵守国家法律、行政法规，具有良好的信誉和商业道德；</w:t>
      </w:r>
    </w:p>
    <w:p>
      <w:pPr>
        <w:pStyle w:val="63"/>
        <w:spacing w:after="0" w:afterLines="0" w:line="440" w:lineRule="exact"/>
        <w:ind w:firstLine="480"/>
        <w:rPr>
          <w:rFonts w:hint="eastAsia" w:ascii="宋体" w:hAnsi="宋体"/>
          <w:szCs w:val="24"/>
        </w:rPr>
      </w:pPr>
      <w:r>
        <w:rPr>
          <w:rFonts w:hint="eastAsia" w:ascii="宋体" w:hAnsi="宋体"/>
          <w:szCs w:val="24"/>
        </w:rPr>
        <w:t>(3)具有履行合同的能力和良好的履行合同记录；</w:t>
      </w:r>
    </w:p>
    <w:p>
      <w:pPr>
        <w:pStyle w:val="63"/>
        <w:spacing w:after="0" w:afterLines="0" w:line="440" w:lineRule="exact"/>
        <w:ind w:firstLine="480"/>
        <w:rPr>
          <w:rFonts w:hint="eastAsia" w:ascii="宋体" w:hAnsi="宋体"/>
          <w:szCs w:val="24"/>
        </w:rPr>
      </w:pPr>
      <w:r>
        <w:rPr>
          <w:rFonts w:hint="eastAsia" w:ascii="宋体" w:hAnsi="宋体"/>
          <w:szCs w:val="24"/>
        </w:rPr>
        <w:t>(4)良好的资金、财务状况；</w:t>
      </w:r>
    </w:p>
    <w:p>
      <w:pPr>
        <w:pStyle w:val="63"/>
        <w:spacing w:after="0" w:afterLines="0" w:line="440" w:lineRule="exact"/>
        <w:ind w:firstLine="480"/>
        <w:rPr>
          <w:rFonts w:hint="eastAsia" w:ascii="宋体" w:hAnsi="宋体"/>
          <w:szCs w:val="24"/>
        </w:rPr>
      </w:pPr>
      <w:r>
        <w:rPr>
          <w:rFonts w:hint="eastAsia" w:ascii="宋体" w:hAnsi="宋体"/>
          <w:szCs w:val="24"/>
        </w:rPr>
        <w:t>(5)产品及生产所需装备符合中国政府规定的相应技术标准和环保标准；</w:t>
      </w:r>
    </w:p>
    <w:p>
      <w:pPr>
        <w:pStyle w:val="63"/>
        <w:spacing w:after="0" w:afterLines="0" w:line="440" w:lineRule="exact"/>
        <w:ind w:firstLine="480"/>
        <w:rPr>
          <w:rFonts w:hint="eastAsia" w:ascii="宋体" w:hAnsi="宋体"/>
          <w:szCs w:val="24"/>
        </w:rPr>
      </w:pPr>
      <w:r>
        <w:rPr>
          <w:rFonts w:hint="eastAsia" w:ascii="宋体" w:hAnsi="宋体"/>
          <w:szCs w:val="24"/>
        </w:rPr>
        <w:t>(6)没有违反政府采购法规、政策的记录；</w:t>
      </w:r>
    </w:p>
    <w:p>
      <w:pPr>
        <w:pStyle w:val="63"/>
        <w:spacing w:after="0" w:afterLines="0" w:line="440" w:lineRule="exact"/>
        <w:ind w:firstLine="480"/>
        <w:rPr>
          <w:rFonts w:hint="eastAsia" w:ascii="宋体" w:hAnsi="宋体"/>
          <w:szCs w:val="24"/>
        </w:rPr>
      </w:pPr>
      <w:r>
        <w:rPr>
          <w:rFonts w:hint="eastAsia" w:ascii="宋体" w:hAnsi="宋体"/>
          <w:szCs w:val="24"/>
        </w:rPr>
        <w:t>(7)没有发生重大经济纠纷和走私犯罪记录。我方已详细审核全部招标文件，包括修改文件（如果有的话）及有关附件，我方完全知道必须放弃提出含糊不清或误解而对招标文件提出质疑的权力。</w:t>
      </w:r>
    </w:p>
    <w:p>
      <w:pPr>
        <w:pStyle w:val="63"/>
        <w:spacing w:after="0" w:afterLines="0" w:line="440" w:lineRule="exact"/>
        <w:ind w:firstLine="480"/>
        <w:rPr>
          <w:rFonts w:hint="eastAsia" w:ascii="宋体" w:hAnsi="宋体"/>
          <w:szCs w:val="24"/>
        </w:rPr>
      </w:pPr>
      <w:r>
        <w:rPr>
          <w:rFonts w:hint="eastAsia" w:ascii="宋体" w:hAnsi="宋体"/>
          <w:szCs w:val="24"/>
        </w:rPr>
        <w:t>3.我方中标后拟在中标后将</w:t>
      </w:r>
      <w:r>
        <w:rPr>
          <w:rFonts w:hint="eastAsia" w:ascii="宋体" w:hAnsi="宋体"/>
          <w:szCs w:val="24"/>
          <w:u w:val="single"/>
        </w:rPr>
        <w:t xml:space="preserve"> / </w:t>
      </w:r>
      <w:r>
        <w:rPr>
          <w:rFonts w:hint="eastAsia" w:ascii="宋体" w:hAnsi="宋体"/>
          <w:szCs w:val="24"/>
        </w:rPr>
        <w:t>工作分包，分包承担主体是</w:t>
      </w:r>
      <w:r>
        <w:rPr>
          <w:rFonts w:hint="eastAsia" w:ascii="宋体" w:hAnsi="宋体"/>
          <w:szCs w:val="24"/>
          <w:u w:val="single"/>
        </w:rPr>
        <w:t xml:space="preserve"> / </w:t>
      </w:r>
      <w:r>
        <w:rPr>
          <w:rFonts w:hint="eastAsia" w:ascii="宋体" w:hAnsi="宋体"/>
          <w:szCs w:val="24"/>
        </w:rPr>
        <w:t>，我方承诺分包承担主体具备相应资质条件，且不再次分包。（不再将工作进行分包或本项目不允许分包的，下划线处填写“/”。）</w:t>
      </w:r>
    </w:p>
    <w:p>
      <w:pPr>
        <w:pStyle w:val="63"/>
        <w:spacing w:after="0" w:afterLines="0" w:line="440" w:lineRule="exact"/>
        <w:ind w:firstLine="480"/>
        <w:rPr>
          <w:rFonts w:hint="eastAsia" w:ascii="宋体" w:hAnsi="宋体"/>
          <w:szCs w:val="24"/>
        </w:rPr>
      </w:pPr>
      <w:r>
        <w:rPr>
          <w:rFonts w:hint="eastAsia" w:ascii="宋体" w:hAnsi="宋体"/>
          <w:szCs w:val="24"/>
        </w:rPr>
        <w:t>4.同意向绍兴市嘉华项目管理有限公司提供可能另外要求的与投标有关的任何数据或资料；</w:t>
      </w:r>
    </w:p>
    <w:p>
      <w:pPr>
        <w:pStyle w:val="63"/>
        <w:spacing w:after="0" w:afterLines="0" w:line="440" w:lineRule="exact"/>
        <w:ind w:firstLine="480"/>
        <w:rPr>
          <w:rFonts w:hint="eastAsia" w:ascii="宋体" w:hAnsi="宋体"/>
          <w:szCs w:val="24"/>
        </w:rPr>
      </w:pPr>
      <w:r>
        <w:rPr>
          <w:rFonts w:hint="eastAsia" w:ascii="宋体" w:hAnsi="宋体"/>
          <w:szCs w:val="24"/>
        </w:rPr>
        <w:t>5.我单位保证所供货物质量符合国家强制性规范和标准，达到招标文件规定的要求；</w:t>
      </w:r>
    </w:p>
    <w:p>
      <w:pPr>
        <w:pStyle w:val="63"/>
        <w:spacing w:after="0" w:afterLines="0" w:line="440" w:lineRule="exact"/>
        <w:ind w:firstLine="480"/>
        <w:rPr>
          <w:rFonts w:hint="eastAsia" w:ascii="宋体" w:hAnsi="宋体"/>
          <w:szCs w:val="24"/>
        </w:rPr>
      </w:pPr>
      <w:r>
        <w:rPr>
          <w:rFonts w:hint="eastAsia" w:ascii="宋体" w:hAnsi="宋体"/>
          <w:szCs w:val="24"/>
        </w:rPr>
        <w:t>6.我方理解贵方将不受你们所收到的最低报价或其它任何投标响应文件的约束；</w:t>
      </w:r>
    </w:p>
    <w:p>
      <w:pPr>
        <w:pStyle w:val="13"/>
        <w:tabs>
          <w:tab w:val="clear" w:pos="1697"/>
        </w:tabs>
        <w:spacing w:after="0" w:afterLines="0" w:line="440" w:lineRule="exact"/>
        <w:ind w:left="0" w:firstLine="480" w:firstLineChars="200"/>
        <w:rPr>
          <w:rFonts w:hint="eastAsia" w:ascii="宋体" w:hAnsi="宋体"/>
          <w:szCs w:val="24"/>
        </w:rPr>
      </w:pPr>
      <w:r>
        <w:rPr>
          <w:rFonts w:hint="eastAsia" w:ascii="宋体" w:hAnsi="宋体"/>
        </w:rPr>
        <w:t>7.</w:t>
      </w:r>
      <w:r>
        <w:rPr>
          <w:rFonts w:hint="eastAsia" w:ascii="宋体" w:hAnsi="宋体"/>
          <w:szCs w:val="24"/>
        </w:rPr>
        <w:t>本投标自开标之日（投标截止之日）起60天内有效，如中标，有效期将延至合同终止日为止。</w:t>
      </w:r>
    </w:p>
    <w:p>
      <w:pPr>
        <w:pStyle w:val="63"/>
        <w:spacing w:after="0" w:afterLines="0" w:line="440" w:lineRule="exact"/>
        <w:ind w:firstLine="480"/>
        <w:rPr>
          <w:rFonts w:hint="eastAsia" w:ascii="宋体" w:hAnsi="宋体"/>
          <w:szCs w:val="24"/>
        </w:rPr>
      </w:pPr>
      <w:r>
        <w:rPr>
          <w:rFonts w:hint="eastAsia" w:ascii="宋体" w:hAnsi="宋体"/>
          <w:szCs w:val="24"/>
        </w:rPr>
        <w:t>8.我方承诺完全遵守和满足招标文件供货日期(完工日期)和所投产品(服务)的质保期(免费保修期)要求。</w:t>
      </w:r>
    </w:p>
    <w:p>
      <w:pPr>
        <w:snapToGrid w:val="0"/>
        <w:spacing w:line="440" w:lineRule="exact"/>
        <w:ind w:firstLine="480" w:firstLineChars="200"/>
        <w:rPr>
          <w:rFonts w:hint="eastAsia" w:ascii="宋体" w:hAnsi="宋体" w:cs="仿宋_GB2312"/>
          <w:sz w:val="24"/>
        </w:rPr>
      </w:pPr>
      <w:r>
        <w:rPr>
          <w:rFonts w:hint="eastAsia" w:ascii="宋体" w:hAnsi="宋体" w:cs="仿宋_GB2312"/>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hint="eastAsia" w:ascii="宋体" w:hAnsi="宋体" w:cs="仿宋_GB2312"/>
          <w:sz w:val="24"/>
        </w:rPr>
      </w:pPr>
      <w:r>
        <w:rPr>
          <w:rFonts w:hint="eastAsia" w:ascii="宋体" w:hAnsi="宋体" w:cs="仿宋_GB2312"/>
          <w:sz w:val="24"/>
        </w:rPr>
        <w:t>a)提供虚假材料谋取中标、成交的；</w:t>
      </w:r>
    </w:p>
    <w:p>
      <w:pPr>
        <w:snapToGrid w:val="0"/>
        <w:spacing w:line="440" w:lineRule="exact"/>
        <w:ind w:firstLine="480" w:firstLineChars="200"/>
        <w:rPr>
          <w:rFonts w:hint="eastAsia" w:ascii="宋体" w:hAnsi="宋体" w:cs="仿宋_GB2312"/>
          <w:sz w:val="24"/>
        </w:rPr>
      </w:pPr>
      <w:r>
        <w:rPr>
          <w:rFonts w:hint="eastAsia" w:ascii="宋体" w:hAnsi="宋体" w:cs="仿宋_GB2312"/>
          <w:sz w:val="24"/>
        </w:rPr>
        <w:t>b)采取不正当手段诋毁、排挤其他供应商的；</w:t>
      </w:r>
    </w:p>
    <w:p>
      <w:pPr>
        <w:snapToGrid w:val="0"/>
        <w:spacing w:line="440" w:lineRule="exact"/>
        <w:ind w:firstLine="480" w:firstLineChars="200"/>
        <w:rPr>
          <w:rFonts w:hint="eastAsia" w:ascii="宋体" w:hAnsi="宋体" w:cs="仿宋_GB2312"/>
          <w:sz w:val="24"/>
        </w:rPr>
      </w:pPr>
      <w:r>
        <w:rPr>
          <w:rFonts w:hint="eastAsia" w:ascii="宋体" w:hAnsi="宋体" w:cs="仿宋_GB2312"/>
          <w:sz w:val="24"/>
        </w:rPr>
        <w:t>c)与采购人、其它供应商或者采购代理机构恶意串通的；</w:t>
      </w:r>
    </w:p>
    <w:p>
      <w:pPr>
        <w:snapToGrid w:val="0"/>
        <w:spacing w:line="440" w:lineRule="exact"/>
        <w:ind w:firstLine="480" w:firstLineChars="200"/>
        <w:rPr>
          <w:rFonts w:hint="eastAsia" w:ascii="宋体" w:hAnsi="宋体" w:cs="仿宋_GB2312"/>
          <w:sz w:val="24"/>
        </w:rPr>
      </w:pPr>
      <w:r>
        <w:rPr>
          <w:rFonts w:hint="eastAsia" w:ascii="宋体" w:hAnsi="宋体" w:cs="仿宋_GB2312"/>
          <w:sz w:val="24"/>
        </w:rPr>
        <w:t>d)向采购人、采购代理机构行贿或者提供其他不正当利益的；</w:t>
      </w:r>
    </w:p>
    <w:p>
      <w:pPr>
        <w:snapToGrid w:val="0"/>
        <w:spacing w:line="440" w:lineRule="exact"/>
        <w:ind w:firstLine="480" w:firstLineChars="200"/>
        <w:rPr>
          <w:rFonts w:hint="eastAsia" w:ascii="宋体" w:hAnsi="宋体" w:cs="仿宋_GB2312"/>
          <w:sz w:val="24"/>
        </w:rPr>
      </w:pPr>
      <w:r>
        <w:rPr>
          <w:rFonts w:hint="eastAsia" w:ascii="宋体" w:hAnsi="宋体" w:cs="仿宋_GB2312"/>
          <w:sz w:val="24"/>
        </w:rPr>
        <w:t>e)在招标采购过程中与采购人进行协商谈判的；</w:t>
      </w:r>
    </w:p>
    <w:p>
      <w:pPr>
        <w:snapToGrid w:val="0"/>
        <w:spacing w:line="440" w:lineRule="exact"/>
        <w:ind w:firstLine="480" w:firstLineChars="200"/>
        <w:rPr>
          <w:rFonts w:hint="eastAsia" w:ascii="宋体" w:hAnsi="宋体" w:cs="仿宋_GB2312"/>
          <w:sz w:val="24"/>
        </w:rPr>
      </w:pPr>
      <w:r>
        <w:rPr>
          <w:rFonts w:hint="eastAsia" w:ascii="宋体" w:hAnsi="宋体" w:cs="仿宋_GB2312"/>
          <w:sz w:val="24"/>
        </w:rPr>
        <w:t>f)拒绝有关部门监督检查或提供虚假情况的。</w:t>
      </w:r>
    </w:p>
    <w:p>
      <w:pPr>
        <w:snapToGrid w:val="0"/>
        <w:spacing w:line="440" w:lineRule="exact"/>
        <w:ind w:firstLine="480" w:firstLineChars="200"/>
        <w:rPr>
          <w:rFonts w:hint="eastAsia" w:ascii="宋体" w:hAnsi="宋体" w:cs="仿宋_GB2312"/>
          <w:sz w:val="24"/>
        </w:rPr>
      </w:pPr>
      <w:r>
        <w:rPr>
          <w:rFonts w:hint="eastAsia" w:ascii="宋体" w:hAnsi="宋体" w:cs="仿宋_GB2312"/>
          <w:sz w:val="24"/>
        </w:rPr>
        <w:t>供应商有前款第a)至e)项情形之一的，中标、成交无效。</w:t>
      </w:r>
    </w:p>
    <w:p>
      <w:pPr>
        <w:pStyle w:val="63"/>
        <w:spacing w:after="0" w:afterLines="0" w:line="440" w:lineRule="exact"/>
        <w:ind w:firstLine="480"/>
        <w:rPr>
          <w:rFonts w:hint="eastAsia" w:ascii="宋体" w:hAnsi="宋体"/>
          <w:szCs w:val="24"/>
        </w:rPr>
      </w:pPr>
    </w:p>
    <w:p>
      <w:pPr>
        <w:pStyle w:val="63"/>
        <w:spacing w:after="0" w:afterLines="0" w:line="440" w:lineRule="exact"/>
        <w:ind w:firstLine="480"/>
        <w:rPr>
          <w:rFonts w:hint="eastAsia" w:ascii="宋体" w:hAnsi="宋体"/>
          <w:szCs w:val="24"/>
        </w:rPr>
      </w:pPr>
    </w:p>
    <w:p>
      <w:pPr>
        <w:pStyle w:val="63"/>
        <w:spacing w:after="0" w:afterLines="0" w:line="440" w:lineRule="exact"/>
        <w:ind w:firstLine="480"/>
        <w:rPr>
          <w:rFonts w:hint="eastAsia" w:ascii="宋体" w:hAnsi="宋体"/>
          <w:szCs w:val="24"/>
        </w:rPr>
      </w:pPr>
      <w:r>
        <w:rPr>
          <w:rFonts w:hint="eastAsia" w:ascii="宋体" w:hAnsi="宋体"/>
          <w:szCs w:val="24"/>
        </w:rPr>
        <w:t>地址：　　　　　　　　　　　　　　　邮政编码：</w:t>
      </w:r>
    </w:p>
    <w:p>
      <w:pPr>
        <w:pStyle w:val="63"/>
        <w:spacing w:after="0" w:afterLines="0" w:line="440" w:lineRule="exact"/>
        <w:ind w:firstLine="480"/>
        <w:rPr>
          <w:rFonts w:hint="eastAsia" w:ascii="宋体" w:hAnsi="宋体"/>
          <w:szCs w:val="24"/>
        </w:rPr>
      </w:pPr>
      <w:r>
        <w:rPr>
          <w:rFonts w:hint="eastAsia" w:ascii="宋体" w:hAnsi="宋体"/>
          <w:szCs w:val="24"/>
        </w:rPr>
        <w:t>电话：                              传真：</w:t>
      </w:r>
    </w:p>
    <w:p>
      <w:pPr>
        <w:pStyle w:val="63"/>
        <w:spacing w:after="0" w:afterLines="0" w:line="440" w:lineRule="exact"/>
        <w:ind w:firstLine="480"/>
        <w:rPr>
          <w:rFonts w:hint="eastAsia" w:ascii="宋体" w:hAnsi="宋体"/>
          <w:szCs w:val="24"/>
        </w:rPr>
      </w:pPr>
      <w:r>
        <w:rPr>
          <w:rFonts w:hint="eastAsia" w:ascii="宋体" w:hAnsi="宋体"/>
          <w:szCs w:val="24"/>
        </w:rPr>
        <w:t>开户银行：                          帐号：</w:t>
      </w:r>
    </w:p>
    <w:p>
      <w:pPr>
        <w:pStyle w:val="63"/>
        <w:spacing w:after="0" w:afterLines="0" w:line="440" w:lineRule="exact"/>
        <w:ind w:firstLine="480"/>
        <w:rPr>
          <w:rFonts w:hint="eastAsia" w:ascii="宋体" w:hAnsi="宋体"/>
          <w:szCs w:val="24"/>
        </w:rPr>
      </w:pPr>
      <w:r>
        <w:rPr>
          <w:rFonts w:hint="eastAsia" w:ascii="宋体" w:hAnsi="宋体"/>
          <w:szCs w:val="24"/>
        </w:rPr>
        <w:t>法定代表人或其授权代表(签字或签章)：</w:t>
      </w:r>
    </w:p>
    <w:p>
      <w:pPr>
        <w:pStyle w:val="63"/>
        <w:spacing w:after="0" w:afterLines="0" w:line="440" w:lineRule="exact"/>
        <w:ind w:firstLine="480"/>
        <w:rPr>
          <w:rFonts w:hint="eastAsia" w:ascii="宋体" w:hAnsi="宋体"/>
          <w:szCs w:val="24"/>
        </w:rPr>
      </w:pPr>
    </w:p>
    <w:p>
      <w:pPr>
        <w:pStyle w:val="63"/>
        <w:spacing w:after="0" w:afterLines="0" w:line="440" w:lineRule="exact"/>
        <w:ind w:firstLine="480"/>
        <w:rPr>
          <w:rFonts w:hint="eastAsia" w:ascii="宋体" w:hAnsi="宋体"/>
        </w:rPr>
      </w:pPr>
      <w:r>
        <w:rPr>
          <w:rFonts w:hint="eastAsia" w:ascii="宋体" w:hAnsi="宋体"/>
          <w:szCs w:val="24"/>
        </w:rPr>
        <w:t>供应商(盖章)：　　　　　　</w:t>
      </w:r>
      <w:r>
        <w:rPr>
          <w:rFonts w:hint="eastAsia" w:ascii="宋体" w:hAnsi="宋体"/>
        </w:rPr>
        <w:t>　　　　　　　　　　　　　　</w:t>
      </w:r>
    </w:p>
    <w:p>
      <w:pPr>
        <w:spacing w:line="800" w:lineRule="exact"/>
        <w:ind w:firstLine="6720" w:firstLineChars="2800"/>
        <w:rPr>
          <w:rFonts w:hint="eastAsia" w:ascii="宋体" w:hAnsi="宋体"/>
          <w:sz w:val="24"/>
        </w:rPr>
      </w:pPr>
      <w:r>
        <w:rPr>
          <w:rFonts w:hint="eastAsia" w:ascii="宋体" w:hAnsi="宋体"/>
          <w:sz w:val="24"/>
        </w:rPr>
        <w:t>日期：</w:t>
      </w:r>
    </w:p>
    <w:p>
      <w:pPr>
        <w:spacing w:line="800" w:lineRule="exact"/>
        <w:rPr>
          <w:rFonts w:hint="eastAsia" w:ascii="宋体" w:hAnsi="宋体"/>
        </w:rPr>
      </w:pPr>
    </w:p>
    <w:p>
      <w:pPr>
        <w:spacing w:line="800" w:lineRule="exact"/>
        <w:rPr>
          <w:rFonts w:hint="eastAsia" w:ascii="宋体" w:hAnsi="宋体"/>
        </w:rPr>
      </w:pPr>
    </w:p>
    <w:p>
      <w:pPr>
        <w:spacing w:line="800" w:lineRule="exact"/>
        <w:rPr>
          <w:rFonts w:hint="eastAsia" w:ascii="宋体" w:hAnsi="宋体"/>
        </w:rPr>
      </w:pPr>
    </w:p>
    <w:p>
      <w:pPr>
        <w:spacing w:line="800" w:lineRule="exact"/>
        <w:rPr>
          <w:rFonts w:hint="eastAsia" w:ascii="宋体" w:hAnsi="宋体"/>
        </w:rPr>
      </w:pPr>
    </w:p>
    <w:p>
      <w:pPr>
        <w:spacing w:line="800" w:lineRule="exact"/>
        <w:rPr>
          <w:rFonts w:hint="eastAsia" w:ascii="宋体" w:hAnsi="宋体"/>
        </w:rPr>
      </w:pPr>
    </w:p>
    <w:p>
      <w:pPr>
        <w:spacing w:line="800" w:lineRule="exact"/>
        <w:rPr>
          <w:rFonts w:hint="eastAsia" w:ascii="宋体" w:hAnsi="宋体"/>
          <w:b/>
          <w:sz w:val="24"/>
        </w:rPr>
      </w:pPr>
      <w:r>
        <w:rPr>
          <w:rFonts w:hint="eastAsia" w:ascii="宋体" w:hAnsi="宋体"/>
          <w:b/>
          <w:sz w:val="24"/>
        </w:rPr>
        <w:t>附件2：开标一览表（格式，放入“商务资料部分”）</w:t>
      </w:r>
    </w:p>
    <w:p>
      <w:pPr>
        <w:spacing w:line="400" w:lineRule="exact"/>
        <w:rPr>
          <w:rFonts w:hint="eastAsia" w:ascii="宋体" w:hAnsi="宋体"/>
          <w:sz w:val="24"/>
        </w:rPr>
      </w:pPr>
    </w:p>
    <w:p>
      <w:pPr>
        <w:spacing w:line="400" w:lineRule="exact"/>
        <w:rPr>
          <w:rFonts w:hint="eastAsia" w:ascii="宋体" w:hAnsi="宋体"/>
          <w:sz w:val="24"/>
        </w:rPr>
      </w:pPr>
      <w:r>
        <w:rPr>
          <w:rFonts w:hint="eastAsia" w:ascii="宋体" w:hAnsi="宋体"/>
          <w:sz w:val="24"/>
        </w:rPr>
        <w:t>供应商名称：</w:t>
      </w:r>
      <w:r>
        <w:rPr>
          <w:rFonts w:hint="eastAsia" w:ascii="宋体" w:hAnsi="宋体"/>
          <w:sz w:val="24"/>
          <w:u w:val="single"/>
        </w:rPr>
        <w:t xml:space="preserve">                                    </w:t>
      </w:r>
    </w:p>
    <w:p>
      <w:pPr>
        <w:snapToGrid w:val="0"/>
        <w:spacing w:line="400" w:lineRule="exact"/>
        <w:rPr>
          <w:rFonts w:hint="eastAsia" w:ascii="宋体" w:hAnsi="宋体"/>
          <w:sz w:val="24"/>
        </w:rPr>
      </w:pPr>
      <w:r>
        <w:rPr>
          <w:rFonts w:hint="eastAsia" w:ascii="宋体" w:hAnsi="宋体"/>
          <w:sz w:val="24"/>
        </w:rPr>
        <w:t>标    项：</w:t>
      </w:r>
      <w:r>
        <w:rPr>
          <w:rFonts w:hint="eastAsia" w:ascii="宋体" w:hAnsi="宋体"/>
          <w:sz w:val="24"/>
          <w:u w:val="single"/>
        </w:rPr>
        <w:t xml:space="preserve">                                      </w:t>
      </w:r>
    </w:p>
    <w:p>
      <w:pPr>
        <w:snapToGrid w:val="0"/>
        <w:spacing w:line="400" w:lineRule="exact"/>
        <w:rPr>
          <w:rFonts w:hint="eastAsia" w:ascii="宋体" w:hAnsi="宋体"/>
          <w:sz w:val="24"/>
          <w:u w:val="single"/>
        </w:rPr>
      </w:pPr>
      <w:r>
        <w:rPr>
          <w:rFonts w:hint="eastAsia" w:ascii="宋体" w:hAnsi="宋体"/>
          <w:sz w:val="24"/>
        </w:rPr>
        <w:t>招标编号：</w:t>
      </w:r>
      <w:r>
        <w:rPr>
          <w:rFonts w:hint="eastAsia" w:ascii="宋体" w:hAnsi="宋体"/>
          <w:sz w:val="24"/>
          <w:u w:val="single"/>
        </w:rPr>
        <w:t xml:space="preserve">                                      </w:t>
      </w:r>
    </w:p>
    <w:p>
      <w:pPr>
        <w:spacing w:line="440" w:lineRule="exact"/>
        <w:jc w:val="left"/>
        <w:rPr>
          <w:rFonts w:hint="eastAsia" w:ascii="宋体" w:hAnsi="宋体"/>
          <w:sz w:val="24"/>
        </w:rPr>
      </w:pPr>
      <w:r>
        <w:rPr>
          <w:rFonts w:hint="eastAsia" w:ascii="宋体" w:hAnsi="宋体"/>
          <w:sz w:val="24"/>
        </w:rPr>
        <w:t xml:space="preserve">                                   </w:t>
      </w:r>
    </w:p>
    <w:p>
      <w:pPr>
        <w:spacing w:line="440" w:lineRule="exact"/>
        <w:jc w:val="right"/>
        <w:rPr>
          <w:rFonts w:ascii="宋体" w:hAnsi="宋体"/>
          <w:sz w:val="24"/>
        </w:rPr>
      </w:pPr>
      <w:r>
        <w:rPr>
          <w:rFonts w:hint="eastAsia" w:ascii="宋体" w:hAnsi="宋体"/>
          <w:sz w:val="24"/>
        </w:rPr>
        <w:t>单位：元</w:t>
      </w:r>
    </w:p>
    <w:tbl>
      <w:tblPr>
        <w:tblStyle w:val="4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709"/>
        <w:gridCol w:w="708"/>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center"/>
          </w:tcPr>
          <w:p>
            <w:pPr>
              <w:spacing w:line="440" w:lineRule="exact"/>
              <w:jc w:val="center"/>
              <w:rPr>
                <w:rFonts w:ascii="宋体" w:hAnsi="宋体" w:cs="宋体"/>
                <w:sz w:val="24"/>
              </w:rPr>
            </w:pPr>
            <w:r>
              <w:rPr>
                <w:rFonts w:hint="eastAsia" w:ascii="宋体" w:hAnsi="宋体" w:cs="宋体"/>
                <w:sz w:val="24"/>
              </w:rPr>
              <w:t>序号</w:t>
            </w:r>
          </w:p>
        </w:tc>
        <w:tc>
          <w:tcPr>
            <w:tcW w:w="2977" w:type="dxa"/>
            <w:noWrap w:val="0"/>
            <w:vAlign w:val="center"/>
          </w:tcPr>
          <w:p>
            <w:pPr>
              <w:spacing w:line="440" w:lineRule="exact"/>
              <w:jc w:val="center"/>
              <w:rPr>
                <w:rFonts w:ascii="宋体" w:hAnsi="宋体" w:cs="宋体"/>
                <w:sz w:val="24"/>
              </w:rPr>
            </w:pPr>
            <w:r>
              <w:rPr>
                <w:rFonts w:hint="eastAsia" w:ascii="宋体" w:hAnsi="宋体" w:cs="宋体"/>
                <w:sz w:val="24"/>
              </w:rPr>
              <w:t>服务项目</w:t>
            </w:r>
          </w:p>
        </w:tc>
        <w:tc>
          <w:tcPr>
            <w:tcW w:w="709" w:type="dxa"/>
            <w:noWrap w:val="0"/>
            <w:vAlign w:val="top"/>
          </w:tcPr>
          <w:p>
            <w:pPr>
              <w:spacing w:line="440" w:lineRule="exact"/>
              <w:jc w:val="center"/>
              <w:rPr>
                <w:rFonts w:hint="eastAsia" w:ascii="宋体" w:hAnsi="宋体" w:cs="宋体"/>
                <w:sz w:val="24"/>
              </w:rPr>
            </w:pPr>
            <w:r>
              <w:rPr>
                <w:rFonts w:hint="eastAsia" w:ascii="宋体" w:hAnsi="宋体" w:cs="宋体"/>
                <w:sz w:val="24"/>
              </w:rPr>
              <w:t>单位</w:t>
            </w:r>
          </w:p>
        </w:tc>
        <w:tc>
          <w:tcPr>
            <w:tcW w:w="708" w:type="dxa"/>
            <w:noWrap w:val="0"/>
            <w:vAlign w:val="center"/>
          </w:tcPr>
          <w:p>
            <w:pPr>
              <w:spacing w:line="440" w:lineRule="exact"/>
              <w:jc w:val="center"/>
              <w:rPr>
                <w:rFonts w:ascii="宋体" w:hAnsi="宋体" w:cs="宋体"/>
                <w:sz w:val="24"/>
              </w:rPr>
            </w:pPr>
            <w:r>
              <w:rPr>
                <w:rFonts w:hint="eastAsia" w:ascii="宋体" w:hAnsi="宋体" w:cs="宋体"/>
                <w:sz w:val="24"/>
              </w:rPr>
              <w:t>数量</w:t>
            </w:r>
          </w:p>
        </w:tc>
        <w:tc>
          <w:tcPr>
            <w:tcW w:w="3544" w:type="dxa"/>
            <w:noWrap w:val="0"/>
            <w:vAlign w:val="center"/>
          </w:tcPr>
          <w:p>
            <w:pPr>
              <w:spacing w:line="440" w:lineRule="exact"/>
              <w:jc w:val="center"/>
              <w:rPr>
                <w:rFonts w:ascii="宋体" w:hAnsi="宋体" w:cs="宋体"/>
                <w:sz w:val="24"/>
              </w:rPr>
            </w:pPr>
            <w:r>
              <w:rPr>
                <w:rFonts w:hint="eastAsia" w:ascii="宋体" w:hAnsi="宋体" w:cs="宋体"/>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817" w:type="dxa"/>
            <w:vMerge w:val="restart"/>
            <w:noWrap w:val="0"/>
            <w:vAlign w:val="center"/>
          </w:tcPr>
          <w:p>
            <w:pPr>
              <w:spacing w:line="440" w:lineRule="exact"/>
              <w:jc w:val="center"/>
              <w:rPr>
                <w:rFonts w:hint="eastAsia" w:ascii="宋体" w:hAnsi="宋体" w:cs="宋体"/>
                <w:sz w:val="24"/>
              </w:rPr>
            </w:pPr>
            <w:r>
              <w:rPr>
                <w:rFonts w:hint="eastAsia" w:ascii="宋体" w:hAnsi="宋体" w:cs="宋体"/>
                <w:sz w:val="24"/>
              </w:rPr>
              <w:t>1</w:t>
            </w:r>
          </w:p>
        </w:tc>
        <w:tc>
          <w:tcPr>
            <w:tcW w:w="2977" w:type="dxa"/>
            <w:vMerge w:val="restart"/>
            <w:noWrap w:val="0"/>
            <w:vAlign w:val="center"/>
          </w:tcPr>
          <w:p>
            <w:pPr>
              <w:jc w:val="center"/>
              <w:rPr>
                <w:rFonts w:hint="eastAsia" w:ascii="宋体" w:hAnsi="宋体" w:cs="Arial"/>
                <w:sz w:val="24"/>
                <w:highlight w:val="yellow"/>
              </w:rPr>
            </w:pPr>
            <w:r>
              <w:rPr>
                <w:rFonts w:hint="eastAsia" w:ascii="宋体" w:hAnsi="宋体" w:cs="Arial"/>
                <w:sz w:val="24"/>
              </w:rPr>
              <w:t>绍兴市妇幼保健院医疗服务一卡通系统改造项目</w:t>
            </w:r>
          </w:p>
        </w:tc>
        <w:tc>
          <w:tcPr>
            <w:tcW w:w="709" w:type="dxa"/>
            <w:vMerge w:val="restart"/>
            <w:noWrap w:val="0"/>
            <w:vAlign w:val="center"/>
          </w:tcPr>
          <w:p>
            <w:pPr>
              <w:spacing w:line="440" w:lineRule="exact"/>
              <w:jc w:val="center"/>
              <w:rPr>
                <w:rFonts w:hint="eastAsia" w:ascii="宋体" w:hAnsi="宋体" w:cs="宋体"/>
                <w:sz w:val="24"/>
              </w:rPr>
            </w:pPr>
            <w:r>
              <w:rPr>
                <w:rFonts w:hint="eastAsia" w:ascii="宋体" w:hAnsi="宋体" w:cs="宋体"/>
                <w:sz w:val="24"/>
              </w:rPr>
              <w:t xml:space="preserve">项 </w:t>
            </w:r>
          </w:p>
        </w:tc>
        <w:tc>
          <w:tcPr>
            <w:tcW w:w="708" w:type="dxa"/>
            <w:vMerge w:val="restart"/>
            <w:noWrap w:val="0"/>
            <w:vAlign w:val="center"/>
          </w:tcPr>
          <w:p>
            <w:pPr>
              <w:spacing w:line="440" w:lineRule="exact"/>
              <w:jc w:val="center"/>
              <w:rPr>
                <w:rFonts w:hint="eastAsia" w:ascii="宋体" w:hAnsi="宋体" w:cs="宋体"/>
                <w:sz w:val="24"/>
              </w:rPr>
            </w:pPr>
            <w:r>
              <w:rPr>
                <w:rFonts w:hint="eastAsia" w:ascii="宋体" w:hAnsi="宋体" w:cs="宋体"/>
                <w:sz w:val="24"/>
              </w:rPr>
              <w:t>1</w:t>
            </w:r>
          </w:p>
        </w:tc>
        <w:tc>
          <w:tcPr>
            <w:tcW w:w="3544" w:type="dxa"/>
            <w:noWrap w:val="0"/>
            <w:vAlign w:val="center"/>
          </w:tcPr>
          <w:p>
            <w:pPr>
              <w:spacing w:line="440" w:lineRule="exact"/>
              <w:rPr>
                <w:rFonts w:hint="eastAsia" w:ascii="宋体" w:hAnsi="宋体" w:cs="宋体"/>
                <w:sz w:val="24"/>
              </w:rPr>
            </w:pP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8" w:hRule="atLeast"/>
        </w:trPr>
        <w:tc>
          <w:tcPr>
            <w:tcW w:w="817" w:type="dxa"/>
            <w:vMerge w:val="continue"/>
            <w:noWrap w:val="0"/>
            <w:vAlign w:val="center"/>
          </w:tcPr>
          <w:p>
            <w:pPr>
              <w:spacing w:line="440" w:lineRule="exact"/>
              <w:jc w:val="center"/>
              <w:rPr>
                <w:rFonts w:hint="eastAsia" w:ascii="宋体" w:hAnsi="宋体" w:cs="宋体"/>
                <w:sz w:val="24"/>
              </w:rPr>
            </w:pPr>
          </w:p>
        </w:tc>
        <w:tc>
          <w:tcPr>
            <w:tcW w:w="2977" w:type="dxa"/>
            <w:vMerge w:val="continue"/>
            <w:noWrap w:val="0"/>
            <w:vAlign w:val="center"/>
          </w:tcPr>
          <w:p>
            <w:pPr>
              <w:spacing w:line="440" w:lineRule="exact"/>
              <w:jc w:val="center"/>
              <w:rPr>
                <w:rFonts w:hint="eastAsia" w:ascii="宋体" w:hAnsi="宋体" w:cs="宋体"/>
                <w:sz w:val="24"/>
              </w:rPr>
            </w:pPr>
          </w:p>
        </w:tc>
        <w:tc>
          <w:tcPr>
            <w:tcW w:w="709" w:type="dxa"/>
            <w:vMerge w:val="continue"/>
            <w:noWrap w:val="0"/>
            <w:vAlign w:val="top"/>
          </w:tcPr>
          <w:p>
            <w:pPr>
              <w:spacing w:line="440" w:lineRule="exact"/>
              <w:jc w:val="center"/>
              <w:rPr>
                <w:rFonts w:ascii="宋体" w:hAnsi="宋体" w:cs="宋体"/>
                <w:sz w:val="24"/>
              </w:rPr>
            </w:pPr>
          </w:p>
        </w:tc>
        <w:tc>
          <w:tcPr>
            <w:tcW w:w="708" w:type="dxa"/>
            <w:vMerge w:val="continue"/>
            <w:noWrap w:val="0"/>
            <w:vAlign w:val="center"/>
          </w:tcPr>
          <w:p>
            <w:pPr>
              <w:spacing w:line="440" w:lineRule="exact"/>
              <w:jc w:val="center"/>
              <w:rPr>
                <w:rFonts w:ascii="宋体" w:hAnsi="宋体" w:cs="宋体"/>
                <w:sz w:val="24"/>
              </w:rPr>
            </w:pPr>
          </w:p>
        </w:tc>
        <w:tc>
          <w:tcPr>
            <w:tcW w:w="3544" w:type="dxa"/>
            <w:noWrap w:val="0"/>
            <w:vAlign w:val="center"/>
          </w:tcPr>
          <w:p>
            <w:pPr>
              <w:spacing w:line="440" w:lineRule="exact"/>
              <w:rPr>
                <w:rFonts w:ascii="宋体" w:hAnsi="宋体" w:cs="宋体"/>
                <w:sz w:val="24"/>
              </w:rPr>
            </w:pPr>
            <w:r>
              <w:rPr>
                <w:rFonts w:hint="eastAsia" w:ascii="宋体" w:hAnsi="宋体" w:cs="宋体"/>
                <w:sz w:val="24"/>
              </w:rPr>
              <w:t>大写：</w:t>
            </w:r>
          </w:p>
        </w:tc>
      </w:tr>
    </w:tbl>
    <w:p>
      <w:pPr>
        <w:snapToGrid w:val="0"/>
        <w:spacing w:line="440" w:lineRule="exact"/>
        <w:jc w:val="left"/>
        <w:rPr>
          <w:rFonts w:ascii="宋体" w:hAnsi="宋体"/>
          <w:sz w:val="24"/>
        </w:rPr>
      </w:pPr>
    </w:p>
    <w:p>
      <w:pPr>
        <w:snapToGrid w:val="0"/>
        <w:spacing w:line="440" w:lineRule="exact"/>
        <w:jc w:val="left"/>
        <w:rPr>
          <w:rFonts w:hint="eastAsia" w:ascii="宋体" w:hAnsi="宋体"/>
          <w:sz w:val="24"/>
        </w:rPr>
      </w:pPr>
      <w:r>
        <w:rPr>
          <w:rFonts w:hint="eastAsia" w:ascii="宋体" w:hAnsi="宋体"/>
          <w:sz w:val="24"/>
        </w:rPr>
        <w:t>注: 1.报价一经涂改，应在涂改处加盖单位公章或者由法定代表人或其授权代表签字或盖章，否则其投标作无效投标处理。</w:t>
      </w:r>
    </w:p>
    <w:p>
      <w:pPr>
        <w:snapToGrid w:val="0"/>
        <w:spacing w:line="440" w:lineRule="exact"/>
        <w:ind w:firstLine="480" w:firstLineChars="200"/>
        <w:jc w:val="left"/>
        <w:rPr>
          <w:rFonts w:hint="eastAsia" w:ascii="宋体" w:hAnsi="宋体"/>
          <w:sz w:val="24"/>
        </w:rPr>
      </w:pPr>
      <w:r>
        <w:rPr>
          <w:rFonts w:hint="eastAsia" w:ascii="宋体" w:hAnsi="宋体"/>
          <w:sz w:val="24"/>
        </w:rPr>
        <w:t>2.招标人不接受某一标项中有2个(含)以上的报价或方案，若供应商在此表中有2个（含）以上的报价或方案，其投标作无效投标处理。</w:t>
      </w:r>
    </w:p>
    <w:p>
      <w:pPr>
        <w:spacing w:line="360" w:lineRule="auto"/>
        <w:ind w:left="-2" w:leftChars="-1" w:firstLine="480" w:firstLineChars="200"/>
        <w:rPr>
          <w:rFonts w:hint="eastAsia" w:ascii="宋体" w:hAnsi="宋体" w:cs="仿宋_GB2312"/>
          <w:kern w:val="0"/>
          <w:sz w:val="24"/>
          <w:lang w:val="zh-CN"/>
        </w:rPr>
      </w:pPr>
      <w:r>
        <w:rPr>
          <w:rFonts w:hint="eastAsia" w:ascii="宋体" w:hAnsi="宋体" w:cs="仿宋_GB2312"/>
          <w:kern w:val="0"/>
          <w:sz w:val="24"/>
          <w:lang w:val="zh-CN"/>
        </w:rPr>
        <w:t>3.供应商需按本表格式填写，不得自行更改。</w:t>
      </w:r>
    </w:p>
    <w:p>
      <w:pPr>
        <w:snapToGrid w:val="0"/>
        <w:spacing w:line="440" w:lineRule="exact"/>
        <w:ind w:firstLine="480" w:firstLineChars="200"/>
        <w:jc w:val="left"/>
        <w:rPr>
          <w:rFonts w:hint="eastAsia" w:ascii="宋体" w:hAnsi="宋体"/>
          <w:sz w:val="24"/>
        </w:rPr>
      </w:pPr>
      <w:r>
        <w:rPr>
          <w:rFonts w:hint="eastAsia" w:ascii="宋体" w:hAnsi="宋体"/>
          <w:sz w:val="24"/>
        </w:rPr>
        <w:t>4.有关本项目实施所涉及的一切费用（详见前附表）均计入报价。</w:t>
      </w:r>
    </w:p>
    <w:p>
      <w:pPr>
        <w:snapToGrid w:val="0"/>
        <w:spacing w:line="440" w:lineRule="exact"/>
        <w:ind w:firstLine="480" w:firstLineChars="200"/>
        <w:jc w:val="left"/>
        <w:rPr>
          <w:rFonts w:hint="eastAsia" w:ascii="宋体" w:hAnsi="宋体"/>
          <w:sz w:val="24"/>
        </w:rPr>
      </w:pPr>
    </w:p>
    <w:p>
      <w:pPr>
        <w:snapToGrid w:val="0"/>
        <w:spacing w:line="440" w:lineRule="exact"/>
        <w:ind w:firstLine="480" w:firstLineChars="200"/>
        <w:jc w:val="left"/>
        <w:rPr>
          <w:rFonts w:hint="eastAsia" w:ascii="宋体" w:hAnsi="宋体"/>
          <w:sz w:val="24"/>
        </w:rPr>
      </w:pPr>
    </w:p>
    <w:p>
      <w:pPr>
        <w:spacing w:line="360" w:lineRule="auto"/>
        <w:ind w:left="-3" w:leftChars="-72" w:right="-817" w:rightChars="-389" w:hanging="148" w:hangingChars="62"/>
        <w:rPr>
          <w:rFonts w:hint="eastAsia" w:ascii="宋体" w:hAnsi="宋体"/>
          <w:sz w:val="24"/>
        </w:rPr>
      </w:pPr>
    </w:p>
    <w:p>
      <w:pPr>
        <w:spacing w:line="360" w:lineRule="auto"/>
        <w:ind w:left="-3" w:leftChars="-72" w:right="-817" w:rightChars="-389" w:hanging="148" w:hangingChars="62"/>
        <w:rPr>
          <w:rFonts w:hint="eastAsia" w:ascii="宋体" w:hAnsi="宋体"/>
          <w:sz w:val="24"/>
        </w:rPr>
      </w:pPr>
      <w:r>
        <w:rPr>
          <w:rFonts w:hint="eastAsia" w:ascii="宋体" w:hAnsi="宋体"/>
          <w:sz w:val="24"/>
        </w:rPr>
        <w:t>供应商名称（盖章）：</w:t>
      </w:r>
    </w:p>
    <w:p>
      <w:pPr>
        <w:spacing w:line="360" w:lineRule="auto"/>
        <w:ind w:left="-3" w:leftChars="-72" w:right="-817" w:rightChars="-389" w:hanging="148" w:hangingChars="62"/>
        <w:rPr>
          <w:rFonts w:hint="eastAsia" w:ascii="宋体" w:hAnsi="宋体"/>
          <w:sz w:val="24"/>
        </w:rPr>
      </w:pPr>
    </w:p>
    <w:p>
      <w:pPr>
        <w:spacing w:line="440" w:lineRule="exact"/>
        <w:jc w:val="left"/>
        <w:rPr>
          <w:rFonts w:hint="eastAsia" w:ascii="宋体" w:hAnsi="宋体"/>
          <w:sz w:val="24"/>
        </w:rPr>
      </w:pPr>
      <w:r>
        <w:rPr>
          <w:rFonts w:hint="eastAsia" w:ascii="宋体" w:hAnsi="宋体"/>
          <w:sz w:val="24"/>
        </w:rPr>
        <w:t xml:space="preserve">法定代表人或其授权代表（签字或盖章）：            日期：    年   月   日 </w:t>
      </w:r>
    </w:p>
    <w:p>
      <w:pPr>
        <w:spacing w:line="800" w:lineRule="exact"/>
        <w:rPr>
          <w:rFonts w:hint="eastAsia" w:ascii="宋体" w:hAnsi="宋体"/>
          <w:b/>
          <w:sz w:val="44"/>
          <w:szCs w:val="44"/>
        </w:rPr>
      </w:pPr>
      <w:r>
        <w:rPr>
          <w:rFonts w:hint="eastAsia" w:ascii="宋体" w:hAnsi="宋体"/>
          <w:b/>
          <w:sz w:val="24"/>
        </w:rPr>
        <w:br w:type="page"/>
      </w:r>
      <w:r>
        <w:rPr>
          <w:rFonts w:hint="eastAsia" w:ascii="宋体" w:hAnsi="宋体"/>
          <w:b/>
          <w:sz w:val="24"/>
        </w:rPr>
        <w:t>附件3：法定代表人授权委托书（格式，放入技术资料部分内）</w:t>
      </w:r>
      <w:r>
        <w:rPr>
          <w:rFonts w:hint="eastAsia" w:ascii="宋体" w:hAnsi="宋体"/>
          <w:b/>
          <w:sz w:val="44"/>
          <w:szCs w:val="44"/>
        </w:rPr>
        <w:t xml:space="preserve"> </w:t>
      </w:r>
    </w:p>
    <w:p>
      <w:pPr>
        <w:jc w:val="center"/>
        <w:rPr>
          <w:rFonts w:hint="eastAsia" w:ascii="宋体" w:hAnsi="宋体"/>
          <w:b/>
          <w:sz w:val="24"/>
        </w:rPr>
      </w:pPr>
    </w:p>
    <w:p>
      <w:pPr>
        <w:snapToGrid w:val="0"/>
        <w:spacing w:line="560" w:lineRule="exact"/>
        <w:ind w:firstLine="480" w:firstLineChars="200"/>
        <w:rPr>
          <w:rFonts w:hint="eastAsia"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（姓名）为我公司授权代表，身份证号码</w:t>
      </w:r>
      <w:r>
        <w:rPr>
          <w:rFonts w:hint="eastAsia" w:ascii="宋体" w:hAnsi="宋体"/>
          <w:sz w:val="24"/>
          <w:u w:val="single"/>
        </w:rPr>
        <w:t xml:space="preserve">                     </w:t>
      </w:r>
      <w:r>
        <w:rPr>
          <w:rFonts w:hint="eastAsia" w:ascii="宋体" w:hAnsi="宋体"/>
          <w:sz w:val="24"/>
        </w:rPr>
        <w:t>。以本公司的名义参加</w:t>
      </w:r>
      <w:r>
        <w:rPr>
          <w:rFonts w:hint="eastAsia" w:ascii="宋体" w:hAnsi="宋体"/>
          <w:sz w:val="24"/>
          <w:u w:val="single"/>
        </w:rPr>
        <w:t xml:space="preserve">                                        </w:t>
      </w:r>
      <w:r>
        <w:rPr>
          <w:rFonts w:hint="eastAsia" w:ascii="宋体" w:hAnsi="宋体"/>
          <w:sz w:val="24"/>
        </w:rPr>
        <w:t>（招标人）组织的</w:t>
      </w:r>
      <w:r>
        <w:rPr>
          <w:rFonts w:hint="eastAsia" w:ascii="宋体" w:hAnsi="宋体"/>
          <w:sz w:val="24"/>
          <w:u w:val="single"/>
        </w:rPr>
        <w:t xml:space="preserve">                         </w:t>
      </w:r>
      <w:r>
        <w:rPr>
          <w:rFonts w:hint="eastAsia" w:ascii="宋体" w:hAnsi="宋体"/>
          <w:sz w:val="24"/>
        </w:rPr>
        <w:t>投标活动。授权代表在开标、评标、合同投标过程中所签署的一切文件和处理与之有关的一切事务，我均予以承认。</w:t>
      </w:r>
    </w:p>
    <w:p>
      <w:pPr>
        <w:snapToGrid w:val="0"/>
        <w:spacing w:line="560" w:lineRule="exact"/>
        <w:ind w:firstLine="480" w:firstLineChars="200"/>
        <w:jc w:val="left"/>
        <w:rPr>
          <w:rFonts w:hint="eastAsia" w:ascii="宋体" w:hAnsi="宋体"/>
          <w:sz w:val="24"/>
        </w:rPr>
      </w:pPr>
      <w:r>
        <w:rPr>
          <w:rFonts w:hint="eastAsia" w:ascii="宋体" w:hAnsi="宋体"/>
          <w:sz w:val="24"/>
        </w:rPr>
        <w:t>在撤销授权的书面通知以前，本授权书一直有效。全权代表在授权书有效期内签署的所有文件不因授权的撤销而失效。</w:t>
      </w:r>
    </w:p>
    <w:p>
      <w:pPr>
        <w:spacing w:line="560" w:lineRule="exact"/>
        <w:ind w:firstLine="480" w:firstLineChars="200"/>
        <w:rPr>
          <w:rFonts w:hint="eastAsia" w:ascii="宋体" w:hAnsi="宋体"/>
          <w:sz w:val="24"/>
        </w:rPr>
      </w:pPr>
      <w:r>
        <w:rPr>
          <w:rFonts w:hint="eastAsia" w:ascii="宋体" w:hAnsi="宋体"/>
          <w:sz w:val="24"/>
        </w:rPr>
        <w:t>授权代表无转委托权。特此委托。</w:t>
      </w:r>
    </w:p>
    <w:p>
      <w:pPr>
        <w:snapToGrid w:val="0"/>
        <w:spacing w:line="600" w:lineRule="exact"/>
        <w:jc w:val="left"/>
        <w:rPr>
          <w:rFonts w:hint="eastAsia" w:ascii="宋体" w:hAnsi="宋体"/>
          <w:sz w:val="24"/>
        </w:rPr>
      </w:pPr>
    </w:p>
    <w:p>
      <w:pPr>
        <w:spacing w:line="360" w:lineRule="exact"/>
        <w:rPr>
          <w:rFonts w:hint="eastAsia" w:ascii="宋体" w:hAnsi="宋体"/>
          <w:sz w:val="24"/>
        </w:rPr>
      </w:pPr>
      <w:r>
        <w:rPr>
          <w:rFonts w:hint="eastAsia" w:ascii="宋体" w:hAnsi="宋体"/>
          <w:sz w:val="24"/>
        </w:rPr>
        <w:t>授权代表姓名：              性别：               年龄：</w:t>
      </w:r>
    </w:p>
    <w:p>
      <w:pPr>
        <w:spacing w:line="360" w:lineRule="exact"/>
        <w:rPr>
          <w:rFonts w:hint="eastAsia" w:ascii="宋体" w:hAnsi="宋体"/>
          <w:sz w:val="24"/>
        </w:rPr>
      </w:pPr>
    </w:p>
    <w:p>
      <w:pPr>
        <w:spacing w:line="360" w:lineRule="exact"/>
        <w:rPr>
          <w:rFonts w:hint="eastAsia" w:ascii="宋体" w:hAnsi="宋体"/>
          <w:sz w:val="24"/>
        </w:rPr>
      </w:pPr>
      <w:r>
        <w:rPr>
          <w:rFonts w:hint="eastAsia" w:ascii="宋体" w:hAnsi="宋体"/>
          <w:sz w:val="24"/>
        </w:rPr>
        <w:t>单位：                      部门：               职务：</w:t>
      </w:r>
    </w:p>
    <w:p>
      <w:pPr>
        <w:spacing w:line="360" w:lineRule="exact"/>
        <w:rPr>
          <w:rFonts w:hint="eastAsia" w:ascii="宋体" w:hAnsi="宋体"/>
          <w:sz w:val="24"/>
        </w:rPr>
      </w:pPr>
    </w:p>
    <w:p>
      <w:pPr>
        <w:widowControl/>
        <w:snapToGrid w:val="0"/>
        <w:spacing w:line="440" w:lineRule="exact"/>
        <w:rPr>
          <w:rFonts w:hint="eastAsia" w:ascii="宋体" w:hAnsi="宋体"/>
          <w:sz w:val="24"/>
        </w:rPr>
      </w:pPr>
      <w:r>
        <w:rPr>
          <w:rFonts w:hint="eastAsia" w:ascii="宋体" w:hAnsi="宋体"/>
          <w:kern w:val="0"/>
          <w:sz w:val="24"/>
        </w:rPr>
        <w:t>办公地址：                  联系电话：           传真：</w:t>
      </w: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r>
        <w:rPr>
          <w:rFonts w:hint="eastAsia" w:ascii="宋体" w:hAnsi="宋体"/>
          <w:sz w:val="24"/>
        </w:rPr>
        <w:t>供应商名称（盖章）：</w:t>
      </w: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r>
        <w:rPr>
          <w:rFonts w:hint="eastAsia" w:ascii="宋体" w:hAnsi="宋体"/>
          <w:sz w:val="24"/>
        </w:rPr>
        <w:t>法定代表人（签字或盖章）：</w:t>
      </w:r>
    </w:p>
    <w:p>
      <w:pPr>
        <w:spacing w:line="360" w:lineRule="exact"/>
        <w:rPr>
          <w:rFonts w:hint="eastAsia" w:ascii="宋体" w:hAnsi="宋体"/>
          <w:sz w:val="24"/>
        </w:rPr>
      </w:pPr>
    </w:p>
    <w:p>
      <w:pPr>
        <w:spacing w:line="360" w:lineRule="exact"/>
        <w:rPr>
          <w:rFonts w:hint="eastAsia" w:ascii="宋体" w:hAnsi="宋体"/>
          <w:sz w:val="24"/>
        </w:rPr>
      </w:pPr>
    </w:p>
    <w:p>
      <w:pPr>
        <w:ind w:firstLine="4920" w:firstLineChars="2050"/>
        <w:jc w:val="left"/>
        <w:rPr>
          <w:rFonts w:hint="eastAsia" w:ascii="宋体" w:hAnsi="宋体"/>
          <w:sz w:val="24"/>
        </w:rPr>
      </w:pPr>
      <w:r>
        <w:rPr>
          <w:rFonts w:hint="eastAsia" w:ascii="宋体" w:hAnsi="宋体"/>
          <w:sz w:val="24"/>
        </w:rPr>
        <w:t xml:space="preserve">日期：    年   月   日                 </w:t>
      </w:r>
    </w:p>
    <w:p>
      <w:pPr>
        <w:spacing w:line="800" w:lineRule="exact"/>
        <w:rPr>
          <w:rFonts w:hint="eastAsia" w:ascii="宋体" w:hAnsi="宋体"/>
          <w:b/>
          <w:sz w:val="24"/>
        </w:rPr>
      </w:pPr>
    </w:p>
    <w:p>
      <w:pPr>
        <w:spacing w:line="800" w:lineRule="exact"/>
        <w:rPr>
          <w:rFonts w:hint="eastAsia" w:ascii="宋体" w:hAnsi="宋体"/>
          <w:b/>
          <w:sz w:val="24"/>
        </w:rPr>
      </w:pPr>
      <w:r>
        <w:rPr>
          <w:rFonts w:hint="eastAsia" w:ascii="宋体" w:hAnsi="宋体"/>
          <w:b/>
          <w:sz w:val="24"/>
        </w:rPr>
        <w:t>附：授权代表身份证复印件（正反面）</w:t>
      </w:r>
    </w:p>
    <w:p>
      <w:pPr>
        <w:spacing w:line="800" w:lineRule="exact"/>
        <w:rPr>
          <w:rFonts w:hint="eastAsia" w:ascii="宋体" w:hAnsi="宋体"/>
          <w:b/>
          <w:sz w:val="24"/>
        </w:rPr>
      </w:pPr>
    </w:p>
    <w:p>
      <w:pPr>
        <w:spacing w:line="800" w:lineRule="exact"/>
        <w:rPr>
          <w:rFonts w:hint="eastAsia" w:ascii="宋体" w:hAnsi="宋体"/>
          <w:b/>
          <w:sz w:val="24"/>
        </w:rPr>
      </w:pPr>
      <w:r>
        <w:rPr>
          <w:rFonts w:hint="eastAsia" w:ascii="宋体" w:hAnsi="宋体"/>
          <w:b/>
          <w:sz w:val="24"/>
        </w:rPr>
        <w:t>附件4：授权代表社保证明(放入技术资料部分内)</w:t>
      </w:r>
    </w:p>
    <w:p>
      <w:pPr>
        <w:spacing w:line="800" w:lineRule="exact"/>
        <w:rPr>
          <w:rFonts w:hint="eastAsia" w:ascii="宋体" w:hAnsi="宋体"/>
          <w:sz w:val="24"/>
          <w:u w:val="wave"/>
        </w:rPr>
      </w:pPr>
    </w:p>
    <w:p>
      <w:pPr>
        <w:spacing w:line="800" w:lineRule="exact"/>
        <w:rPr>
          <w:rFonts w:hint="eastAsia" w:ascii="宋体" w:hAnsi="宋体"/>
          <w:sz w:val="24"/>
          <w:u w:val="wave"/>
        </w:rPr>
      </w:pPr>
    </w:p>
    <w:p>
      <w:pPr>
        <w:spacing w:line="800" w:lineRule="exact"/>
        <w:rPr>
          <w:rFonts w:hint="eastAsia" w:ascii="宋体" w:hAnsi="宋体"/>
          <w:color w:val="FF0000"/>
          <w:sz w:val="24"/>
          <w:u w:val="wave"/>
        </w:rPr>
      </w:pPr>
      <w:r>
        <w:rPr>
          <w:rFonts w:hint="eastAsia" w:ascii="宋体" w:hAnsi="宋体"/>
          <w:sz w:val="24"/>
          <w:u w:val="wave"/>
        </w:rPr>
        <w:t>社保机构出具的盖有社保部门公章的授权代表社保证明（如授权代表为离退休返聘人员的，投标响应文件技术部分内需提供退休证明及单位聘用证明；如由第三方代理社保事项的，则需提供加盖供应商公章的委托代理协议复印件），格式自拟。（如投标响应文件内为复印件的，则必须携带上述相关证明原件参加开标会）</w:t>
      </w:r>
      <w:r>
        <w:rPr>
          <w:rFonts w:hint="eastAsia" w:ascii="宋体" w:hAnsi="宋体"/>
          <w:b/>
          <w:sz w:val="24"/>
        </w:rPr>
        <w:t>未提供上述证明的投标做无效投标处理。</w:t>
      </w:r>
    </w:p>
    <w:p>
      <w:pPr>
        <w:spacing w:line="800" w:lineRule="exact"/>
        <w:rPr>
          <w:rFonts w:hint="eastAsia" w:ascii="宋体" w:hAnsi="宋体"/>
          <w:sz w:val="24"/>
          <w:u w:val="wave"/>
        </w:rPr>
      </w:pPr>
    </w:p>
    <w:p>
      <w:pPr>
        <w:spacing w:line="360" w:lineRule="auto"/>
        <w:ind w:right="-817" w:rightChars="-389"/>
        <w:rPr>
          <w:rFonts w:hint="eastAsia" w:ascii="宋体" w:hAnsi="宋体"/>
          <w:sz w:val="24"/>
        </w:rPr>
      </w:pPr>
    </w:p>
    <w:p>
      <w:pPr>
        <w:spacing w:line="360" w:lineRule="auto"/>
        <w:ind w:right="-817" w:rightChars="-389"/>
        <w:rPr>
          <w:rFonts w:hint="eastAsia" w:ascii="宋体" w:hAnsi="宋体"/>
          <w:sz w:val="24"/>
        </w:rPr>
      </w:pPr>
    </w:p>
    <w:p>
      <w:pPr>
        <w:spacing w:line="360" w:lineRule="auto"/>
        <w:ind w:right="-817" w:rightChars="-389"/>
        <w:rPr>
          <w:rFonts w:hint="eastAsia" w:ascii="宋体" w:hAnsi="宋体"/>
          <w:sz w:val="24"/>
        </w:rPr>
      </w:pPr>
    </w:p>
    <w:p>
      <w:pPr>
        <w:spacing w:line="360" w:lineRule="auto"/>
        <w:ind w:right="-817" w:rightChars="-389"/>
        <w:rPr>
          <w:rFonts w:hint="eastAsia" w:ascii="宋体" w:hAnsi="宋体"/>
          <w:sz w:val="24"/>
        </w:rPr>
      </w:pPr>
    </w:p>
    <w:p>
      <w:pPr>
        <w:spacing w:line="360" w:lineRule="auto"/>
        <w:ind w:left="-3" w:leftChars="-15" w:right="-817" w:rightChars="-389" w:hanging="28" w:hangingChars="12"/>
        <w:rPr>
          <w:rFonts w:hint="eastAsia" w:ascii="宋体" w:hAnsi="宋体"/>
          <w:sz w:val="24"/>
        </w:rPr>
      </w:pPr>
    </w:p>
    <w:p>
      <w:pPr>
        <w:spacing w:line="360" w:lineRule="auto"/>
        <w:ind w:left="-3" w:leftChars="-72" w:right="-817" w:rightChars="-389" w:hanging="148" w:hangingChars="62"/>
        <w:rPr>
          <w:rFonts w:hint="eastAsia" w:ascii="宋体" w:hAnsi="宋体"/>
          <w:sz w:val="24"/>
        </w:rPr>
      </w:pPr>
    </w:p>
    <w:p>
      <w:pPr>
        <w:spacing w:line="800" w:lineRule="exact"/>
        <w:ind w:firstLine="4320" w:firstLineChars="1800"/>
        <w:rPr>
          <w:rFonts w:hint="eastAsia" w:ascii="宋体" w:hAnsi="宋体"/>
          <w:b/>
          <w:sz w:val="24"/>
        </w:rPr>
      </w:pPr>
      <w:r>
        <w:rPr>
          <w:rFonts w:hint="eastAsia" w:ascii="宋体" w:hAnsi="宋体"/>
          <w:sz w:val="24"/>
        </w:rPr>
        <w:t xml:space="preserve">            日期：    年   月   日</w:t>
      </w:r>
    </w:p>
    <w:p>
      <w:pPr>
        <w:spacing w:line="800" w:lineRule="exact"/>
        <w:rPr>
          <w:rFonts w:hint="eastAsia" w:ascii="宋体" w:hAnsi="宋体"/>
          <w:b/>
          <w:sz w:val="24"/>
        </w:rPr>
      </w:pPr>
    </w:p>
    <w:p>
      <w:pPr>
        <w:spacing w:line="800" w:lineRule="exact"/>
        <w:rPr>
          <w:rFonts w:hint="eastAsia" w:ascii="宋体" w:hAnsi="宋体"/>
          <w:b/>
          <w:sz w:val="24"/>
        </w:rPr>
      </w:pPr>
    </w:p>
    <w:p>
      <w:pPr>
        <w:spacing w:line="800" w:lineRule="exact"/>
        <w:rPr>
          <w:rFonts w:hint="eastAsia" w:ascii="宋体" w:hAnsi="宋体"/>
          <w:b/>
          <w:sz w:val="24"/>
        </w:rPr>
      </w:pPr>
    </w:p>
    <w:p>
      <w:pPr>
        <w:spacing w:line="800" w:lineRule="exact"/>
        <w:rPr>
          <w:rFonts w:hint="eastAsia" w:ascii="宋体" w:hAnsi="宋体"/>
          <w:b/>
          <w:sz w:val="24"/>
        </w:rPr>
      </w:pPr>
    </w:p>
    <w:p>
      <w:pPr>
        <w:spacing w:line="800" w:lineRule="exact"/>
        <w:rPr>
          <w:rFonts w:hint="eastAsia" w:ascii="宋体" w:hAnsi="宋体"/>
          <w:b/>
          <w:sz w:val="24"/>
        </w:rPr>
      </w:pPr>
      <w:r>
        <w:rPr>
          <w:rFonts w:hint="eastAsia" w:ascii="宋体" w:hAnsi="宋体"/>
          <w:b/>
          <w:sz w:val="24"/>
        </w:rPr>
        <w:t>附件5：法定代表人身份证明书(放入技术资料部分内)</w:t>
      </w:r>
    </w:p>
    <w:p>
      <w:pPr>
        <w:spacing w:line="800" w:lineRule="exact"/>
        <w:rPr>
          <w:rFonts w:hint="eastAsia" w:ascii="宋体" w:hAnsi="宋体"/>
          <w:sz w:val="24"/>
        </w:rPr>
      </w:pPr>
      <w:r>
        <w:rPr>
          <w:rFonts w:hint="eastAsia" w:ascii="宋体" w:hAnsi="宋体"/>
          <w:sz w:val="24"/>
        </w:rPr>
        <w:t>投 标 人：</w:t>
      </w:r>
      <w:r>
        <w:rPr>
          <w:rFonts w:hint="eastAsia" w:ascii="宋体" w:hAnsi="宋体"/>
          <w:sz w:val="24"/>
          <w:u w:val="single"/>
        </w:rPr>
        <w:t xml:space="preserve">                              </w:t>
      </w:r>
    </w:p>
    <w:p>
      <w:pPr>
        <w:spacing w:line="800" w:lineRule="exact"/>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pPr>
        <w:spacing w:line="800" w:lineRule="exact"/>
        <w:ind w:right="281" w:rightChars="134"/>
        <w:rPr>
          <w:rFonts w:hint="eastAsia" w:ascii="宋体" w:hAnsi="宋体"/>
          <w:sz w:val="24"/>
          <w:u w:val="single"/>
        </w:rPr>
      </w:pPr>
      <w:r>
        <w:rPr>
          <w:rFonts w:hint="eastAsia" w:ascii="宋体" w:hAnsi="宋体"/>
          <w:sz w:val="24"/>
        </w:rPr>
        <w:t>姓    名：</w:t>
      </w:r>
      <w:r>
        <w:rPr>
          <w:rFonts w:hint="eastAsia" w:ascii="宋体" w:hAnsi="宋体"/>
          <w:sz w:val="24"/>
          <w:u w:val="single"/>
        </w:rPr>
        <w:t xml:space="preserve">                     </w:t>
      </w:r>
    </w:p>
    <w:p>
      <w:pPr>
        <w:spacing w:line="800" w:lineRule="exact"/>
        <w:ind w:right="281" w:rightChars="134"/>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pPr>
        <w:spacing w:line="800" w:lineRule="exact"/>
        <w:ind w:right="281" w:rightChars="134"/>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800" w:lineRule="exact"/>
        <w:rPr>
          <w:rFonts w:hint="eastAsia"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（供应商名称）的法定代表人。</w:t>
      </w:r>
    </w:p>
    <w:p>
      <w:pPr>
        <w:spacing w:line="800" w:lineRule="exact"/>
        <w:rPr>
          <w:rFonts w:hint="eastAsia" w:ascii="宋体" w:hAnsi="宋体"/>
          <w:sz w:val="24"/>
        </w:rPr>
      </w:pPr>
      <w:r>
        <w:rPr>
          <w:rFonts w:hint="eastAsia" w:ascii="宋体" w:hAnsi="宋体"/>
          <w:sz w:val="24"/>
        </w:rPr>
        <w:t>特此证明。</w:t>
      </w:r>
    </w:p>
    <w:p>
      <w:pPr>
        <w:spacing w:line="800" w:lineRule="exact"/>
        <w:rPr>
          <w:rFonts w:hint="eastAsia" w:ascii="宋体" w:hAnsi="宋体"/>
          <w:sz w:val="24"/>
        </w:rPr>
      </w:pPr>
    </w:p>
    <w:p>
      <w:pPr>
        <w:spacing w:line="800" w:lineRule="exact"/>
        <w:rPr>
          <w:rFonts w:hint="eastAsia" w:ascii="宋体" w:hAnsi="宋体"/>
          <w:sz w:val="24"/>
        </w:rPr>
      </w:pPr>
      <w:r>
        <w:rPr>
          <w:rFonts w:hint="eastAsia" w:ascii="宋体" w:hAnsi="宋体"/>
          <w:sz w:val="24"/>
        </w:rPr>
        <w:t>供应商：                             （盖章）</w:t>
      </w:r>
    </w:p>
    <w:p>
      <w:pPr>
        <w:spacing w:line="800" w:lineRule="exact"/>
        <w:ind w:right="480"/>
        <w:rPr>
          <w:rFonts w:hint="eastAsia" w:ascii="宋体" w:hAnsi="宋体"/>
          <w:sz w:val="24"/>
        </w:rPr>
      </w:pPr>
    </w:p>
    <w:p>
      <w:pPr>
        <w:wordWrap w:val="0"/>
        <w:spacing w:line="800" w:lineRule="exact"/>
        <w:ind w:right="720"/>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800" w:lineRule="exact"/>
        <w:rPr>
          <w:rFonts w:hint="eastAsia" w:ascii="宋体" w:hAnsi="宋体"/>
          <w:b/>
          <w:sz w:val="24"/>
        </w:rPr>
      </w:pPr>
      <w:r>
        <w:rPr>
          <w:rFonts w:hint="eastAsia" w:ascii="宋体" w:hAnsi="宋体"/>
          <w:b/>
          <w:sz w:val="24"/>
        </w:rPr>
        <w:t>附：法定代表人身份证复印件（正反面）</w:t>
      </w:r>
    </w:p>
    <w:p>
      <w:pPr>
        <w:spacing w:line="800" w:lineRule="exact"/>
        <w:rPr>
          <w:rFonts w:hint="eastAsia" w:ascii="宋体" w:hAnsi="宋体"/>
          <w:b/>
          <w:sz w:val="24"/>
        </w:rPr>
      </w:pPr>
    </w:p>
    <w:p>
      <w:pPr>
        <w:spacing w:line="800" w:lineRule="exact"/>
        <w:rPr>
          <w:rFonts w:hint="eastAsia" w:ascii="宋体" w:hAnsi="宋体"/>
          <w:b/>
          <w:sz w:val="24"/>
        </w:rPr>
      </w:pPr>
    </w:p>
    <w:p>
      <w:pPr>
        <w:spacing w:line="800" w:lineRule="exact"/>
        <w:rPr>
          <w:rFonts w:hint="eastAsia" w:ascii="宋体" w:hAnsi="宋体"/>
          <w:b/>
          <w:sz w:val="24"/>
        </w:rPr>
      </w:pPr>
    </w:p>
    <w:p>
      <w:pPr>
        <w:spacing w:line="800" w:lineRule="exact"/>
        <w:rPr>
          <w:rFonts w:hint="eastAsia" w:ascii="宋体" w:hAnsi="宋体"/>
          <w:b/>
          <w:sz w:val="24"/>
        </w:rPr>
      </w:pPr>
    </w:p>
    <w:p>
      <w:pPr>
        <w:tabs>
          <w:tab w:val="left" w:pos="570"/>
        </w:tabs>
        <w:spacing w:line="720" w:lineRule="exact"/>
        <w:rPr>
          <w:rFonts w:hint="eastAsia" w:ascii="宋体" w:hAnsi="宋体"/>
          <w:b/>
          <w:sz w:val="24"/>
        </w:rPr>
      </w:pPr>
      <w:r>
        <w:rPr>
          <w:rFonts w:hint="eastAsia" w:ascii="宋体" w:hAnsi="宋体"/>
          <w:b/>
          <w:sz w:val="24"/>
        </w:rPr>
        <w:t>附件6：技术偏离表（格式，放入“技术资料部分”）</w:t>
      </w:r>
    </w:p>
    <w:p>
      <w:pPr>
        <w:spacing w:line="400" w:lineRule="exact"/>
        <w:rPr>
          <w:rFonts w:hint="eastAsia" w:ascii="宋体" w:hAnsi="宋体"/>
          <w:sz w:val="24"/>
        </w:rPr>
      </w:pPr>
    </w:p>
    <w:p>
      <w:pPr>
        <w:spacing w:line="400" w:lineRule="exact"/>
        <w:rPr>
          <w:rFonts w:hint="eastAsia" w:ascii="宋体" w:hAnsi="宋体"/>
          <w:sz w:val="24"/>
        </w:rPr>
      </w:pPr>
      <w:r>
        <w:rPr>
          <w:rFonts w:hint="eastAsia" w:ascii="宋体" w:hAnsi="宋体"/>
          <w:sz w:val="24"/>
        </w:rPr>
        <w:t>供应商名称：</w:t>
      </w:r>
      <w:r>
        <w:rPr>
          <w:rFonts w:hint="eastAsia" w:ascii="宋体" w:hAnsi="宋体"/>
          <w:sz w:val="24"/>
          <w:u w:val="single"/>
        </w:rPr>
        <w:t xml:space="preserve">                                    </w:t>
      </w:r>
    </w:p>
    <w:p>
      <w:pPr>
        <w:snapToGrid w:val="0"/>
        <w:spacing w:line="400" w:lineRule="exact"/>
        <w:rPr>
          <w:rFonts w:hint="eastAsia" w:ascii="宋体" w:hAnsi="宋体"/>
          <w:sz w:val="24"/>
        </w:rPr>
      </w:pPr>
      <w:r>
        <w:rPr>
          <w:rFonts w:hint="eastAsia" w:ascii="宋体" w:hAnsi="宋体"/>
          <w:sz w:val="24"/>
        </w:rPr>
        <w:t>标    项：</w:t>
      </w:r>
      <w:r>
        <w:rPr>
          <w:rFonts w:hint="eastAsia" w:ascii="宋体" w:hAnsi="宋体"/>
          <w:sz w:val="24"/>
          <w:u w:val="single"/>
        </w:rPr>
        <w:t xml:space="preserve">                                      </w:t>
      </w:r>
    </w:p>
    <w:p>
      <w:pPr>
        <w:snapToGrid w:val="0"/>
        <w:spacing w:line="400" w:lineRule="exact"/>
        <w:rPr>
          <w:rFonts w:hint="eastAsia" w:ascii="宋体" w:hAnsi="宋体"/>
          <w:sz w:val="24"/>
          <w:u w:val="single"/>
        </w:rPr>
      </w:pPr>
      <w:r>
        <w:rPr>
          <w:rFonts w:hint="eastAsia" w:ascii="宋体" w:hAnsi="宋体"/>
          <w:sz w:val="24"/>
        </w:rPr>
        <w:t>招标编号：</w:t>
      </w:r>
      <w:r>
        <w:rPr>
          <w:rFonts w:hint="eastAsia" w:ascii="宋体" w:hAnsi="宋体"/>
          <w:sz w:val="24"/>
          <w:u w:val="single"/>
        </w:rPr>
        <w:t xml:space="preserve">                                      </w:t>
      </w:r>
    </w:p>
    <w:p>
      <w:pPr>
        <w:tabs>
          <w:tab w:val="left" w:pos="4905"/>
        </w:tabs>
        <w:spacing w:line="400" w:lineRule="exact"/>
        <w:rPr>
          <w:rFonts w:hint="eastAsia" w:ascii="宋体" w:hAnsi="宋体"/>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hint="eastAsia" w:ascii="宋体" w:hAnsi="宋体"/>
                <w:sz w:val="24"/>
              </w:rPr>
            </w:pPr>
            <w:r>
              <w:rPr>
                <w:rFonts w:hint="eastAsia" w:ascii="宋体" w:hAnsi="宋体"/>
                <w:sz w:val="24"/>
              </w:rPr>
              <w:t>序号</w:t>
            </w:r>
          </w:p>
        </w:tc>
        <w:tc>
          <w:tcPr>
            <w:tcW w:w="3087"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hint="eastAsia" w:ascii="宋体" w:hAnsi="宋体"/>
                <w:sz w:val="24"/>
              </w:rPr>
            </w:pPr>
            <w:r>
              <w:rPr>
                <w:rFonts w:hint="eastAsia" w:ascii="宋体" w:hAnsi="宋体"/>
                <w:sz w:val="24"/>
              </w:rPr>
              <w:t>招标文件要求</w:t>
            </w:r>
          </w:p>
        </w:tc>
        <w:tc>
          <w:tcPr>
            <w:tcW w:w="3818"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hint="eastAsia" w:ascii="宋体" w:hAnsi="宋体"/>
                <w:sz w:val="24"/>
              </w:rPr>
            </w:pPr>
            <w:r>
              <w:rPr>
                <w:rFonts w:hint="eastAsia" w:ascii="宋体" w:hAnsi="宋体"/>
                <w:sz w:val="24"/>
              </w:rPr>
              <w:t>投标响应</w:t>
            </w:r>
          </w:p>
        </w:tc>
        <w:tc>
          <w:tcPr>
            <w:tcW w:w="1201"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sz w:val="24"/>
              </w:rPr>
            </w:pPr>
            <w:r>
              <w:rPr>
                <w:rFonts w:hint="eastAsia" w:ascii="宋体" w:hAnsi="宋体"/>
                <w:sz w:val="24"/>
              </w:rPr>
              <w:t>1</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sz w:val="24"/>
              </w:rPr>
            </w:pPr>
            <w:r>
              <w:rPr>
                <w:rFonts w:hint="eastAsia" w:ascii="宋体" w:hAnsi="宋体"/>
                <w:sz w:val="24"/>
              </w:rPr>
              <w:t>招标文件技术要求</w:t>
            </w:r>
          </w:p>
          <w:p>
            <w:pPr>
              <w:tabs>
                <w:tab w:val="left" w:pos="4905"/>
              </w:tabs>
              <w:spacing w:line="400" w:lineRule="exact"/>
              <w:rPr>
                <w:rFonts w:hint="eastAsia" w:ascii="宋体" w:hAnsi="宋体"/>
                <w:sz w:val="24"/>
              </w:rPr>
            </w:pPr>
            <w:r>
              <w:rPr>
                <w:rFonts w:hint="eastAsia" w:ascii="宋体" w:hAnsi="宋体"/>
                <w:sz w:val="24"/>
              </w:rPr>
              <w:t>(根据标内要求复制)</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sz w:val="24"/>
              </w:rPr>
            </w:pPr>
            <w:r>
              <w:rPr>
                <w:rFonts w:hint="eastAsia" w:ascii="宋体" w:hAnsi="宋体"/>
                <w:sz w:val="24"/>
              </w:rPr>
              <w:t>请填写投标产品技术指标对应详细描述</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sz w:val="24"/>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sz w:val="24"/>
              </w:rPr>
            </w:pPr>
            <w:r>
              <w:rPr>
                <w:rFonts w:hint="eastAsia" w:ascii="宋体" w:hAnsi="宋体"/>
                <w:sz w:val="24"/>
              </w:rPr>
              <w:t>…</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sz w:val="24"/>
              </w:rPr>
            </w:pPr>
            <w:r>
              <w:rPr>
                <w:rFonts w:hint="eastAsia" w:ascii="宋体" w:hAnsi="宋体"/>
                <w:sz w:val="24"/>
              </w:rPr>
              <w:t>可自行添加行</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sz w:val="24"/>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sz w:val="24"/>
              </w:rPr>
            </w:pPr>
            <w:r>
              <w:rPr>
                <w:rFonts w:hint="eastAsia" w:ascii="宋体" w:hAnsi="宋体"/>
                <w:sz w:val="24"/>
              </w:rPr>
              <w:t>详细参数可自行加行</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sz w:val="24"/>
              </w:rPr>
            </w:pPr>
            <w:r>
              <w:rPr>
                <w:rFonts w:hint="eastAsia" w:ascii="宋体" w:hAnsi="宋体"/>
                <w:sz w:val="24"/>
              </w:rPr>
              <w:t>2</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sz w:val="24"/>
              </w:rPr>
            </w:pPr>
            <w:r>
              <w:rPr>
                <w:rFonts w:hint="eastAsia" w:ascii="宋体" w:hAnsi="宋体"/>
                <w:sz w:val="24"/>
              </w:rPr>
              <w:t>请填写售后服务要求</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sz w:val="24"/>
              </w:rPr>
            </w:pPr>
            <w:r>
              <w:rPr>
                <w:rFonts w:hint="eastAsia" w:ascii="宋体" w:hAnsi="宋体"/>
                <w:sz w:val="24"/>
              </w:rPr>
              <w:t>3</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sz w:val="24"/>
              </w:rPr>
            </w:pPr>
            <w:r>
              <w:rPr>
                <w:rFonts w:hint="eastAsia" w:ascii="宋体" w:hAnsi="宋体"/>
                <w:sz w:val="24"/>
              </w:rPr>
              <w:t>请填写付款方式要求</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sz w:val="24"/>
              </w:rPr>
            </w:pPr>
            <w:r>
              <w:rPr>
                <w:rFonts w:hint="eastAsia" w:ascii="宋体" w:hAnsi="宋体"/>
                <w:sz w:val="24"/>
              </w:rPr>
              <w:t>4</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sz w:val="24"/>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sz w:val="24"/>
              </w:rPr>
            </w:pPr>
            <w:r>
              <w:rPr>
                <w:rFonts w:hint="eastAsia" w:ascii="宋体" w:hAnsi="宋体"/>
                <w:sz w:val="24"/>
              </w:rPr>
              <w:t>5</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sz w:val="24"/>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sz w:val="24"/>
              </w:rPr>
            </w:pPr>
            <w:r>
              <w:rPr>
                <w:rFonts w:hint="eastAsia" w:ascii="宋体" w:hAnsi="宋体"/>
                <w:sz w:val="24"/>
              </w:rPr>
              <w:t>6</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sz w:val="24"/>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sz w:val="24"/>
              </w:rPr>
            </w:pPr>
            <w:r>
              <w:rPr>
                <w:rFonts w:hint="eastAsia" w:ascii="宋体" w:hAnsi="宋体"/>
                <w:sz w:val="24"/>
              </w:rPr>
              <w:t>7</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sz w:val="24"/>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sz w:val="24"/>
              </w:rPr>
            </w:pPr>
            <w:r>
              <w:rPr>
                <w:rFonts w:hint="eastAsia" w:ascii="宋体" w:hAnsi="宋体"/>
                <w:sz w:val="24"/>
              </w:rPr>
              <w:t>8</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sz w:val="24"/>
              </w:rPr>
            </w:pPr>
            <w:r>
              <w:rPr>
                <w:rFonts w:hint="eastAsia" w:ascii="宋体" w:hAnsi="宋体"/>
                <w:sz w:val="24"/>
              </w:rPr>
              <w:t>…</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sz w:val="24"/>
              </w:rPr>
            </w:pPr>
            <w:r>
              <w:rPr>
                <w:rFonts w:hint="eastAsia" w:ascii="宋体" w:hAnsi="宋体"/>
                <w:sz w:val="24"/>
              </w:rPr>
              <w:t>9</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sz w:val="24"/>
              </w:rPr>
            </w:pPr>
            <w:r>
              <w:rPr>
                <w:rFonts w:hint="eastAsia" w:ascii="宋体" w:hAnsi="宋体"/>
                <w:sz w:val="24"/>
              </w:rPr>
              <w:t>…</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sz w:val="24"/>
              </w:rPr>
            </w:pPr>
          </w:p>
        </w:tc>
      </w:tr>
    </w:tbl>
    <w:p>
      <w:pPr>
        <w:tabs>
          <w:tab w:val="left" w:pos="570"/>
        </w:tabs>
        <w:spacing w:line="440" w:lineRule="exact"/>
        <w:ind w:firstLine="120" w:firstLineChars="50"/>
        <w:jc w:val="left"/>
        <w:rPr>
          <w:rFonts w:hint="eastAsia" w:ascii="宋体" w:hAnsi="宋体"/>
          <w:sz w:val="24"/>
        </w:rPr>
      </w:pPr>
      <w:r>
        <w:rPr>
          <w:rFonts w:hint="eastAsia" w:ascii="宋体" w:hAnsi="宋体"/>
          <w:sz w:val="24"/>
        </w:rPr>
        <w:t>注：1.此表须与</w:t>
      </w:r>
      <w:r>
        <w:rPr>
          <w:rFonts w:hint="eastAsia" w:ascii="宋体" w:hAnsi="宋体"/>
          <w:kern w:val="0"/>
          <w:sz w:val="24"/>
        </w:rPr>
        <w:t>招标文件“</w:t>
      </w:r>
      <w:r>
        <w:rPr>
          <w:rFonts w:hint="eastAsia" w:ascii="宋体" w:hAnsi="宋体"/>
          <w:sz w:val="24"/>
        </w:rPr>
        <w:t>招标项目说明及要求</w:t>
      </w:r>
      <w:r>
        <w:rPr>
          <w:rFonts w:hint="eastAsia" w:ascii="宋体" w:hAnsi="宋体"/>
          <w:kern w:val="0"/>
          <w:sz w:val="24"/>
        </w:rPr>
        <w:t>”</w:t>
      </w:r>
      <w:r>
        <w:rPr>
          <w:rFonts w:hint="eastAsia" w:ascii="宋体" w:hAnsi="宋体"/>
          <w:sz w:val="24"/>
        </w:rPr>
        <w:t>相应标项内的所有技术规格相比较且一一对应</w:t>
      </w:r>
      <w:r>
        <w:rPr>
          <w:rFonts w:hint="eastAsia" w:ascii="宋体" w:hAnsi="宋体" w:cs="宋体"/>
          <w:sz w:val="24"/>
        </w:rPr>
        <w:t>真实逐条</w:t>
      </w:r>
      <w:r>
        <w:rPr>
          <w:rFonts w:hint="eastAsia" w:ascii="宋体" w:hAnsi="宋体"/>
          <w:sz w:val="24"/>
        </w:rPr>
        <w:t>填列。</w:t>
      </w:r>
    </w:p>
    <w:p>
      <w:pPr>
        <w:tabs>
          <w:tab w:val="left" w:pos="570"/>
        </w:tabs>
        <w:spacing w:line="440" w:lineRule="exact"/>
        <w:jc w:val="left"/>
        <w:rPr>
          <w:rFonts w:hint="eastAsia" w:ascii="宋体" w:hAnsi="宋体"/>
          <w:sz w:val="24"/>
        </w:rPr>
      </w:pPr>
      <w:r>
        <w:rPr>
          <w:rFonts w:hint="eastAsia" w:ascii="宋体" w:hAnsi="宋体"/>
          <w:sz w:val="24"/>
        </w:rPr>
        <w:t>2、</w:t>
      </w:r>
      <w:r>
        <w:rPr>
          <w:rFonts w:hint="eastAsia" w:ascii="宋体" w:hAnsi="宋体" w:cs="宋体"/>
          <w:sz w:val="24"/>
        </w:rPr>
        <w:t>供应商递交的技术规格书中必须真实逐条列明，否则由供应商自行承担相关风险。</w:t>
      </w:r>
    </w:p>
    <w:p>
      <w:pPr>
        <w:spacing w:line="440" w:lineRule="exact"/>
        <w:ind w:left="-210" w:leftChars="-100" w:firstLine="120" w:firstLineChars="50"/>
        <w:rPr>
          <w:rFonts w:hint="eastAsia" w:ascii="宋体" w:hAnsi="宋体"/>
          <w:sz w:val="24"/>
        </w:rPr>
      </w:pPr>
    </w:p>
    <w:p>
      <w:pPr>
        <w:spacing w:line="440" w:lineRule="exact"/>
        <w:ind w:left="-210" w:leftChars="-100" w:firstLine="120" w:firstLineChars="50"/>
        <w:rPr>
          <w:rFonts w:hint="eastAsia" w:ascii="宋体" w:hAnsi="宋体"/>
          <w:sz w:val="24"/>
        </w:rPr>
      </w:pPr>
      <w:r>
        <w:rPr>
          <w:rFonts w:hint="eastAsia" w:ascii="宋体" w:hAnsi="宋体"/>
          <w:sz w:val="24"/>
        </w:rPr>
        <w:t>供应商名称（盖章）：</w:t>
      </w:r>
    </w:p>
    <w:p>
      <w:pPr>
        <w:spacing w:line="440" w:lineRule="exact"/>
        <w:ind w:left="-210" w:leftChars="-100" w:firstLine="120" w:firstLineChars="50"/>
        <w:jc w:val="left"/>
        <w:rPr>
          <w:rFonts w:hint="eastAsia" w:ascii="宋体" w:hAnsi="宋体"/>
          <w:sz w:val="24"/>
        </w:rPr>
      </w:pPr>
      <w:r>
        <w:rPr>
          <w:rFonts w:hint="eastAsia" w:ascii="宋体" w:hAnsi="宋体"/>
          <w:sz w:val="24"/>
        </w:rPr>
        <w:t xml:space="preserve">法定代表人或其授权代表（签字或盖章）：                                      </w:t>
      </w:r>
    </w:p>
    <w:p>
      <w:pPr>
        <w:spacing w:line="440" w:lineRule="exact"/>
        <w:rPr>
          <w:rFonts w:hint="eastAsia" w:ascii="宋体" w:hAnsi="宋体"/>
          <w:sz w:val="24"/>
        </w:rPr>
      </w:pPr>
    </w:p>
    <w:p>
      <w:pPr>
        <w:spacing w:line="440" w:lineRule="exact"/>
        <w:rPr>
          <w:rFonts w:hint="eastAsia" w:ascii="宋体" w:hAnsi="宋体"/>
          <w:sz w:val="28"/>
          <w:szCs w:val="28"/>
        </w:rPr>
      </w:pPr>
      <w:r>
        <w:rPr>
          <w:rFonts w:hint="eastAsia" w:ascii="宋体" w:hAnsi="宋体"/>
          <w:sz w:val="24"/>
        </w:rPr>
        <w:t xml:space="preserve">                                              日期：    年   月   日</w:t>
      </w:r>
      <w:r>
        <w:rPr>
          <w:rFonts w:hint="eastAsia" w:ascii="宋体" w:hAnsi="宋体"/>
          <w:sz w:val="28"/>
          <w:szCs w:val="28"/>
        </w:rPr>
        <w:t xml:space="preserve"> </w:t>
      </w:r>
    </w:p>
    <w:p>
      <w:pPr>
        <w:spacing w:line="440" w:lineRule="exact"/>
        <w:rPr>
          <w:rFonts w:hint="eastAsia" w:ascii="宋体" w:hAnsi="宋体"/>
          <w:b/>
          <w:sz w:val="24"/>
        </w:rPr>
      </w:pPr>
      <w:r>
        <w:rPr>
          <w:rFonts w:hint="eastAsia" w:ascii="宋体" w:hAnsi="宋体"/>
          <w:b/>
          <w:sz w:val="24"/>
        </w:rPr>
        <w:br w:type="page"/>
      </w:r>
      <w:r>
        <w:rPr>
          <w:rFonts w:hint="eastAsia" w:ascii="宋体" w:hAnsi="宋体"/>
          <w:b/>
          <w:sz w:val="24"/>
        </w:rPr>
        <w:t>附件7：投标响应承诺书(放入“技术资料部分”)</w:t>
      </w:r>
    </w:p>
    <w:p>
      <w:pPr>
        <w:spacing w:line="440" w:lineRule="exact"/>
        <w:jc w:val="center"/>
        <w:rPr>
          <w:rFonts w:hint="eastAsia" w:ascii="宋体" w:hAnsi="宋体"/>
          <w:b/>
          <w:sz w:val="36"/>
          <w:szCs w:val="36"/>
        </w:rPr>
      </w:pPr>
    </w:p>
    <w:p>
      <w:pPr>
        <w:spacing w:line="440" w:lineRule="exact"/>
        <w:jc w:val="center"/>
        <w:rPr>
          <w:rFonts w:hint="eastAsia" w:ascii="宋体" w:hAnsi="宋体"/>
          <w:b/>
          <w:sz w:val="36"/>
          <w:szCs w:val="36"/>
        </w:rPr>
      </w:pPr>
      <w:r>
        <w:rPr>
          <w:rFonts w:hint="eastAsia" w:ascii="宋体" w:hAnsi="宋体"/>
          <w:b/>
          <w:sz w:val="36"/>
          <w:szCs w:val="36"/>
        </w:rPr>
        <w:t>投标承诺书</w:t>
      </w:r>
    </w:p>
    <w:p>
      <w:pPr>
        <w:spacing w:line="440" w:lineRule="exact"/>
        <w:jc w:val="center"/>
        <w:rPr>
          <w:rFonts w:hint="eastAsia" w:ascii="宋体" w:hAnsi="宋体"/>
          <w:sz w:val="36"/>
          <w:szCs w:val="36"/>
        </w:rPr>
      </w:pPr>
    </w:p>
    <w:p>
      <w:pPr>
        <w:spacing w:line="480" w:lineRule="exact"/>
        <w:ind w:firstLine="480" w:firstLineChars="200"/>
        <w:rPr>
          <w:rFonts w:hint="eastAsia" w:ascii="宋体" w:hAnsi="宋体" w:cs="仿宋_GB2312"/>
          <w:kern w:val="0"/>
          <w:sz w:val="24"/>
          <w:lang w:val="zh-CN"/>
        </w:rPr>
      </w:pPr>
      <w:r>
        <w:rPr>
          <w:rFonts w:hint="eastAsia" w:ascii="宋体" w:hAnsi="宋体"/>
          <w:sz w:val="24"/>
        </w:rPr>
        <w:t>针对本招标项目,我公司郑重承诺:</w:t>
      </w:r>
      <w:r>
        <w:rPr>
          <w:rFonts w:hint="eastAsia" w:ascii="宋体" w:hAnsi="宋体" w:cs="仿宋_GB2312"/>
          <w:kern w:val="0"/>
          <w:sz w:val="24"/>
          <w:lang w:val="zh-CN"/>
        </w:rPr>
        <w:t xml:space="preserve"> 本单位自愿参加</w:t>
      </w:r>
      <w:r>
        <w:rPr>
          <w:rFonts w:hint="eastAsia" w:ascii="宋体" w:hAnsi="宋体" w:cs="仿宋_GB2312"/>
          <w:kern w:val="0"/>
          <w:sz w:val="24"/>
          <w:u w:val="single"/>
          <w:lang w:val="zh-CN"/>
        </w:rPr>
        <w:t xml:space="preserve">     </w:t>
      </w:r>
      <w:r>
        <w:rPr>
          <w:rFonts w:hint="eastAsia" w:ascii="宋体" w:hAnsi="宋体"/>
          <w:sz w:val="24"/>
          <w:u w:val="single"/>
        </w:rPr>
        <w:t xml:space="preserve">           项目</w:t>
      </w:r>
      <w:r>
        <w:rPr>
          <w:rFonts w:hint="eastAsia" w:ascii="宋体" w:hAnsi="宋体" w:cs="仿宋_GB2312"/>
          <w:kern w:val="0"/>
          <w:sz w:val="24"/>
          <w:lang w:val="zh-CN"/>
        </w:rPr>
        <w:t>（编号：</w:t>
      </w:r>
      <w:r>
        <w:rPr>
          <w:rFonts w:hint="eastAsia" w:ascii="宋体" w:hAnsi="宋体" w:cs="仿宋_GB2312"/>
          <w:kern w:val="0"/>
          <w:sz w:val="24"/>
          <w:u w:val="single"/>
          <w:lang w:val="zh-CN"/>
        </w:rPr>
        <w:t xml:space="preserve">           </w:t>
      </w:r>
      <w:r>
        <w:rPr>
          <w:rFonts w:hint="eastAsia" w:ascii="宋体" w:hAnsi="宋体" w:cs="仿宋_GB2312"/>
          <w:kern w:val="0"/>
          <w:sz w:val="24"/>
          <w:lang w:val="zh-CN"/>
        </w:rPr>
        <w:t>）政府采购的投标。</w:t>
      </w:r>
    </w:p>
    <w:p>
      <w:pPr>
        <w:spacing w:line="480" w:lineRule="exact"/>
        <w:ind w:firstLine="480" w:firstLineChars="200"/>
        <w:rPr>
          <w:rFonts w:hint="eastAsia" w:ascii="宋体" w:hAnsi="宋体"/>
          <w:sz w:val="24"/>
        </w:rPr>
      </w:pPr>
      <w:r>
        <w:rPr>
          <w:rFonts w:hint="eastAsia" w:ascii="宋体" w:hAnsi="宋体" w:cs="仿宋_GB2312"/>
          <w:kern w:val="0"/>
          <w:sz w:val="24"/>
          <w:lang w:val="zh-CN"/>
        </w:rPr>
        <w:t>1.本公司承诺参加此次政府采购活动近三年，在经营活动中没有重大违法记录。</w:t>
      </w:r>
    </w:p>
    <w:p>
      <w:pPr>
        <w:spacing w:line="480" w:lineRule="exact"/>
        <w:ind w:firstLine="480" w:firstLineChars="200"/>
        <w:rPr>
          <w:rFonts w:hint="eastAsia" w:ascii="宋体" w:hAnsi="宋体"/>
          <w:sz w:val="24"/>
        </w:rPr>
      </w:pPr>
      <w:r>
        <w:rPr>
          <w:rFonts w:hint="eastAsia" w:ascii="宋体" w:hAnsi="宋体"/>
          <w:sz w:val="24"/>
        </w:rPr>
        <w:t>2.本公司所投标项填列的技术参数、配置、服务、数量等相关内容都是真实、准确的。</w:t>
      </w:r>
    </w:p>
    <w:p>
      <w:pPr>
        <w:spacing w:line="480" w:lineRule="exact"/>
        <w:ind w:firstLine="480" w:firstLineChars="200"/>
        <w:rPr>
          <w:rFonts w:hint="eastAsia" w:ascii="宋体" w:hAnsi="宋体"/>
          <w:sz w:val="24"/>
        </w:rPr>
      </w:pPr>
      <w:r>
        <w:rPr>
          <w:rFonts w:hint="eastAsia" w:ascii="宋体" w:hAnsi="宋体"/>
          <w:sz w:val="24"/>
        </w:rPr>
        <w:t>3.本公司保证在本次招标项目中所提供的资料全部真实和合法。</w:t>
      </w:r>
    </w:p>
    <w:p>
      <w:pPr>
        <w:spacing w:line="480" w:lineRule="exact"/>
        <w:ind w:firstLine="480" w:firstLineChars="200"/>
        <w:rPr>
          <w:rFonts w:hint="eastAsia" w:ascii="宋体" w:hAnsi="宋体"/>
          <w:sz w:val="24"/>
        </w:rPr>
      </w:pPr>
      <w:r>
        <w:rPr>
          <w:rFonts w:hint="eastAsia" w:ascii="宋体" w:hAnsi="宋体"/>
          <w:sz w:val="24"/>
        </w:rPr>
        <w:t>4.本公司保证绝不采取不正当手段诋毁排挤其他供应商。</w:t>
      </w:r>
    </w:p>
    <w:p>
      <w:pPr>
        <w:spacing w:line="480" w:lineRule="exact"/>
        <w:ind w:firstLine="480" w:firstLineChars="200"/>
        <w:rPr>
          <w:rFonts w:hint="eastAsia" w:ascii="宋体" w:hAnsi="宋体"/>
          <w:sz w:val="24"/>
        </w:rPr>
      </w:pPr>
      <w:r>
        <w:rPr>
          <w:rFonts w:hint="eastAsia" w:ascii="宋体" w:hAnsi="宋体"/>
          <w:sz w:val="24"/>
        </w:rPr>
        <w:t>5.</w:t>
      </w:r>
      <w:r>
        <w:rPr>
          <w:rFonts w:hint="eastAsia" w:ascii="宋体" w:hAnsi="宋体"/>
          <w:color w:val="000000"/>
          <w:sz w:val="24"/>
        </w:rPr>
        <w:t>本公司保证绝不向招标人、采购代理机构有关工作人员提供不正当利益,以影响采购结果的公正性。</w:t>
      </w:r>
    </w:p>
    <w:p>
      <w:pPr>
        <w:autoSpaceDE w:val="0"/>
        <w:autoSpaceDN w:val="0"/>
        <w:adjustRightInd w:val="0"/>
        <w:spacing w:line="440" w:lineRule="exact"/>
        <w:ind w:firstLine="480"/>
        <w:rPr>
          <w:rFonts w:hint="eastAsia" w:ascii="宋体" w:hAnsi="宋体"/>
          <w:kern w:val="0"/>
          <w:sz w:val="24"/>
        </w:rPr>
      </w:pPr>
      <w:r>
        <w:rPr>
          <w:rFonts w:hint="eastAsia" w:ascii="宋体" w:hAnsi="宋体" w:cs="仿宋_GB2312"/>
          <w:kern w:val="0"/>
          <w:sz w:val="24"/>
          <w:lang w:val="zh-CN"/>
        </w:rPr>
        <w:t>6.同意此次采购文件中的各项内容。</w:t>
      </w:r>
    </w:p>
    <w:p>
      <w:pPr>
        <w:autoSpaceDE w:val="0"/>
        <w:autoSpaceDN w:val="0"/>
        <w:adjustRightInd w:val="0"/>
        <w:spacing w:line="440" w:lineRule="exact"/>
        <w:ind w:firstLine="480"/>
        <w:rPr>
          <w:rFonts w:hint="eastAsia" w:ascii="宋体" w:hAnsi="宋体"/>
          <w:kern w:val="0"/>
          <w:sz w:val="24"/>
        </w:rPr>
      </w:pPr>
      <w:r>
        <w:rPr>
          <w:rFonts w:hint="eastAsia" w:ascii="宋体" w:hAnsi="宋体" w:cs="仿宋_GB2312"/>
          <w:kern w:val="0"/>
          <w:sz w:val="24"/>
        </w:rPr>
        <w:t>7.</w:t>
      </w:r>
      <w:r>
        <w:rPr>
          <w:rFonts w:hint="eastAsia" w:ascii="宋体" w:hAnsi="宋体" w:cs="仿宋_GB2312"/>
          <w:kern w:val="0"/>
          <w:sz w:val="24"/>
          <w:lang w:val="zh-CN"/>
        </w:rPr>
        <w:t>同意提供按照贵方可能要求的与投标有关的一切数据或资料等。</w:t>
      </w:r>
    </w:p>
    <w:p>
      <w:pPr>
        <w:autoSpaceDE w:val="0"/>
        <w:autoSpaceDN w:val="0"/>
        <w:adjustRightInd w:val="0"/>
        <w:spacing w:line="440" w:lineRule="exact"/>
        <w:ind w:firstLine="480"/>
        <w:rPr>
          <w:rFonts w:hint="eastAsia" w:ascii="宋体" w:hAnsi="宋体"/>
          <w:kern w:val="0"/>
          <w:sz w:val="24"/>
        </w:rPr>
      </w:pPr>
      <w:r>
        <w:rPr>
          <w:rFonts w:hint="eastAsia" w:ascii="宋体" w:hAnsi="宋体" w:cs="仿宋_GB2312"/>
          <w:kern w:val="0"/>
          <w:sz w:val="24"/>
        </w:rPr>
        <w:t>8.</w:t>
      </w:r>
      <w:r>
        <w:rPr>
          <w:rFonts w:hint="eastAsia" w:ascii="宋体" w:hAnsi="宋体" w:cs="仿宋_GB2312"/>
          <w:kern w:val="0"/>
          <w:sz w:val="24"/>
          <w:lang w:val="zh-CN"/>
        </w:rPr>
        <w:t>本单位如中标，保证按照投标响应文件的承诺与贵方签订合同，保证履行合同条款并向采购人缴纳履约保证金。</w:t>
      </w:r>
    </w:p>
    <w:p>
      <w:pPr>
        <w:spacing w:line="480" w:lineRule="exact"/>
        <w:ind w:firstLine="480" w:firstLineChars="200"/>
        <w:rPr>
          <w:rFonts w:hint="eastAsia" w:ascii="宋体" w:hAnsi="宋体"/>
          <w:sz w:val="24"/>
        </w:rPr>
      </w:pPr>
      <w:r>
        <w:rPr>
          <w:rFonts w:hint="eastAsia" w:ascii="宋体" w:hAnsi="宋体"/>
          <w:sz w:val="24"/>
        </w:rPr>
        <w:t>如有违反以上承诺,本公司愿意接受招标人</w:t>
      </w:r>
      <w:r>
        <w:rPr>
          <w:rFonts w:hint="eastAsia" w:ascii="宋体" w:hAnsi="宋体"/>
          <w:color w:val="000000"/>
          <w:sz w:val="24"/>
        </w:rPr>
        <w:t>、采购代理机构或评标小组</w:t>
      </w:r>
      <w:r>
        <w:rPr>
          <w:rFonts w:hint="eastAsia" w:ascii="宋体" w:hAnsi="宋体"/>
          <w:sz w:val="24"/>
        </w:rPr>
        <w:t>对投标响应文件作无效投标的处理,并承担相关的一切责任及后果。</w:t>
      </w:r>
    </w:p>
    <w:p>
      <w:pPr>
        <w:spacing w:line="480" w:lineRule="exact"/>
        <w:rPr>
          <w:rFonts w:hint="eastAsia" w:ascii="宋体" w:hAnsi="宋体"/>
          <w:sz w:val="28"/>
          <w:szCs w:val="28"/>
          <w:u w:val="single"/>
        </w:rPr>
      </w:pPr>
      <w:r>
        <w:rPr>
          <w:rFonts w:hint="eastAsia" w:ascii="宋体" w:hAnsi="宋体"/>
          <w:sz w:val="28"/>
          <w:szCs w:val="28"/>
          <w:u w:val="single"/>
        </w:rPr>
        <w:t xml:space="preserve">                                                                            </w:t>
      </w:r>
    </w:p>
    <w:p>
      <w:pPr>
        <w:spacing w:line="480" w:lineRule="exact"/>
        <w:rPr>
          <w:rFonts w:hint="eastAsia" w:ascii="宋体" w:hAnsi="宋体"/>
          <w:sz w:val="28"/>
          <w:szCs w:val="28"/>
          <w:u w:val="single"/>
        </w:rPr>
      </w:pPr>
      <w:r>
        <w:rPr>
          <w:rFonts w:hint="eastAsia" w:ascii="宋体" w:hAnsi="宋体"/>
          <w:sz w:val="28"/>
          <w:szCs w:val="28"/>
          <w:u w:val="single"/>
        </w:rPr>
        <w:t xml:space="preserve">                                                                            </w:t>
      </w:r>
    </w:p>
    <w:p>
      <w:pPr>
        <w:spacing w:line="480" w:lineRule="exact"/>
        <w:rPr>
          <w:rFonts w:hint="eastAsia" w:ascii="宋体" w:hAnsi="宋体"/>
          <w:sz w:val="28"/>
          <w:szCs w:val="28"/>
          <w:u w:val="single"/>
        </w:rPr>
      </w:pPr>
      <w:r>
        <w:rPr>
          <w:rFonts w:hint="eastAsia" w:ascii="宋体" w:hAnsi="宋体"/>
          <w:sz w:val="28"/>
          <w:szCs w:val="28"/>
          <w:u w:val="single"/>
        </w:rPr>
        <w:t xml:space="preserve">                                                                             </w:t>
      </w:r>
    </w:p>
    <w:p>
      <w:pPr>
        <w:spacing w:line="480" w:lineRule="exact"/>
        <w:rPr>
          <w:rFonts w:hint="eastAsia" w:ascii="宋体" w:hAnsi="宋体"/>
          <w:sz w:val="28"/>
          <w:szCs w:val="28"/>
          <w:u w:val="single"/>
        </w:rPr>
      </w:pPr>
      <w:r>
        <w:rPr>
          <w:rFonts w:hint="eastAsia" w:ascii="宋体" w:hAnsi="宋体"/>
          <w:sz w:val="28"/>
          <w:szCs w:val="28"/>
          <w:u w:val="single"/>
        </w:rPr>
        <w:t xml:space="preserve">                                                                              </w:t>
      </w:r>
    </w:p>
    <w:p>
      <w:pPr>
        <w:spacing w:line="480" w:lineRule="exact"/>
        <w:rPr>
          <w:rFonts w:hint="eastAsia" w:ascii="宋体" w:hAnsi="宋体"/>
          <w:sz w:val="28"/>
          <w:szCs w:val="28"/>
          <w:u w:val="single"/>
        </w:rPr>
      </w:pPr>
      <w:r>
        <w:rPr>
          <w:rFonts w:hint="eastAsia" w:ascii="宋体" w:hAnsi="宋体"/>
          <w:sz w:val="28"/>
          <w:szCs w:val="28"/>
          <w:u w:val="single"/>
        </w:rPr>
        <w:t xml:space="preserve">                                                                                </w:t>
      </w:r>
    </w:p>
    <w:p>
      <w:pPr>
        <w:spacing w:line="480" w:lineRule="exact"/>
        <w:rPr>
          <w:rFonts w:hint="eastAsia" w:ascii="宋体" w:hAnsi="宋体"/>
          <w:sz w:val="28"/>
          <w:szCs w:val="28"/>
          <w:u w:val="single"/>
        </w:rPr>
      </w:pPr>
      <w:r>
        <w:rPr>
          <w:rFonts w:hint="eastAsia" w:ascii="宋体" w:hAnsi="宋体"/>
          <w:sz w:val="28"/>
          <w:szCs w:val="28"/>
          <w:u w:val="single"/>
        </w:rPr>
        <w:t xml:space="preserve">                                                                           </w:t>
      </w:r>
    </w:p>
    <w:p>
      <w:pPr>
        <w:spacing w:line="480" w:lineRule="exact"/>
        <w:rPr>
          <w:rFonts w:hint="eastAsia" w:ascii="宋体" w:hAnsi="宋体"/>
          <w:sz w:val="24"/>
        </w:rPr>
      </w:pPr>
      <w:r>
        <w:rPr>
          <w:rFonts w:hint="eastAsia" w:ascii="宋体" w:hAnsi="宋体"/>
          <w:sz w:val="28"/>
          <w:szCs w:val="28"/>
          <w:u w:val="single"/>
        </w:rPr>
        <w:t xml:space="preserve">                                                             </w:t>
      </w:r>
    </w:p>
    <w:p>
      <w:pPr>
        <w:spacing w:line="480" w:lineRule="exact"/>
        <w:rPr>
          <w:rFonts w:hint="eastAsia" w:ascii="宋体" w:hAnsi="宋体"/>
          <w:sz w:val="24"/>
        </w:rPr>
      </w:pPr>
    </w:p>
    <w:p>
      <w:pPr>
        <w:spacing w:line="480" w:lineRule="exact"/>
        <w:rPr>
          <w:rFonts w:hint="eastAsia" w:ascii="宋体" w:hAnsi="宋体"/>
          <w:sz w:val="24"/>
        </w:rPr>
      </w:pPr>
      <w:r>
        <w:rPr>
          <w:rFonts w:hint="eastAsia" w:ascii="宋体" w:hAnsi="宋体"/>
          <w:sz w:val="24"/>
        </w:rPr>
        <w:t>投标单位（盖章）：</w:t>
      </w:r>
    </w:p>
    <w:p>
      <w:pPr>
        <w:spacing w:line="480" w:lineRule="exact"/>
        <w:rPr>
          <w:rFonts w:hint="eastAsia" w:ascii="宋体" w:hAnsi="宋体"/>
          <w:sz w:val="24"/>
        </w:rPr>
      </w:pPr>
      <w:r>
        <w:rPr>
          <w:rFonts w:hint="eastAsia" w:ascii="宋体" w:hAnsi="宋体"/>
          <w:sz w:val="24"/>
        </w:rPr>
        <w:t xml:space="preserve">法定代表人或其授权代表（签字）： </w:t>
      </w:r>
    </w:p>
    <w:p>
      <w:pPr>
        <w:spacing w:line="480" w:lineRule="exact"/>
        <w:ind w:firstLine="6720" w:firstLineChars="2800"/>
        <w:rPr>
          <w:rFonts w:hint="eastAsia" w:ascii="宋体" w:hAnsi="宋体"/>
          <w:sz w:val="24"/>
        </w:rPr>
      </w:pPr>
      <w:r>
        <w:rPr>
          <w:rFonts w:hint="eastAsia" w:ascii="宋体" w:hAnsi="宋体"/>
          <w:sz w:val="24"/>
        </w:rPr>
        <w:t>年   月   日</w:t>
      </w:r>
    </w:p>
    <w:sectPr>
      <w:headerReference r:id="rId3" w:type="default"/>
      <w:footerReference r:id="rId4" w:type="default"/>
      <w:footerReference r:id="rId5" w:type="even"/>
      <w:pgSz w:w="11906" w:h="16838"/>
      <w:pgMar w:top="1440" w:right="1406" w:bottom="1246" w:left="1758" w:header="1021" w:footer="90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roma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F7FFAFFF" w:usb1="E9DFFFFF"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lang/>
      </w:rPr>
      <w:t>5</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fldChar w:fldCharType="begin"/>
    </w:r>
    <w:r>
      <w:rPr>
        <w:rStyle w:val="52"/>
      </w:rPr>
      <w:instrText xml:space="preserve">PAGE  </w:instrText>
    </w:r>
    <w:r>
      <w:fldChar w:fldCharType="end"/>
    </w:r>
  </w:p>
  <w:p>
    <w:pPr>
      <w:pStyle w:val="3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rPr>
        <w:rFonts w:hint="eastAsia" w:ascii="仿宋_GB2312" w:hAnsi="新宋体" w:eastAsia="仿宋_GB2312"/>
        <w:color w:val="FF0000"/>
        <w:kern w:val="0"/>
        <w:sz w:val="24"/>
      </w:rPr>
    </w:pPr>
    <w:r>
      <w:rPr>
        <w:rFonts w:hint="eastAsia"/>
      </w:rPr>
      <w:t>绍兴市嘉华项目管理有限公司招标文件                                  招标编号:</w:t>
    </w:r>
    <w:r>
      <w:rPr>
        <w:rFonts w:ascii="宋体" w:hAnsi="宋体"/>
        <w:b/>
        <w:color w:val="000000"/>
        <w:sz w:val="28"/>
        <w:szCs w:val="28"/>
      </w:rPr>
      <w:t xml:space="preserve"> </w:t>
    </w:r>
    <w:r>
      <w:t>SXJHCG-2020-N0</w:t>
    </w:r>
    <w:r>
      <w:rPr>
        <w:rFonts w:hint="eastAsia"/>
      </w:rPr>
      <w:t>223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5"/>
      <w:lvlText w:val="%1."/>
      <w:lvlJc w:val="left"/>
      <w:pPr>
        <w:tabs>
          <w:tab w:val="left" w:pos="1200"/>
        </w:tabs>
        <w:ind w:left="1200" w:hanging="360"/>
      </w:pPr>
    </w:lvl>
  </w:abstractNum>
  <w:abstractNum w:abstractNumId="1">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2">
    <w:nsid w:val="00000019"/>
    <w:multiLevelType w:val="multilevel"/>
    <w:tmpl w:val="00000019"/>
    <w:lvl w:ilvl="0" w:tentative="0">
      <w:start w:val="1"/>
      <w:numFmt w:val="decimal"/>
      <w:pStyle w:val="233"/>
      <w:lvlText w:val="%1."/>
      <w:lvlJc w:val="left"/>
      <w:pPr>
        <w:tabs>
          <w:tab w:val="left" w:pos="2765"/>
        </w:tabs>
        <w:ind w:left="2765" w:hanging="420"/>
      </w:pPr>
      <w:rPr>
        <w:rFonts w:hint="default" w:ascii="Times New Roman" w:cs="Times New Roman"/>
      </w:rPr>
    </w:lvl>
    <w:lvl w:ilvl="1" w:tentative="0">
      <w:start w:val="1"/>
      <w:numFmt w:val="lowerLetter"/>
      <w:lvlText w:val="%2)"/>
      <w:lvlJc w:val="left"/>
      <w:pPr>
        <w:ind w:left="3245" w:hanging="420"/>
      </w:pPr>
      <w:rPr>
        <w:rFonts w:hint="default" w:ascii="Times New Roman" w:cs="Times New Roman"/>
      </w:rPr>
    </w:lvl>
    <w:lvl w:ilvl="2" w:tentative="0">
      <w:start w:val="1"/>
      <w:numFmt w:val="lowerRoman"/>
      <w:lvlText w:val="%3."/>
      <w:lvlJc w:val="right"/>
      <w:pPr>
        <w:ind w:left="3665" w:hanging="420"/>
      </w:pPr>
      <w:rPr>
        <w:rFonts w:hint="default" w:ascii="Times New Roman" w:cs="Times New Roman"/>
      </w:rPr>
    </w:lvl>
    <w:lvl w:ilvl="3" w:tentative="0">
      <w:start w:val="1"/>
      <w:numFmt w:val="decimal"/>
      <w:lvlText w:val="%4."/>
      <w:lvlJc w:val="left"/>
      <w:pPr>
        <w:ind w:left="4085" w:hanging="420"/>
      </w:pPr>
      <w:rPr>
        <w:rFonts w:hint="default" w:ascii="Times New Roman" w:cs="Times New Roman"/>
      </w:rPr>
    </w:lvl>
    <w:lvl w:ilvl="4" w:tentative="0">
      <w:start w:val="1"/>
      <w:numFmt w:val="lowerLetter"/>
      <w:lvlText w:val="%5)"/>
      <w:lvlJc w:val="left"/>
      <w:pPr>
        <w:ind w:left="4505" w:hanging="420"/>
      </w:pPr>
      <w:rPr>
        <w:rFonts w:hint="default" w:ascii="Times New Roman" w:cs="Times New Roman"/>
      </w:rPr>
    </w:lvl>
    <w:lvl w:ilvl="5" w:tentative="0">
      <w:start w:val="1"/>
      <w:numFmt w:val="lowerRoman"/>
      <w:lvlText w:val="%6."/>
      <w:lvlJc w:val="right"/>
      <w:pPr>
        <w:ind w:left="4925" w:hanging="420"/>
      </w:pPr>
      <w:rPr>
        <w:rFonts w:hint="default" w:ascii="Times New Roman" w:cs="Times New Roman"/>
      </w:rPr>
    </w:lvl>
    <w:lvl w:ilvl="6" w:tentative="0">
      <w:start w:val="1"/>
      <w:numFmt w:val="decimal"/>
      <w:lvlText w:val="%7."/>
      <w:lvlJc w:val="left"/>
      <w:pPr>
        <w:ind w:left="5345" w:hanging="420"/>
      </w:pPr>
      <w:rPr>
        <w:rFonts w:hint="default" w:ascii="Times New Roman" w:cs="Times New Roman"/>
      </w:rPr>
    </w:lvl>
    <w:lvl w:ilvl="7" w:tentative="0">
      <w:start w:val="1"/>
      <w:numFmt w:val="lowerLetter"/>
      <w:lvlText w:val="%8)"/>
      <w:lvlJc w:val="left"/>
      <w:pPr>
        <w:ind w:left="5765" w:hanging="420"/>
      </w:pPr>
      <w:rPr>
        <w:rFonts w:hint="default" w:ascii="Times New Roman" w:cs="Times New Roman"/>
      </w:rPr>
    </w:lvl>
    <w:lvl w:ilvl="8" w:tentative="0">
      <w:start w:val="1"/>
      <w:numFmt w:val="lowerRoman"/>
      <w:lvlText w:val="%9."/>
      <w:lvlJc w:val="right"/>
      <w:pPr>
        <w:ind w:left="6185" w:hanging="420"/>
      </w:pPr>
      <w:rPr>
        <w:rFonts w:hint="default" w:ascii="Times New Roman" w:cs="Times New Roman"/>
      </w:rPr>
    </w:lvl>
  </w:abstractNum>
  <w:abstractNum w:abstractNumId="3">
    <w:nsid w:val="0CFE12CA"/>
    <w:multiLevelType w:val="multilevel"/>
    <w:tmpl w:val="0CFE12CA"/>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upperLetter"/>
      <w:lvlText w:val="%3、"/>
      <w:lvlJc w:val="left"/>
      <w:pPr>
        <w:tabs>
          <w:tab w:val="left" w:pos="1260"/>
        </w:tabs>
        <w:ind w:left="1260" w:hanging="360"/>
      </w:pPr>
      <w:rPr>
        <w:rFonts w:hint="default"/>
      </w:rPr>
    </w:lvl>
    <w:lvl w:ilvl="3" w:tentative="0">
      <w:start w:val="1"/>
      <w:numFmt w:val="decimal"/>
      <w:pStyle w:val="169"/>
      <w:lvlText w:val="%4．"/>
      <w:lvlJc w:val="left"/>
      <w:pPr>
        <w:tabs>
          <w:tab w:val="left" w:pos="1620"/>
        </w:tabs>
        <w:ind w:left="1620" w:hanging="360"/>
      </w:pPr>
      <w:rPr>
        <w:rFonts w:hint="default"/>
      </w:rPr>
    </w:lvl>
    <w:lvl w:ilvl="4" w:tentative="0">
      <w:start w:val="1"/>
      <w:numFmt w:val="decimal"/>
      <w:lvlText w:val="%5）"/>
      <w:lvlJc w:val="left"/>
      <w:pPr>
        <w:tabs>
          <w:tab w:val="left" w:pos="2040"/>
        </w:tabs>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6"/>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1164534"/>
    <w:multiLevelType w:val="multilevel"/>
    <w:tmpl w:val="61164534"/>
    <w:lvl w:ilvl="0" w:tentative="0">
      <w:start w:val="1"/>
      <w:numFmt w:val="bullet"/>
      <w:pStyle w:val="71"/>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6A383B68"/>
    <w:multiLevelType w:val="singleLevel"/>
    <w:tmpl w:val="6A383B68"/>
    <w:lvl w:ilvl="0" w:tentative="0">
      <w:start w:val="1"/>
      <w:numFmt w:val="upperLetter"/>
      <w:pStyle w:val="7"/>
      <w:lvlText w:val="%1、"/>
      <w:lvlJc w:val="left"/>
      <w:pPr>
        <w:tabs>
          <w:tab w:val="left" w:pos="405"/>
        </w:tabs>
        <w:ind w:left="405" w:hanging="405"/>
      </w:pPr>
    </w:lvl>
  </w:abstractNum>
  <w:abstractNum w:abstractNumId="7">
    <w:nsid w:val="6CAC619C"/>
    <w:multiLevelType w:val="multilevel"/>
    <w:tmpl w:val="6CAC619C"/>
    <w:lvl w:ilvl="0" w:tentative="0">
      <w:start w:val="1"/>
      <w:numFmt w:val="bullet"/>
      <w:pStyle w:val="158"/>
      <w:lvlText w:val=""/>
      <w:lvlJc w:val="left"/>
      <w:pPr>
        <w:tabs>
          <w:tab w:val="left" w:pos="840"/>
        </w:tabs>
        <w:ind w:left="840" w:hanging="420"/>
      </w:pPr>
      <w:rPr>
        <w:rFonts w:hint="default" w:ascii="Wingdings" w:hAnsi="Wingdings"/>
      </w:rPr>
    </w:lvl>
    <w:lvl w:ilvl="1" w:tentative="0">
      <w:start w:val="1"/>
      <w:numFmt w:val="none"/>
      <w:isLgl/>
      <w:suff w:val="space"/>
      <w:lvlText w:val="  2.2.1.1"/>
      <w:lvlJc w:val="left"/>
      <w:pPr>
        <w:ind w:left="567" w:hanging="567"/>
      </w:pPr>
      <w:rPr>
        <w:rFonts w:hint="eastAsia"/>
      </w:rPr>
    </w:lvl>
    <w:lvl w:ilvl="2" w:tentative="0">
      <w:start w:val="1"/>
      <w:numFmt w:val="none"/>
      <w:isLgl/>
      <w:suff w:val="space"/>
      <w:lvlText w:val="  2.2.1.3"/>
      <w:lvlJc w:val="left"/>
      <w:pPr>
        <w:ind w:left="0" w:firstLine="0"/>
      </w:pPr>
      <w:rPr>
        <w:rFonts w:hint="eastAsia"/>
      </w:rPr>
    </w:lvl>
    <w:lvl w:ilvl="3" w:tentative="0">
      <w:start w:val="1"/>
      <w:numFmt w:val="decimal"/>
      <w:isLgl/>
      <w:suff w:val="space"/>
      <w:lvlText w:val="%1.%2.%3.%4"/>
      <w:lvlJc w:val="left"/>
      <w:pPr>
        <w:ind w:left="851" w:hanging="851"/>
      </w:pPr>
      <w:rPr>
        <w:rFonts w:hint="eastAsia"/>
      </w:rPr>
    </w:lvl>
    <w:lvl w:ilvl="4" w:tentative="0">
      <w:start w:val="1"/>
      <w:numFmt w:val="decimal"/>
      <w:isLgl/>
      <w:suff w:val="space"/>
      <w:lvlText w:val="%1.%2.%3.%4.%5"/>
      <w:lvlJc w:val="left"/>
      <w:pPr>
        <w:ind w:left="992" w:hanging="992"/>
      </w:pPr>
      <w:rPr>
        <w:rFonts w:hint="eastAsia"/>
      </w:rPr>
    </w:lvl>
    <w:lvl w:ilvl="5" w:tentative="0">
      <w:start w:val="1"/>
      <w:numFmt w:val="decimal"/>
      <w:suff w:val="space"/>
      <w:lvlText w:val="%1.%2.%3.%4.%5.%6."/>
      <w:lvlJc w:val="left"/>
      <w:pPr>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0"/>
  </w:num>
  <w:num w:numId="4">
    <w:abstractNumId w:val="6"/>
  </w:num>
  <w:num w:numId="5">
    <w:abstractNumId w:val="5"/>
  </w:num>
  <w:num w:numId="6">
    <w:abstractNumId w:val="7"/>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8A"/>
    <w:rsid w:val="00005125"/>
    <w:rsid w:val="0000552A"/>
    <w:rsid w:val="00010FC1"/>
    <w:rsid w:val="00012EA6"/>
    <w:rsid w:val="000135C6"/>
    <w:rsid w:val="00016859"/>
    <w:rsid w:val="0002203D"/>
    <w:rsid w:val="0002468D"/>
    <w:rsid w:val="00027F8F"/>
    <w:rsid w:val="00031C6B"/>
    <w:rsid w:val="00031F75"/>
    <w:rsid w:val="000329A7"/>
    <w:rsid w:val="00040A03"/>
    <w:rsid w:val="000517D0"/>
    <w:rsid w:val="00051C47"/>
    <w:rsid w:val="00052A2D"/>
    <w:rsid w:val="00053931"/>
    <w:rsid w:val="0005700A"/>
    <w:rsid w:val="00061D88"/>
    <w:rsid w:val="00065EFB"/>
    <w:rsid w:val="00067FB2"/>
    <w:rsid w:val="00074373"/>
    <w:rsid w:val="000750A1"/>
    <w:rsid w:val="00083E93"/>
    <w:rsid w:val="00083EB1"/>
    <w:rsid w:val="0009152B"/>
    <w:rsid w:val="000933A2"/>
    <w:rsid w:val="00097868"/>
    <w:rsid w:val="000A3FC5"/>
    <w:rsid w:val="000A5AC0"/>
    <w:rsid w:val="000A6A7D"/>
    <w:rsid w:val="000B1D0B"/>
    <w:rsid w:val="000B625B"/>
    <w:rsid w:val="000B6A1B"/>
    <w:rsid w:val="000C1F3C"/>
    <w:rsid w:val="000C3344"/>
    <w:rsid w:val="000C4D91"/>
    <w:rsid w:val="000D0E6C"/>
    <w:rsid w:val="000D110F"/>
    <w:rsid w:val="000D4D0E"/>
    <w:rsid w:val="000E4A4F"/>
    <w:rsid w:val="000E6999"/>
    <w:rsid w:val="000F0A57"/>
    <w:rsid w:val="000F497C"/>
    <w:rsid w:val="0010172F"/>
    <w:rsid w:val="00103025"/>
    <w:rsid w:val="00103D87"/>
    <w:rsid w:val="00104327"/>
    <w:rsid w:val="00104663"/>
    <w:rsid w:val="0010502B"/>
    <w:rsid w:val="00112B08"/>
    <w:rsid w:val="0011399F"/>
    <w:rsid w:val="00114C81"/>
    <w:rsid w:val="00115363"/>
    <w:rsid w:val="00115905"/>
    <w:rsid w:val="00116EDA"/>
    <w:rsid w:val="0012018C"/>
    <w:rsid w:val="001250E2"/>
    <w:rsid w:val="00130177"/>
    <w:rsid w:val="001345B3"/>
    <w:rsid w:val="00135251"/>
    <w:rsid w:val="0013527E"/>
    <w:rsid w:val="00137525"/>
    <w:rsid w:val="00150568"/>
    <w:rsid w:val="0015079A"/>
    <w:rsid w:val="0015134F"/>
    <w:rsid w:val="00151AAD"/>
    <w:rsid w:val="00154591"/>
    <w:rsid w:val="00157269"/>
    <w:rsid w:val="0015771E"/>
    <w:rsid w:val="00157914"/>
    <w:rsid w:val="00157FB7"/>
    <w:rsid w:val="001601E6"/>
    <w:rsid w:val="00165068"/>
    <w:rsid w:val="00174F52"/>
    <w:rsid w:val="001751A8"/>
    <w:rsid w:val="001841D9"/>
    <w:rsid w:val="00184C15"/>
    <w:rsid w:val="0019064E"/>
    <w:rsid w:val="00190DB7"/>
    <w:rsid w:val="00191263"/>
    <w:rsid w:val="00191EE1"/>
    <w:rsid w:val="00193494"/>
    <w:rsid w:val="001979C0"/>
    <w:rsid w:val="001A0957"/>
    <w:rsid w:val="001A0C24"/>
    <w:rsid w:val="001A15C0"/>
    <w:rsid w:val="001A1701"/>
    <w:rsid w:val="001A2D72"/>
    <w:rsid w:val="001A6712"/>
    <w:rsid w:val="001B2770"/>
    <w:rsid w:val="001B36F3"/>
    <w:rsid w:val="001B485F"/>
    <w:rsid w:val="001B70E5"/>
    <w:rsid w:val="001B7B6F"/>
    <w:rsid w:val="001C07C7"/>
    <w:rsid w:val="001C6042"/>
    <w:rsid w:val="001D09BC"/>
    <w:rsid w:val="001D1677"/>
    <w:rsid w:val="001D24BB"/>
    <w:rsid w:val="001D3C00"/>
    <w:rsid w:val="001D69CB"/>
    <w:rsid w:val="001D6ED7"/>
    <w:rsid w:val="001D7CE3"/>
    <w:rsid w:val="001E3B20"/>
    <w:rsid w:val="001E4A9F"/>
    <w:rsid w:val="001F2767"/>
    <w:rsid w:val="001F429B"/>
    <w:rsid w:val="001F43C6"/>
    <w:rsid w:val="001F4C63"/>
    <w:rsid w:val="001F72A2"/>
    <w:rsid w:val="001F7E31"/>
    <w:rsid w:val="0020236F"/>
    <w:rsid w:val="0020567D"/>
    <w:rsid w:val="002056F9"/>
    <w:rsid w:val="002062F2"/>
    <w:rsid w:val="00210450"/>
    <w:rsid w:val="002105F0"/>
    <w:rsid w:val="00214C2B"/>
    <w:rsid w:val="00223BA8"/>
    <w:rsid w:val="0022698F"/>
    <w:rsid w:val="00231CB7"/>
    <w:rsid w:val="00231DFF"/>
    <w:rsid w:val="00233356"/>
    <w:rsid w:val="00234180"/>
    <w:rsid w:val="0023638E"/>
    <w:rsid w:val="0024243D"/>
    <w:rsid w:val="002463E5"/>
    <w:rsid w:val="00247AB8"/>
    <w:rsid w:val="0025749B"/>
    <w:rsid w:val="002620CC"/>
    <w:rsid w:val="00264FFB"/>
    <w:rsid w:val="00266447"/>
    <w:rsid w:val="00270E20"/>
    <w:rsid w:val="00283EAF"/>
    <w:rsid w:val="002860D2"/>
    <w:rsid w:val="00286495"/>
    <w:rsid w:val="002945E5"/>
    <w:rsid w:val="00294D04"/>
    <w:rsid w:val="002A0921"/>
    <w:rsid w:val="002A13E9"/>
    <w:rsid w:val="002A168D"/>
    <w:rsid w:val="002A1DA1"/>
    <w:rsid w:val="002A2667"/>
    <w:rsid w:val="002A4A75"/>
    <w:rsid w:val="002A683A"/>
    <w:rsid w:val="002B186A"/>
    <w:rsid w:val="002B1BA5"/>
    <w:rsid w:val="002B3711"/>
    <w:rsid w:val="002B4A4B"/>
    <w:rsid w:val="002B6B66"/>
    <w:rsid w:val="002C2C53"/>
    <w:rsid w:val="002E34F4"/>
    <w:rsid w:val="002E35C4"/>
    <w:rsid w:val="002E4DCA"/>
    <w:rsid w:val="002E707F"/>
    <w:rsid w:val="002E7ADA"/>
    <w:rsid w:val="002F2363"/>
    <w:rsid w:val="002F2ED0"/>
    <w:rsid w:val="002F34ED"/>
    <w:rsid w:val="002F3755"/>
    <w:rsid w:val="002F4354"/>
    <w:rsid w:val="002F4E49"/>
    <w:rsid w:val="003006C3"/>
    <w:rsid w:val="00302514"/>
    <w:rsid w:val="00307917"/>
    <w:rsid w:val="00310479"/>
    <w:rsid w:val="00313A6B"/>
    <w:rsid w:val="00316329"/>
    <w:rsid w:val="00320B12"/>
    <w:rsid w:val="00322583"/>
    <w:rsid w:val="00323188"/>
    <w:rsid w:val="0032789C"/>
    <w:rsid w:val="00333359"/>
    <w:rsid w:val="0034242A"/>
    <w:rsid w:val="0034305B"/>
    <w:rsid w:val="00354D9A"/>
    <w:rsid w:val="003601A6"/>
    <w:rsid w:val="00361C9A"/>
    <w:rsid w:val="00365766"/>
    <w:rsid w:val="00365F56"/>
    <w:rsid w:val="00367EAB"/>
    <w:rsid w:val="0037368A"/>
    <w:rsid w:val="00375107"/>
    <w:rsid w:val="0037517D"/>
    <w:rsid w:val="003754A6"/>
    <w:rsid w:val="00380B4E"/>
    <w:rsid w:val="003822F9"/>
    <w:rsid w:val="00382D6E"/>
    <w:rsid w:val="00384E3C"/>
    <w:rsid w:val="00385323"/>
    <w:rsid w:val="0039072C"/>
    <w:rsid w:val="0039130B"/>
    <w:rsid w:val="00393589"/>
    <w:rsid w:val="00393A4C"/>
    <w:rsid w:val="003A137B"/>
    <w:rsid w:val="003A74F5"/>
    <w:rsid w:val="003B2B02"/>
    <w:rsid w:val="003B586F"/>
    <w:rsid w:val="003C1C83"/>
    <w:rsid w:val="003C637D"/>
    <w:rsid w:val="003D10C3"/>
    <w:rsid w:val="003D1A22"/>
    <w:rsid w:val="003D7052"/>
    <w:rsid w:val="003E074D"/>
    <w:rsid w:val="003E1236"/>
    <w:rsid w:val="003E1A10"/>
    <w:rsid w:val="003E4007"/>
    <w:rsid w:val="003E6C02"/>
    <w:rsid w:val="003F4084"/>
    <w:rsid w:val="003F77E0"/>
    <w:rsid w:val="00400057"/>
    <w:rsid w:val="00407D88"/>
    <w:rsid w:val="004109FD"/>
    <w:rsid w:val="0041394C"/>
    <w:rsid w:val="00417C8A"/>
    <w:rsid w:val="0042557D"/>
    <w:rsid w:val="00426003"/>
    <w:rsid w:val="004300DB"/>
    <w:rsid w:val="004350B7"/>
    <w:rsid w:val="00442935"/>
    <w:rsid w:val="0044422F"/>
    <w:rsid w:val="00445C1C"/>
    <w:rsid w:val="00457231"/>
    <w:rsid w:val="00457CFC"/>
    <w:rsid w:val="00460793"/>
    <w:rsid w:val="00461637"/>
    <w:rsid w:val="00464359"/>
    <w:rsid w:val="00471407"/>
    <w:rsid w:val="00474F71"/>
    <w:rsid w:val="00476C0B"/>
    <w:rsid w:val="00477EFE"/>
    <w:rsid w:val="004829B4"/>
    <w:rsid w:val="00485E04"/>
    <w:rsid w:val="00497699"/>
    <w:rsid w:val="00497DB2"/>
    <w:rsid w:val="004A0174"/>
    <w:rsid w:val="004A236E"/>
    <w:rsid w:val="004A327E"/>
    <w:rsid w:val="004A46B3"/>
    <w:rsid w:val="004A7A78"/>
    <w:rsid w:val="004B5136"/>
    <w:rsid w:val="004C0238"/>
    <w:rsid w:val="004D0EA8"/>
    <w:rsid w:val="004D2934"/>
    <w:rsid w:val="004D2D24"/>
    <w:rsid w:val="004D314A"/>
    <w:rsid w:val="004D429F"/>
    <w:rsid w:val="004D4938"/>
    <w:rsid w:val="004E1AB8"/>
    <w:rsid w:val="004E4899"/>
    <w:rsid w:val="004F0960"/>
    <w:rsid w:val="004F69CA"/>
    <w:rsid w:val="004F7507"/>
    <w:rsid w:val="005041C0"/>
    <w:rsid w:val="00513DE6"/>
    <w:rsid w:val="005144B2"/>
    <w:rsid w:val="005158F7"/>
    <w:rsid w:val="00516B43"/>
    <w:rsid w:val="00524FD6"/>
    <w:rsid w:val="00525FC6"/>
    <w:rsid w:val="00527353"/>
    <w:rsid w:val="00527E1C"/>
    <w:rsid w:val="00536FBF"/>
    <w:rsid w:val="0054018C"/>
    <w:rsid w:val="00544130"/>
    <w:rsid w:val="0055496F"/>
    <w:rsid w:val="00555780"/>
    <w:rsid w:val="0056065C"/>
    <w:rsid w:val="00566AC5"/>
    <w:rsid w:val="0057066B"/>
    <w:rsid w:val="00572BAD"/>
    <w:rsid w:val="00573BCB"/>
    <w:rsid w:val="00574FFC"/>
    <w:rsid w:val="00576529"/>
    <w:rsid w:val="00584815"/>
    <w:rsid w:val="00586C3A"/>
    <w:rsid w:val="005879E7"/>
    <w:rsid w:val="00591190"/>
    <w:rsid w:val="00591584"/>
    <w:rsid w:val="00592ED0"/>
    <w:rsid w:val="00593983"/>
    <w:rsid w:val="00594CDD"/>
    <w:rsid w:val="00596358"/>
    <w:rsid w:val="005A32FB"/>
    <w:rsid w:val="005A3E6E"/>
    <w:rsid w:val="005A7A4A"/>
    <w:rsid w:val="005C3154"/>
    <w:rsid w:val="005C3A22"/>
    <w:rsid w:val="005C54A7"/>
    <w:rsid w:val="005C6F10"/>
    <w:rsid w:val="005D2F62"/>
    <w:rsid w:val="005D374B"/>
    <w:rsid w:val="005D3ECD"/>
    <w:rsid w:val="005D4966"/>
    <w:rsid w:val="005D6575"/>
    <w:rsid w:val="005E282B"/>
    <w:rsid w:val="005E5A88"/>
    <w:rsid w:val="005E68E7"/>
    <w:rsid w:val="005F5691"/>
    <w:rsid w:val="006038FF"/>
    <w:rsid w:val="00607365"/>
    <w:rsid w:val="00607E60"/>
    <w:rsid w:val="0061037A"/>
    <w:rsid w:val="006120C0"/>
    <w:rsid w:val="00615BAF"/>
    <w:rsid w:val="00622F34"/>
    <w:rsid w:val="00625BC2"/>
    <w:rsid w:val="00632DF8"/>
    <w:rsid w:val="006351A3"/>
    <w:rsid w:val="006378C9"/>
    <w:rsid w:val="00645BE3"/>
    <w:rsid w:val="00651F43"/>
    <w:rsid w:val="00662FED"/>
    <w:rsid w:val="00667B69"/>
    <w:rsid w:val="006714B3"/>
    <w:rsid w:val="00675C4B"/>
    <w:rsid w:val="0067652D"/>
    <w:rsid w:val="006839B6"/>
    <w:rsid w:val="006843E1"/>
    <w:rsid w:val="006936A5"/>
    <w:rsid w:val="006948E4"/>
    <w:rsid w:val="00694B34"/>
    <w:rsid w:val="00694D00"/>
    <w:rsid w:val="006A0829"/>
    <w:rsid w:val="006A1906"/>
    <w:rsid w:val="006A69A8"/>
    <w:rsid w:val="006A7A17"/>
    <w:rsid w:val="006B183A"/>
    <w:rsid w:val="006B6B67"/>
    <w:rsid w:val="006C02F5"/>
    <w:rsid w:val="006C1C4D"/>
    <w:rsid w:val="006C5FEF"/>
    <w:rsid w:val="006C7652"/>
    <w:rsid w:val="006C7EB3"/>
    <w:rsid w:val="006D2BAC"/>
    <w:rsid w:val="006D32D3"/>
    <w:rsid w:val="006D469E"/>
    <w:rsid w:val="006D4D39"/>
    <w:rsid w:val="006E0B60"/>
    <w:rsid w:val="006E11BE"/>
    <w:rsid w:val="006E40DC"/>
    <w:rsid w:val="006E51D3"/>
    <w:rsid w:val="006E64A5"/>
    <w:rsid w:val="006E6C77"/>
    <w:rsid w:val="006E797A"/>
    <w:rsid w:val="006F0A0C"/>
    <w:rsid w:val="006F2510"/>
    <w:rsid w:val="006F3A0F"/>
    <w:rsid w:val="007014C0"/>
    <w:rsid w:val="00702458"/>
    <w:rsid w:val="00704DB4"/>
    <w:rsid w:val="00707395"/>
    <w:rsid w:val="007122EB"/>
    <w:rsid w:val="00721BF4"/>
    <w:rsid w:val="00727E2C"/>
    <w:rsid w:val="00736F88"/>
    <w:rsid w:val="007402C2"/>
    <w:rsid w:val="007402D5"/>
    <w:rsid w:val="00740EED"/>
    <w:rsid w:val="00743C5C"/>
    <w:rsid w:val="0075094E"/>
    <w:rsid w:val="00757BAC"/>
    <w:rsid w:val="00762B5C"/>
    <w:rsid w:val="007655B8"/>
    <w:rsid w:val="00765740"/>
    <w:rsid w:val="00772AC2"/>
    <w:rsid w:val="00772DC9"/>
    <w:rsid w:val="00773A2C"/>
    <w:rsid w:val="00775269"/>
    <w:rsid w:val="00777C1A"/>
    <w:rsid w:val="00780451"/>
    <w:rsid w:val="007822C3"/>
    <w:rsid w:val="00784810"/>
    <w:rsid w:val="00787752"/>
    <w:rsid w:val="00794F1B"/>
    <w:rsid w:val="007A06F3"/>
    <w:rsid w:val="007A4FF4"/>
    <w:rsid w:val="007A5361"/>
    <w:rsid w:val="007B4C33"/>
    <w:rsid w:val="007C2503"/>
    <w:rsid w:val="007C2B7A"/>
    <w:rsid w:val="007C2CB4"/>
    <w:rsid w:val="007C4B43"/>
    <w:rsid w:val="007C5716"/>
    <w:rsid w:val="007D3E95"/>
    <w:rsid w:val="007D410A"/>
    <w:rsid w:val="007D4361"/>
    <w:rsid w:val="007D7005"/>
    <w:rsid w:val="007E24D2"/>
    <w:rsid w:val="007E765C"/>
    <w:rsid w:val="007F0976"/>
    <w:rsid w:val="008030DC"/>
    <w:rsid w:val="00805DD9"/>
    <w:rsid w:val="008125CD"/>
    <w:rsid w:val="00813057"/>
    <w:rsid w:val="00815230"/>
    <w:rsid w:val="00815C27"/>
    <w:rsid w:val="00817564"/>
    <w:rsid w:val="0082016A"/>
    <w:rsid w:val="0082155D"/>
    <w:rsid w:val="008216E6"/>
    <w:rsid w:val="0082176B"/>
    <w:rsid w:val="00821954"/>
    <w:rsid w:val="008219AD"/>
    <w:rsid w:val="00822072"/>
    <w:rsid w:val="00822430"/>
    <w:rsid w:val="008231ED"/>
    <w:rsid w:val="0082403F"/>
    <w:rsid w:val="0082455A"/>
    <w:rsid w:val="008249F4"/>
    <w:rsid w:val="008325F0"/>
    <w:rsid w:val="00834788"/>
    <w:rsid w:val="00834D35"/>
    <w:rsid w:val="00842C80"/>
    <w:rsid w:val="00845C93"/>
    <w:rsid w:val="0084613D"/>
    <w:rsid w:val="008557E8"/>
    <w:rsid w:val="0085715E"/>
    <w:rsid w:val="00861F26"/>
    <w:rsid w:val="00863478"/>
    <w:rsid w:val="00863945"/>
    <w:rsid w:val="008745E3"/>
    <w:rsid w:val="00875064"/>
    <w:rsid w:val="008800C8"/>
    <w:rsid w:val="0088347A"/>
    <w:rsid w:val="00885460"/>
    <w:rsid w:val="00886234"/>
    <w:rsid w:val="008863D4"/>
    <w:rsid w:val="00886634"/>
    <w:rsid w:val="00887B85"/>
    <w:rsid w:val="00890DCD"/>
    <w:rsid w:val="00892087"/>
    <w:rsid w:val="00896826"/>
    <w:rsid w:val="008A5161"/>
    <w:rsid w:val="008B0B01"/>
    <w:rsid w:val="008B43D4"/>
    <w:rsid w:val="008B4F96"/>
    <w:rsid w:val="008C13B9"/>
    <w:rsid w:val="008C2336"/>
    <w:rsid w:val="008C2EDB"/>
    <w:rsid w:val="008C4325"/>
    <w:rsid w:val="008C4E5B"/>
    <w:rsid w:val="008C764A"/>
    <w:rsid w:val="008D4AB1"/>
    <w:rsid w:val="008D7471"/>
    <w:rsid w:val="008D7B31"/>
    <w:rsid w:val="008E19EE"/>
    <w:rsid w:val="008E316D"/>
    <w:rsid w:val="008F03D5"/>
    <w:rsid w:val="008F07DF"/>
    <w:rsid w:val="008F6681"/>
    <w:rsid w:val="0090287D"/>
    <w:rsid w:val="00912BD2"/>
    <w:rsid w:val="00914C23"/>
    <w:rsid w:val="009169F0"/>
    <w:rsid w:val="0092030F"/>
    <w:rsid w:val="00920478"/>
    <w:rsid w:val="00926541"/>
    <w:rsid w:val="009271D3"/>
    <w:rsid w:val="009309E4"/>
    <w:rsid w:val="00933465"/>
    <w:rsid w:val="00933DAC"/>
    <w:rsid w:val="00933FD9"/>
    <w:rsid w:val="00934ED5"/>
    <w:rsid w:val="00936426"/>
    <w:rsid w:val="00936632"/>
    <w:rsid w:val="009415ED"/>
    <w:rsid w:val="0094514A"/>
    <w:rsid w:val="00947BCD"/>
    <w:rsid w:val="00947FE6"/>
    <w:rsid w:val="00952269"/>
    <w:rsid w:val="0095489D"/>
    <w:rsid w:val="009557D2"/>
    <w:rsid w:val="009568DF"/>
    <w:rsid w:val="00963B11"/>
    <w:rsid w:val="0096450C"/>
    <w:rsid w:val="00967D63"/>
    <w:rsid w:val="00970F9E"/>
    <w:rsid w:val="00973FE7"/>
    <w:rsid w:val="00975C87"/>
    <w:rsid w:val="00980338"/>
    <w:rsid w:val="009924D5"/>
    <w:rsid w:val="009953A4"/>
    <w:rsid w:val="00995623"/>
    <w:rsid w:val="0099724E"/>
    <w:rsid w:val="00997ACE"/>
    <w:rsid w:val="009A5E88"/>
    <w:rsid w:val="009A5E9D"/>
    <w:rsid w:val="009B0420"/>
    <w:rsid w:val="009B1E0A"/>
    <w:rsid w:val="009B206E"/>
    <w:rsid w:val="009B55F5"/>
    <w:rsid w:val="009C308A"/>
    <w:rsid w:val="009C3B05"/>
    <w:rsid w:val="009C725B"/>
    <w:rsid w:val="009C76D3"/>
    <w:rsid w:val="009D13D6"/>
    <w:rsid w:val="009D1860"/>
    <w:rsid w:val="009D3E5A"/>
    <w:rsid w:val="009D5067"/>
    <w:rsid w:val="009D54A0"/>
    <w:rsid w:val="009D5C27"/>
    <w:rsid w:val="009D614B"/>
    <w:rsid w:val="009D744F"/>
    <w:rsid w:val="009E297D"/>
    <w:rsid w:val="009E6D86"/>
    <w:rsid w:val="009E7112"/>
    <w:rsid w:val="009F51CF"/>
    <w:rsid w:val="009F5CDD"/>
    <w:rsid w:val="00A0629A"/>
    <w:rsid w:val="00A15C91"/>
    <w:rsid w:val="00A2031E"/>
    <w:rsid w:val="00A20F2A"/>
    <w:rsid w:val="00A21133"/>
    <w:rsid w:val="00A216B1"/>
    <w:rsid w:val="00A23D3B"/>
    <w:rsid w:val="00A26379"/>
    <w:rsid w:val="00A27EE2"/>
    <w:rsid w:val="00A36FB8"/>
    <w:rsid w:val="00A40243"/>
    <w:rsid w:val="00A41EAC"/>
    <w:rsid w:val="00A42B9E"/>
    <w:rsid w:val="00A42FC8"/>
    <w:rsid w:val="00A47324"/>
    <w:rsid w:val="00A50CF2"/>
    <w:rsid w:val="00A5358B"/>
    <w:rsid w:val="00A55C8E"/>
    <w:rsid w:val="00A55F87"/>
    <w:rsid w:val="00A56E2E"/>
    <w:rsid w:val="00A64483"/>
    <w:rsid w:val="00A7154B"/>
    <w:rsid w:val="00A8315F"/>
    <w:rsid w:val="00A86340"/>
    <w:rsid w:val="00A9044C"/>
    <w:rsid w:val="00A90951"/>
    <w:rsid w:val="00A9106B"/>
    <w:rsid w:val="00A91F9A"/>
    <w:rsid w:val="00A92E5F"/>
    <w:rsid w:val="00A94DF2"/>
    <w:rsid w:val="00A95DBC"/>
    <w:rsid w:val="00A96926"/>
    <w:rsid w:val="00AA0FCE"/>
    <w:rsid w:val="00AA17DC"/>
    <w:rsid w:val="00AB043E"/>
    <w:rsid w:val="00AB29D3"/>
    <w:rsid w:val="00AB39F3"/>
    <w:rsid w:val="00AB454D"/>
    <w:rsid w:val="00AC2B19"/>
    <w:rsid w:val="00AC3A1C"/>
    <w:rsid w:val="00AC4A89"/>
    <w:rsid w:val="00AC6CE4"/>
    <w:rsid w:val="00AE1B40"/>
    <w:rsid w:val="00AE2ED6"/>
    <w:rsid w:val="00AE6EBC"/>
    <w:rsid w:val="00AF039F"/>
    <w:rsid w:val="00AF2504"/>
    <w:rsid w:val="00AF4A99"/>
    <w:rsid w:val="00B00ADC"/>
    <w:rsid w:val="00B00F7A"/>
    <w:rsid w:val="00B012D5"/>
    <w:rsid w:val="00B015AB"/>
    <w:rsid w:val="00B0332B"/>
    <w:rsid w:val="00B04247"/>
    <w:rsid w:val="00B127DA"/>
    <w:rsid w:val="00B12ECD"/>
    <w:rsid w:val="00B13D6A"/>
    <w:rsid w:val="00B14C0B"/>
    <w:rsid w:val="00B20D06"/>
    <w:rsid w:val="00B2146D"/>
    <w:rsid w:val="00B22914"/>
    <w:rsid w:val="00B25D56"/>
    <w:rsid w:val="00B3313A"/>
    <w:rsid w:val="00B34302"/>
    <w:rsid w:val="00B34F8E"/>
    <w:rsid w:val="00B36043"/>
    <w:rsid w:val="00B37BCC"/>
    <w:rsid w:val="00B37ECF"/>
    <w:rsid w:val="00B40721"/>
    <w:rsid w:val="00B41870"/>
    <w:rsid w:val="00B41967"/>
    <w:rsid w:val="00B474CB"/>
    <w:rsid w:val="00B5454C"/>
    <w:rsid w:val="00B55791"/>
    <w:rsid w:val="00B63318"/>
    <w:rsid w:val="00B668BB"/>
    <w:rsid w:val="00B66DC1"/>
    <w:rsid w:val="00B73DEB"/>
    <w:rsid w:val="00B74777"/>
    <w:rsid w:val="00B74D55"/>
    <w:rsid w:val="00B75B8C"/>
    <w:rsid w:val="00B87ED4"/>
    <w:rsid w:val="00B90C82"/>
    <w:rsid w:val="00B91124"/>
    <w:rsid w:val="00B9180C"/>
    <w:rsid w:val="00B94480"/>
    <w:rsid w:val="00B9481F"/>
    <w:rsid w:val="00BA40C2"/>
    <w:rsid w:val="00BA716D"/>
    <w:rsid w:val="00BB1D3E"/>
    <w:rsid w:val="00BC02D7"/>
    <w:rsid w:val="00BC36CA"/>
    <w:rsid w:val="00BC3D6F"/>
    <w:rsid w:val="00BC55C2"/>
    <w:rsid w:val="00BC61AC"/>
    <w:rsid w:val="00BD0EBD"/>
    <w:rsid w:val="00BD4C35"/>
    <w:rsid w:val="00BE4F9B"/>
    <w:rsid w:val="00BE6FA5"/>
    <w:rsid w:val="00BF0DC9"/>
    <w:rsid w:val="00BF1049"/>
    <w:rsid w:val="00BF28ED"/>
    <w:rsid w:val="00C0150B"/>
    <w:rsid w:val="00C036EC"/>
    <w:rsid w:val="00C0598F"/>
    <w:rsid w:val="00C13CEC"/>
    <w:rsid w:val="00C13CF5"/>
    <w:rsid w:val="00C1781A"/>
    <w:rsid w:val="00C2059D"/>
    <w:rsid w:val="00C20DC8"/>
    <w:rsid w:val="00C300F2"/>
    <w:rsid w:val="00C31EB2"/>
    <w:rsid w:val="00C329C3"/>
    <w:rsid w:val="00C36B5D"/>
    <w:rsid w:val="00C47707"/>
    <w:rsid w:val="00C5144F"/>
    <w:rsid w:val="00C62563"/>
    <w:rsid w:val="00C63555"/>
    <w:rsid w:val="00C6395F"/>
    <w:rsid w:val="00C64E61"/>
    <w:rsid w:val="00C66EE6"/>
    <w:rsid w:val="00C670AB"/>
    <w:rsid w:val="00C721C3"/>
    <w:rsid w:val="00C746D4"/>
    <w:rsid w:val="00C80F9F"/>
    <w:rsid w:val="00C83068"/>
    <w:rsid w:val="00C83429"/>
    <w:rsid w:val="00C8410F"/>
    <w:rsid w:val="00C8637A"/>
    <w:rsid w:val="00C87EDC"/>
    <w:rsid w:val="00C90ECA"/>
    <w:rsid w:val="00C93022"/>
    <w:rsid w:val="00C946D2"/>
    <w:rsid w:val="00CA3DD4"/>
    <w:rsid w:val="00CA45AE"/>
    <w:rsid w:val="00CA6080"/>
    <w:rsid w:val="00CA6D70"/>
    <w:rsid w:val="00CA70BF"/>
    <w:rsid w:val="00CA7348"/>
    <w:rsid w:val="00CB16E8"/>
    <w:rsid w:val="00CB7229"/>
    <w:rsid w:val="00CC1D36"/>
    <w:rsid w:val="00CC2B56"/>
    <w:rsid w:val="00CC6070"/>
    <w:rsid w:val="00CD1CAB"/>
    <w:rsid w:val="00CD36FF"/>
    <w:rsid w:val="00CD3E5C"/>
    <w:rsid w:val="00CD49EF"/>
    <w:rsid w:val="00CE3AD7"/>
    <w:rsid w:val="00CE50F5"/>
    <w:rsid w:val="00CF33C3"/>
    <w:rsid w:val="00CF438E"/>
    <w:rsid w:val="00CF7F2A"/>
    <w:rsid w:val="00CF7F8F"/>
    <w:rsid w:val="00D026F7"/>
    <w:rsid w:val="00D05BBB"/>
    <w:rsid w:val="00D109A8"/>
    <w:rsid w:val="00D1373D"/>
    <w:rsid w:val="00D200E4"/>
    <w:rsid w:val="00D2049A"/>
    <w:rsid w:val="00D24803"/>
    <w:rsid w:val="00D322B6"/>
    <w:rsid w:val="00D32C17"/>
    <w:rsid w:val="00D353FF"/>
    <w:rsid w:val="00D44463"/>
    <w:rsid w:val="00D44839"/>
    <w:rsid w:val="00D458E0"/>
    <w:rsid w:val="00D47043"/>
    <w:rsid w:val="00D50C9A"/>
    <w:rsid w:val="00D51479"/>
    <w:rsid w:val="00D520C9"/>
    <w:rsid w:val="00D52BB9"/>
    <w:rsid w:val="00D625F8"/>
    <w:rsid w:val="00D73693"/>
    <w:rsid w:val="00D74A49"/>
    <w:rsid w:val="00D83294"/>
    <w:rsid w:val="00D832F2"/>
    <w:rsid w:val="00D840D8"/>
    <w:rsid w:val="00D93A13"/>
    <w:rsid w:val="00D93D98"/>
    <w:rsid w:val="00D949A2"/>
    <w:rsid w:val="00DA2036"/>
    <w:rsid w:val="00DA3FC7"/>
    <w:rsid w:val="00DA4769"/>
    <w:rsid w:val="00DA4EC4"/>
    <w:rsid w:val="00DA55DB"/>
    <w:rsid w:val="00DA5D11"/>
    <w:rsid w:val="00DA6C58"/>
    <w:rsid w:val="00DA7361"/>
    <w:rsid w:val="00DA7BFE"/>
    <w:rsid w:val="00DB1C80"/>
    <w:rsid w:val="00DB2FD1"/>
    <w:rsid w:val="00DB663C"/>
    <w:rsid w:val="00DC10A7"/>
    <w:rsid w:val="00DC1553"/>
    <w:rsid w:val="00DC4027"/>
    <w:rsid w:val="00DD29D3"/>
    <w:rsid w:val="00DD4B24"/>
    <w:rsid w:val="00DD51BF"/>
    <w:rsid w:val="00DD636E"/>
    <w:rsid w:val="00DD7C68"/>
    <w:rsid w:val="00DE0E2E"/>
    <w:rsid w:val="00DE12F4"/>
    <w:rsid w:val="00DE1DFC"/>
    <w:rsid w:val="00DF4624"/>
    <w:rsid w:val="00DF46D3"/>
    <w:rsid w:val="00DF4743"/>
    <w:rsid w:val="00DF479E"/>
    <w:rsid w:val="00DF7B2B"/>
    <w:rsid w:val="00E013D1"/>
    <w:rsid w:val="00E01909"/>
    <w:rsid w:val="00E01D7C"/>
    <w:rsid w:val="00E04FDF"/>
    <w:rsid w:val="00E05F15"/>
    <w:rsid w:val="00E07D2B"/>
    <w:rsid w:val="00E10531"/>
    <w:rsid w:val="00E1304F"/>
    <w:rsid w:val="00E17D79"/>
    <w:rsid w:val="00E20A02"/>
    <w:rsid w:val="00E248BF"/>
    <w:rsid w:val="00E25D15"/>
    <w:rsid w:val="00E35D90"/>
    <w:rsid w:val="00E3742A"/>
    <w:rsid w:val="00E42DE4"/>
    <w:rsid w:val="00E43128"/>
    <w:rsid w:val="00E46173"/>
    <w:rsid w:val="00E462AF"/>
    <w:rsid w:val="00E46623"/>
    <w:rsid w:val="00E517E0"/>
    <w:rsid w:val="00E51C1B"/>
    <w:rsid w:val="00E541EA"/>
    <w:rsid w:val="00E57296"/>
    <w:rsid w:val="00E600B2"/>
    <w:rsid w:val="00E622B2"/>
    <w:rsid w:val="00E65766"/>
    <w:rsid w:val="00E65A9B"/>
    <w:rsid w:val="00E7370C"/>
    <w:rsid w:val="00E77871"/>
    <w:rsid w:val="00E8540C"/>
    <w:rsid w:val="00E85789"/>
    <w:rsid w:val="00E90688"/>
    <w:rsid w:val="00E91B94"/>
    <w:rsid w:val="00E93356"/>
    <w:rsid w:val="00EA19AB"/>
    <w:rsid w:val="00EA37AB"/>
    <w:rsid w:val="00EA4736"/>
    <w:rsid w:val="00EA62B8"/>
    <w:rsid w:val="00EA6B0D"/>
    <w:rsid w:val="00EB0AE3"/>
    <w:rsid w:val="00EB4FA7"/>
    <w:rsid w:val="00EB6F4F"/>
    <w:rsid w:val="00EB7748"/>
    <w:rsid w:val="00EB7E69"/>
    <w:rsid w:val="00EC155E"/>
    <w:rsid w:val="00EC3182"/>
    <w:rsid w:val="00EC57BD"/>
    <w:rsid w:val="00EC7697"/>
    <w:rsid w:val="00EC77D6"/>
    <w:rsid w:val="00ED0B91"/>
    <w:rsid w:val="00ED1F25"/>
    <w:rsid w:val="00ED5DDD"/>
    <w:rsid w:val="00ED758C"/>
    <w:rsid w:val="00EE31A2"/>
    <w:rsid w:val="00EE54FE"/>
    <w:rsid w:val="00EE5E15"/>
    <w:rsid w:val="00EE7815"/>
    <w:rsid w:val="00EF28B6"/>
    <w:rsid w:val="00F004DC"/>
    <w:rsid w:val="00F009C7"/>
    <w:rsid w:val="00F01618"/>
    <w:rsid w:val="00F01C96"/>
    <w:rsid w:val="00F0661F"/>
    <w:rsid w:val="00F12CBB"/>
    <w:rsid w:val="00F1355C"/>
    <w:rsid w:val="00F204A4"/>
    <w:rsid w:val="00F21985"/>
    <w:rsid w:val="00F2566F"/>
    <w:rsid w:val="00F33527"/>
    <w:rsid w:val="00F35DF7"/>
    <w:rsid w:val="00F41632"/>
    <w:rsid w:val="00F42267"/>
    <w:rsid w:val="00F43D6D"/>
    <w:rsid w:val="00F454C9"/>
    <w:rsid w:val="00F5295B"/>
    <w:rsid w:val="00F571A5"/>
    <w:rsid w:val="00F57CCC"/>
    <w:rsid w:val="00F57FA8"/>
    <w:rsid w:val="00F63771"/>
    <w:rsid w:val="00F63922"/>
    <w:rsid w:val="00F63F70"/>
    <w:rsid w:val="00F655FA"/>
    <w:rsid w:val="00F70245"/>
    <w:rsid w:val="00F70C83"/>
    <w:rsid w:val="00F76826"/>
    <w:rsid w:val="00F76A15"/>
    <w:rsid w:val="00F82E38"/>
    <w:rsid w:val="00F83C52"/>
    <w:rsid w:val="00F85E81"/>
    <w:rsid w:val="00F97575"/>
    <w:rsid w:val="00FA0AAD"/>
    <w:rsid w:val="00FA4F02"/>
    <w:rsid w:val="00FB1EB6"/>
    <w:rsid w:val="00FB5FF6"/>
    <w:rsid w:val="00FB61AA"/>
    <w:rsid w:val="00FB688D"/>
    <w:rsid w:val="00FC02C4"/>
    <w:rsid w:val="00FC066F"/>
    <w:rsid w:val="00FC5B79"/>
    <w:rsid w:val="00FD5FF3"/>
    <w:rsid w:val="00FE4C4A"/>
    <w:rsid w:val="00FE5E89"/>
    <w:rsid w:val="00FE7260"/>
    <w:rsid w:val="00FF0866"/>
    <w:rsid w:val="00FF0CA9"/>
    <w:rsid w:val="00FF2F9C"/>
    <w:rsid w:val="00FF6853"/>
    <w:rsid w:val="00FF724C"/>
    <w:rsid w:val="00FF7BD2"/>
    <w:rsid w:val="0135059F"/>
    <w:rsid w:val="01C82AB7"/>
    <w:rsid w:val="01CE3511"/>
    <w:rsid w:val="01FF1010"/>
    <w:rsid w:val="020F4AE9"/>
    <w:rsid w:val="040217D3"/>
    <w:rsid w:val="07D21C5F"/>
    <w:rsid w:val="087C14DA"/>
    <w:rsid w:val="0DBF33A2"/>
    <w:rsid w:val="11AC4D2A"/>
    <w:rsid w:val="131E0BC5"/>
    <w:rsid w:val="139649BB"/>
    <w:rsid w:val="14110E63"/>
    <w:rsid w:val="145B04B4"/>
    <w:rsid w:val="14BB6051"/>
    <w:rsid w:val="187966CB"/>
    <w:rsid w:val="1A754AFA"/>
    <w:rsid w:val="1D4A5176"/>
    <w:rsid w:val="1E08447D"/>
    <w:rsid w:val="1F6A5254"/>
    <w:rsid w:val="229119B5"/>
    <w:rsid w:val="22C3798D"/>
    <w:rsid w:val="2384728C"/>
    <w:rsid w:val="25EB169B"/>
    <w:rsid w:val="28780AC2"/>
    <w:rsid w:val="28A56B57"/>
    <w:rsid w:val="2DDB659A"/>
    <w:rsid w:val="30685EF9"/>
    <w:rsid w:val="31005A69"/>
    <w:rsid w:val="31592413"/>
    <w:rsid w:val="33D04828"/>
    <w:rsid w:val="34723697"/>
    <w:rsid w:val="394523F6"/>
    <w:rsid w:val="3A65288A"/>
    <w:rsid w:val="3E1A36AA"/>
    <w:rsid w:val="409570AB"/>
    <w:rsid w:val="409B1CAF"/>
    <w:rsid w:val="409E084A"/>
    <w:rsid w:val="40B35060"/>
    <w:rsid w:val="42BD259B"/>
    <w:rsid w:val="453A16EE"/>
    <w:rsid w:val="48067DCB"/>
    <w:rsid w:val="484F4D52"/>
    <w:rsid w:val="4939178F"/>
    <w:rsid w:val="4B476A5B"/>
    <w:rsid w:val="51F31697"/>
    <w:rsid w:val="532660D4"/>
    <w:rsid w:val="53290A1F"/>
    <w:rsid w:val="535B6D21"/>
    <w:rsid w:val="54606F9B"/>
    <w:rsid w:val="546F0083"/>
    <w:rsid w:val="59863C90"/>
    <w:rsid w:val="59F51B1E"/>
    <w:rsid w:val="5AAA747B"/>
    <w:rsid w:val="603A5123"/>
    <w:rsid w:val="61096BC3"/>
    <w:rsid w:val="614528D7"/>
    <w:rsid w:val="623A7359"/>
    <w:rsid w:val="63C1396D"/>
    <w:rsid w:val="653C6580"/>
    <w:rsid w:val="68057CC8"/>
    <w:rsid w:val="694B0821"/>
    <w:rsid w:val="6F982030"/>
    <w:rsid w:val="726D65F1"/>
    <w:rsid w:val="727B5364"/>
    <w:rsid w:val="73705587"/>
    <w:rsid w:val="77CE0648"/>
    <w:rsid w:val="7DA25F85"/>
    <w:rsid w:val="7E376057"/>
    <w:rsid w:val="7F195D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99" w:semiHidden="0" w:name="List Number 2"/>
    <w:lsdException w:unhideWhenUsed="0" w:uiPriority="99"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99"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99" w:semiHidden="0" w:name="Body Text First Indent"/>
    <w:lsdException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99" w:semiHidden="0" w:name="Body Text Indent 3"/>
    <w:lsdException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39"/>
    <w:qFormat/>
    <w:uiPriority w:val="9"/>
    <w:pPr>
      <w:keepNext/>
      <w:keepLines/>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4"/>
    <w:link w:val="57"/>
    <w:qFormat/>
    <w:uiPriority w:val="9"/>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5">
    <w:name w:val="heading 3"/>
    <w:basedOn w:val="1"/>
    <w:next w:val="4"/>
    <w:link w:val="68"/>
    <w:qFormat/>
    <w:uiPriority w:val="9"/>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6">
    <w:name w:val="heading 4"/>
    <w:basedOn w:val="1"/>
    <w:next w:val="4"/>
    <w:link w:val="124"/>
    <w:qFormat/>
    <w:uiPriority w:val="9"/>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4"/>
    <w:link w:val="129"/>
    <w:qFormat/>
    <w:uiPriority w:val="9"/>
    <w:pPr>
      <w:keepNext/>
      <w:widowControl/>
      <w:numPr>
        <w:ilvl w:val="0"/>
        <w:numId w:val="4"/>
      </w:numPr>
      <w:jc w:val="left"/>
      <w:outlineLvl w:val="4"/>
    </w:pPr>
    <w:rPr>
      <w:kern w:val="0"/>
      <w:sz w:val="24"/>
      <w:szCs w:val="20"/>
    </w:rPr>
  </w:style>
  <w:style w:type="paragraph" w:styleId="8">
    <w:name w:val="heading 6"/>
    <w:basedOn w:val="1"/>
    <w:next w:val="1"/>
    <w:link w:val="108"/>
    <w:qFormat/>
    <w:uiPriority w:val="9"/>
    <w:pPr>
      <w:widowControl/>
      <w:spacing w:before="60" w:after="60" w:line="440" w:lineRule="atLeast"/>
      <w:textAlignment w:val="baseline"/>
      <w:outlineLvl w:val="5"/>
    </w:pPr>
    <w:rPr>
      <w:rFonts w:ascii="宋体" w:hAnsi="Arial"/>
      <w:kern w:val="0"/>
      <w:sz w:val="24"/>
      <w:szCs w:val="20"/>
    </w:rPr>
  </w:style>
  <w:style w:type="paragraph" w:styleId="9">
    <w:name w:val="heading 7"/>
    <w:basedOn w:val="1"/>
    <w:next w:val="1"/>
    <w:link w:val="93"/>
    <w:qFormat/>
    <w:uiPriority w:val="9"/>
    <w:pPr>
      <w:keepNext/>
      <w:keepLines/>
      <w:adjustRightInd w:val="0"/>
      <w:spacing w:before="240" w:after="64" w:line="320" w:lineRule="atLeast"/>
      <w:textAlignment w:val="baseline"/>
      <w:outlineLvl w:val="6"/>
    </w:pPr>
    <w:rPr>
      <w:rFonts w:ascii="宋体" w:hAnsi="Arial"/>
      <w:b/>
      <w:kern w:val="0"/>
      <w:sz w:val="24"/>
      <w:szCs w:val="20"/>
    </w:rPr>
  </w:style>
  <w:style w:type="paragraph" w:styleId="10">
    <w:name w:val="heading 8"/>
    <w:basedOn w:val="1"/>
    <w:next w:val="1"/>
    <w:link w:val="130"/>
    <w:qFormat/>
    <w:uiPriority w:val="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7"/>
    <w:qFormat/>
    <w:uiPriority w:val="9"/>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50">
    <w:name w:val="Default Paragraph Font"/>
    <w:semiHidden/>
    <w:uiPriority w:val="0"/>
  </w:style>
  <w:style w:type="table" w:default="1" w:styleId="48">
    <w:name w:val="Normal Table"/>
    <w:semiHidden/>
    <w:uiPriority w:val="0"/>
    <w:tblPr>
      <w:tblStyle w:val="48"/>
      <w:tblCellMar>
        <w:top w:w="0" w:type="dxa"/>
        <w:left w:w="108" w:type="dxa"/>
        <w:bottom w:w="0" w:type="dxa"/>
        <w:right w:w="108" w:type="dxa"/>
      </w:tblCellMar>
    </w:tblPr>
  </w:style>
  <w:style w:type="paragraph" w:styleId="4">
    <w:name w:val="Normal Indent"/>
    <w:basedOn w:val="1"/>
    <w:link w:val="104"/>
    <w:qFormat/>
    <w:uiPriority w:val="0"/>
    <w:pPr>
      <w:ind w:firstLine="420" w:firstLineChars="200"/>
    </w:pPr>
  </w:style>
  <w:style w:type="paragraph" w:styleId="12">
    <w:name w:val="toc 7"/>
    <w:basedOn w:val="1"/>
    <w:next w:val="1"/>
    <w:qFormat/>
    <w:uiPriority w:val="39"/>
    <w:pPr>
      <w:spacing w:line="360" w:lineRule="auto"/>
      <w:ind w:left="1260" w:firstLine="200" w:firstLineChars="200"/>
      <w:jc w:val="left"/>
    </w:pPr>
    <w:rPr>
      <w:rFonts w:ascii="Calibri" w:hAnsi="Calibri" w:cs="Calibri"/>
      <w:sz w:val="18"/>
      <w:szCs w:val="18"/>
    </w:rPr>
  </w:style>
  <w:style w:type="paragraph" w:styleId="13">
    <w:name w:val="List Number 2"/>
    <w:basedOn w:val="1"/>
    <w:uiPriority w:val="99"/>
    <w:pPr>
      <w:widowControl/>
      <w:tabs>
        <w:tab w:val="left" w:pos="1697"/>
      </w:tabs>
      <w:spacing w:after="50" w:afterLines="50"/>
      <w:ind w:left="1697" w:hanging="420"/>
      <w:jc w:val="left"/>
    </w:pPr>
    <w:rPr>
      <w:kern w:val="0"/>
      <w:sz w:val="24"/>
      <w:szCs w:val="20"/>
    </w:rPr>
  </w:style>
  <w:style w:type="paragraph" w:styleId="14">
    <w:name w:val="List Number"/>
    <w:basedOn w:val="1"/>
    <w:uiPriority w:val="99"/>
    <w:pPr>
      <w:widowControl/>
      <w:numPr>
        <w:ilvl w:val="0"/>
        <w:numId w:val="2"/>
      </w:numPr>
      <w:tabs>
        <w:tab w:val="left" w:pos="454"/>
        <w:tab w:val="clear" w:pos="360"/>
      </w:tabs>
      <w:spacing w:after="50" w:afterLines="50"/>
      <w:ind w:left="454" w:hanging="284" w:firstLineChars="0"/>
      <w:jc w:val="left"/>
    </w:pPr>
    <w:rPr>
      <w:kern w:val="0"/>
      <w:sz w:val="24"/>
      <w:szCs w:val="20"/>
    </w:rPr>
  </w:style>
  <w:style w:type="paragraph" w:styleId="15">
    <w:name w:val="caption"/>
    <w:basedOn w:val="1"/>
    <w:next w:val="1"/>
    <w:qFormat/>
    <w:uiPriority w:val="35"/>
    <w:pPr>
      <w:spacing w:line="360" w:lineRule="auto"/>
      <w:jc w:val="center"/>
    </w:pPr>
    <w:rPr>
      <w:rFonts w:ascii="Calibri" w:hAnsi="Calibri"/>
      <w:sz w:val="20"/>
      <w:szCs w:val="20"/>
    </w:rPr>
  </w:style>
  <w:style w:type="paragraph" w:styleId="16">
    <w:name w:val="Document Map"/>
    <w:basedOn w:val="1"/>
    <w:link w:val="73"/>
    <w:semiHidden/>
    <w:qFormat/>
    <w:uiPriority w:val="0"/>
    <w:pPr>
      <w:shd w:val="clear" w:color="auto" w:fill="000080"/>
    </w:pPr>
  </w:style>
  <w:style w:type="paragraph" w:styleId="17">
    <w:name w:val="annotation text"/>
    <w:basedOn w:val="1"/>
    <w:link w:val="75"/>
    <w:qFormat/>
    <w:uiPriority w:val="0"/>
    <w:pPr>
      <w:jc w:val="left"/>
    </w:pPr>
  </w:style>
  <w:style w:type="paragraph" w:styleId="18">
    <w:name w:val="Body Text 3"/>
    <w:basedOn w:val="1"/>
    <w:link w:val="266"/>
    <w:qFormat/>
    <w:uiPriority w:val="0"/>
    <w:pPr>
      <w:spacing w:line="200" w:lineRule="exact"/>
      <w:ind w:firstLine="200" w:firstLineChars="200"/>
    </w:pPr>
    <w:rPr>
      <w:rFonts w:ascii="Calibri" w:hAnsi="Calibri"/>
      <w:sz w:val="18"/>
      <w:szCs w:val="22"/>
    </w:rPr>
  </w:style>
  <w:style w:type="paragraph" w:styleId="19">
    <w:name w:val="Body Text"/>
    <w:basedOn w:val="1"/>
    <w:link w:val="134"/>
    <w:qFormat/>
    <w:uiPriority w:val="0"/>
    <w:pPr>
      <w:spacing w:line="360" w:lineRule="auto"/>
    </w:pPr>
    <w:rPr>
      <w:rFonts w:eastAsia="仿宋_GB2312"/>
      <w:sz w:val="28"/>
    </w:rPr>
  </w:style>
  <w:style w:type="paragraph" w:styleId="20">
    <w:name w:val="Body Text Indent"/>
    <w:basedOn w:val="1"/>
    <w:link w:val="72"/>
    <w:uiPriority w:val="0"/>
    <w:pPr>
      <w:spacing w:after="120"/>
      <w:ind w:left="420" w:leftChars="200"/>
    </w:pPr>
  </w:style>
  <w:style w:type="paragraph" w:styleId="21">
    <w:name w:val="List Number 3"/>
    <w:basedOn w:val="1"/>
    <w:uiPriority w:val="99"/>
    <w:pPr>
      <w:widowControl/>
      <w:numPr>
        <w:ilvl w:val="0"/>
        <w:numId w:val="3"/>
      </w:numPr>
      <w:tabs>
        <w:tab w:val="left" w:pos="482"/>
        <w:tab w:val="clear" w:pos="1200"/>
      </w:tabs>
      <w:spacing w:after="50" w:afterLines="50"/>
      <w:ind w:left="482" w:leftChars="0" w:hanging="340" w:firstLineChars="0"/>
      <w:jc w:val="left"/>
    </w:pPr>
    <w:rPr>
      <w:kern w:val="0"/>
      <w:sz w:val="24"/>
      <w:szCs w:val="20"/>
    </w:rPr>
  </w:style>
  <w:style w:type="paragraph" w:styleId="22">
    <w:name w:val="Block Text"/>
    <w:basedOn w:val="1"/>
    <w:uiPriority w:val="99"/>
    <w:pPr>
      <w:spacing w:before="120" w:line="360" w:lineRule="auto"/>
      <w:ind w:left="824" w:right="202"/>
    </w:pPr>
    <w:rPr>
      <w:rFonts w:ascii="宋体" w:hAnsi="宋体"/>
      <w:sz w:val="24"/>
      <w:szCs w:val="21"/>
    </w:rPr>
  </w:style>
  <w:style w:type="paragraph" w:styleId="23">
    <w:name w:val="toc 5"/>
    <w:basedOn w:val="1"/>
    <w:next w:val="1"/>
    <w:qFormat/>
    <w:uiPriority w:val="39"/>
    <w:pPr>
      <w:spacing w:line="360" w:lineRule="auto"/>
      <w:ind w:left="840" w:firstLine="200" w:firstLineChars="200"/>
      <w:jc w:val="left"/>
    </w:pPr>
    <w:rPr>
      <w:rFonts w:ascii="Calibri" w:hAnsi="Calibri" w:cs="Calibri"/>
      <w:sz w:val="18"/>
      <w:szCs w:val="18"/>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link w:val="132"/>
    <w:uiPriority w:val="0"/>
    <w:rPr>
      <w:rFonts w:ascii="宋体" w:hAnsi="Courier New"/>
      <w:szCs w:val="20"/>
    </w:rPr>
  </w:style>
  <w:style w:type="paragraph" w:styleId="26">
    <w:name w:val="toc 8"/>
    <w:basedOn w:val="1"/>
    <w:next w:val="1"/>
    <w:qFormat/>
    <w:uiPriority w:val="39"/>
    <w:pPr>
      <w:spacing w:line="360" w:lineRule="auto"/>
      <w:ind w:left="1470" w:firstLine="200" w:firstLineChars="200"/>
      <w:jc w:val="left"/>
    </w:pPr>
    <w:rPr>
      <w:rFonts w:ascii="Calibri" w:hAnsi="Calibri" w:cs="Calibri"/>
      <w:sz w:val="18"/>
      <w:szCs w:val="18"/>
    </w:rPr>
  </w:style>
  <w:style w:type="paragraph" w:styleId="27">
    <w:name w:val="Date"/>
    <w:basedOn w:val="1"/>
    <w:next w:val="1"/>
    <w:link w:val="133"/>
    <w:qFormat/>
    <w:uiPriority w:val="99"/>
    <w:rPr>
      <w:rFonts w:ascii="楷体_GB2312" w:eastAsia="楷体_GB2312"/>
      <w:b/>
      <w:sz w:val="28"/>
      <w:szCs w:val="20"/>
    </w:rPr>
  </w:style>
  <w:style w:type="paragraph" w:styleId="28">
    <w:name w:val="Body Text Indent 2"/>
    <w:basedOn w:val="1"/>
    <w:link w:val="138"/>
    <w:qFormat/>
    <w:uiPriority w:val="0"/>
    <w:pPr>
      <w:spacing w:after="120" w:line="480" w:lineRule="auto"/>
      <w:ind w:left="420" w:leftChars="200"/>
    </w:pPr>
  </w:style>
  <w:style w:type="paragraph" w:styleId="29">
    <w:name w:val="Balloon Text"/>
    <w:basedOn w:val="1"/>
    <w:link w:val="220"/>
    <w:qFormat/>
    <w:uiPriority w:val="99"/>
    <w:rPr>
      <w:sz w:val="18"/>
      <w:szCs w:val="18"/>
    </w:rPr>
  </w:style>
  <w:style w:type="paragraph" w:styleId="30">
    <w:name w:val="footer"/>
    <w:basedOn w:val="1"/>
    <w:link w:val="92"/>
    <w:qFormat/>
    <w:uiPriority w:val="99"/>
    <w:pPr>
      <w:tabs>
        <w:tab w:val="center" w:pos="4153"/>
        <w:tab w:val="right" w:pos="8306"/>
      </w:tabs>
      <w:snapToGrid w:val="0"/>
      <w:jc w:val="left"/>
    </w:pPr>
    <w:rPr>
      <w:sz w:val="18"/>
      <w:szCs w:val="18"/>
    </w:rPr>
  </w:style>
  <w:style w:type="paragraph" w:styleId="31">
    <w:name w:val="header"/>
    <w:basedOn w:val="1"/>
    <w:link w:val="115"/>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style>
  <w:style w:type="paragraph" w:styleId="33">
    <w:name w:val="toc 4"/>
    <w:basedOn w:val="1"/>
    <w:next w:val="1"/>
    <w:qFormat/>
    <w:uiPriority w:val="39"/>
    <w:pPr>
      <w:tabs>
        <w:tab w:val="right" w:leader="dot" w:pos="8314"/>
      </w:tabs>
      <w:ind w:firstLine="588" w:firstLineChars="245"/>
    </w:pPr>
  </w:style>
  <w:style w:type="paragraph" w:styleId="34">
    <w:name w:val="Subtitle"/>
    <w:basedOn w:val="1"/>
    <w:next w:val="1"/>
    <w:link w:val="238"/>
    <w:qFormat/>
    <w:uiPriority w:val="11"/>
    <w:pPr>
      <w:widowControl/>
      <w:spacing w:after="600" w:line="276" w:lineRule="auto"/>
      <w:jc w:val="left"/>
    </w:pPr>
    <w:rPr>
      <w:rFonts w:ascii="Cambria" w:hAnsi="Cambria"/>
      <w:i/>
      <w:iCs/>
      <w:spacing w:val="13"/>
      <w:kern w:val="0"/>
      <w:sz w:val="24"/>
      <w:lang w:eastAsia="en-US" w:bidi="en-US"/>
    </w:rPr>
  </w:style>
  <w:style w:type="paragraph" w:styleId="35">
    <w:name w:val="toc 6"/>
    <w:basedOn w:val="1"/>
    <w:next w:val="1"/>
    <w:qFormat/>
    <w:uiPriority w:val="39"/>
    <w:pPr>
      <w:spacing w:line="360" w:lineRule="auto"/>
      <w:ind w:left="1050" w:firstLine="200" w:firstLineChars="200"/>
      <w:jc w:val="left"/>
    </w:pPr>
    <w:rPr>
      <w:rFonts w:ascii="Calibri" w:hAnsi="Calibri" w:cs="Calibri"/>
      <w:sz w:val="18"/>
      <w:szCs w:val="18"/>
    </w:rPr>
  </w:style>
  <w:style w:type="paragraph" w:styleId="36">
    <w:name w:val="Body Text Indent 3"/>
    <w:basedOn w:val="1"/>
    <w:link w:val="224"/>
    <w:uiPriority w:val="99"/>
    <w:pPr>
      <w:spacing w:after="120"/>
      <w:ind w:left="420" w:leftChars="200"/>
    </w:pPr>
    <w:rPr>
      <w:sz w:val="16"/>
      <w:szCs w:val="16"/>
    </w:rPr>
  </w:style>
  <w:style w:type="paragraph" w:styleId="37">
    <w:name w:val="toc 2"/>
    <w:basedOn w:val="1"/>
    <w:next w:val="1"/>
    <w:qFormat/>
    <w:uiPriority w:val="39"/>
    <w:pPr>
      <w:ind w:left="420" w:leftChars="200"/>
    </w:pPr>
  </w:style>
  <w:style w:type="paragraph" w:styleId="38">
    <w:name w:val="toc 9"/>
    <w:basedOn w:val="1"/>
    <w:next w:val="1"/>
    <w:qFormat/>
    <w:uiPriority w:val="39"/>
    <w:pPr>
      <w:spacing w:line="360" w:lineRule="auto"/>
      <w:ind w:left="1680" w:firstLine="200" w:firstLineChars="200"/>
      <w:jc w:val="left"/>
    </w:pPr>
    <w:rPr>
      <w:rFonts w:ascii="Calibri" w:hAnsi="Calibri" w:cs="Calibri"/>
      <w:sz w:val="18"/>
      <w:szCs w:val="18"/>
    </w:rPr>
  </w:style>
  <w:style w:type="paragraph" w:styleId="39">
    <w:name w:val="Body Text 2"/>
    <w:basedOn w:val="1"/>
    <w:link w:val="59"/>
    <w:qFormat/>
    <w:uiPriority w:val="0"/>
    <w:pPr>
      <w:widowControl/>
      <w:spacing w:after="120" w:afterLines="50" w:line="216" w:lineRule="auto"/>
      <w:jc w:val="center"/>
    </w:pPr>
    <w:rPr>
      <w:rFonts w:ascii="隶书" w:eastAsia="隶书"/>
      <w:bCs/>
      <w:kern w:val="0"/>
      <w:sz w:val="72"/>
      <w:szCs w:val="84"/>
    </w:rPr>
  </w:style>
  <w:style w:type="paragraph" w:styleId="40">
    <w:name w:val="List Continue 2"/>
    <w:basedOn w:val="1"/>
    <w:uiPriority w:val="99"/>
    <w:pPr>
      <w:spacing w:after="120"/>
      <w:ind w:left="840" w:leftChars="400"/>
    </w:pPr>
  </w:style>
  <w:style w:type="paragraph" w:styleId="41">
    <w:name w:val="HTML Preformatted"/>
    <w:basedOn w:val="1"/>
    <w:link w:val="21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43">
    <w:name w:val="index 1"/>
    <w:basedOn w:val="1"/>
    <w:next w:val="1"/>
    <w:semiHidden/>
    <w:uiPriority w:val="99"/>
    <w:pPr>
      <w:spacing w:line="320" w:lineRule="exact"/>
    </w:pPr>
    <w:rPr>
      <w:b/>
      <w:snapToGrid w:val="0"/>
      <w:color w:val="FF6600"/>
      <w:kern w:val="0"/>
      <w:sz w:val="18"/>
      <w:szCs w:val="21"/>
    </w:rPr>
  </w:style>
  <w:style w:type="paragraph" w:styleId="44">
    <w:name w:val="Title"/>
    <w:basedOn w:val="1"/>
    <w:next w:val="1"/>
    <w:link w:val="105"/>
    <w:qFormat/>
    <w:uiPriority w:val="10"/>
    <w:pPr>
      <w:adjustRightInd w:val="0"/>
      <w:spacing w:before="240" w:after="60"/>
      <w:jc w:val="center"/>
      <w:outlineLvl w:val="0"/>
    </w:pPr>
    <w:rPr>
      <w:rFonts w:ascii="Calibri Light" w:hAnsi="Calibri Light"/>
      <w:b/>
      <w:bCs/>
      <w:sz w:val="32"/>
      <w:szCs w:val="32"/>
    </w:rPr>
  </w:style>
  <w:style w:type="paragraph" w:styleId="45">
    <w:name w:val="annotation subject"/>
    <w:basedOn w:val="17"/>
    <w:next w:val="17"/>
    <w:link w:val="207"/>
    <w:qFormat/>
    <w:uiPriority w:val="99"/>
    <w:pPr>
      <w:widowControl/>
      <w:spacing w:after="50" w:afterLines="50"/>
    </w:pPr>
    <w:rPr>
      <w:b/>
      <w:bCs/>
      <w:sz w:val="24"/>
    </w:rPr>
  </w:style>
  <w:style w:type="paragraph" w:styleId="46">
    <w:name w:val="Body Text First Indent"/>
    <w:basedOn w:val="19"/>
    <w:link w:val="212"/>
    <w:uiPriority w:val="99"/>
    <w:pPr>
      <w:spacing w:after="120" w:line="240" w:lineRule="auto"/>
      <w:ind w:firstLine="420" w:firstLineChars="100"/>
    </w:pPr>
    <w:rPr>
      <w:rFonts w:eastAsia="宋体"/>
      <w:sz w:val="21"/>
    </w:rPr>
  </w:style>
  <w:style w:type="paragraph" w:styleId="47">
    <w:name w:val="Body Text First Indent 2"/>
    <w:basedOn w:val="20"/>
    <w:link w:val="222"/>
    <w:uiPriority w:val="99"/>
    <w:pPr>
      <w:ind w:firstLine="420" w:firstLineChars="200"/>
    </w:pPr>
  </w:style>
  <w:style w:type="table" w:styleId="49">
    <w:name w:val="Table Grid"/>
    <w:basedOn w:val="48"/>
    <w:qFormat/>
    <w:uiPriority w:val="39"/>
    <w:pPr>
      <w:widowControl w:val="0"/>
      <w:jc w:val="both"/>
    </w:p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99"/>
  </w:style>
  <w:style w:type="character" w:styleId="53">
    <w:name w:val="FollowedHyperlink"/>
    <w:qFormat/>
    <w:uiPriority w:val="99"/>
    <w:rPr>
      <w:color w:val="800080"/>
      <w:u w:val="single"/>
    </w:rPr>
  </w:style>
  <w:style w:type="character" w:styleId="54">
    <w:name w:val="Emphasis"/>
    <w:qFormat/>
    <w:uiPriority w:val="20"/>
    <w:rPr>
      <w:color w:val="CC0000"/>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customStyle="1" w:styleId="57">
    <w:name w:val="标题 2 Char"/>
    <w:aliases w:val="1.1 标题2 Char,2nd level Char,h2 Char,2 Char,Header 2 Char,l2 Char,H2 Char1,标题 2- Char,第一层条 Char,第二层 Char,论文标题 1 Char,Heading 2 Hidden Char,Heading 2 CCBS Char,子系统 Char,子系统1 Char,_ Char,第一章 标题 2 Char,ISO1 Char,Fab-2 Char,PIM2 Char,Titre3 Char"/>
    <w:link w:val="3"/>
    <w:qFormat/>
    <w:uiPriority w:val="9"/>
    <w:rPr>
      <w:rFonts w:ascii="Arial" w:hAnsi="Arial" w:eastAsia="黑体"/>
      <w:b/>
      <w:kern w:val="2"/>
      <w:sz w:val="32"/>
      <w:lang w:val="en-US" w:eastAsia="zh-CN" w:bidi="ar-SA"/>
    </w:rPr>
  </w:style>
  <w:style w:type="character" w:customStyle="1" w:styleId="58">
    <w:name w:val="批注文字 Char"/>
    <w:uiPriority w:val="0"/>
    <w:rPr>
      <w:rFonts w:eastAsia="宋体"/>
      <w:kern w:val="2"/>
      <w:sz w:val="21"/>
      <w:szCs w:val="24"/>
      <w:lang w:val="en-US" w:eastAsia="zh-CN" w:bidi="ar-SA"/>
    </w:rPr>
  </w:style>
  <w:style w:type="character" w:customStyle="1" w:styleId="59">
    <w:name w:val="正文文本 2 Char1"/>
    <w:link w:val="39"/>
    <w:qFormat/>
    <w:uiPriority w:val="0"/>
    <w:rPr>
      <w:rFonts w:ascii="隶书" w:eastAsia="隶书"/>
      <w:bCs/>
      <w:sz w:val="72"/>
      <w:szCs w:val="84"/>
      <w:lang w:val="en-US" w:eastAsia="zh-CN" w:bidi="ar-SA"/>
    </w:rPr>
  </w:style>
  <w:style w:type="character" w:customStyle="1" w:styleId="60">
    <w:name w:val="Char Char11"/>
    <w:uiPriority w:val="0"/>
    <w:rPr>
      <w:b/>
      <w:kern w:val="44"/>
      <w:sz w:val="44"/>
    </w:rPr>
  </w:style>
  <w:style w:type="character" w:customStyle="1" w:styleId="61">
    <w:name w:val="Char Char9"/>
    <w:uiPriority w:val="0"/>
    <w:rPr>
      <w:b/>
      <w:kern w:val="2"/>
      <w:sz w:val="24"/>
      <w:szCs w:val="24"/>
    </w:rPr>
  </w:style>
  <w:style w:type="character" w:customStyle="1" w:styleId="62">
    <w:name w:val="正文段 Char"/>
    <w:link w:val="63"/>
    <w:qFormat/>
    <w:uiPriority w:val="0"/>
    <w:rPr>
      <w:rFonts w:eastAsia="宋体"/>
      <w:sz w:val="24"/>
      <w:lang w:val="en-US" w:eastAsia="zh-CN" w:bidi="ar-SA"/>
    </w:rPr>
  </w:style>
  <w:style w:type="paragraph" w:customStyle="1" w:styleId="63">
    <w:name w:val="正文段"/>
    <w:basedOn w:val="1"/>
    <w:link w:val="62"/>
    <w:qFormat/>
    <w:uiPriority w:val="0"/>
    <w:pPr>
      <w:widowControl/>
      <w:snapToGrid w:val="0"/>
      <w:spacing w:after="50" w:afterLines="50"/>
      <w:ind w:firstLine="200" w:firstLineChars="200"/>
    </w:pPr>
    <w:rPr>
      <w:kern w:val="0"/>
      <w:sz w:val="24"/>
      <w:szCs w:val="20"/>
    </w:rPr>
  </w:style>
  <w:style w:type="character" w:customStyle="1" w:styleId="64">
    <w:name w:val="标题 5 Char"/>
    <w:aliases w:val="H5 Char1,PIM 5 Char1,Table label Char1,h5 Char1,l5 Char1,hm Char1,mh2 Char1,Module heading 2 Char1,Head 5 Char1,list 5 Char1,5 Char1,ds Char1,dd Char Char Char2,dd Char Char Char Char Char1,dd Char Char Char Char2,dd Char1,Roman list Char1"/>
    <w:uiPriority w:val="9"/>
    <w:rPr>
      <w:rFonts w:eastAsia="宋体"/>
      <w:sz w:val="24"/>
      <w:lang w:val="en-US" w:eastAsia="zh-CN" w:bidi="ar-SA"/>
    </w:rPr>
  </w:style>
  <w:style w:type="character" w:customStyle="1" w:styleId="65">
    <w:name w:val="正文文本缩进 2 Char"/>
    <w:aliases w:val="正文文字缩进 2 Char"/>
    <w:locked/>
    <w:uiPriority w:val="0"/>
    <w:rPr>
      <w:rFonts w:eastAsia="宋体"/>
      <w:kern w:val="2"/>
      <w:sz w:val="21"/>
      <w:szCs w:val="24"/>
      <w:lang w:val="en-US" w:eastAsia="zh-CN" w:bidi="ar-SA"/>
    </w:rPr>
  </w:style>
  <w:style w:type="character" w:customStyle="1" w:styleId="66">
    <w:name w:val="日期 Char"/>
    <w:uiPriority w:val="0"/>
    <w:rPr>
      <w:rFonts w:ascii="楷体_GB2312" w:eastAsia="楷体_GB2312"/>
      <w:b/>
      <w:kern w:val="2"/>
      <w:sz w:val="28"/>
      <w:lang w:val="en-US" w:eastAsia="zh-CN" w:bidi="ar-SA"/>
    </w:rPr>
  </w:style>
  <w:style w:type="character" w:customStyle="1" w:styleId="67">
    <w:name w:val="标题 9 Char1"/>
    <w:link w:val="11"/>
    <w:uiPriority w:val="9"/>
    <w:rPr>
      <w:rFonts w:ascii="Arial" w:hAnsi="Arial" w:eastAsia="黑体"/>
      <w:sz w:val="24"/>
      <w:lang w:val="en-US" w:eastAsia="zh-CN" w:bidi="ar-SA"/>
    </w:rPr>
  </w:style>
  <w:style w:type="character" w:customStyle="1" w:styleId="68">
    <w:name w:val="标题 3 Char"/>
    <w:aliases w:val="标题3 Char"/>
    <w:link w:val="5"/>
    <w:qFormat/>
    <w:uiPriority w:val="9"/>
    <w:rPr>
      <w:rFonts w:eastAsia="仿宋_GB2312"/>
      <w:b/>
      <w:kern w:val="2"/>
      <w:sz w:val="32"/>
      <w:lang w:val="en-US" w:eastAsia="zh-CN" w:bidi="ar-SA"/>
    </w:rPr>
  </w:style>
  <w:style w:type="character" w:customStyle="1" w:styleId="69">
    <w:name w:val="标题 9 Char"/>
    <w:uiPriority w:val="9"/>
    <w:rPr>
      <w:rFonts w:ascii="Arial" w:hAnsi="Arial" w:eastAsia="黑体"/>
      <w:sz w:val="24"/>
      <w:lang w:val="en-US" w:eastAsia="zh-CN" w:bidi="ar-SA"/>
    </w:rPr>
  </w:style>
  <w:style w:type="character" w:customStyle="1" w:styleId="70">
    <w:name w:val="项目排列 Char"/>
    <w:link w:val="71"/>
    <w:uiPriority w:val="0"/>
    <w:rPr>
      <w:rFonts w:eastAsia="宋体"/>
      <w:kern w:val="2"/>
      <w:sz w:val="24"/>
      <w:szCs w:val="24"/>
      <w:lang w:val="en-US" w:eastAsia="zh-CN" w:bidi="ar-SA"/>
    </w:rPr>
  </w:style>
  <w:style w:type="paragraph" w:customStyle="1" w:styleId="71">
    <w:name w:val="项目排列"/>
    <w:basedOn w:val="1"/>
    <w:link w:val="70"/>
    <w:uiPriority w:val="0"/>
    <w:pPr>
      <w:numPr>
        <w:ilvl w:val="0"/>
        <w:numId w:val="5"/>
      </w:numPr>
      <w:spacing w:before="50" w:beforeLines="50" w:after="50" w:afterLines="50" w:line="300" w:lineRule="auto"/>
    </w:pPr>
    <w:rPr>
      <w:sz w:val="24"/>
    </w:rPr>
  </w:style>
  <w:style w:type="character" w:customStyle="1" w:styleId="72">
    <w:name w:val="正文文本缩进 Char"/>
    <w:link w:val="20"/>
    <w:uiPriority w:val="0"/>
    <w:rPr>
      <w:rFonts w:eastAsia="宋体"/>
      <w:kern w:val="2"/>
      <w:sz w:val="21"/>
      <w:szCs w:val="24"/>
      <w:lang w:val="en-US" w:eastAsia="zh-CN" w:bidi="ar-SA"/>
    </w:rPr>
  </w:style>
  <w:style w:type="character" w:customStyle="1" w:styleId="73">
    <w:name w:val="文档结构图 Char"/>
    <w:link w:val="16"/>
    <w:semiHidden/>
    <w:qFormat/>
    <w:uiPriority w:val="0"/>
    <w:rPr>
      <w:rFonts w:eastAsia="宋体"/>
      <w:kern w:val="2"/>
      <w:sz w:val="21"/>
      <w:szCs w:val="24"/>
      <w:lang w:val="en-US" w:eastAsia="zh-CN" w:bidi="ar-SA"/>
    </w:rPr>
  </w:style>
  <w:style w:type="character" w:customStyle="1" w:styleId="74">
    <w:name w:val="Header Char"/>
    <w:locked/>
    <w:uiPriority w:val="0"/>
    <w:rPr>
      <w:rFonts w:ascii="Times New Roman" w:hAnsi="Times New Roman" w:eastAsia="宋体" w:cs="Times New Roman"/>
      <w:sz w:val="18"/>
      <w:szCs w:val="18"/>
    </w:rPr>
  </w:style>
  <w:style w:type="character" w:customStyle="1" w:styleId="75">
    <w:name w:val="批注文字 Char1"/>
    <w:link w:val="17"/>
    <w:qFormat/>
    <w:uiPriority w:val="0"/>
    <w:rPr>
      <w:rFonts w:eastAsia="宋体"/>
      <w:kern w:val="2"/>
      <w:sz w:val="21"/>
      <w:szCs w:val="24"/>
      <w:lang w:val="en-US" w:eastAsia="zh-CN" w:bidi="ar-SA"/>
    </w:rPr>
  </w:style>
  <w:style w:type="character" w:customStyle="1" w:styleId="76">
    <w:name w:val="ca-3"/>
    <w:basedOn w:val="50"/>
    <w:uiPriority w:val="0"/>
  </w:style>
  <w:style w:type="character" w:customStyle="1" w:styleId="77">
    <w:name w:val="标题 6 Char"/>
    <w:aliases w:val="标题6 Char"/>
    <w:uiPriority w:val="9"/>
    <w:rPr>
      <w:rFonts w:ascii="宋体" w:hAnsi="Arial" w:eastAsia="宋体"/>
      <w:sz w:val="24"/>
      <w:lang w:val="en-US" w:eastAsia="zh-CN" w:bidi="ar-SA"/>
    </w:rPr>
  </w:style>
  <w:style w:type="character" w:customStyle="1" w:styleId="78">
    <w:name w:val="Char Char"/>
    <w:uiPriority w:val="0"/>
    <w:rPr>
      <w:rFonts w:hint="eastAsia" w:ascii="宋体" w:hAnsi="Courier New" w:eastAsia="宋体"/>
      <w:kern w:val="2"/>
      <w:sz w:val="21"/>
      <w:lang w:val="en-US" w:eastAsia="zh-CN" w:bidi="ar-SA"/>
    </w:rPr>
  </w:style>
  <w:style w:type="character" w:customStyle="1" w:styleId="79">
    <w:name w:val="Date Char"/>
    <w:locked/>
    <w:uiPriority w:val="0"/>
    <w:rPr>
      <w:rFonts w:ascii="宋体"/>
      <w:sz w:val="21"/>
      <w:lang w:val="zh-CN"/>
    </w:rPr>
  </w:style>
  <w:style w:type="character" w:customStyle="1" w:styleId="80">
    <w:name w:val="正文缩进 字符"/>
    <w:uiPriority w:val="0"/>
    <w:rPr>
      <w:rFonts w:eastAsia="宋体"/>
      <w:kern w:val="2"/>
      <w:sz w:val="21"/>
      <w:szCs w:val="24"/>
      <w:lang w:val="en-US" w:eastAsia="zh-CN" w:bidi="ar-SA"/>
    </w:rPr>
  </w:style>
  <w:style w:type="character" w:customStyle="1" w:styleId="81">
    <w:name w:val="Comment Text Char"/>
    <w:locked/>
    <w:uiPriority w:val="0"/>
    <w:rPr>
      <w:rFonts w:ascii="Times New Roman" w:hAnsi="Times New Roman" w:eastAsia="宋体" w:cs="Times New Roman"/>
      <w:kern w:val="0"/>
      <w:sz w:val="24"/>
      <w:szCs w:val="24"/>
      <w:lang w:val="zh-CN" w:eastAsia="zh-CN"/>
    </w:rPr>
  </w:style>
  <w:style w:type="character" w:customStyle="1" w:styleId="82">
    <w:name w:val="Char Char10"/>
    <w:uiPriority w:val="0"/>
    <w:rPr>
      <w:b/>
      <w:kern w:val="2"/>
      <w:sz w:val="28"/>
      <w:szCs w:val="28"/>
    </w:rPr>
  </w:style>
  <w:style w:type="character" w:customStyle="1" w:styleId="83">
    <w:name w:val="style51"/>
    <w:uiPriority w:val="0"/>
    <w:rPr>
      <w:sz w:val="21"/>
      <w:szCs w:val="21"/>
    </w:rPr>
  </w:style>
  <w:style w:type="character" w:customStyle="1" w:styleId="84">
    <w:name w:val="正文无缩进 Char"/>
    <w:link w:val="85"/>
    <w:uiPriority w:val="0"/>
    <w:rPr>
      <w:rFonts w:ascii="宋体" w:eastAsia="宋体"/>
      <w:color w:val="000000"/>
      <w:kern w:val="2"/>
      <w:sz w:val="24"/>
      <w:szCs w:val="24"/>
      <w:lang w:val="en-US" w:eastAsia="zh-CN" w:bidi="ar-SA"/>
    </w:rPr>
  </w:style>
  <w:style w:type="paragraph" w:customStyle="1" w:styleId="85">
    <w:name w:val="正文无缩进"/>
    <w:basedOn w:val="1"/>
    <w:link w:val="84"/>
    <w:qFormat/>
    <w:uiPriority w:val="0"/>
    <w:pPr>
      <w:spacing w:line="360" w:lineRule="auto"/>
    </w:pPr>
    <w:rPr>
      <w:rFonts w:ascii="宋体"/>
      <w:color w:val="000000"/>
      <w:sz w:val="24"/>
    </w:rPr>
  </w:style>
  <w:style w:type="character" w:customStyle="1" w:styleId="86">
    <w:name w:val=" Char Char"/>
    <w:uiPriority w:val="0"/>
    <w:rPr>
      <w:rFonts w:ascii="宋体" w:hAnsi="Courier New" w:eastAsia="宋体"/>
      <w:kern w:val="2"/>
      <w:sz w:val="21"/>
      <w:lang w:val="en-US" w:eastAsia="zh-CN" w:bidi="ar-SA"/>
    </w:rPr>
  </w:style>
  <w:style w:type="character" w:customStyle="1" w:styleId="87">
    <w:name w:val="样式 正文缩进 + 首行缩进:  2 字符 Char"/>
    <w:link w:val="88"/>
    <w:qFormat/>
    <w:locked/>
    <w:uiPriority w:val="0"/>
    <w:rPr>
      <w:rFonts w:ascii="宋体" w:hAnsi="宋体" w:eastAsia="宋体"/>
      <w:color w:val="000000"/>
      <w:sz w:val="24"/>
      <w:lang w:bidi="ar-SA"/>
    </w:rPr>
  </w:style>
  <w:style w:type="paragraph" w:customStyle="1" w:styleId="88">
    <w:name w:val="样式 正文缩进 + 首行缩进:  2 字符"/>
    <w:basedOn w:val="4"/>
    <w:link w:val="87"/>
    <w:uiPriority w:val="0"/>
    <w:pPr>
      <w:spacing w:line="360" w:lineRule="auto"/>
      <w:ind w:firstLine="480"/>
    </w:pPr>
    <w:rPr>
      <w:rFonts w:ascii="宋体" w:hAnsi="宋体"/>
      <w:color w:val="000000"/>
      <w:kern w:val="0"/>
      <w:sz w:val="24"/>
      <w:szCs w:val="20"/>
    </w:rPr>
  </w:style>
  <w:style w:type="character" w:customStyle="1" w:styleId="89">
    <w:name w:val="apple-style-span"/>
    <w:basedOn w:val="50"/>
    <w:uiPriority w:val="0"/>
  </w:style>
  <w:style w:type="character" w:customStyle="1" w:styleId="90">
    <w:name w:val="标准文本 Char"/>
    <w:link w:val="91"/>
    <w:uiPriority w:val="0"/>
    <w:rPr>
      <w:rFonts w:eastAsia="宋体" w:cs="宋体"/>
      <w:kern w:val="2"/>
      <w:sz w:val="24"/>
      <w:lang w:val="en-US" w:eastAsia="zh-CN" w:bidi="ar-SA"/>
    </w:rPr>
  </w:style>
  <w:style w:type="paragraph" w:customStyle="1" w:styleId="91">
    <w:name w:val="标准文本"/>
    <w:basedOn w:val="1"/>
    <w:link w:val="90"/>
    <w:uiPriority w:val="0"/>
    <w:pPr>
      <w:spacing w:line="360" w:lineRule="auto"/>
      <w:ind w:firstLine="480" w:firstLineChars="200"/>
    </w:pPr>
    <w:rPr>
      <w:rFonts w:cs="宋体"/>
      <w:sz w:val="24"/>
      <w:szCs w:val="20"/>
    </w:rPr>
  </w:style>
  <w:style w:type="character" w:customStyle="1" w:styleId="92">
    <w:name w:val="页脚 Char"/>
    <w:link w:val="30"/>
    <w:qFormat/>
    <w:locked/>
    <w:uiPriority w:val="99"/>
    <w:rPr>
      <w:rFonts w:eastAsia="宋体"/>
      <w:kern w:val="2"/>
      <w:sz w:val="18"/>
      <w:szCs w:val="18"/>
      <w:lang w:val="en-US" w:eastAsia="zh-CN" w:bidi="ar-SA"/>
    </w:rPr>
  </w:style>
  <w:style w:type="character" w:customStyle="1" w:styleId="93">
    <w:name w:val="标题 7 Char1"/>
    <w:aliases w:val="标题7 Char1"/>
    <w:link w:val="9"/>
    <w:uiPriority w:val="9"/>
    <w:rPr>
      <w:rFonts w:ascii="宋体" w:hAnsi="Arial" w:eastAsia="宋体"/>
      <w:b/>
      <w:sz w:val="24"/>
      <w:lang w:val="en-US" w:eastAsia="zh-CN" w:bidi="ar-SA"/>
    </w:rPr>
  </w:style>
  <w:style w:type="character" w:customStyle="1" w:styleId="94">
    <w:name w:val="标题 4 Char"/>
    <w:aliases w:val="sect 1.2.3.4 Char,Ref Heading 1 Char,rh1 Char,sect 1.2.3.41 Char,Ref Heading 11 Char,rh11 Char,sect 1.2.3.42 Char,Ref Heading 12 Char,rh12 Char,sect 1.2.3.411 Char,Ref Heading 111 Char,rh111 Char,sect 1.2.3.43 Char,Ref Heading 13 Char,h4 Char1"/>
    <w:uiPriority w:val="9"/>
    <w:rPr>
      <w:rFonts w:ascii="Arial" w:hAnsi="Arial" w:eastAsia="黑体"/>
      <w:b/>
      <w:kern w:val="2"/>
      <w:sz w:val="28"/>
      <w:lang w:val="en-US" w:eastAsia="zh-CN" w:bidi="ar-SA"/>
    </w:rPr>
  </w:style>
  <w:style w:type="character" w:customStyle="1" w:styleId="95">
    <w:name w:val="正文文本 2 Char"/>
    <w:uiPriority w:val="0"/>
    <w:rPr>
      <w:rFonts w:ascii="隶书" w:eastAsia="隶书"/>
      <w:bCs/>
      <w:sz w:val="72"/>
      <w:szCs w:val="84"/>
      <w:lang w:val="en-US" w:eastAsia="zh-CN" w:bidi="ar-SA"/>
    </w:rPr>
  </w:style>
  <w:style w:type="character" w:customStyle="1" w:styleId="96">
    <w:name w:val="页眉 Char"/>
    <w:aliases w:val="h Char"/>
    <w:uiPriority w:val="99"/>
    <w:rPr>
      <w:rFonts w:eastAsia="宋体"/>
      <w:kern w:val="2"/>
      <w:sz w:val="18"/>
      <w:szCs w:val="18"/>
      <w:lang w:val="en-US" w:eastAsia="zh-CN" w:bidi="ar-SA"/>
    </w:rPr>
  </w:style>
  <w:style w:type="character" w:customStyle="1" w:styleId="97">
    <w:name w:val="Normal Indent Char"/>
    <w:locked/>
    <w:uiPriority w:val="0"/>
    <w:rPr>
      <w:rFonts w:ascii="宋体" w:eastAsia="宋体"/>
      <w:snapToGrid w:val="0"/>
      <w:color w:val="000000"/>
      <w:kern w:val="28"/>
      <w:sz w:val="28"/>
    </w:rPr>
  </w:style>
  <w:style w:type="character" w:customStyle="1" w:styleId="98">
    <w:name w:val="正文文本 Char"/>
    <w:aliases w:val="???? Char,?y????×? Char,?y???? Char,?y????? Char,contents Char,Corps de texte Char,body tesx Char,Corpo de texto Char,EHPT Char,Body Text2 Char,?y?????á? Char,heading_txt Char,bodytxy2 Char,??2 Char,Orig Qstn Char,Original Question Char"/>
    <w:qFormat/>
    <w:locked/>
    <w:uiPriority w:val="1"/>
    <w:rPr>
      <w:rFonts w:eastAsia="仿宋_GB2312"/>
      <w:kern w:val="2"/>
      <w:sz w:val="28"/>
      <w:szCs w:val="24"/>
      <w:lang w:val="en-US" w:eastAsia="zh-CN" w:bidi="ar-SA"/>
    </w:rPr>
  </w:style>
  <w:style w:type="character" w:customStyle="1" w:styleId="99">
    <w:name w:val="表格 Char Char"/>
    <w:link w:val="100"/>
    <w:locked/>
    <w:uiPriority w:val="0"/>
    <w:rPr>
      <w:rFonts w:ascii="宋体" w:hAnsi="宋体" w:eastAsia="宋体"/>
      <w:lang w:val="en-US" w:eastAsia="zh-CN" w:bidi="ar-SA"/>
    </w:rPr>
  </w:style>
  <w:style w:type="paragraph" w:customStyle="1" w:styleId="100">
    <w:name w:val="表格"/>
    <w:basedOn w:val="1"/>
    <w:link w:val="99"/>
    <w:uiPriority w:val="0"/>
    <w:pPr>
      <w:snapToGrid w:val="0"/>
      <w:ind w:firstLine="42" w:firstLineChars="21"/>
    </w:pPr>
    <w:rPr>
      <w:rFonts w:ascii="宋体" w:hAnsi="宋体"/>
      <w:kern w:val="0"/>
      <w:sz w:val="20"/>
      <w:szCs w:val="20"/>
    </w:rPr>
  </w:style>
  <w:style w:type="character" w:customStyle="1" w:styleId="101">
    <w:name w:val="style21"/>
    <w:uiPriority w:val="0"/>
    <w:rPr>
      <w:sz w:val="15"/>
      <w:szCs w:val="15"/>
    </w:rPr>
  </w:style>
  <w:style w:type="character" w:customStyle="1" w:styleId="102">
    <w:name w:val="汇视源正文 Char"/>
    <w:link w:val="103"/>
    <w:qFormat/>
    <w:uiPriority w:val="0"/>
    <w:rPr>
      <w:rFonts w:cs="宋体"/>
      <w:kern w:val="2"/>
      <w:sz w:val="24"/>
      <w:lang w:val="en-US" w:eastAsia="zh-CN" w:bidi="ar-SA"/>
    </w:rPr>
  </w:style>
  <w:style w:type="paragraph" w:customStyle="1" w:styleId="103">
    <w:name w:val="汇视源正文"/>
    <w:link w:val="102"/>
    <w:uiPriority w:val="0"/>
    <w:pPr>
      <w:widowControl w:val="0"/>
      <w:spacing w:beforeLines="50" w:line="360" w:lineRule="auto"/>
      <w:ind w:firstLine="480" w:firstLineChars="200"/>
      <w:jc w:val="both"/>
    </w:pPr>
    <w:rPr>
      <w:rFonts w:cs="宋体"/>
      <w:kern w:val="2"/>
      <w:sz w:val="24"/>
      <w:lang w:val="en-US" w:eastAsia="zh-CN" w:bidi="ar-SA"/>
    </w:rPr>
  </w:style>
  <w:style w:type="character" w:customStyle="1" w:styleId="104">
    <w:name w:val="正文缩进 Char"/>
    <w:link w:val="4"/>
    <w:uiPriority w:val="0"/>
    <w:rPr>
      <w:rFonts w:eastAsia="宋体"/>
      <w:kern w:val="2"/>
      <w:sz w:val="21"/>
      <w:szCs w:val="24"/>
      <w:lang w:val="en-US" w:eastAsia="zh-CN" w:bidi="ar-SA"/>
    </w:rPr>
  </w:style>
  <w:style w:type="character" w:customStyle="1" w:styleId="105">
    <w:name w:val="标题 Char"/>
    <w:link w:val="44"/>
    <w:qFormat/>
    <w:locked/>
    <w:uiPriority w:val="10"/>
    <w:rPr>
      <w:rFonts w:ascii="Calibri Light" w:hAnsi="Calibri Light" w:eastAsia="宋体"/>
      <w:b/>
      <w:bCs/>
      <w:kern w:val="2"/>
      <w:sz w:val="32"/>
      <w:szCs w:val="32"/>
      <w:lang w:val="en-US" w:eastAsia="zh-CN" w:bidi="ar-SA"/>
    </w:rPr>
  </w:style>
  <w:style w:type="character" w:customStyle="1" w:styleId="106">
    <w:name w:val="H4 Char"/>
    <w:aliases w:val="h4 Char,L1 Heading 4 Char,h41 Char,h42 Char,h411 Char,h43 Char,h412 Char,h421 Char,h4111 Char,h44 Char,h413 Char,h45 Char,h414 Char,h46 Char,h415 Char,h47 Char,h416 Char,h422 Char,h4112 Char,h431 Char,h4121 Char,h441 Char,h4131 Char,h48 Char"/>
    <w:uiPriority w:val="0"/>
    <w:rPr>
      <w:rFonts w:ascii="宋体" w:hAnsi="宋体" w:eastAsia="黑体"/>
      <w:b/>
      <w:bCs/>
      <w:color w:val="000000"/>
      <w:spacing w:val="-4"/>
      <w:kern w:val="2"/>
      <w:sz w:val="24"/>
      <w:szCs w:val="30"/>
      <w:lang w:val="en-US" w:eastAsia="zh-CN" w:bidi="ar-SA"/>
    </w:rPr>
  </w:style>
  <w:style w:type="character" w:customStyle="1" w:styleId="107">
    <w:name w:val="tpc_content1"/>
    <w:uiPriority w:val="0"/>
    <w:rPr>
      <w:sz w:val="20"/>
      <w:szCs w:val="20"/>
    </w:rPr>
  </w:style>
  <w:style w:type="character" w:customStyle="1" w:styleId="108">
    <w:name w:val="标题 6 Char1"/>
    <w:aliases w:val="标题6 Char1"/>
    <w:link w:val="8"/>
    <w:uiPriority w:val="9"/>
    <w:rPr>
      <w:rFonts w:ascii="宋体" w:hAnsi="Arial" w:eastAsia="宋体"/>
      <w:sz w:val="24"/>
      <w:lang w:val="en-US" w:eastAsia="zh-CN" w:bidi="ar-SA"/>
    </w:rPr>
  </w:style>
  <w:style w:type="character" w:customStyle="1" w:styleId="109">
    <w:name w:val="日期 Char1"/>
    <w:semiHidden/>
    <w:uiPriority w:val="0"/>
    <w:rPr>
      <w:rFonts w:ascii="Times New Roman" w:hAnsi="Times New Roman" w:eastAsia="宋体" w:cs="Times New Roman"/>
      <w:sz w:val="24"/>
      <w:szCs w:val="24"/>
    </w:rPr>
  </w:style>
  <w:style w:type="character" w:customStyle="1" w:styleId="110">
    <w:name w:val=" Char Char3"/>
    <w:uiPriority w:val="0"/>
    <w:rPr>
      <w:rFonts w:eastAsia="仿宋_GB2312"/>
      <w:kern w:val="2"/>
      <w:sz w:val="28"/>
      <w:szCs w:val="24"/>
      <w:lang w:val="en-US" w:eastAsia="zh-CN" w:bidi="ar-SA"/>
    </w:rPr>
  </w:style>
  <w:style w:type="character" w:customStyle="1" w:styleId="111">
    <w:name w:val="bulletintext1"/>
    <w:uiPriority w:val="0"/>
    <w:rPr>
      <w:rFonts w:hint="eastAsia" w:ascii="宋体" w:hAnsi="宋体" w:eastAsia="宋体"/>
      <w:sz w:val="18"/>
      <w:szCs w:val="18"/>
    </w:rPr>
  </w:style>
  <w:style w:type="character" w:customStyle="1" w:styleId="112">
    <w:name w:val="info"/>
    <w:basedOn w:val="50"/>
    <w:uiPriority w:val="0"/>
  </w:style>
  <w:style w:type="character" w:customStyle="1" w:styleId="113">
    <w:name w:val="Table Text Char1"/>
    <w:link w:val="114"/>
    <w:uiPriority w:val="0"/>
    <w:rPr>
      <w:rFonts w:ascii="Arial" w:hAnsi="Arial"/>
      <w:sz w:val="18"/>
      <w:lang w:val="en-US" w:eastAsia="zh-CN" w:bidi="ar-SA"/>
    </w:rPr>
  </w:style>
  <w:style w:type="paragraph" w:customStyle="1" w:styleId="114">
    <w:name w:val="Table Text"/>
    <w:link w:val="113"/>
    <w:uiPriority w:val="0"/>
    <w:pPr>
      <w:snapToGrid w:val="0"/>
      <w:spacing w:before="80" w:after="80"/>
    </w:pPr>
    <w:rPr>
      <w:rFonts w:ascii="Arial" w:hAnsi="Arial"/>
      <w:sz w:val="18"/>
      <w:lang w:val="en-US" w:eastAsia="zh-CN" w:bidi="ar-SA"/>
    </w:rPr>
  </w:style>
  <w:style w:type="character" w:customStyle="1" w:styleId="115">
    <w:name w:val="页眉 Char1"/>
    <w:link w:val="31"/>
    <w:qFormat/>
    <w:uiPriority w:val="99"/>
    <w:rPr>
      <w:rFonts w:eastAsia="宋体"/>
      <w:kern w:val="2"/>
      <w:sz w:val="18"/>
      <w:szCs w:val="18"/>
      <w:lang w:val="en-US" w:eastAsia="zh-CN" w:bidi="ar-SA"/>
    </w:rPr>
  </w:style>
  <w:style w:type="character" w:customStyle="1" w:styleId="116">
    <w:name w:val="纯文本 Char1"/>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uiPriority w:val="0"/>
    <w:rPr>
      <w:rFonts w:ascii="宋体" w:hAnsi="Courier New" w:eastAsia="宋体" w:cs="Courier New"/>
      <w:sz w:val="21"/>
      <w:szCs w:val="21"/>
    </w:rPr>
  </w:style>
  <w:style w:type="character" w:customStyle="1" w:styleId="117">
    <w:name w:val="正文（缩进2汉字） Char"/>
    <w:link w:val="118"/>
    <w:uiPriority w:val="0"/>
    <w:rPr>
      <w:rFonts w:ascii="宋体"/>
      <w:kern w:val="2"/>
      <w:sz w:val="21"/>
      <w:lang w:bidi="ar-SA"/>
    </w:rPr>
  </w:style>
  <w:style w:type="paragraph" w:customStyle="1" w:styleId="118">
    <w:name w:val="正文（缩进2汉字）"/>
    <w:basedOn w:val="1"/>
    <w:link w:val="117"/>
    <w:uiPriority w:val="0"/>
    <w:pPr>
      <w:tabs>
        <w:tab w:val="left" w:pos="525"/>
      </w:tabs>
      <w:spacing w:before="100" w:beforeAutospacing="1" w:after="100" w:afterAutospacing="1"/>
      <w:ind w:left="120" w:leftChars="50" w:firstLine="494" w:firstLineChars="206"/>
    </w:pPr>
    <w:rPr>
      <w:rFonts w:ascii="宋体"/>
      <w:szCs w:val="20"/>
    </w:rPr>
  </w:style>
  <w:style w:type="character" w:customStyle="1" w:styleId="119">
    <w:name w:val="正文2 Char"/>
    <w:link w:val="120"/>
    <w:uiPriority w:val="0"/>
    <w:rPr>
      <w:rFonts w:eastAsia="宋体"/>
      <w:kern w:val="2"/>
      <w:sz w:val="24"/>
      <w:lang w:val="en-US" w:eastAsia="zh-CN" w:bidi="ar-SA"/>
    </w:rPr>
  </w:style>
  <w:style w:type="paragraph" w:customStyle="1" w:styleId="120">
    <w:name w:val="正文2"/>
    <w:basedOn w:val="1"/>
    <w:link w:val="119"/>
    <w:uiPriority w:val="0"/>
    <w:pPr>
      <w:spacing w:before="156" w:line="360" w:lineRule="auto"/>
      <w:ind w:firstLine="510" w:firstLineChars="200"/>
    </w:pPr>
    <w:rPr>
      <w:sz w:val="24"/>
      <w:szCs w:val="20"/>
    </w:rPr>
  </w:style>
  <w:style w:type="character" w:customStyle="1" w:styleId="121">
    <w:name w:val="自定义正文 Char"/>
    <w:link w:val="122"/>
    <w:uiPriority w:val="0"/>
    <w:rPr>
      <w:rFonts w:ascii="仿宋_GB2312" w:eastAsia="仿宋_GB2312"/>
      <w:kern w:val="2"/>
      <w:sz w:val="28"/>
      <w:szCs w:val="24"/>
      <w:lang w:val="en-US" w:eastAsia="zh-CN" w:bidi="ar-SA"/>
    </w:rPr>
  </w:style>
  <w:style w:type="paragraph" w:customStyle="1" w:styleId="122">
    <w:name w:val="自定义正文"/>
    <w:basedOn w:val="1"/>
    <w:link w:val="121"/>
    <w:uiPriority w:val="0"/>
    <w:pPr>
      <w:spacing w:line="480" w:lineRule="exact"/>
      <w:ind w:firstLine="200" w:firstLineChars="200"/>
      <w:jc w:val="left"/>
    </w:pPr>
    <w:rPr>
      <w:rFonts w:ascii="仿宋_GB2312" w:eastAsia="仿宋_GB2312"/>
      <w:sz w:val="28"/>
    </w:rPr>
  </w:style>
  <w:style w:type="character" w:customStyle="1" w:styleId="123">
    <w:name w:val="标题 7 Char"/>
    <w:aliases w:val="标题7 Char"/>
    <w:uiPriority w:val="9"/>
    <w:rPr>
      <w:rFonts w:ascii="宋体" w:hAnsi="Arial" w:eastAsia="宋体"/>
      <w:b/>
      <w:sz w:val="24"/>
      <w:lang w:val="en-US" w:eastAsia="zh-CN" w:bidi="ar-SA"/>
    </w:rPr>
  </w:style>
  <w:style w:type="character" w:customStyle="1" w:styleId="124">
    <w:name w:val="标题 4 Char1"/>
    <w:link w:val="6"/>
    <w:qFormat/>
    <w:uiPriority w:val="9"/>
    <w:rPr>
      <w:rFonts w:ascii="Arial" w:hAnsi="Arial" w:eastAsia="黑体"/>
      <w:b/>
      <w:kern w:val="2"/>
      <w:sz w:val="28"/>
      <w:lang w:val="en-US" w:eastAsia="zh-CN" w:bidi="ar-SA"/>
    </w:rPr>
  </w:style>
  <w:style w:type="character" w:customStyle="1" w:styleId="125">
    <w:name w:val="style11"/>
    <w:uiPriority w:val="0"/>
    <w:rPr>
      <w:b/>
      <w:bCs/>
      <w:color w:val="FF0000"/>
    </w:rPr>
  </w:style>
  <w:style w:type="character" w:customStyle="1" w:styleId="126">
    <w:name w:val="纯文本 字符"/>
    <w:uiPriority w:val="0"/>
    <w:rPr>
      <w:rFonts w:ascii="宋体" w:hAnsi="Courier New" w:eastAsia="宋体"/>
      <w:kern w:val="2"/>
      <w:sz w:val="21"/>
      <w:lang w:val="en-US" w:eastAsia="zh-CN" w:bidi="ar-SA"/>
    </w:rPr>
  </w:style>
  <w:style w:type="character" w:customStyle="1" w:styleId="127">
    <w:name w:val=" Char Char8"/>
    <w:uiPriority w:val="0"/>
    <w:rPr>
      <w:rFonts w:ascii="宋体" w:eastAsia="宋体"/>
      <w:kern w:val="2"/>
      <w:sz w:val="28"/>
      <w:lang w:val="en-US" w:eastAsia="zh-CN" w:bidi="ar-SA"/>
    </w:rPr>
  </w:style>
  <w:style w:type="character" w:customStyle="1" w:styleId="128">
    <w:name w:val="标题 8 Char"/>
    <w:uiPriority w:val="9"/>
    <w:rPr>
      <w:rFonts w:ascii="Arial" w:hAnsi="Arial" w:eastAsia="黑体"/>
      <w:sz w:val="24"/>
      <w:lang w:val="en-US" w:eastAsia="zh-CN" w:bidi="ar-SA"/>
    </w:rPr>
  </w:style>
  <w:style w:type="character" w:customStyle="1" w:styleId="129">
    <w:name w:val="标题 5 Char1"/>
    <w:aliases w:val="标题5 Char1"/>
    <w:link w:val="7"/>
    <w:qFormat/>
    <w:uiPriority w:val="9"/>
    <w:rPr>
      <w:rFonts w:eastAsia="宋体"/>
      <w:sz w:val="24"/>
      <w:lang w:val="en-US" w:eastAsia="zh-CN" w:bidi="ar-SA"/>
    </w:rPr>
  </w:style>
  <w:style w:type="character" w:customStyle="1" w:styleId="130">
    <w:name w:val="标题 8 Char1"/>
    <w:link w:val="10"/>
    <w:uiPriority w:val="9"/>
    <w:rPr>
      <w:rFonts w:ascii="Arial" w:hAnsi="Arial" w:eastAsia="黑体"/>
      <w:sz w:val="24"/>
      <w:lang w:val="en-US" w:eastAsia="zh-CN" w:bidi="ar-SA"/>
    </w:rPr>
  </w:style>
  <w:style w:type="character" w:customStyle="1" w:styleId="131">
    <w:name w:val="font1"/>
    <w:uiPriority w:val="0"/>
    <w:rPr>
      <w:color w:val="999999"/>
      <w:sz w:val="18"/>
      <w:szCs w:val="18"/>
      <w:u w:val="none"/>
    </w:rPr>
  </w:style>
  <w:style w:type="character" w:customStyle="1" w:styleId="132">
    <w:name w:val="纯文本 Char"/>
    <w:link w:val="25"/>
    <w:uiPriority w:val="0"/>
    <w:rPr>
      <w:rFonts w:ascii="宋体" w:hAnsi="Courier New" w:eastAsia="宋体"/>
      <w:kern w:val="2"/>
      <w:sz w:val="21"/>
      <w:lang w:val="en-US" w:eastAsia="zh-CN" w:bidi="ar-SA"/>
    </w:rPr>
  </w:style>
  <w:style w:type="character" w:customStyle="1" w:styleId="133">
    <w:name w:val="日期 Char2"/>
    <w:link w:val="27"/>
    <w:qFormat/>
    <w:uiPriority w:val="99"/>
    <w:rPr>
      <w:rFonts w:ascii="楷体_GB2312" w:eastAsia="楷体_GB2312"/>
      <w:b/>
      <w:kern w:val="2"/>
      <w:sz w:val="28"/>
      <w:lang w:val="en-US" w:eastAsia="zh-CN" w:bidi="ar-SA"/>
    </w:rPr>
  </w:style>
  <w:style w:type="character" w:customStyle="1" w:styleId="134">
    <w:name w:val="正文文本 Char1"/>
    <w:link w:val="19"/>
    <w:qFormat/>
    <w:locked/>
    <w:uiPriority w:val="0"/>
    <w:rPr>
      <w:rFonts w:eastAsia="仿宋_GB2312"/>
      <w:kern w:val="2"/>
      <w:sz w:val="28"/>
      <w:szCs w:val="24"/>
      <w:lang w:val="en-US" w:eastAsia="zh-CN" w:bidi="ar-SA"/>
    </w:rPr>
  </w:style>
  <w:style w:type="character" w:customStyle="1" w:styleId="135">
    <w:name w:val="H5 Char"/>
    <w:aliases w:val="PIM 5 Char,Table label Char,h5 Char,l5 Char,hm Char,mh2 Char,Module heading 2 Char,Head 5 Char,list 5 Char,5 Char,dash Char,ds Char,dd Char Char Char1,dd Char Char Char Char Char,dd Char Char Char Char1,dd Char,Roman list Char,Block Label Char"/>
    <w:uiPriority w:val="0"/>
    <w:rPr>
      <w:rFonts w:ascii="Arial" w:hAnsi="Arial" w:eastAsia="宋体"/>
      <w:sz w:val="24"/>
      <w:lang w:val="en-US" w:eastAsia="zh-CN" w:bidi="ar-SA"/>
    </w:rPr>
  </w:style>
  <w:style w:type="character" w:customStyle="1" w:styleId="136">
    <w:name w:val="Plain Text Char"/>
    <w:locked/>
    <w:uiPriority w:val="0"/>
    <w:rPr>
      <w:rFonts w:ascii="宋体" w:hAnsi="Courier New" w:eastAsia="宋体"/>
      <w:snapToGrid w:val="0"/>
      <w:sz w:val="21"/>
    </w:rPr>
  </w:style>
  <w:style w:type="character" w:customStyle="1" w:styleId="137">
    <w:name w:val=" Char Char7"/>
    <w:uiPriority w:val="0"/>
    <w:rPr>
      <w:rFonts w:eastAsia="仿宋_GB2312"/>
      <w:kern w:val="2"/>
      <w:sz w:val="24"/>
      <w:szCs w:val="24"/>
      <w:lang w:val="en-US" w:eastAsia="zh-CN" w:bidi="ar-SA"/>
    </w:rPr>
  </w:style>
  <w:style w:type="character" w:customStyle="1" w:styleId="138">
    <w:name w:val="正文文本缩进 2 Char1"/>
    <w:link w:val="28"/>
    <w:qFormat/>
    <w:locked/>
    <w:uiPriority w:val="0"/>
    <w:rPr>
      <w:rFonts w:eastAsia="宋体"/>
      <w:kern w:val="2"/>
      <w:sz w:val="21"/>
      <w:szCs w:val="24"/>
      <w:lang w:val="en-US" w:eastAsia="zh-CN" w:bidi="ar-SA"/>
    </w:rPr>
  </w:style>
  <w:style w:type="character" w:customStyle="1" w:styleId="139">
    <w:name w:val="标题 1 Char"/>
    <w:aliases w:val="标题1 Char"/>
    <w:link w:val="2"/>
    <w:qFormat/>
    <w:uiPriority w:val="9"/>
    <w:rPr>
      <w:rFonts w:eastAsia="仿宋_GB2312"/>
      <w:b/>
      <w:kern w:val="44"/>
      <w:sz w:val="44"/>
      <w:lang w:val="en-US" w:eastAsia="zh-CN" w:bidi="ar-SA"/>
    </w:rPr>
  </w:style>
  <w:style w:type="character" w:customStyle="1" w:styleId="140">
    <w:name w:val="param-name"/>
    <w:basedOn w:val="50"/>
    <w:uiPriority w:val="0"/>
  </w:style>
  <w:style w:type="paragraph" w:customStyle="1" w:styleId="141">
    <w:name w:val="样式 列表编号 + 段后: 0.5 行"/>
    <w:basedOn w:val="14"/>
    <w:uiPriority w:val="0"/>
    <w:pPr>
      <w:numPr>
        <w:ilvl w:val="0"/>
        <w:numId w:val="0"/>
      </w:numPr>
      <w:tabs>
        <w:tab w:val="left" w:pos="840"/>
      </w:tabs>
      <w:spacing w:after="120" w:afterLines="0"/>
      <w:ind w:left="425" w:hanging="425"/>
    </w:pPr>
    <w:rPr>
      <w:rFonts w:cs="宋体"/>
    </w:rPr>
  </w:style>
  <w:style w:type="paragraph" w:customStyle="1" w:styleId="142">
    <w:name w:val="标题3def"/>
    <w:basedOn w:val="5"/>
    <w:next w:val="1"/>
    <w:uiPriority w:val="0"/>
    <w:pPr>
      <w:numPr>
        <w:ilvl w:val="0"/>
        <w:numId w:val="0"/>
      </w:numPr>
      <w:adjustRightInd w:val="0"/>
      <w:snapToGrid w:val="0"/>
      <w:spacing w:before="80" w:after="160" w:line="400" w:lineRule="exact"/>
    </w:pPr>
    <w:rPr>
      <w:rFonts w:ascii="仿宋_GB2312" w:hAnsi="宋体"/>
      <w:sz w:val="24"/>
    </w:rPr>
  </w:style>
  <w:style w:type="paragraph" w:customStyle="1" w:styleId="143">
    <w:name w:val="Char Char Char Char"/>
    <w:basedOn w:val="1"/>
    <w:uiPriority w:val="0"/>
    <w:pPr>
      <w:widowControl/>
      <w:spacing w:after="160" w:line="240" w:lineRule="exact"/>
      <w:jc w:val="left"/>
    </w:pPr>
    <w:rPr>
      <w:kern w:val="0"/>
      <w:sz w:val="24"/>
    </w:rPr>
  </w:style>
  <w:style w:type="paragraph" w:customStyle="1" w:styleId="144">
    <w:name w:val="WW-正文文字缩进 2"/>
    <w:basedOn w:val="1"/>
    <w:uiPriority w:val="0"/>
    <w:pPr>
      <w:suppressAutoHyphens/>
      <w:ind w:firstLine="420"/>
    </w:pPr>
    <w:rPr>
      <w:kern w:val="1"/>
      <w:szCs w:val="20"/>
      <w:lang/>
    </w:rPr>
  </w:style>
  <w:style w:type="paragraph" w:customStyle="1" w:styleId="145">
    <w:name w:val="正文 New New"/>
    <w:uiPriority w:val="0"/>
    <w:pPr>
      <w:widowControl w:val="0"/>
      <w:jc w:val="both"/>
    </w:pPr>
    <w:rPr>
      <w:kern w:val="2"/>
      <w:sz w:val="21"/>
      <w:lang w:val="en-US" w:eastAsia="zh-CN" w:bidi="ar-SA"/>
    </w:rPr>
  </w:style>
  <w:style w:type="paragraph" w:customStyle="1" w:styleId="146">
    <w:name w:val=" Char1"/>
    <w:basedOn w:val="1"/>
    <w:uiPriority w:val="0"/>
    <w:rPr>
      <w:szCs w:val="20"/>
    </w:rPr>
  </w:style>
  <w:style w:type="paragraph" w:customStyle="1" w:styleId="147">
    <w:name w:val="Char"/>
    <w:basedOn w:val="1"/>
    <w:uiPriority w:val="0"/>
    <w:rPr>
      <w:rFonts w:ascii="仿宋_GB2312" w:eastAsia="仿宋_GB2312"/>
      <w:b/>
      <w:sz w:val="32"/>
      <w:szCs w:val="32"/>
    </w:rPr>
  </w:style>
  <w:style w:type="paragraph" w:customStyle="1" w:styleId="148">
    <w:name w:val="Default"/>
    <w:qFormat/>
    <w:uiPriority w:val="0"/>
    <w:pPr>
      <w:widowControl w:val="0"/>
      <w:autoSpaceDE w:val="0"/>
      <w:autoSpaceDN w:val="0"/>
      <w:adjustRightInd w:val="0"/>
    </w:pPr>
    <w:rPr>
      <w:color w:val="000000"/>
      <w:sz w:val="24"/>
      <w:szCs w:val="24"/>
      <w:lang w:val="en-US" w:eastAsia="zh-CN" w:bidi="ar-SA"/>
    </w:rPr>
  </w:style>
  <w:style w:type="paragraph" w:customStyle="1" w:styleId="149">
    <w:name w:val="正文缩近"/>
    <w:basedOn w:val="1"/>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50">
    <w:name w:val="项目1"/>
    <w:basedOn w:val="1"/>
    <w:uiPriority w:val="0"/>
    <w:pPr>
      <w:tabs>
        <w:tab w:val="left" w:pos="840"/>
      </w:tabs>
      <w:spacing w:after="60"/>
      <w:ind w:left="840" w:hanging="420"/>
    </w:pPr>
    <w:rPr>
      <w:rFonts w:ascii="宋体"/>
      <w:spacing w:val="4"/>
      <w:szCs w:val="20"/>
    </w:rPr>
  </w:style>
  <w:style w:type="paragraph" w:styleId="151">
    <w:name w:val=""/>
    <w:basedOn w:val="2"/>
    <w:next w:val="1"/>
    <w:qFormat/>
    <w:uiPriority w:val="39"/>
    <w:pPr>
      <w:widowControl/>
      <w:numPr>
        <w:ilvl w:val="0"/>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152">
    <w:name w:val="aspnumfaautoadjustrightr"/>
    <w:uiPriority w:val="0"/>
    <w:pPr>
      <w:widowControl w:val="0"/>
      <w:autoSpaceDE w:val="0"/>
      <w:autoSpaceDN w:val="0"/>
      <w:adjustRightInd w:val="0"/>
      <w:ind w:firstLine="720"/>
      <w:jc w:val="both"/>
    </w:pPr>
    <w:rPr>
      <w:lang w:val="en-US" w:eastAsia="zh-CN" w:bidi="ar-SA"/>
    </w:rPr>
  </w:style>
  <w:style w:type="paragraph" w:customStyle="1" w:styleId="153">
    <w:name w:val="Char Char1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54">
    <w:name w:val="Char Char2 Char Char Char Char"/>
    <w:basedOn w:val="16"/>
    <w:uiPriority w:val="0"/>
    <w:rPr>
      <w:rFonts w:ascii="Tahoma" w:hAnsi="Tahoma"/>
      <w:sz w:val="24"/>
    </w:rPr>
  </w:style>
  <w:style w:type="paragraph" w:customStyle="1" w:styleId="155">
    <w:name w:val="正文缩进 New"/>
    <w:basedOn w:val="1"/>
    <w:uiPriority w:val="0"/>
    <w:pPr>
      <w:ind w:firstLine="420" w:firstLineChars="200"/>
    </w:pPr>
    <w:rPr>
      <w:szCs w:val="20"/>
    </w:rPr>
  </w:style>
  <w:style w:type="paragraph" w:customStyle="1" w:styleId="156">
    <w:name w:val="缺省文本"/>
    <w:basedOn w:val="1"/>
    <w:uiPriority w:val="0"/>
    <w:pPr>
      <w:autoSpaceDE w:val="0"/>
      <w:autoSpaceDN w:val="0"/>
      <w:adjustRightInd w:val="0"/>
      <w:jc w:val="left"/>
    </w:pPr>
    <w:rPr>
      <w:kern w:val="0"/>
      <w:sz w:val="24"/>
    </w:rPr>
  </w:style>
  <w:style w:type="paragraph" w:customStyle="1" w:styleId="157">
    <w:name w:val="标题2def"/>
    <w:basedOn w:val="44"/>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58">
    <w:name w:val="xl25"/>
    <w:basedOn w:val="1"/>
    <w:uiPriority w:val="0"/>
    <w:pPr>
      <w:widowControl/>
      <w:numPr>
        <w:ilvl w:val="0"/>
        <w:numId w:val="6"/>
      </w:numPr>
      <w:tabs>
        <w:tab w:val="clear" w:pos="840"/>
      </w:tabs>
      <w:spacing w:before="100" w:beforeAutospacing="1" w:after="100" w:afterAutospacing="1"/>
      <w:ind w:left="0" w:firstLine="0"/>
      <w:jc w:val="center"/>
      <w:textAlignment w:val="center"/>
    </w:pPr>
    <w:rPr>
      <w:rFonts w:ascii="宋体" w:hAnsi="宋体"/>
      <w:kern w:val="0"/>
      <w:sz w:val="20"/>
      <w:szCs w:val="20"/>
    </w:rPr>
  </w:style>
  <w:style w:type="paragraph" w:customStyle="1" w:styleId="159">
    <w:name w:val="font6"/>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60">
    <w:name w:val="_Style 11"/>
    <w:basedOn w:val="1"/>
    <w:uiPriority w:val="0"/>
    <w:rPr>
      <w:rFonts w:ascii="Tahoma" w:hAnsi="Tahoma"/>
      <w:sz w:val="24"/>
      <w:szCs w:val="20"/>
    </w:rPr>
  </w:style>
  <w:style w:type="paragraph" w:customStyle="1" w:styleId="161">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162">
    <w:name w:val="Normal"/>
    <w:uiPriority w:val="0"/>
    <w:pPr>
      <w:widowControl w:val="0"/>
      <w:adjustRightInd w:val="0"/>
      <w:spacing w:line="312" w:lineRule="atLeast"/>
      <w:jc w:val="both"/>
    </w:pPr>
    <w:rPr>
      <w:rFonts w:ascii="宋体"/>
      <w:sz w:val="34"/>
      <w:lang w:val="en-US" w:eastAsia="zh-CN" w:bidi="ar-SA"/>
    </w:rPr>
  </w:style>
  <w:style w:type="paragraph" w:customStyle="1" w:styleId="163">
    <w:name w:val=" 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64">
    <w:name w:val="xl32"/>
    <w:basedOn w:val="1"/>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65">
    <w:name w:val="段"/>
    <w:basedOn w:val="1"/>
    <w:uiPriority w:val="0"/>
    <w:pPr>
      <w:ind w:firstLine="425"/>
    </w:pPr>
    <w:rPr>
      <w:rFonts w:ascii="宋体"/>
      <w:szCs w:val="20"/>
    </w:rPr>
  </w:style>
  <w:style w:type="paragraph" w:customStyle="1" w:styleId="166">
    <w:name w:val="p0"/>
    <w:basedOn w:val="1"/>
    <w:uiPriority w:val="0"/>
    <w:pPr>
      <w:widowControl/>
    </w:pPr>
    <w:rPr>
      <w:kern w:val="0"/>
      <w:szCs w:val="21"/>
    </w:rPr>
  </w:style>
  <w:style w:type="paragraph" w:customStyle="1" w:styleId="167">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8">
    <w:name w:val=" Char Char Char1 Char Char Char1 Char Char Char Char"/>
    <w:basedOn w:val="1"/>
    <w:uiPriority w:val="0"/>
  </w:style>
  <w:style w:type="paragraph" w:customStyle="1" w:styleId="169">
    <w:name w:val="编10号"/>
    <w:basedOn w:val="1"/>
    <w:uiPriority w:val="0"/>
    <w:pPr>
      <w:numPr>
        <w:ilvl w:val="3"/>
        <w:numId w:val="7"/>
      </w:numPr>
    </w:pPr>
  </w:style>
  <w:style w:type="paragraph" w:customStyle="1" w:styleId="170">
    <w:name w:val="正文文本缩进 21"/>
    <w:basedOn w:val="1"/>
    <w:uiPriority w:val="0"/>
    <w:pPr>
      <w:spacing w:line="520" w:lineRule="exact"/>
      <w:ind w:firstLine="848" w:firstLineChars="303"/>
    </w:pPr>
    <w:rPr>
      <w:rFonts w:ascii="黑体" w:hAnsi="Calibri" w:eastAsia="黑体" w:cs="黑体"/>
      <w:sz w:val="28"/>
      <w:szCs w:val="22"/>
    </w:rPr>
  </w:style>
  <w:style w:type="paragraph" w:customStyle="1" w:styleId="171">
    <w:name w:val="样式 小四 行距: 1.5 倍行距 首行缩进:  2 字符"/>
    <w:basedOn w:val="1"/>
    <w:uiPriority w:val="0"/>
    <w:pPr>
      <w:spacing w:line="360" w:lineRule="auto"/>
      <w:ind w:firstLine="480" w:firstLineChars="200"/>
    </w:pPr>
    <w:rPr>
      <w:rFonts w:cs="宋体"/>
      <w:sz w:val="24"/>
      <w:szCs w:val="20"/>
    </w:rPr>
  </w:style>
  <w:style w:type="paragraph" w:customStyle="1" w:styleId="172">
    <w:name w:val="模板普通正文"/>
    <w:basedOn w:val="20"/>
    <w:uiPriority w:val="0"/>
    <w:pPr>
      <w:spacing w:before="50" w:beforeLines="50" w:after="10" w:line="360" w:lineRule="auto"/>
      <w:ind w:left="0" w:leftChars="0" w:firstLine="175" w:firstLineChars="175"/>
      <w:jc w:val="left"/>
    </w:pPr>
    <w:rPr>
      <w:sz w:val="24"/>
    </w:rPr>
  </w:style>
  <w:style w:type="paragraph" w:customStyle="1" w:styleId="173">
    <w:name w:val="标书_正文"/>
    <w:basedOn w:val="1"/>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74">
    <w:name w:val="正文 New New New New New New New New New New New New New New New New New New New New New New New New New"/>
    <w:uiPriority w:val="0"/>
    <w:pPr>
      <w:widowControl w:val="0"/>
      <w:spacing w:line="440" w:lineRule="exact"/>
      <w:jc w:val="both"/>
    </w:pPr>
    <w:rPr>
      <w:kern w:val="2"/>
      <w:sz w:val="28"/>
      <w:szCs w:val="24"/>
      <w:lang w:val="en-US" w:eastAsia="zh-CN" w:bidi="ar-SA"/>
    </w:rPr>
  </w:style>
  <w:style w:type="paragraph" w:customStyle="1" w:styleId="175">
    <w:name w:val="默认段落字体 Para Char Char Char Char Char Char Char Char Char1 Char Char Char Char"/>
    <w:basedOn w:val="1"/>
    <w:uiPriority w:val="0"/>
    <w:rPr>
      <w:rFonts w:ascii="Tahoma" w:hAnsi="Tahoma"/>
      <w:sz w:val="24"/>
      <w:szCs w:val="20"/>
    </w:rPr>
  </w:style>
  <w:style w:type="paragraph" w:customStyle="1" w:styleId="176">
    <w:name w:val="正文 New"/>
    <w:uiPriority w:val="0"/>
    <w:pPr>
      <w:widowControl w:val="0"/>
      <w:jc w:val="both"/>
    </w:pPr>
    <w:rPr>
      <w:kern w:val="2"/>
      <w:sz w:val="21"/>
      <w:lang w:val="en-US" w:eastAsia="zh-CN" w:bidi="ar-SA"/>
    </w:rPr>
  </w:style>
  <w:style w:type="paragraph" w:customStyle="1" w:styleId="177">
    <w:name w:val=" Char Char Char Char Char Char Char Char Char Char"/>
    <w:basedOn w:val="1"/>
    <w:uiPriority w:val="0"/>
    <w:rPr>
      <w:rFonts w:ascii="Tahoma" w:hAnsi="Tahoma"/>
      <w:sz w:val="24"/>
      <w:szCs w:val="20"/>
    </w:rPr>
  </w:style>
  <w:style w:type="paragraph" w:customStyle="1" w:styleId="178">
    <w:name w:val="表内文字"/>
    <w:basedOn w:val="1"/>
    <w:uiPriority w:val="0"/>
    <w:pPr>
      <w:jc w:val="center"/>
    </w:pPr>
    <w:rPr>
      <w:color w:val="FF0000"/>
      <w:kern w:val="0"/>
      <w:sz w:val="24"/>
    </w:rPr>
  </w:style>
  <w:style w:type="paragraph" w:customStyle="1" w:styleId="179">
    <w:name w:val="Char Char2 Char Char"/>
    <w:basedOn w:val="1"/>
    <w:uiPriority w:val="0"/>
    <w:pPr>
      <w:widowControl/>
      <w:spacing w:line="400" w:lineRule="exact"/>
      <w:jc w:val="center"/>
    </w:pPr>
    <w:rPr>
      <w:rFonts w:ascii="Verdana" w:hAnsi="Verdana"/>
      <w:kern w:val="0"/>
      <w:szCs w:val="20"/>
      <w:lang w:eastAsia="en-US"/>
    </w:rPr>
  </w:style>
  <w:style w:type="paragraph" w:customStyle="1" w:styleId="180">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81">
    <w:name w:val="Char Char Char 字元 字元"/>
    <w:basedOn w:val="1"/>
    <w:uiPriority w:val="0"/>
    <w:pPr>
      <w:spacing w:line="360" w:lineRule="auto"/>
      <w:ind w:firstLine="200" w:firstLineChars="200"/>
    </w:pPr>
    <w:rPr>
      <w:szCs w:val="20"/>
    </w:rPr>
  </w:style>
  <w:style w:type="paragraph" w:customStyle="1" w:styleId="182">
    <w:name w:val="font7"/>
    <w:basedOn w:val="1"/>
    <w:uiPriority w:val="0"/>
    <w:pPr>
      <w:widowControl/>
      <w:spacing w:before="100" w:beforeAutospacing="1" w:after="100" w:afterAutospacing="1"/>
      <w:jc w:val="left"/>
    </w:pPr>
    <w:rPr>
      <w:rFonts w:hint="eastAsia" w:ascii="宋体" w:hAnsi="宋体"/>
      <w:kern w:val="0"/>
      <w:szCs w:val="21"/>
    </w:rPr>
  </w:style>
  <w:style w:type="paragraph" w:customStyle="1" w:styleId="183">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184">
    <w:name w:val="列出段落1"/>
    <w:basedOn w:val="1"/>
    <w:qFormat/>
    <w:uiPriority w:val="34"/>
    <w:pPr>
      <w:adjustRightInd w:val="0"/>
      <w:spacing w:line="360" w:lineRule="auto"/>
      <w:ind w:firstLine="200" w:firstLineChars="200"/>
    </w:pPr>
    <w:rPr>
      <w:rFonts w:eastAsia="楷体_GB2312" w:cs="Lucida Sans"/>
      <w:sz w:val="24"/>
    </w:rPr>
  </w:style>
  <w:style w:type="paragraph" w:customStyle="1" w:styleId="185">
    <w:name w:val="Char Char1 Char Char Char Char Char Char"/>
    <w:basedOn w:val="1"/>
    <w:uiPriority w:val="0"/>
    <w:pPr>
      <w:widowControl/>
      <w:spacing w:after="160" w:line="240" w:lineRule="exact"/>
      <w:jc w:val="left"/>
    </w:pPr>
  </w:style>
  <w:style w:type="paragraph" w:customStyle="1" w:styleId="186">
    <w:name w:val="List Paragraph"/>
    <w:basedOn w:val="1"/>
    <w:uiPriority w:val="0"/>
    <w:pPr>
      <w:ind w:firstLine="420" w:firstLineChars="200"/>
    </w:pPr>
    <w:rPr>
      <w:rFonts w:ascii="Calibri" w:hAnsi="Calibri"/>
      <w:szCs w:val="22"/>
    </w:rPr>
  </w:style>
  <w:style w:type="paragraph" w:styleId="187">
    <w:name w:val="List Paragraph"/>
    <w:basedOn w:val="1"/>
    <w:qFormat/>
    <w:uiPriority w:val="1"/>
    <w:pPr>
      <w:widowControl/>
      <w:spacing w:after="200" w:line="276" w:lineRule="auto"/>
      <w:ind w:left="720"/>
      <w:contextualSpacing/>
      <w:jc w:val="left"/>
    </w:pPr>
    <w:rPr>
      <w:rFonts w:ascii="Calibri" w:hAnsi="Calibri"/>
      <w:kern w:val="0"/>
      <w:sz w:val="22"/>
      <w:szCs w:val="22"/>
    </w:rPr>
  </w:style>
  <w:style w:type="paragraph" w:customStyle="1" w:styleId="188">
    <w:name w:val="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89">
    <w:name w:val="默认段落字体 Para Char Char Char Char"/>
    <w:basedOn w:val="1"/>
    <w:uiPriority w:val="0"/>
  </w:style>
  <w:style w:type="paragraph" w:customStyle="1" w:styleId="190">
    <w:name w:val="Char Char Char"/>
    <w:basedOn w:val="16"/>
    <w:uiPriority w:val="0"/>
    <w:rPr>
      <w:rFonts w:ascii="Tahoma" w:hAnsi="Tahoma"/>
      <w:sz w:val="24"/>
    </w:rPr>
  </w:style>
  <w:style w:type="paragraph" w:customStyle="1" w:styleId="191">
    <w:name w:val="blue"/>
    <w:basedOn w:val="1"/>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192">
    <w:name w:val="Char1 Char Char Char Char Char Char"/>
    <w:basedOn w:val="1"/>
    <w:uiPriority w:val="0"/>
    <w:rPr>
      <w:rFonts w:ascii="Tahoma" w:hAnsi="Tahoma"/>
      <w:sz w:val="24"/>
      <w:szCs w:val="20"/>
    </w:rPr>
  </w:style>
  <w:style w:type="paragraph" w:customStyle="1" w:styleId="193">
    <w:name w:val="Char Char1 Char Char Char Char1 Char Char Char"/>
    <w:basedOn w:val="1"/>
    <w:uiPriority w:val="0"/>
    <w:pPr>
      <w:adjustRightInd w:val="0"/>
      <w:spacing w:line="360" w:lineRule="atLeast"/>
    </w:pPr>
    <w:rPr>
      <w:rFonts w:ascii="Tahoma" w:hAnsi="Tahoma"/>
      <w:sz w:val="24"/>
      <w:szCs w:val="20"/>
    </w:rPr>
  </w:style>
  <w:style w:type="paragraph" w:customStyle="1" w:styleId="194">
    <w:name w:val="Char Char Char Char1"/>
    <w:basedOn w:val="1"/>
    <w:uiPriority w:val="0"/>
    <w:rPr>
      <w:rFonts w:ascii="Tahoma" w:hAnsi="Tahoma"/>
      <w:sz w:val="24"/>
      <w:szCs w:val="20"/>
    </w:rPr>
  </w:style>
  <w:style w:type="paragraph" w:customStyle="1" w:styleId="195">
    <w:name w:val=" Char"/>
    <w:basedOn w:val="1"/>
    <w:uiPriority w:val="0"/>
    <w:pPr>
      <w:tabs>
        <w:tab w:val="left" w:pos="432"/>
      </w:tabs>
      <w:spacing w:before="156" w:beforeLines="50" w:after="156" w:afterLines="50"/>
      <w:ind w:left="432" w:hanging="432"/>
      <w:jc w:val="center"/>
    </w:pPr>
    <w:rPr>
      <w:sz w:val="24"/>
    </w:rPr>
  </w:style>
  <w:style w:type="paragraph" w:customStyle="1" w:styleId="196">
    <w:name w:val="自定义表格文字"/>
    <w:basedOn w:val="1"/>
    <w:uiPriority w:val="0"/>
    <w:pPr>
      <w:spacing w:before="60" w:after="60" w:line="320" w:lineRule="exact"/>
      <w:jc w:val="left"/>
    </w:pPr>
    <w:rPr>
      <w:rFonts w:ascii="宋体" w:eastAsia="楷体_GB2312"/>
    </w:rPr>
  </w:style>
  <w:style w:type="paragraph" w:customStyle="1" w:styleId="197">
    <w:name w:val="表正文"/>
    <w:basedOn w:val="1"/>
    <w:next w:val="25"/>
    <w:uiPriority w:val="0"/>
    <w:rPr>
      <w:rFonts w:ascii="宋体" w:hAnsi="Courier New"/>
      <w:szCs w:val="20"/>
    </w:rPr>
  </w:style>
  <w:style w:type="paragraph" w:customStyle="1" w:styleId="198">
    <w:name w:val="List Paragraph1"/>
    <w:basedOn w:val="1"/>
    <w:uiPriority w:val="0"/>
    <w:pPr>
      <w:ind w:firstLine="420" w:firstLineChars="200"/>
    </w:pPr>
    <w:rPr>
      <w:rFonts w:ascii="Calibri" w:hAnsi="Calibri"/>
      <w:szCs w:val="22"/>
    </w:rPr>
  </w:style>
  <w:style w:type="paragraph" w:styleId="199">
    <w:name w:val=""/>
    <w:hidden/>
    <w:unhideWhenUsed/>
    <w:uiPriority w:val="99"/>
    <w:rPr>
      <w:kern w:val="2"/>
      <w:sz w:val="21"/>
      <w:szCs w:val="24"/>
      <w:lang w:val="en-US" w:eastAsia="zh-CN" w:bidi="ar-SA"/>
    </w:rPr>
  </w:style>
  <w:style w:type="character" w:customStyle="1" w:styleId="200">
    <w:name w:val="列出段落 Char"/>
    <w:link w:val="201"/>
    <w:qFormat/>
    <w:locked/>
    <w:uiPriority w:val="34"/>
    <w:rPr>
      <w:sz w:val="24"/>
    </w:rPr>
  </w:style>
  <w:style w:type="paragraph" w:customStyle="1" w:styleId="201">
    <w:name w:val="列出段落2"/>
    <w:basedOn w:val="1"/>
    <w:link w:val="200"/>
    <w:qFormat/>
    <w:uiPriority w:val="34"/>
    <w:pPr>
      <w:ind w:firstLine="420" w:firstLineChars="200"/>
    </w:pPr>
    <w:rPr>
      <w:kern w:val="0"/>
      <w:sz w:val="24"/>
      <w:szCs w:val="20"/>
    </w:rPr>
  </w:style>
  <w:style w:type="character" w:customStyle="1" w:styleId="202">
    <w:name w:val="Char Char7"/>
    <w:uiPriority w:val="0"/>
    <w:rPr>
      <w:rFonts w:eastAsia="仿宋_GB2312"/>
      <w:kern w:val="2"/>
      <w:sz w:val="24"/>
      <w:lang w:val="en-US" w:eastAsia="zh-CN"/>
    </w:rPr>
  </w:style>
  <w:style w:type="character" w:customStyle="1" w:styleId="203">
    <w:name w:val="Char Char1"/>
    <w:uiPriority w:val="0"/>
    <w:rPr>
      <w:rFonts w:ascii="宋体" w:hAnsi="Courier New" w:eastAsia="宋体"/>
      <w:kern w:val="2"/>
      <w:sz w:val="21"/>
      <w:lang w:val="en-US" w:eastAsia="zh-CN"/>
    </w:rPr>
  </w:style>
  <w:style w:type="character" w:customStyle="1" w:styleId="204">
    <w:name w:val="Char Char3"/>
    <w:uiPriority w:val="0"/>
    <w:rPr>
      <w:rFonts w:eastAsia="仿宋_GB2312"/>
      <w:kern w:val="2"/>
      <w:sz w:val="24"/>
      <w:lang w:val="en-US" w:eastAsia="zh-CN"/>
    </w:rPr>
  </w:style>
  <w:style w:type="character" w:customStyle="1" w:styleId="205">
    <w:name w:val="Char Char8"/>
    <w:uiPriority w:val="0"/>
    <w:rPr>
      <w:rFonts w:ascii="宋体" w:eastAsia="宋体"/>
      <w:kern w:val="2"/>
      <w:sz w:val="28"/>
      <w:lang w:val="en-US" w:eastAsia="zh-CN"/>
    </w:rPr>
  </w:style>
  <w:style w:type="character" w:customStyle="1" w:styleId="206">
    <w:name w:val="Comment Text Char2"/>
    <w:semiHidden/>
    <w:uiPriority w:val="99"/>
    <w:rPr>
      <w:kern w:val="2"/>
      <w:sz w:val="21"/>
      <w:szCs w:val="24"/>
    </w:rPr>
  </w:style>
  <w:style w:type="character" w:customStyle="1" w:styleId="207">
    <w:name w:val="批注主题 Char"/>
    <w:link w:val="45"/>
    <w:qFormat/>
    <w:uiPriority w:val="99"/>
    <w:rPr>
      <w:b/>
      <w:bCs/>
      <w:kern w:val="2"/>
      <w:sz w:val="24"/>
      <w:szCs w:val="24"/>
    </w:rPr>
  </w:style>
  <w:style w:type="paragraph" w:customStyle="1" w:styleId="208">
    <w:name w:val="Char1"/>
    <w:basedOn w:val="1"/>
    <w:uiPriority w:val="0"/>
    <w:rPr>
      <w:szCs w:val="20"/>
    </w:rPr>
  </w:style>
  <w:style w:type="character" w:customStyle="1" w:styleId="209">
    <w:name w:val="Plain Text Char2"/>
    <w:semiHidden/>
    <w:uiPriority w:val="99"/>
    <w:rPr>
      <w:rFonts w:ascii="宋体" w:hAnsi="Courier New" w:cs="Courier New"/>
      <w:kern w:val="2"/>
      <w:sz w:val="21"/>
      <w:szCs w:val="21"/>
    </w:rPr>
  </w:style>
  <w:style w:type="character" w:customStyle="1" w:styleId="210">
    <w:name w:val="Body Text Indent Char1"/>
    <w:semiHidden/>
    <w:uiPriority w:val="99"/>
    <w:rPr>
      <w:kern w:val="2"/>
      <w:sz w:val="21"/>
      <w:szCs w:val="24"/>
    </w:rPr>
  </w:style>
  <w:style w:type="character" w:customStyle="1" w:styleId="211">
    <w:name w:val="Body Text Char1"/>
    <w:semiHidden/>
    <w:uiPriority w:val="99"/>
    <w:rPr>
      <w:kern w:val="2"/>
      <w:sz w:val="21"/>
      <w:szCs w:val="24"/>
    </w:rPr>
  </w:style>
  <w:style w:type="character" w:customStyle="1" w:styleId="212">
    <w:name w:val="正文首行缩进 Char"/>
    <w:basedOn w:val="211"/>
    <w:link w:val="46"/>
    <w:uiPriority w:val="99"/>
  </w:style>
  <w:style w:type="character" w:customStyle="1" w:styleId="213">
    <w:name w:val="Body Text Indent 2 Char1"/>
    <w:semiHidden/>
    <w:uiPriority w:val="99"/>
    <w:rPr>
      <w:kern w:val="2"/>
      <w:sz w:val="21"/>
      <w:szCs w:val="24"/>
    </w:rPr>
  </w:style>
  <w:style w:type="character" w:customStyle="1" w:styleId="214">
    <w:name w:val="Date Char2"/>
    <w:semiHidden/>
    <w:uiPriority w:val="99"/>
    <w:rPr>
      <w:kern w:val="2"/>
      <w:sz w:val="21"/>
      <w:szCs w:val="24"/>
    </w:rPr>
  </w:style>
  <w:style w:type="character" w:customStyle="1" w:styleId="215">
    <w:name w:val="Document Map Char1"/>
    <w:semiHidden/>
    <w:uiPriority w:val="99"/>
    <w:rPr>
      <w:kern w:val="2"/>
      <w:sz w:val="0"/>
      <w:szCs w:val="0"/>
    </w:rPr>
  </w:style>
  <w:style w:type="character" w:customStyle="1" w:styleId="216">
    <w:name w:val="Body Text 2 Char1"/>
    <w:semiHidden/>
    <w:uiPriority w:val="99"/>
    <w:rPr>
      <w:kern w:val="2"/>
      <w:sz w:val="21"/>
      <w:szCs w:val="24"/>
    </w:rPr>
  </w:style>
  <w:style w:type="character" w:customStyle="1" w:styleId="217">
    <w:name w:val="Title Char1"/>
    <w:uiPriority w:val="10"/>
    <w:rPr>
      <w:rFonts w:ascii="Cambria" w:hAnsi="Cambria" w:cs="Times New Roman"/>
      <w:b/>
      <w:bCs/>
      <w:kern w:val="2"/>
      <w:sz w:val="32"/>
      <w:szCs w:val="32"/>
    </w:rPr>
  </w:style>
  <w:style w:type="character" w:customStyle="1" w:styleId="218">
    <w:name w:val="HTML 预设格式 Char"/>
    <w:link w:val="41"/>
    <w:qFormat/>
    <w:uiPriority w:val="99"/>
    <w:rPr>
      <w:rFonts w:ascii="黑体" w:hAnsi="Courier New" w:eastAsia="黑体" w:cs="Courier New"/>
    </w:rPr>
  </w:style>
  <w:style w:type="paragraph" w:customStyle="1" w:styleId="219">
    <w:name w:val="TOC 标题1"/>
    <w:basedOn w:val="2"/>
    <w:next w:val="1"/>
    <w:qFormat/>
    <w:uiPriority w:val="39"/>
    <w:pPr>
      <w:widowControl/>
      <w:spacing w:before="240" w:after="0" w:line="259" w:lineRule="auto"/>
      <w:ind w:left="0" w:firstLine="0"/>
      <w:jc w:val="left"/>
      <w:outlineLvl w:val="9"/>
    </w:pPr>
    <w:rPr>
      <w:rFonts w:ascii="Calibri Light" w:hAnsi="Calibri Light" w:eastAsia="宋体"/>
      <w:b w:val="0"/>
      <w:color w:val="2E74B5"/>
      <w:kern w:val="0"/>
      <w:sz w:val="32"/>
      <w:szCs w:val="32"/>
    </w:rPr>
  </w:style>
  <w:style w:type="character" w:customStyle="1" w:styleId="220">
    <w:name w:val="批注框文本 Char"/>
    <w:link w:val="29"/>
    <w:qFormat/>
    <w:uiPriority w:val="99"/>
    <w:rPr>
      <w:kern w:val="2"/>
      <w:sz w:val="18"/>
      <w:szCs w:val="18"/>
    </w:rPr>
  </w:style>
  <w:style w:type="character" w:customStyle="1" w:styleId="221">
    <w:name w:val="Footer Char1"/>
    <w:semiHidden/>
    <w:uiPriority w:val="99"/>
    <w:rPr>
      <w:kern w:val="2"/>
      <w:sz w:val="18"/>
      <w:szCs w:val="18"/>
    </w:rPr>
  </w:style>
  <w:style w:type="character" w:customStyle="1" w:styleId="222">
    <w:name w:val="正文首行缩进 2 Char"/>
    <w:basedOn w:val="72"/>
    <w:link w:val="47"/>
    <w:uiPriority w:val="99"/>
  </w:style>
  <w:style w:type="character" w:customStyle="1" w:styleId="223">
    <w:name w:val="Header Char2"/>
    <w:semiHidden/>
    <w:uiPriority w:val="99"/>
    <w:rPr>
      <w:kern w:val="2"/>
      <w:sz w:val="18"/>
      <w:szCs w:val="18"/>
    </w:rPr>
  </w:style>
  <w:style w:type="character" w:customStyle="1" w:styleId="224">
    <w:name w:val="正文文本缩进 3 Char"/>
    <w:link w:val="36"/>
    <w:uiPriority w:val="99"/>
    <w:rPr>
      <w:kern w:val="2"/>
      <w:sz w:val="16"/>
      <w:szCs w:val="16"/>
    </w:rPr>
  </w:style>
  <w:style w:type="paragraph" w:customStyle="1" w:styleId="225">
    <w:name w:val="Char Char Char1 Char Char Char1 Char Char Char Char"/>
    <w:basedOn w:val="1"/>
    <w:uiPriority w:val="0"/>
  </w:style>
  <w:style w:type="paragraph" w:customStyle="1" w:styleId="226">
    <w:name w:val="Char2"/>
    <w:basedOn w:val="1"/>
    <w:uiPriority w:val="0"/>
    <w:rPr>
      <w:rFonts w:ascii="仿宋_GB2312" w:eastAsia="仿宋_GB2312"/>
      <w:b/>
      <w:sz w:val="32"/>
      <w:szCs w:val="32"/>
    </w:rPr>
  </w:style>
  <w:style w:type="paragraph" w:customStyle="1" w:styleId="227">
    <w:name w:val="Char Char Char1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28">
    <w:name w:val="Char Char Char Char Char Char Char Char Char Char"/>
    <w:basedOn w:val="1"/>
    <w:uiPriority w:val="0"/>
    <w:rPr>
      <w:rFonts w:ascii="Tahoma" w:hAnsi="Tahoma"/>
      <w:sz w:val="24"/>
      <w:szCs w:val="20"/>
    </w:rPr>
  </w:style>
  <w:style w:type="paragraph" w:customStyle="1" w:styleId="229">
    <w:name w:val="Normal1"/>
    <w:uiPriority w:val="0"/>
    <w:pPr>
      <w:widowControl w:val="0"/>
      <w:adjustRightInd w:val="0"/>
      <w:spacing w:line="312" w:lineRule="atLeast"/>
      <w:jc w:val="both"/>
    </w:pPr>
    <w:rPr>
      <w:rFonts w:ascii="宋体"/>
      <w:sz w:val="34"/>
      <w:lang w:val="en-US" w:eastAsia="zh-CN" w:bidi="ar-SA"/>
    </w:rPr>
  </w:style>
  <w:style w:type="paragraph" w:customStyle="1" w:styleId="230">
    <w:name w:val="_正文不空"/>
    <w:link w:val="231"/>
    <w:qFormat/>
    <w:uiPriority w:val="0"/>
    <w:pPr>
      <w:spacing w:line="360" w:lineRule="auto"/>
    </w:pPr>
    <w:rPr>
      <w:rFonts w:ascii="Calibri" w:hAnsi="Calibri"/>
      <w:kern w:val="2"/>
      <w:sz w:val="24"/>
      <w:szCs w:val="21"/>
      <w:lang w:val="en-US" w:eastAsia="zh-CN" w:bidi="ar-SA"/>
    </w:rPr>
  </w:style>
  <w:style w:type="character" w:customStyle="1" w:styleId="231">
    <w:name w:val="_正文不空 Char"/>
    <w:link w:val="230"/>
    <w:uiPriority w:val="0"/>
    <w:rPr>
      <w:rFonts w:ascii="Calibri" w:hAnsi="Calibri"/>
      <w:kern w:val="2"/>
      <w:sz w:val="24"/>
      <w:szCs w:val="21"/>
      <w:lang w:val="en-US" w:eastAsia="zh-CN" w:bidi="ar-SA"/>
    </w:rPr>
  </w:style>
  <w:style w:type="paragraph" w:customStyle="1" w:styleId="232">
    <w:name w:val="无间隔1"/>
    <w:link w:val="272"/>
    <w:qFormat/>
    <w:uiPriority w:val="1"/>
    <w:pPr>
      <w:widowControl w:val="0"/>
      <w:spacing w:line="360" w:lineRule="auto"/>
    </w:pPr>
    <w:rPr>
      <w:rFonts w:ascii="Calibri" w:hAnsi="Calibri" w:cs="黑体"/>
      <w:kern w:val="2"/>
      <w:sz w:val="24"/>
      <w:szCs w:val="22"/>
      <w:lang w:val="en-US" w:eastAsia="zh-CN" w:bidi="ar-SA"/>
    </w:rPr>
  </w:style>
  <w:style w:type="paragraph" w:customStyle="1" w:styleId="233">
    <w:name w:val="带编号样式"/>
    <w:basedOn w:val="1"/>
    <w:uiPriority w:val="0"/>
    <w:pPr>
      <w:numPr>
        <w:ilvl w:val="0"/>
        <w:numId w:val="8"/>
      </w:numPr>
      <w:tabs>
        <w:tab w:val="left" w:pos="840"/>
      </w:tabs>
      <w:snapToGrid w:val="0"/>
      <w:spacing w:line="360" w:lineRule="auto"/>
      <w:ind w:firstLine="0"/>
    </w:pPr>
    <w:rPr>
      <w:rFonts w:ascii="仿宋_GB2312" w:hAnsi="Calibri" w:eastAsia="仿宋_GB2312"/>
      <w:color w:val="000000"/>
      <w:sz w:val="24"/>
      <w:szCs w:val="22"/>
    </w:rPr>
  </w:style>
  <w:style w:type="character" w:customStyle="1" w:styleId="234">
    <w:name w:val="正文不空 Char"/>
    <w:link w:val="235"/>
    <w:qFormat/>
    <w:uiPriority w:val="0"/>
    <w:rPr>
      <w:rFonts w:ascii="Calibri" w:hAnsi="Calibri" w:cs="Calibri"/>
    </w:rPr>
  </w:style>
  <w:style w:type="paragraph" w:customStyle="1" w:styleId="235">
    <w:name w:val="正文不空"/>
    <w:basedOn w:val="1"/>
    <w:link w:val="234"/>
    <w:qFormat/>
    <w:uiPriority w:val="0"/>
    <w:pPr>
      <w:spacing w:line="360" w:lineRule="auto"/>
    </w:pPr>
    <w:rPr>
      <w:rFonts w:ascii="Calibri" w:hAnsi="Calibri"/>
      <w:kern w:val="0"/>
      <w:sz w:val="20"/>
      <w:szCs w:val="20"/>
    </w:rPr>
  </w:style>
  <w:style w:type="character" w:customStyle="1" w:styleId="236">
    <w:name w:val="wit_biz_data_show1"/>
    <w:basedOn w:val="50"/>
    <w:uiPriority w:val="0"/>
  </w:style>
  <w:style w:type="paragraph" w:styleId="237">
    <w:name w:val="No Spacing"/>
    <w:basedOn w:val="1"/>
    <w:qFormat/>
    <w:uiPriority w:val="1"/>
    <w:pPr>
      <w:widowControl/>
      <w:jc w:val="left"/>
    </w:pPr>
    <w:rPr>
      <w:rFonts w:ascii="Calibri" w:hAnsi="Calibri"/>
      <w:kern w:val="0"/>
      <w:szCs w:val="32"/>
    </w:rPr>
  </w:style>
  <w:style w:type="character" w:customStyle="1" w:styleId="238">
    <w:name w:val="副标题 Char"/>
    <w:link w:val="34"/>
    <w:uiPriority w:val="11"/>
    <w:rPr>
      <w:rFonts w:ascii="Cambria" w:hAnsi="Cambria" w:eastAsia="宋体" w:cs="Times New Roman"/>
      <w:i/>
      <w:iCs/>
      <w:spacing w:val="13"/>
      <w:sz w:val="24"/>
      <w:szCs w:val="24"/>
      <w:lang w:eastAsia="en-US" w:bidi="en-US"/>
    </w:rPr>
  </w:style>
  <w:style w:type="paragraph" w:styleId="239">
    <w:name w:val="Quote"/>
    <w:basedOn w:val="1"/>
    <w:next w:val="1"/>
    <w:link w:val="240"/>
    <w:qFormat/>
    <w:uiPriority w:val="29"/>
    <w:pPr>
      <w:widowControl/>
      <w:spacing w:before="200" w:line="276" w:lineRule="auto"/>
      <w:ind w:left="360" w:right="360"/>
      <w:jc w:val="left"/>
    </w:pPr>
    <w:rPr>
      <w:rFonts w:ascii="Calibri" w:hAnsi="Calibri"/>
      <w:i/>
      <w:iCs/>
      <w:kern w:val="0"/>
      <w:sz w:val="22"/>
      <w:szCs w:val="22"/>
      <w:lang w:eastAsia="en-US" w:bidi="en-US"/>
    </w:rPr>
  </w:style>
  <w:style w:type="character" w:customStyle="1" w:styleId="240">
    <w:name w:val="引用 Char"/>
    <w:link w:val="239"/>
    <w:uiPriority w:val="29"/>
    <w:rPr>
      <w:rFonts w:ascii="Calibri" w:hAnsi="Calibri" w:eastAsia="宋体" w:cs="Times New Roman"/>
      <w:i/>
      <w:iCs/>
      <w:sz w:val="22"/>
      <w:szCs w:val="22"/>
      <w:lang w:eastAsia="en-US" w:bidi="en-US"/>
    </w:rPr>
  </w:style>
  <w:style w:type="paragraph" w:styleId="241">
    <w:name w:val="Intense Quote"/>
    <w:basedOn w:val="1"/>
    <w:next w:val="1"/>
    <w:link w:val="242"/>
    <w:qFormat/>
    <w:uiPriority w:val="30"/>
    <w:pPr>
      <w:widowControl/>
      <w:pBdr>
        <w:bottom w:val="single" w:color="auto" w:sz="4" w:space="1"/>
      </w:pBdr>
      <w:spacing w:before="200" w:after="280" w:line="276" w:lineRule="auto"/>
      <w:ind w:left="1008" w:right="1152"/>
    </w:pPr>
    <w:rPr>
      <w:rFonts w:ascii="Calibri" w:hAnsi="Calibri"/>
      <w:b/>
      <w:bCs/>
      <w:i/>
      <w:iCs/>
      <w:kern w:val="0"/>
      <w:sz w:val="22"/>
      <w:szCs w:val="22"/>
      <w:lang w:eastAsia="en-US" w:bidi="en-US"/>
    </w:rPr>
  </w:style>
  <w:style w:type="character" w:customStyle="1" w:styleId="242">
    <w:name w:val="明显引用 Char"/>
    <w:link w:val="241"/>
    <w:uiPriority w:val="30"/>
    <w:rPr>
      <w:rFonts w:ascii="Calibri" w:hAnsi="Calibri" w:eastAsia="宋体" w:cs="Times New Roman"/>
      <w:b/>
      <w:bCs/>
      <w:i/>
      <w:iCs/>
      <w:sz w:val="22"/>
      <w:szCs w:val="22"/>
      <w:lang w:eastAsia="en-US" w:bidi="en-US"/>
    </w:rPr>
  </w:style>
  <w:style w:type="character" w:styleId="243">
    <w:name w:val=""/>
    <w:qFormat/>
    <w:uiPriority w:val="19"/>
    <w:rPr>
      <w:i/>
      <w:iCs/>
    </w:rPr>
  </w:style>
  <w:style w:type="character" w:styleId="244">
    <w:name w:val=""/>
    <w:qFormat/>
    <w:uiPriority w:val="21"/>
    <w:rPr>
      <w:b/>
      <w:bCs/>
    </w:rPr>
  </w:style>
  <w:style w:type="character" w:styleId="245">
    <w:name w:val=""/>
    <w:qFormat/>
    <w:uiPriority w:val="31"/>
    <w:rPr>
      <w:smallCaps/>
    </w:rPr>
  </w:style>
  <w:style w:type="character" w:styleId="246">
    <w:name w:val=""/>
    <w:qFormat/>
    <w:uiPriority w:val="32"/>
    <w:rPr>
      <w:smallCaps/>
      <w:spacing w:val="5"/>
      <w:u w:val="single"/>
    </w:rPr>
  </w:style>
  <w:style w:type="character" w:styleId="247">
    <w:name w:val=""/>
    <w:qFormat/>
    <w:uiPriority w:val="33"/>
    <w:rPr>
      <w:i/>
      <w:iCs/>
      <w:smallCaps/>
      <w:spacing w:val="5"/>
    </w:rPr>
  </w:style>
  <w:style w:type="table" w:customStyle="1" w:styleId="248">
    <w:name w:val="Table Normal"/>
    <w:semiHidden/>
    <w:unhideWhenUsed/>
    <w:qFormat/>
    <w:uiPriority w:val="2"/>
    <w:pPr>
      <w:widowControl w:val="0"/>
    </w:pPr>
    <w:rPr>
      <w:rFonts w:ascii="Calibri" w:hAnsi="Calibri"/>
      <w:sz w:val="22"/>
      <w:szCs w:val="22"/>
      <w:lang w:val="en-US" w:eastAsia="en-US" w:bidi="ar-SA"/>
    </w:rPr>
    <w:tblPr>
      <w:tblStyle w:val="48"/>
      <w:tblCellMar>
        <w:top w:w="0" w:type="dxa"/>
        <w:left w:w="0" w:type="dxa"/>
        <w:bottom w:w="0" w:type="dxa"/>
        <w:right w:w="0" w:type="dxa"/>
      </w:tblCellMar>
    </w:tblPr>
  </w:style>
  <w:style w:type="paragraph" w:customStyle="1" w:styleId="249">
    <w:name w:val="Table Paragraph"/>
    <w:basedOn w:val="1"/>
    <w:qFormat/>
    <w:uiPriority w:val="1"/>
    <w:pPr>
      <w:jc w:val="left"/>
    </w:pPr>
    <w:rPr>
      <w:rFonts w:ascii="Calibri" w:hAnsi="Calibri" w:eastAsia="宋体" w:cs="Times New Roman"/>
      <w:kern w:val="0"/>
      <w:sz w:val="22"/>
      <w:szCs w:val="22"/>
      <w:lang w:eastAsia="en-US"/>
    </w:rPr>
  </w:style>
  <w:style w:type="character" w:customStyle="1" w:styleId="250">
    <w:name w:val="fontstyle01"/>
    <w:uiPriority w:val="0"/>
    <w:rPr>
      <w:rFonts w:hint="eastAsia" w:ascii="宋体" w:hAnsi="宋体" w:eastAsia="宋体"/>
      <w:color w:val="000000"/>
      <w:sz w:val="22"/>
      <w:szCs w:val="22"/>
    </w:rPr>
  </w:style>
  <w:style w:type="character" w:customStyle="1" w:styleId="251">
    <w:name w:val="fontstyle21"/>
    <w:uiPriority w:val="0"/>
    <w:rPr>
      <w:rFonts w:hint="default" w:ascii="Arial" w:hAnsi="Arial" w:cs="Arial"/>
      <w:color w:val="000000"/>
      <w:sz w:val="18"/>
      <w:szCs w:val="18"/>
    </w:rPr>
  </w:style>
  <w:style w:type="character" w:customStyle="1" w:styleId="252">
    <w:name w:val="fontstyle31"/>
    <w:uiPriority w:val="0"/>
    <w:rPr>
      <w:rFonts w:hint="default" w:ascii="Calibri" w:hAnsi="Calibri" w:cs="Calibri"/>
      <w:color w:val="000000"/>
      <w:sz w:val="22"/>
      <w:szCs w:val="22"/>
    </w:rPr>
  </w:style>
  <w:style w:type="character" w:customStyle="1" w:styleId="253">
    <w:name w:val="fontstyle11"/>
    <w:uiPriority w:val="0"/>
    <w:rPr>
      <w:rFonts w:hint="eastAsia" w:ascii="宋体" w:hAnsi="宋体" w:eastAsia="宋体"/>
      <w:color w:val="000000"/>
      <w:sz w:val="32"/>
      <w:szCs w:val="32"/>
    </w:rPr>
  </w:style>
  <w:style w:type="character" w:customStyle="1" w:styleId="254">
    <w:name w:val="fontstyle41"/>
    <w:uiPriority w:val="0"/>
    <w:rPr>
      <w:rFonts w:hint="default" w:ascii="Calibri" w:hAnsi="Calibri" w:cs="Calibri"/>
      <w:color w:val="000000"/>
      <w:sz w:val="22"/>
      <w:szCs w:val="22"/>
    </w:rPr>
  </w:style>
  <w:style w:type="character" w:customStyle="1" w:styleId="255">
    <w:name w:val="正文 New New New New New New New New New New New New New New New Char"/>
    <w:link w:val="256"/>
    <w:qFormat/>
    <w:uiPriority w:val="0"/>
    <w:rPr>
      <w:kern w:val="2"/>
      <w:sz w:val="21"/>
      <w:szCs w:val="24"/>
      <w:lang w:val="en-US" w:eastAsia="zh-CN" w:bidi="ar-SA"/>
    </w:rPr>
  </w:style>
  <w:style w:type="paragraph" w:customStyle="1" w:styleId="256">
    <w:name w:val="正文 New New New New New New New New New New New New New New New"/>
    <w:link w:val="255"/>
    <w:qFormat/>
    <w:uiPriority w:val="0"/>
    <w:pPr>
      <w:widowControl w:val="0"/>
      <w:jc w:val="both"/>
    </w:pPr>
    <w:rPr>
      <w:kern w:val="2"/>
      <w:sz w:val="21"/>
      <w:szCs w:val="24"/>
      <w:lang w:val="en-US" w:eastAsia="zh-CN" w:bidi="ar-SA"/>
    </w:rPr>
  </w:style>
  <w:style w:type="paragraph" w:customStyle="1" w:styleId="257">
    <w:name w:val="正文 New New New New New New"/>
    <w:qFormat/>
    <w:uiPriority w:val="0"/>
    <w:pPr>
      <w:widowControl w:val="0"/>
      <w:jc w:val="both"/>
    </w:pPr>
    <w:rPr>
      <w:kern w:val="2"/>
      <w:sz w:val="21"/>
      <w:szCs w:val="24"/>
      <w:lang w:val="en-US" w:eastAsia="zh-CN" w:bidi="ar-SA"/>
    </w:rPr>
  </w:style>
  <w:style w:type="paragraph" w:customStyle="1" w:styleId="258">
    <w:name w:val="正文 New New New New New New New New New New New New New New New New"/>
    <w:qFormat/>
    <w:uiPriority w:val="0"/>
    <w:pPr>
      <w:widowControl w:val="0"/>
      <w:jc w:val="both"/>
    </w:pPr>
    <w:rPr>
      <w:kern w:val="2"/>
      <w:sz w:val="21"/>
      <w:szCs w:val="24"/>
      <w:lang w:val="en-US" w:eastAsia="zh-CN" w:bidi="ar-SA"/>
    </w:rPr>
  </w:style>
  <w:style w:type="paragraph" w:customStyle="1" w:styleId="259">
    <w:name w:val="mb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0">
    <w:name w:val="修订1"/>
    <w:semiHidden/>
    <w:qFormat/>
    <w:uiPriority w:val="99"/>
    <w:rPr>
      <w:kern w:val="2"/>
      <w:sz w:val="21"/>
      <w:szCs w:val="24"/>
      <w:lang w:val="en-US" w:eastAsia="zh-CN" w:bidi="ar-SA"/>
    </w:rPr>
  </w:style>
  <w:style w:type="paragraph" w:customStyle="1" w:styleId="261">
    <w:name w:val="Alt+L表内文字（左对齐）"/>
    <w:basedOn w:val="1"/>
    <w:qFormat/>
    <w:uiPriority w:val="0"/>
    <w:pPr>
      <w:spacing w:line="300" w:lineRule="auto"/>
    </w:pPr>
    <w:rPr>
      <w:rFonts w:cs="宋体"/>
      <w:szCs w:val="20"/>
    </w:rPr>
  </w:style>
  <w:style w:type="character" w:customStyle="1" w:styleId="262">
    <w:name w:val="15"/>
    <w:uiPriority w:val="0"/>
    <w:rPr>
      <w:rFonts w:hint="default" w:ascii="Times New Roman" w:hAnsi="Times New Roman" w:cs="Times New Roman"/>
      <w:color w:val="0000FF"/>
      <w:u w:val="single"/>
    </w:rPr>
  </w:style>
  <w:style w:type="paragraph" w:customStyle="1" w:styleId="263">
    <w:name w:val="列出段落3"/>
    <w:basedOn w:val="1"/>
    <w:uiPriority w:val="0"/>
    <w:pPr>
      <w:ind w:firstLine="420" w:firstLineChars="200"/>
    </w:pPr>
    <w:rPr>
      <w:szCs w:val="21"/>
    </w:rPr>
  </w:style>
  <w:style w:type="paragraph" w:customStyle="1" w:styleId="264">
    <w:name w:val="标准正文样式"/>
    <w:basedOn w:val="1"/>
    <w:link w:val="265"/>
    <w:qFormat/>
    <w:uiPriority w:val="0"/>
    <w:pPr>
      <w:widowControl/>
      <w:spacing w:line="360" w:lineRule="auto"/>
      <w:ind w:firstLine="200" w:firstLineChars="200"/>
    </w:pPr>
    <w:rPr>
      <w:rFonts w:ascii="Calibri" w:hAnsi="Calibri"/>
      <w:snapToGrid w:val="0"/>
      <w:sz w:val="24"/>
      <w:szCs w:val="22"/>
    </w:rPr>
  </w:style>
  <w:style w:type="character" w:customStyle="1" w:styleId="265">
    <w:name w:val="标准正文样式 Char"/>
    <w:link w:val="264"/>
    <w:uiPriority w:val="0"/>
    <w:rPr>
      <w:rFonts w:ascii="Calibri" w:hAnsi="Calibri" w:eastAsia="宋体" w:cs="Times New Roman"/>
      <w:snapToGrid w:val="0"/>
      <w:kern w:val="2"/>
      <w:sz w:val="24"/>
      <w:szCs w:val="22"/>
    </w:rPr>
  </w:style>
  <w:style w:type="character" w:customStyle="1" w:styleId="266">
    <w:name w:val="正文文本 3 Char"/>
    <w:link w:val="18"/>
    <w:qFormat/>
    <w:uiPriority w:val="0"/>
    <w:rPr>
      <w:rFonts w:ascii="Calibri" w:hAnsi="Calibri" w:cs="Times New Roman"/>
      <w:kern w:val="2"/>
      <w:sz w:val="18"/>
      <w:szCs w:val="22"/>
    </w:rPr>
  </w:style>
  <w:style w:type="paragraph" w:customStyle="1" w:styleId="267">
    <w:name w:val="TOC 标题2"/>
    <w:basedOn w:val="2"/>
    <w:next w:val="1"/>
    <w:unhideWhenUsed/>
    <w:qFormat/>
    <w:uiPriority w:val="39"/>
    <w:pPr>
      <w:widowControl/>
      <w:numPr>
        <w:ilvl w:val="0"/>
        <w:numId w:val="0"/>
      </w:numPr>
      <w:spacing w:before="240" w:after="0" w:line="259" w:lineRule="auto"/>
      <w:jc w:val="left"/>
      <w:outlineLvl w:val="9"/>
    </w:pPr>
    <w:rPr>
      <w:rFonts w:ascii="Cambria" w:hAnsi="Cambria" w:eastAsia="宋体" w:cs="Times New Roman"/>
      <w:snapToGrid w:val="0"/>
      <w:color w:val="365F91"/>
      <w:kern w:val="0"/>
      <w:sz w:val="32"/>
      <w:szCs w:val="32"/>
    </w:rPr>
  </w:style>
  <w:style w:type="paragraph" w:customStyle="1" w:styleId="268">
    <w:name w:val="样式1"/>
    <w:basedOn w:val="1"/>
    <w:link w:val="269"/>
    <w:qFormat/>
    <w:uiPriority w:val="0"/>
    <w:pPr>
      <w:pBdr>
        <w:top w:val="dashSmallGap" w:color="auto" w:sz="4" w:space="1"/>
        <w:left w:val="dashSmallGap" w:color="auto" w:sz="4" w:space="4"/>
        <w:bottom w:val="dashSmallGap" w:color="auto" w:sz="4" w:space="1"/>
        <w:right w:val="dashSmallGap" w:color="auto" w:sz="4" w:space="4"/>
      </w:pBdr>
      <w:shd w:val="clear" w:color="auto" w:fill="DBE5F1"/>
      <w:spacing w:line="360" w:lineRule="auto"/>
      <w:ind w:firstLine="200" w:firstLineChars="200"/>
    </w:pPr>
    <w:rPr>
      <w:rFonts w:ascii="Calibri" w:hAnsi="Calibri"/>
      <w:b/>
      <w:szCs w:val="22"/>
    </w:rPr>
  </w:style>
  <w:style w:type="character" w:customStyle="1" w:styleId="269">
    <w:name w:val="样式1 Char"/>
    <w:link w:val="268"/>
    <w:qFormat/>
    <w:uiPriority w:val="0"/>
    <w:rPr>
      <w:rFonts w:ascii="Calibri" w:hAnsi="Calibri" w:cs="Times New Roman"/>
      <w:b/>
      <w:kern w:val="2"/>
      <w:sz w:val="21"/>
      <w:szCs w:val="22"/>
      <w:shd w:val="clear" w:color="auto" w:fill="DBE5F1"/>
    </w:rPr>
  </w:style>
  <w:style w:type="character" w:customStyle="1" w:styleId="270">
    <w:name w:val="apple-converted-space"/>
    <w:qFormat/>
    <w:uiPriority w:val="0"/>
  </w:style>
  <w:style w:type="paragraph" w:customStyle="1" w:styleId="271">
    <w:name w:val="Tabletext"/>
    <w:basedOn w:val="1"/>
    <w:qFormat/>
    <w:uiPriority w:val="0"/>
    <w:pPr>
      <w:keepLines/>
      <w:spacing w:afterLines="50" w:line="360" w:lineRule="auto"/>
      <w:ind w:firstLine="425" w:firstLineChars="200"/>
      <w:jc w:val="left"/>
    </w:pPr>
    <w:rPr>
      <w:rFonts w:ascii="宋体" w:hAnsi="Calibri" w:cs="Times New Roman"/>
      <w:snapToGrid w:val="0"/>
      <w:kern w:val="0"/>
      <w:szCs w:val="20"/>
    </w:rPr>
  </w:style>
  <w:style w:type="character" w:customStyle="1" w:styleId="272">
    <w:name w:val="无间隔 字符"/>
    <w:link w:val="232"/>
    <w:qFormat/>
    <w:uiPriority w:val="1"/>
    <w:rPr>
      <w:rFonts w:ascii="Calibri" w:hAnsi="Calibri" w:cs="黑体"/>
      <w:kern w:val="2"/>
      <w:sz w:val="24"/>
      <w:szCs w:val="22"/>
      <w:lang w:val="en-US" w:eastAsia="zh-CN" w:bidi="ar-SA"/>
    </w:rPr>
  </w:style>
  <w:style w:type="character" w:customStyle="1" w:styleId="273">
    <w:name w:val="未处理的提及1"/>
    <w:unhideWhenUsed/>
    <w:qFormat/>
    <w:uiPriority w:val="99"/>
    <w:rPr>
      <w:color w:val="808080"/>
      <w:shd w:val="clear" w:color="auto" w:fill="E6E6E6"/>
    </w:rPr>
  </w:style>
  <w:style w:type="paragraph" w:customStyle="1" w:styleId="274">
    <w:name w:val="msonormal"/>
    <w:basedOn w:val="1"/>
    <w:qFormat/>
    <w:uiPriority w:val="0"/>
    <w:pPr>
      <w:widowControl/>
      <w:spacing w:before="100" w:beforeAutospacing="1" w:after="100" w:afterAutospacing="1" w:line="360" w:lineRule="auto"/>
      <w:ind w:firstLine="200" w:firstLineChars="200"/>
      <w:jc w:val="left"/>
    </w:pPr>
    <w:rPr>
      <w:rFonts w:ascii="宋体" w:hAnsi="宋体" w:cs="宋体"/>
      <w:kern w:val="0"/>
      <w:sz w:val="24"/>
      <w:szCs w:val="22"/>
    </w:rPr>
  </w:style>
  <w:style w:type="paragraph" w:customStyle="1" w:styleId="275">
    <w:name w:val="font35"/>
    <w:basedOn w:val="1"/>
    <w:qFormat/>
    <w:uiPriority w:val="0"/>
    <w:pPr>
      <w:widowControl/>
      <w:spacing w:before="100" w:beforeAutospacing="1" w:after="100" w:afterAutospacing="1" w:line="360" w:lineRule="auto"/>
      <w:ind w:firstLine="200" w:firstLineChars="200"/>
      <w:jc w:val="left"/>
    </w:pPr>
    <w:rPr>
      <w:rFonts w:ascii="宋体" w:hAnsi="宋体" w:cs="宋体"/>
      <w:color w:val="000000"/>
      <w:kern w:val="0"/>
      <w:sz w:val="16"/>
      <w:szCs w:val="16"/>
    </w:rPr>
  </w:style>
  <w:style w:type="paragraph" w:customStyle="1" w:styleId="276">
    <w:name w:val="font36"/>
    <w:basedOn w:val="1"/>
    <w:qFormat/>
    <w:uiPriority w:val="0"/>
    <w:pPr>
      <w:widowControl/>
      <w:spacing w:before="100" w:beforeAutospacing="1" w:after="100" w:afterAutospacing="1" w:line="360" w:lineRule="auto"/>
      <w:ind w:firstLine="200" w:firstLineChars="200"/>
      <w:jc w:val="left"/>
    </w:pPr>
    <w:rPr>
      <w:rFonts w:ascii="宋体" w:hAnsi="宋体" w:cs="宋体"/>
      <w:color w:val="000000"/>
      <w:kern w:val="0"/>
      <w:sz w:val="16"/>
      <w:szCs w:val="16"/>
    </w:rPr>
  </w:style>
  <w:style w:type="paragraph" w:customStyle="1" w:styleId="27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color w:val="000000"/>
      <w:kern w:val="0"/>
      <w:sz w:val="16"/>
      <w:szCs w:val="16"/>
    </w:rPr>
  </w:style>
  <w:style w:type="paragraph" w:customStyle="1" w:styleId="278">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color w:val="000000"/>
      <w:kern w:val="0"/>
      <w:sz w:val="16"/>
      <w:szCs w:val="16"/>
    </w:rPr>
  </w:style>
  <w:style w:type="paragraph" w:customStyle="1" w:styleId="279">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24"/>
      <w:szCs w:val="22"/>
    </w:rPr>
  </w:style>
  <w:style w:type="paragraph" w:customStyle="1" w:styleId="280">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color w:val="000000"/>
      <w:kern w:val="0"/>
      <w:sz w:val="16"/>
      <w:szCs w:val="16"/>
    </w:rPr>
  </w:style>
  <w:style w:type="paragraph" w:customStyle="1" w:styleId="28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16"/>
      <w:szCs w:val="16"/>
    </w:rPr>
  </w:style>
  <w:style w:type="paragraph" w:customStyle="1" w:styleId="28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color w:val="000000"/>
      <w:kern w:val="0"/>
      <w:sz w:val="16"/>
      <w:szCs w:val="16"/>
    </w:rPr>
  </w:style>
  <w:style w:type="paragraph" w:customStyle="1" w:styleId="28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color w:val="000000"/>
      <w:kern w:val="0"/>
      <w:sz w:val="16"/>
      <w:szCs w:val="16"/>
    </w:rPr>
  </w:style>
  <w:style w:type="paragraph" w:customStyle="1" w:styleId="284">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color w:val="000000"/>
      <w:kern w:val="0"/>
      <w:sz w:val="16"/>
      <w:szCs w:val="16"/>
    </w:rPr>
  </w:style>
  <w:style w:type="paragraph" w:customStyle="1" w:styleId="28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24"/>
      <w:szCs w:val="22"/>
    </w:rPr>
  </w:style>
  <w:style w:type="paragraph" w:customStyle="1" w:styleId="28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color w:val="000000"/>
      <w:kern w:val="0"/>
      <w:sz w:val="16"/>
      <w:szCs w:val="16"/>
    </w:rPr>
  </w:style>
  <w:style w:type="paragraph" w:customStyle="1" w:styleId="287">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color w:val="000000"/>
      <w:kern w:val="0"/>
      <w:sz w:val="16"/>
      <w:szCs w:val="16"/>
    </w:rPr>
  </w:style>
  <w:style w:type="paragraph" w:customStyle="1" w:styleId="28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24"/>
      <w:szCs w:val="22"/>
    </w:rPr>
  </w:style>
  <w:style w:type="paragraph" w:customStyle="1" w:styleId="28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16"/>
      <w:szCs w:val="16"/>
    </w:rPr>
  </w:style>
  <w:style w:type="paragraph" w:customStyle="1" w:styleId="29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color w:val="000000"/>
      <w:kern w:val="0"/>
      <w:sz w:val="16"/>
      <w:szCs w:val="16"/>
    </w:rPr>
  </w:style>
  <w:style w:type="paragraph" w:customStyle="1" w:styleId="29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color w:val="0563C1"/>
      <w:kern w:val="0"/>
      <w:sz w:val="16"/>
      <w:szCs w:val="16"/>
      <w:u w:val="single"/>
    </w:rPr>
  </w:style>
  <w:style w:type="paragraph" w:customStyle="1" w:styleId="292">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color w:val="000000"/>
      <w:kern w:val="0"/>
      <w:sz w:val="16"/>
      <w:szCs w:val="16"/>
    </w:rPr>
  </w:style>
  <w:style w:type="paragraph" w:customStyle="1" w:styleId="293">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16"/>
      <w:szCs w:val="16"/>
    </w:rPr>
  </w:style>
  <w:style w:type="character" w:customStyle="1" w:styleId="294">
    <w:name w:val="font361"/>
    <w:qFormat/>
    <w:uiPriority w:val="0"/>
    <w:rPr>
      <w:rFonts w:hint="eastAsia" w:ascii="宋体" w:hAnsi="宋体" w:eastAsia="宋体"/>
      <w:color w:val="000000"/>
      <w:sz w:val="16"/>
      <w:szCs w:val="16"/>
      <w:u w:val="none"/>
    </w:rPr>
  </w:style>
  <w:style w:type="character" w:customStyle="1" w:styleId="295">
    <w:name w:val="font351"/>
    <w:qFormat/>
    <w:uiPriority w:val="0"/>
    <w:rPr>
      <w:rFonts w:hint="eastAsia" w:ascii="宋体" w:hAnsi="宋体" w:eastAsia="宋体"/>
      <w:color w:val="000000"/>
      <w:sz w:val="16"/>
      <w:szCs w:val="16"/>
      <w:u w:val="none"/>
    </w:rPr>
  </w:style>
  <w:style w:type="paragraph" w:customStyle="1" w:styleId="296">
    <w:name w:val="TableNormal"/>
    <w:basedOn w:val="1"/>
    <w:qFormat/>
    <w:uiPriority w:val="0"/>
    <w:pPr>
      <w:widowControl/>
      <w:spacing w:before="40" w:after="40" w:line="264" w:lineRule="auto"/>
      <w:ind w:firstLine="200" w:firstLineChars="200"/>
      <w:jc w:val="left"/>
    </w:pPr>
    <w:rPr>
      <w:rFonts w:ascii="Arial" w:hAnsi="Arial" w:cs="Times New Roman"/>
      <w:kern w:val="0"/>
      <w:szCs w:val="20"/>
      <w:lang w:eastAsia="en-US"/>
    </w:rPr>
  </w:style>
  <w:style w:type="character" w:customStyle="1" w:styleId="297">
    <w:name w:val="未处理的提及2"/>
    <w:semiHidden/>
    <w:unhideWhenUsed/>
    <w:qFormat/>
    <w:uiPriority w:val="99"/>
    <w:rPr>
      <w:color w:val="808080"/>
      <w:shd w:val="clear" w:color="auto" w:fill="E6E6E6"/>
    </w:rPr>
  </w:style>
  <w:style w:type="table" w:customStyle="1" w:styleId="298">
    <w:name w:val="网格型浅色1"/>
    <w:basedOn w:val="48"/>
    <w:qFormat/>
    <w:uiPriority w:val="40"/>
    <w:tblPr>
      <w:tblStyle w:val="48"/>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rPr>
      <w:wBefore w:w="0" w:type="dxa"/>
    </w:trPr>
  </w:style>
  <w:style w:type="table" w:customStyle="1" w:styleId="299">
    <w:name w:val="无格式表格 11"/>
    <w:basedOn w:val="48"/>
    <w:qFormat/>
    <w:uiPriority w:val="41"/>
    <w:tblPr>
      <w:tblStyle w:val="48"/>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rPr>
      <w:wBefore w:w="0" w:type="dxa"/>
    </w:trPr>
    <w:tblStylePr w:type="firstRow">
      <w:rPr>
        <w:b/>
        <w:bCs/>
      </w:rPr>
    </w:tblStylePr>
    <w:tblStylePr w:type="lastRow">
      <w:rPr>
        <w:b/>
        <w:bCs/>
      </w:rPr>
      <w:tblPr>
        <w:tblStyle w:val="48"/>
      </w:tblPr>
      <w:tcPr>
        <w:tcBorders>
          <w:top w:val="double" w:color="BFBFBF" w:sz="4" w:space="0"/>
        </w:tcBorders>
      </w:tcPr>
    </w:tblStylePr>
    <w:tblStylePr w:type="firstCol">
      <w:rPr>
        <w:b/>
        <w:bCs/>
      </w:rPr>
    </w:tblStylePr>
    <w:tblStylePr w:type="lastCol">
      <w:rPr>
        <w:b/>
        <w:bCs/>
      </w:rPr>
    </w:tblStylePr>
    <w:tblStylePr w:type="band1Vert">
      <w:tblPr>
        <w:tblStyle w:val="48"/>
      </w:tblPr>
      <w:tcPr>
        <w:shd w:val="clear" w:color="auto" w:fill="F2F2F2"/>
      </w:tcPr>
    </w:tblStylePr>
    <w:tblStylePr w:type="band1Horz">
      <w:tblPr>
        <w:tblStyle w:val="48"/>
      </w:tblPr>
      <w:tcPr>
        <w:shd w:val="clear" w:color="auto" w:fill="F2F2F2"/>
      </w:tcPr>
    </w:tblStylePr>
  </w:style>
  <w:style w:type="table" w:customStyle="1" w:styleId="300">
    <w:name w:val="无格式表格 31"/>
    <w:basedOn w:val="48"/>
    <w:qFormat/>
    <w:uiPriority w:val="43"/>
    <w:tblPr>
      <w:tblStyle w:val="48"/>
    </w:tblPr>
    <w:trPr>
      <w:wBefore w:w="0" w:type="dxa"/>
    </w:trPr>
    <w:tblStylePr w:type="firstRow">
      <w:rPr>
        <w:b/>
        <w:bCs/>
        <w:caps/>
      </w:rPr>
      <w:tblPr>
        <w:tblStyle w:val="48"/>
      </w:tblPr>
      <w:tcPr>
        <w:tcBorders>
          <w:left w:val="single" w:color="7F7F7F" w:sz="4" w:space="0"/>
        </w:tcBorders>
      </w:tcPr>
    </w:tblStylePr>
    <w:tblStylePr w:type="lastRow">
      <w:rPr>
        <w:b/>
        <w:bCs/>
        <w:caps/>
      </w:rPr>
      <w:tblPr>
        <w:tblStyle w:val="48"/>
      </w:tblPr>
      <w:tcPr>
        <w:tcBorders>
          <w:top w:val="nil"/>
        </w:tcBorders>
      </w:tcPr>
    </w:tblStylePr>
    <w:tblStylePr w:type="firstCol">
      <w:rPr>
        <w:b/>
        <w:bCs/>
        <w:caps/>
      </w:rPr>
      <w:tblPr>
        <w:tblStyle w:val="48"/>
      </w:tblPr>
      <w:tcPr>
        <w:tcBorders>
          <w:right w:val="single" w:color="7F7F7F" w:sz="4" w:space="0"/>
        </w:tcBorders>
      </w:tcPr>
    </w:tblStylePr>
    <w:tblStylePr w:type="lastCol">
      <w:rPr>
        <w:b/>
        <w:bCs/>
        <w:caps/>
      </w:rPr>
      <w:tblPr>
        <w:tblStyle w:val="48"/>
      </w:tblPr>
      <w:tcPr>
        <w:tcBorders>
          <w:bottom w:val="nil"/>
        </w:tcBorders>
      </w:tcPr>
    </w:tblStylePr>
    <w:tblStylePr w:type="band1Vert">
      <w:tblPr>
        <w:tblStyle w:val="48"/>
      </w:tblPr>
      <w:tcPr>
        <w:shd w:val="clear" w:color="auto" w:fill="F2F2F2"/>
      </w:tcPr>
    </w:tblStylePr>
    <w:tblStylePr w:type="band1Horz">
      <w:tblPr>
        <w:tblStyle w:val="48"/>
      </w:tblPr>
      <w:tcPr>
        <w:shd w:val="clear" w:color="auto" w:fill="F2F2F2"/>
      </w:tcPr>
    </w:tblStylePr>
    <w:tblStylePr w:type="neCell">
      <w:tblPr>
        <w:tblStyle w:val="48"/>
      </w:tblPr>
      <w:tcPr>
        <w:tcBorders>
          <w:bottom w:val="nil"/>
        </w:tcBorders>
      </w:tcPr>
    </w:tblStylePr>
    <w:tblStylePr w:type="nwCell">
      <w:tblPr>
        <w:tblStyle w:val="48"/>
      </w:tblPr>
      <w:tcPr>
        <w:tcBorders>
          <w:right w:val="nil"/>
        </w:tcBorders>
      </w:tcPr>
    </w:tblStylePr>
  </w:style>
  <w:style w:type="table" w:customStyle="1" w:styleId="301">
    <w:name w:val="无格式表格 41"/>
    <w:basedOn w:val="48"/>
    <w:qFormat/>
    <w:uiPriority w:val="44"/>
    <w:tblPr>
      <w:tblStyle w:val="48"/>
    </w:tblPr>
    <w:trPr>
      <w:wBefore w:w="0" w:type="dxa"/>
    </w:trPr>
    <w:tblStylePr w:type="firstRow">
      <w:rPr>
        <w:b/>
        <w:bCs/>
      </w:rPr>
    </w:tblStylePr>
    <w:tblStylePr w:type="lastRow">
      <w:rPr>
        <w:b/>
        <w:bCs/>
      </w:rPr>
    </w:tblStylePr>
    <w:tblStylePr w:type="firstCol">
      <w:rPr>
        <w:b/>
        <w:bCs/>
      </w:rPr>
    </w:tblStylePr>
    <w:tblStylePr w:type="lastCol">
      <w:rPr>
        <w:b/>
        <w:bCs/>
      </w:rPr>
    </w:tblStylePr>
    <w:tblStylePr w:type="band1Vert">
      <w:tblPr>
        <w:tblStyle w:val="48"/>
      </w:tblPr>
      <w:tcPr>
        <w:shd w:val="clear" w:color="auto" w:fill="F2F2F2"/>
      </w:tcPr>
    </w:tblStylePr>
    <w:tblStylePr w:type="band1Horz">
      <w:tblPr>
        <w:tblStyle w:val="48"/>
      </w:tblPr>
      <w:tcPr>
        <w:shd w:val="clear" w:color="auto" w:fill="F2F2F2"/>
      </w:tcPr>
    </w:tblStylePr>
  </w:style>
  <w:style w:type="table" w:customStyle="1" w:styleId="302">
    <w:name w:val="网格表 1 浅色1"/>
    <w:basedOn w:val="48"/>
    <w:qFormat/>
    <w:uiPriority w:val="46"/>
    <w:tblPr>
      <w:tblStyle w:val="48"/>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rPr>
      <w:wBefore w:w="0" w:type="dxa"/>
    </w:trPr>
    <w:tblStylePr w:type="firstRow">
      <w:rPr>
        <w:b/>
        <w:bCs/>
      </w:rPr>
      <w:tblPr>
        <w:tblStyle w:val="48"/>
      </w:tblPr>
      <w:tcPr>
        <w:tcBorders>
          <w:left w:val="single" w:color="666666" w:sz="12" w:space="0"/>
        </w:tcBorders>
      </w:tcPr>
    </w:tblStylePr>
    <w:tblStylePr w:type="lastRow">
      <w:rPr>
        <w:b/>
        <w:bCs/>
      </w:rPr>
      <w:tblPr>
        <w:tblStyle w:val="48"/>
      </w:tblPr>
      <w:tcPr>
        <w:tcBorders>
          <w:top w:val="double" w:color="666666" w:sz="2" w:space="0"/>
        </w:tcBorders>
      </w:tcPr>
    </w:tblStylePr>
    <w:tblStylePr w:type="firstCol">
      <w:rPr>
        <w:b/>
        <w:bCs/>
      </w:rPr>
    </w:tblStylePr>
    <w:tblStylePr w:type="lastCol">
      <w:rPr>
        <w:b/>
        <w:bCs/>
      </w:rPr>
    </w:tblStylePr>
  </w:style>
  <w:style w:type="table" w:customStyle="1" w:styleId="303">
    <w:name w:val="网格表 6 彩色1"/>
    <w:basedOn w:val="48"/>
    <w:qFormat/>
    <w:uiPriority w:val="51"/>
    <w:rPr>
      <w:color w:val="000000"/>
    </w:rPr>
    <w:tblPr>
      <w:tblStyle w:val="48"/>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rPr>
      <w:wBefore w:w="0" w:type="dxa"/>
    </w:trPr>
    <w:tblStylePr w:type="firstRow">
      <w:rPr>
        <w:b/>
        <w:bCs/>
      </w:rPr>
      <w:tblPr>
        <w:tblStyle w:val="48"/>
      </w:tblPr>
      <w:tcPr>
        <w:tcBorders>
          <w:left w:val="single" w:color="666666" w:sz="12" w:space="0"/>
        </w:tcBorders>
      </w:tcPr>
    </w:tblStylePr>
    <w:tblStylePr w:type="lastRow">
      <w:rPr>
        <w:b/>
        <w:bCs/>
      </w:rPr>
      <w:tblPr>
        <w:tblStyle w:val="48"/>
      </w:tblPr>
      <w:tcPr>
        <w:tcBorders>
          <w:top w:val="double" w:color="666666" w:sz="4" w:space="0"/>
        </w:tcBorders>
      </w:tcPr>
    </w:tblStylePr>
    <w:tblStylePr w:type="firstCol">
      <w:rPr>
        <w:b/>
        <w:bCs/>
      </w:rPr>
    </w:tblStylePr>
    <w:tblStylePr w:type="lastCol">
      <w:rPr>
        <w:b/>
        <w:bCs/>
      </w:rPr>
    </w:tblStylePr>
    <w:tblStylePr w:type="band1Vert">
      <w:tblPr>
        <w:tblStyle w:val="48"/>
      </w:tblPr>
      <w:tcPr>
        <w:shd w:val="clear" w:color="auto" w:fill="CCCCCC"/>
      </w:tcPr>
    </w:tblStylePr>
    <w:tblStylePr w:type="band1Horz">
      <w:tblPr>
        <w:tblStyle w:val="48"/>
      </w:tblPr>
      <w:tcPr>
        <w:shd w:val="clear" w:color="auto" w:fill="CCCCCC"/>
      </w:tcPr>
    </w:tblStylePr>
  </w:style>
  <w:style w:type="table" w:customStyle="1" w:styleId="304">
    <w:name w:val="网格表 6 彩色 - 着色 31"/>
    <w:basedOn w:val="48"/>
    <w:qFormat/>
    <w:uiPriority w:val="51"/>
    <w:rPr>
      <w:color w:val="76923C"/>
    </w:rPr>
    <w:tblPr>
      <w:tblStyle w:val="48"/>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rPr>
      <w:wBefore w:w="0" w:type="dxa"/>
    </w:trPr>
    <w:tblStylePr w:type="firstRow">
      <w:rPr>
        <w:b/>
        <w:bCs/>
      </w:rPr>
      <w:tblPr>
        <w:tblStyle w:val="48"/>
      </w:tblPr>
      <w:tcPr>
        <w:tcBorders>
          <w:left w:val="single" w:color="C2D69B" w:sz="12" w:space="0"/>
        </w:tcBorders>
      </w:tcPr>
    </w:tblStylePr>
    <w:tblStylePr w:type="lastRow">
      <w:rPr>
        <w:b/>
        <w:bCs/>
      </w:rPr>
      <w:tblPr>
        <w:tblStyle w:val="48"/>
      </w:tblPr>
      <w:tcPr>
        <w:tcBorders>
          <w:top w:val="double" w:color="C2D69B" w:sz="4" w:space="0"/>
        </w:tcBorders>
      </w:tcPr>
    </w:tblStylePr>
    <w:tblStylePr w:type="firstCol">
      <w:rPr>
        <w:b/>
        <w:bCs/>
      </w:rPr>
    </w:tblStylePr>
    <w:tblStylePr w:type="lastCol">
      <w:rPr>
        <w:b/>
        <w:bCs/>
      </w:rPr>
    </w:tblStylePr>
    <w:tblStylePr w:type="band1Vert">
      <w:tblPr>
        <w:tblStyle w:val="48"/>
      </w:tblPr>
      <w:tcPr>
        <w:shd w:val="clear" w:color="auto" w:fill="EAF1DD"/>
      </w:tcPr>
    </w:tblStylePr>
    <w:tblStylePr w:type="band1Horz">
      <w:tblPr>
        <w:tblStyle w:val="48"/>
      </w:tblPr>
      <w:tcPr>
        <w:shd w:val="clear" w:color="auto" w:fill="EAF1DD"/>
      </w:tcPr>
    </w:tblStylePr>
  </w:style>
  <w:style w:type="table" w:customStyle="1" w:styleId="305">
    <w:name w:val="清单表 4 - 着色 31"/>
    <w:basedOn w:val="48"/>
    <w:qFormat/>
    <w:uiPriority w:val="49"/>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wBefore w:w="0" w:type="dxa"/>
    </w:trPr>
    <w:tblStylePr w:type="firstRow">
      <w:rPr>
        <w:b/>
        <w:bCs/>
        <w:color w:val="FFFFFF"/>
      </w:rPr>
      <w:tblPr>
        <w:tblStyle w:val="48"/>
      </w:tblPr>
      <w:tcPr>
        <w:tcBorders>
          <w:top w:val="single" w:color="9BBB59" w:sz="4" w:space="0"/>
          <w:left w:val="single" w:color="9BBB59" w:sz="4" w:space="0"/>
          <w:bottom w:val="single" w:color="9BBB59" w:sz="4" w:space="0"/>
          <w:right w:val="single" w:color="9BBB59" w:sz="4" w:space="0"/>
          <w:insideH w:val="nil"/>
        </w:tcBorders>
        <w:shd w:val="clear" w:color="auto" w:fill="9BBB59"/>
      </w:tcPr>
    </w:tblStylePr>
    <w:tblStylePr w:type="lastRow">
      <w:rPr>
        <w:b/>
        <w:bCs/>
      </w:rPr>
      <w:tblPr>
        <w:tblStyle w:val="48"/>
      </w:tblPr>
      <w:tcPr>
        <w:tcBorders>
          <w:top w:val="double" w:color="C2D69B" w:sz="4" w:space="0"/>
        </w:tcBorders>
      </w:tcPr>
    </w:tblStylePr>
    <w:tblStylePr w:type="firstCol">
      <w:rPr>
        <w:b/>
        <w:bCs/>
      </w:rPr>
    </w:tblStylePr>
    <w:tblStylePr w:type="lastCol">
      <w:rPr>
        <w:b/>
        <w:bCs/>
      </w:rPr>
    </w:tblStylePr>
    <w:tblStylePr w:type="band1Vert">
      <w:tblPr>
        <w:tblStyle w:val="48"/>
      </w:tblPr>
      <w:tcPr>
        <w:shd w:val="clear" w:color="auto" w:fill="EAF1DD"/>
      </w:tcPr>
    </w:tblStylePr>
    <w:tblStylePr w:type="band1Horz">
      <w:tblPr>
        <w:tblStyle w:val="48"/>
      </w:tblPr>
      <w:tcPr>
        <w:shd w:val="clear" w:color="auto" w:fill="EAF1DD"/>
      </w:tcPr>
    </w:tblStylePr>
  </w:style>
  <w:style w:type="table" w:customStyle="1" w:styleId="306">
    <w:name w:val="网格表 1 浅色 - 着色 11"/>
    <w:basedOn w:val="48"/>
    <w:qFormat/>
    <w:uiPriority w:val="46"/>
    <w:tblPr>
      <w:tblStyle w:val="48"/>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Pr>
    <w:trPr>
      <w:wBefore w:w="0" w:type="dxa"/>
    </w:trPr>
    <w:tblStylePr w:type="firstRow">
      <w:rPr>
        <w:b/>
        <w:bCs/>
      </w:rPr>
      <w:tblPr>
        <w:tblStyle w:val="48"/>
      </w:tblPr>
      <w:tcPr>
        <w:tcBorders>
          <w:left w:val="single" w:color="95B3D7" w:sz="12" w:space="0"/>
        </w:tcBorders>
      </w:tcPr>
    </w:tblStylePr>
    <w:tblStylePr w:type="lastRow">
      <w:rPr>
        <w:b/>
        <w:bCs/>
      </w:rPr>
      <w:tblPr>
        <w:tblStyle w:val="48"/>
      </w:tblPr>
      <w:tcPr>
        <w:tcBorders>
          <w:top w:val="double" w:color="95B3D7" w:sz="2" w:space="0"/>
        </w:tcBorders>
      </w:tcPr>
    </w:tblStylePr>
    <w:tblStylePr w:type="firstCol">
      <w:rPr>
        <w:b/>
        <w:bCs/>
      </w:rPr>
    </w:tblStylePr>
    <w:tblStylePr w:type="lastCol">
      <w:rPr>
        <w:b/>
        <w:bCs/>
      </w:rPr>
    </w:tblStylePr>
  </w:style>
  <w:style w:type="table" w:customStyle="1" w:styleId="307">
    <w:name w:val="网格表 4 - 着色 11"/>
    <w:basedOn w:val="48"/>
    <w:qFormat/>
    <w:uiPriority w:val="49"/>
    <w:tblPr>
      <w:tblStyle w:val="48"/>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rPr>
      <w:wBefore w:w="0" w:type="dxa"/>
    </w:trPr>
    <w:tblStylePr w:type="firstRow">
      <w:rPr>
        <w:b/>
        <w:bCs/>
        <w:color w:val="FFFFFF"/>
      </w:rPr>
      <w:tblPr>
        <w:tblStyle w:val="48"/>
      </w:tbl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blPr>
        <w:tblStyle w:val="48"/>
      </w:tblPr>
      <w:tcPr>
        <w:tcBorders>
          <w:top w:val="double" w:color="4F81BD" w:sz="4" w:space="0"/>
        </w:tcBorders>
      </w:tcPr>
    </w:tblStylePr>
    <w:tblStylePr w:type="firstCol">
      <w:rPr>
        <w:b/>
        <w:bCs/>
      </w:rPr>
    </w:tblStylePr>
    <w:tblStylePr w:type="lastCol">
      <w:rPr>
        <w:b/>
        <w:bCs/>
      </w:rPr>
    </w:tblStylePr>
    <w:tblStylePr w:type="band1Vert">
      <w:tblPr>
        <w:tblStyle w:val="48"/>
      </w:tblPr>
      <w:tcPr>
        <w:shd w:val="clear" w:color="auto" w:fill="DBE5F1"/>
      </w:tcPr>
    </w:tblStylePr>
    <w:tblStylePr w:type="band1Horz">
      <w:tblPr>
        <w:tblStyle w:val="48"/>
      </w:tblPr>
      <w:tcPr>
        <w:shd w:val="clear" w:color="auto" w:fill="DBE5F1"/>
      </w:tcPr>
    </w:tblStylePr>
  </w:style>
  <w:style w:type="table" w:customStyle="1" w:styleId="308">
    <w:name w:val="网格表 5 深色 - 着色 31"/>
    <w:basedOn w:val="48"/>
    <w:qFormat/>
    <w:uiPriority w:val="50"/>
    <w:tblPr>
      <w:tblStyle w:val="48"/>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rPr>
      <w:wBefore w:w="0" w:type="dxa"/>
    </w:trPr>
    <w:tcPr>
      <w:shd w:val="clear" w:color="auto" w:fill="EAF1DD"/>
    </w:tcPr>
    <w:tblStylePr w:type="firstRow">
      <w:rPr>
        <w:b/>
        <w:bCs/>
        <w:color w:val="FFFFFF"/>
      </w:rPr>
      <w:tblPr>
        <w:tblStyle w:val="48"/>
      </w:tblPr>
      <w:tcPr>
        <w:tcBorders>
          <w:top w:val="single" w:color="FFFFFF" w:sz="4" w:space="0"/>
          <w:bottom w:val="single" w:color="FFFFFF" w:sz="4" w:space="0"/>
          <w:right w:val="single" w:color="FFFFFF" w:sz="4" w:space="0"/>
          <w:insideH w:val="nil"/>
          <w:insideV w:val="nil"/>
        </w:tcBorders>
        <w:shd w:val="clear" w:color="auto" w:fill="9BBB59"/>
      </w:tcPr>
    </w:tblStylePr>
    <w:tblStylePr w:type="lastRow">
      <w:rPr>
        <w:b/>
        <w:bCs/>
        <w:color w:val="FFFFFF"/>
      </w:rPr>
      <w:tblPr>
        <w:tblStyle w:val="48"/>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blStyle w:val="48"/>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blStyle w:val="48"/>
      </w:tblPr>
      <w:tcPr>
        <w:tcBorders>
          <w:top w:val="single" w:color="FFFFFF" w:sz="4" w:space="0"/>
          <w:left w:val="single" w:color="FFFFFF" w:sz="4" w:space="0"/>
          <w:right w:val="single" w:color="FFFFFF" w:sz="4" w:space="0"/>
          <w:insideV w:val="nil"/>
        </w:tcBorders>
        <w:shd w:val="clear" w:color="auto" w:fill="9BBB59"/>
      </w:tcPr>
    </w:tblStylePr>
    <w:tblStylePr w:type="band1Vert">
      <w:tblPr>
        <w:tblStyle w:val="48"/>
      </w:tblPr>
      <w:tcPr>
        <w:shd w:val="clear" w:color="auto" w:fill="D6E3BC"/>
      </w:tcPr>
    </w:tblStylePr>
    <w:tblStylePr w:type="band1Horz">
      <w:tblPr>
        <w:tblStyle w:val="48"/>
      </w:tblPr>
      <w:tcPr>
        <w:shd w:val="clear" w:color="auto" w:fill="D6E3BC"/>
      </w:tcPr>
    </w:tblStylePr>
  </w:style>
  <w:style w:type="table" w:customStyle="1" w:styleId="309">
    <w:name w:val="网格表 4 - 着色 51"/>
    <w:basedOn w:val="48"/>
    <w:qFormat/>
    <w:uiPriority w:val="49"/>
    <w:tblPr>
      <w:tblStyle w:val="48"/>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rPr>
      <w:wBefore w:w="0" w:type="dxa"/>
    </w:trPr>
    <w:tblStylePr w:type="firstRow">
      <w:rPr>
        <w:b/>
        <w:bCs/>
        <w:color w:val="FFFFFF"/>
      </w:rPr>
      <w:tblPr>
        <w:tblStyle w:val="48"/>
      </w:tbl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blPr>
        <w:tblStyle w:val="48"/>
      </w:tblPr>
      <w:tcPr>
        <w:tcBorders>
          <w:top w:val="double" w:color="4BACC6" w:sz="4" w:space="0"/>
        </w:tcBorders>
      </w:tcPr>
    </w:tblStylePr>
    <w:tblStylePr w:type="firstCol">
      <w:rPr>
        <w:b/>
        <w:bCs/>
      </w:rPr>
    </w:tblStylePr>
    <w:tblStylePr w:type="lastCol">
      <w:rPr>
        <w:b/>
        <w:bCs/>
      </w:rPr>
    </w:tblStylePr>
    <w:tblStylePr w:type="band1Vert">
      <w:tblPr>
        <w:tblStyle w:val="48"/>
      </w:tblPr>
      <w:tcPr>
        <w:shd w:val="clear" w:color="auto" w:fill="DAEEF3"/>
      </w:tcPr>
    </w:tblStylePr>
    <w:tblStylePr w:type="band1Horz">
      <w:tblPr>
        <w:tblStyle w:val="48"/>
      </w:tblPr>
      <w:tcPr>
        <w:shd w:val="clear" w:color="auto" w:fill="DAEEF3"/>
      </w:tcPr>
    </w:tblStylePr>
  </w:style>
  <w:style w:type="table" w:customStyle="1" w:styleId="310">
    <w:name w:val="网格表 4 - 着色 31"/>
    <w:basedOn w:val="48"/>
    <w:qFormat/>
    <w:uiPriority w:val="49"/>
    <w:tblPr>
      <w:tblStyle w:val="48"/>
      <w:tblCellSpacing w:w="0"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rPr>
      <w:wBefore w:w="0" w:type="dxa"/>
      <w:tblCellSpacing w:w="0" w:type="dxa"/>
    </w:trPr>
    <w:tcPr>
      <w:shd w:val="clear" w:color="auto" w:fill="auto"/>
      <w:tcMar>
        <w:top w:w="0" w:type="dxa"/>
        <w:left w:w="108" w:type="dxa"/>
        <w:bottom w:w="0" w:type="dxa"/>
        <w:right w:w="108" w:type="dxa"/>
      </w:tcMar>
    </w:tcPr>
    <w:tblStylePr w:type="firstRow">
      <w:pPr>
        <w:jc w:val="center"/>
      </w:pPr>
      <w:rPr>
        <w:b/>
        <w:bCs/>
        <w:color w:val="FFFFFF"/>
      </w:rPr>
      <w:tblPr>
        <w:tblStyle w:val="48"/>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blStyle w:val="48"/>
      </w:tblPr>
      <w:tcPr>
        <w:tcBorders>
          <w:top w:val="double" w:color="9BBB59" w:sz="4" w:space="0"/>
          <w:left w:val="nil"/>
          <w:right w:val="nil"/>
        </w:tcBorders>
      </w:tcPr>
    </w:tblStylePr>
    <w:tblStylePr w:type="firstCol">
      <w:rPr>
        <w:b/>
        <w:bCs/>
      </w:rPr>
      <w:tblPr>
        <w:tblStyle w:val="48"/>
      </w:tblPr>
      <w:tcPr>
        <w:tcBorders>
          <w:top w:val="nil"/>
          <w:bottom w:val="nil"/>
        </w:tcBorders>
      </w:tcPr>
    </w:tblStylePr>
    <w:tblStylePr w:type="lastCol">
      <w:rPr>
        <w:b/>
        <w:bCs/>
      </w:rPr>
      <w:tblPr>
        <w:tblStyle w:val="48"/>
      </w:tblPr>
      <w:tcPr>
        <w:tcBorders>
          <w:top w:val="nil"/>
          <w:bottom w:val="nil"/>
        </w:tcBorders>
      </w:tcPr>
    </w:tblStylePr>
    <w:tblStylePr w:type="band1Vert">
      <w:tblPr>
        <w:tblStyle w:val="48"/>
      </w:tblPr>
      <w:tcPr>
        <w:tcBorders>
          <w:top w:val="nil"/>
          <w:bottom w:val="nil"/>
        </w:tcBorders>
        <w:shd w:val="clear" w:color="auto" w:fill="EAF1DD"/>
      </w:tcPr>
    </w:tblStylePr>
    <w:tblStylePr w:type="band2Vert">
      <w:tblPr>
        <w:tblStyle w:val="48"/>
      </w:tblPr>
      <w:tcPr>
        <w:tcBorders>
          <w:top w:val="nil"/>
          <w:bottom w:val="nil"/>
        </w:tcBorders>
      </w:tcPr>
    </w:tblStylePr>
    <w:tblStylePr w:type="band1Horz">
      <w:tblPr>
        <w:tblStyle w:val="48"/>
      </w:tblPr>
      <w:tcPr>
        <w:tcBorders>
          <w:left w:val="nil"/>
          <w:right w:val="nil"/>
        </w:tcBorders>
        <w:shd w:val="clear" w:color="auto" w:fill="EAF1DD"/>
      </w:tcPr>
    </w:tblStylePr>
    <w:tblStylePr w:type="band2Horz">
      <w:tblPr>
        <w:tblStyle w:val="48"/>
      </w:tblPr>
      <w:tcPr>
        <w:tcBorders>
          <w:left w:val="nil"/>
          <w:right w:val="nil"/>
        </w:tcBorders>
      </w:tcPr>
    </w:tblStylePr>
    <w:tblStylePr w:type="neCell">
      <w:tblPr>
        <w:tblStyle w:val="48"/>
      </w:tblPr>
      <w:tcPr>
        <w:tcBorders>
          <w:top w:val="nil"/>
          <w:bottom w:val="nil"/>
        </w:tcBorders>
      </w:tcPr>
    </w:tblStylePr>
    <w:tblStylePr w:type="nwCell">
      <w:tblPr>
        <w:tblStyle w:val="48"/>
      </w:tblPr>
      <w:tcPr>
        <w:tcBorders>
          <w:top w:val="nil"/>
          <w:bottom w:val="nil"/>
        </w:tcBorders>
      </w:tcPr>
    </w:tblStylePr>
    <w:tblStylePr w:type="seCell">
      <w:tblPr>
        <w:tblStyle w:val="48"/>
      </w:tblPr>
      <w:tcPr>
        <w:tcBorders>
          <w:top w:val="nil"/>
          <w:bottom w:val="nil"/>
        </w:tcBorders>
      </w:tcPr>
    </w:tblStylePr>
    <w:tblStylePr w:type="swCell">
      <w:tblPr>
        <w:tblStyle w:val="48"/>
      </w:tblPr>
      <w:tcPr>
        <w:tcBorders>
          <w:top w:val="nil"/>
          <w:bottom w:val="nil"/>
        </w:tcBorders>
      </w:tcPr>
    </w:tblStylePr>
  </w:style>
  <w:style w:type="table" w:customStyle="1" w:styleId="311">
    <w:name w:val="网格表 41"/>
    <w:basedOn w:val="48"/>
    <w:qFormat/>
    <w:uiPriority w:val="49"/>
    <w:tblPr>
      <w:tblStyle w:val="48"/>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rPr>
      <w:wBefore w:w="0" w:type="dxa"/>
    </w:trPr>
    <w:tblStylePr w:type="firstRow">
      <w:rPr>
        <w:b/>
        <w:bCs/>
        <w:color w:val="FFFFFF"/>
      </w:rPr>
      <w:tblPr>
        <w:tblStyle w:val="48"/>
      </w:tbl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blPr>
        <w:tblStyle w:val="48"/>
      </w:tblPr>
      <w:tcPr>
        <w:tcBorders>
          <w:top w:val="double" w:color="000000" w:sz="4" w:space="0"/>
        </w:tcBorders>
      </w:tcPr>
    </w:tblStylePr>
    <w:tblStylePr w:type="firstCol">
      <w:rPr>
        <w:b/>
        <w:bCs/>
      </w:rPr>
    </w:tblStylePr>
    <w:tblStylePr w:type="lastCol">
      <w:rPr>
        <w:b/>
        <w:bCs/>
      </w:rPr>
    </w:tblStylePr>
    <w:tblStylePr w:type="band1Vert">
      <w:tblPr>
        <w:tblStyle w:val="48"/>
      </w:tblPr>
      <w:tcPr>
        <w:shd w:val="clear" w:color="auto" w:fill="CCCCCC"/>
      </w:tcPr>
    </w:tblStylePr>
    <w:tblStylePr w:type="band1Horz">
      <w:tblPr>
        <w:tblStyle w:val="48"/>
      </w:tblPr>
      <w:tcPr>
        <w:shd w:val="clear" w:color="auto" w:fill="CCCCCC"/>
      </w:tcPr>
    </w:tblStylePr>
  </w:style>
  <w:style w:type="table" w:customStyle="1" w:styleId="312">
    <w:name w:val="网格表 6 彩色 - 着色 41"/>
    <w:basedOn w:val="48"/>
    <w:qFormat/>
    <w:uiPriority w:val="51"/>
    <w:rPr>
      <w:color w:val="5F497A"/>
    </w:rPr>
    <w:tblPr>
      <w:tblStyle w:val="48"/>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Pr>
    <w:trPr>
      <w:wBefore w:w="0" w:type="dxa"/>
    </w:trPr>
    <w:tblStylePr w:type="firstRow">
      <w:rPr>
        <w:b/>
        <w:bCs/>
      </w:rPr>
      <w:tblPr>
        <w:tblStyle w:val="48"/>
      </w:tblPr>
      <w:tcPr>
        <w:tcBorders>
          <w:left w:val="single" w:color="B2A1C7" w:sz="12" w:space="0"/>
        </w:tcBorders>
      </w:tcPr>
    </w:tblStylePr>
    <w:tblStylePr w:type="lastRow">
      <w:rPr>
        <w:b/>
        <w:bCs/>
      </w:rPr>
      <w:tblPr>
        <w:tblStyle w:val="48"/>
      </w:tblPr>
      <w:tcPr>
        <w:tcBorders>
          <w:top w:val="double" w:color="B2A1C7" w:sz="4" w:space="0"/>
        </w:tcBorders>
      </w:tcPr>
    </w:tblStylePr>
    <w:tblStylePr w:type="firstCol">
      <w:rPr>
        <w:b/>
        <w:bCs/>
      </w:rPr>
    </w:tblStylePr>
    <w:tblStylePr w:type="lastCol">
      <w:rPr>
        <w:b/>
        <w:bCs/>
      </w:rPr>
    </w:tblStylePr>
    <w:tblStylePr w:type="band1Vert">
      <w:tblPr>
        <w:tblStyle w:val="48"/>
      </w:tblPr>
      <w:tcPr>
        <w:shd w:val="clear" w:color="auto" w:fill="E5DFEC"/>
      </w:tcPr>
    </w:tblStylePr>
    <w:tblStylePr w:type="band1Horz">
      <w:tblPr>
        <w:tblStyle w:val="48"/>
      </w:tblPr>
      <w:tcPr>
        <w:shd w:val="clear" w:color="auto" w:fill="E5DFEC"/>
      </w:tcPr>
    </w:tblStylePr>
  </w:style>
  <w:style w:type="table" w:customStyle="1" w:styleId="313">
    <w:name w:val="网格表 6 彩色 - 着色 51"/>
    <w:basedOn w:val="48"/>
    <w:qFormat/>
    <w:uiPriority w:val="51"/>
    <w:rPr>
      <w:color w:val="31849B"/>
    </w:rPr>
    <w:tblPr>
      <w:tblStyle w:val="48"/>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rPr>
      <w:wBefore w:w="0" w:type="dxa"/>
    </w:trPr>
    <w:tblStylePr w:type="firstRow">
      <w:rPr>
        <w:b/>
        <w:bCs/>
      </w:rPr>
      <w:tblPr>
        <w:tblStyle w:val="48"/>
      </w:tblPr>
      <w:tcPr>
        <w:tcBorders>
          <w:left w:val="single" w:color="92CDDC" w:sz="12" w:space="0"/>
        </w:tcBorders>
      </w:tcPr>
    </w:tblStylePr>
    <w:tblStylePr w:type="lastRow">
      <w:rPr>
        <w:b/>
        <w:bCs/>
      </w:rPr>
      <w:tblPr>
        <w:tblStyle w:val="48"/>
      </w:tblPr>
      <w:tcPr>
        <w:tcBorders>
          <w:top w:val="double" w:color="92CDDC" w:sz="4" w:space="0"/>
        </w:tcBorders>
      </w:tcPr>
    </w:tblStylePr>
    <w:tblStylePr w:type="firstCol">
      <w:rPr>
        <w:b/>
        <w:bCs/>
      </w:rPr>
    </w:tblStylePr>
    <w:tblStylePr w:type="lastCol">
      <w:rPr>
        <w:b/>
        <w:bCs/>
      </w:rPr>
    </w:tblStylePr>
    <w:tblStylePr w:type="band1Vert">
      <w:tblPr>
        <w:tblStyle w:val="48"/>
      </w:tblPr>
      <w:tcPr>
        <w:shd w:val="clear" w:color="auto" w:fill="DAEEF3"/>
      </w:tcPr>
    </w:tblStylePr>
    <w:tblStylePr w:type="band1Horz">
      <w:tblPr>
        <w:tblStyle w:val="48"/>
      </w:tblPr>
      <w:tcPr>
        <w:shd w:val="clear" w:color="auto" w:fill="DAEEF3"/>
      </w:tcPr>
    </w:tblStylePr>
  </w:style>
  <w:style w:type="table" w:customStyle="1" w:styleId="314">
    <w:name w:val="网格表 7 彩色 - 着色 31"/>
    <w:basedOn w:val="48"/>
    <w:qFormat/>
    <w:uiPriority w:val="52"/>
    <w:rPr>
      <w:color w:val="76923C"/>
    </w:rPr>
    <w:tblPr>
      <w:tblStyle w:val="48"/>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rPr>
      <w:wBefore w:w="0" w:type="dxa"/>
    </w:trPr>
    <w:tblStylePr w:type="firstRow">
      <w:rPr>
        <w:b/>
        <w:bCs/>
      </w:rPr>
      <w:tblPr>
        <w:tblStyle w:val="48"/>
      </w:tblPr>
      <w:tcPr>
        <w:tcBorders>
          <w:top w:val="nil"/>
          <w:bottom w:val="nil"/>
          <w:right w:val="nil"/>
          <w:insideH w:val="nil"/>
          <w:insideV w:val="nil"/>
        </w:tcBorders>
        <w:shd w:val="clear" w:color="auto" w:fill="FFFFFF"/>
      </w:tcPr>
    </w:tblStylePr>
    <w:tblStylePr w:type="lastRow">
      <w:rPr>
        <w:b/>
        <w:bCs/>
      </w:rPr>
      <w:tblPr>
        <w:tblStyle w:val="48"/>
      </w:tblPr>
      <w:tcPr>
        <w:tcBorders>
          <w:left w:val="nil"/>
          <w:bottom w:val="nil"/>
          <w:right w:val="nil"/>
          <w:insideH w:val="nil"/>
          <w:insideV w:val="nil"/>
        </w:tcBorders>
        <w:shd w:val="clear" w:color="auto" w:fill="FFFFFF"/>
      </w:tcPr>
    </w:tblStylePr>
    <w:tblStylePr w:type="firstCol">
      <w:pPr>
        <w:jc w:val="right"/>
      </w:pPr>
      <w:rPr>
        <w:i/>
        <w:iCs/>
      </w:rPr>
      <w:tblPr>
        <w:tblStyle w:val="48"/>
      </w:tblPr>
      <w:tcPr>
        <w:tcBorders>
          <w:top w:val="nil"/>
          <w:left w:val="nil"/>
          <w:bottom w:val="nil"/>
          <w:insideH w:val="nil"/>
          <w:insideV w:val="nil"/>
        </w:tcBorders>
        <w:shd w:val="clear" w:color="auto" w:fill="FFFFFF"/>
      </w:tcPr>
    </w:tblStylePr>
    <w:tblStylePr w:type="lastCol">
      <w:rPr>
        <w:i/>
        <w:iCs/>
      </w:rPr>
      <w:tblPr>
        <w:tblStyle w:val="48"/>
      </w:tblPr>
      <w:tcPr>
        <w:tcBorders>
          <w:top w:val="nil"/>
          <w:left w:val="nil"/>
          <w:right w:val="nil"/>
          <w:insideH w:val="nil"/>
          <w:insideV w:val="nil"/>
        </w:tcBorders>
        <w:shd w:val="clear" w:color="auto" w:fill="FFFFFF"/>
      </w:tcPr>
    </w:tblStylePr>
    <w:tblStylePr w:type="band1Vert">
      <w:tblPr>
        <w:tblStyle w:val="48"/>
      </w:tblPr>
      <w:tcPr>
        <w:shd w:val="clear" w:color="auto" w:fill="EAF1DD"/>
      </w:tcPr>
    </w:tblStylePr>
    <w:tblStylePr w:type="band1Horz">
      <w:tblPr>
        <w:tblStyle w:val="48"/>
      </w:tblPr>
      <w:tcPr>
        <w:shd w:val="clear" w:color="auto" w:fill="EAF1DD"/>
      </w:tcPr>
    </w:tblStylePr>
    <w:tblStylePr w:type="neCell">
      <w:tblPr>
        <w:tblStyle w:val="48"/>
      </w:tblPr>
      <w:tcPr>
        <w:tcBorders>
          <w:left w:val="single" w:color="C2D69B" w:sz="4" w:space="0"/>
        </w:tcBorders>
      </w:tcPr>
    </w:tblStylePr>
    <w:tblStylePr w:type="nwCell">
      <w:tblPr>
        <w:tblStyle w:val="48"/>
      </w:tblPr>
      <w:tcPr>
        <w:tcBorders>
          <w:left w:val="single" w:color="C2D69B" w:sz="4" w:space="0"/>
        </w:tcBorders>
      </w:tcPr>
    </w:tblStylePr>
    <w:tblStylePr w:type="seCell">
      <w:tblPr>
        <w:tblStyle w:val="48"/>
      </w:tblPr>
      <w:tcPr>
        <w:tcBorders>
          <w:top w:val="single" w:color="C2D69B" w:sz="4" w:space="0"/>
        </w:tcBorders>
      </w:tcPr>
    </w:tblStylePr>
    <w:tblStylePr w:type="swCell">
      <w:tblPr>
        <w:tblStyle w:val="48"/>
      </w:tblPr>
      <w:tcPr>
        <w:tcBorders>
          <w:top w:val="single" w:color="C2D69B" w:sz="4" w:space="0"/>
        </w:tcBorders>
      </w:tcPr>
    </w:tblStylePr>
  </w:style>
  <w:style w:type="table" w:customStyle="1" w:styleId="315">
    <w:name w:val="网格表 7 彩色1"/>
    <w:basedOn w:val="48"/>
    <w:qFormat/>
    <w:uiPriority w:val="52"/>
    <w:rPr>
      <w:color w:val="000000"/>
    </w:rPr>
    <w:tblPr>
      <w:tblStyle w:val="48"/>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rPr>
      <w:wBefore w:w="0" w:type="dxa"/>
    </w:trPr>
    <w:tblStylePr w:type="firstRow">
      <w:rPr>
        <w:b/>
        <w:bCs/>
      </w:rPr>
      <w:tblPr>
        <w:tblStyle w:val="48"/>
      </w:tblPr>
      <w:tcPr>
        <w:tcBorders>
          <w:top w:val="nil"/>
          <w:bottom w:val="nil"/>
          <w:right w:val="nil"/>
          <w:insideH w:val="nil"/>
          <w:insideV w:val="nil"/>
        </w:tcBorders>
        <w:shd w:val="clear" w:color="auto" w:fill="FFFFFF"/>
      </w:tcPr>
    </w:tblStylePr>
    <w:tblStylePr w:type="lastRow">
      <w:rPr>
        <w:b/>
        <w:bCs/>
      </w:rPr>
      <w:tblPr>
        <w:tblStyle w:val="48"/>
      </w:tblPr>
      <w:tcPr>
        <w:tcBorders>
          <w:left w:val="nil"/>
          <w:bottom w:val="nil"/>
          <w:right w:val="nil"/>
          <w:insideH w:val="nil"/>
          <w:insideV w:val="nil"/>
        </w:tcBorders>
        <w:shd w:val="clear" w:color="auto" w:fill="FFFFFF"/>
      </w:tcPr>
    </w:tblStylePr>
    <w:tblStylePr w:type="firstCol">
      <w:pPr>
        <w:jc w:val="right"/>
      </w:pPr>
      <w:rPr>
        <w:i/>
        <w:iCs/>
      </w:rPr>
      <w:tblPr>
        <w:tblStyle w:val="48"/>
      </w:tblPr>
      <w:tcPr>
        <w:tcBorders>
          <w:top w:val="nil"/>
          <w:left w:val="nil"/>
          <w:bottom w:val="nil"/>
          <w:insideH w:val="nil"/>
          <w:insideV w:val="nil"/>
        </w:tcBorders>
        <w:shd w:val="clear" w:color="auto" w:fill="FFFFFF"/>
      </w:tcPr>
    </w:tblStylePr>
    <w:tblStylePr w:type="lastCol">
      <w:rPr>
        <w:i/>
        <w:iCs/>
      </w:rPr>
      <w:tblPr>
        <w:tblStyle w:val="48"/>
      </w:tblPr>
      <w:tcPr>
        <w:tcBorders>
          <w:top w:val="nil"/>
          <w:left w:val="nil"/>
          <w:right w:val="nil"/>
          <w:insideH w:val="nil"/>
          <w:insideV w:val="nil"/>
        </w:tcBorders>
        <w:shd w:val="clear" w:color="auto" w:fill="FFFFFF"/>
      </w:tcPr>
    </w:tblStylePr>
    <w:tblStylePr w:type="band1Vert">
      <w:tblPr>
        <w:tblStyle w:val="48"/>
      </w:tblPr>
      <w:tcPr>
        <w:shd w:val="clear" w:color="auto" w:fill="CCCCCC"/>
      </w:tcPr>
    </w:tblStylePr>
    <w:tblStylePr w:type="band1Horz">
      <w:tblPr>
        <w:tblStyle w:val="48"/>
      </w:tblPr>
      <w:tcPr>
        <w:shd w:val="clear" w:color="auto" w:fill="CCCCCC"/>
      </w:tcPr>
    </w:tblStylePr>
    <w:tblStylePr w:type="neCell">
      <w:tblPr>
        <w:tblStyle w:val="48"/>
      </w:tblPr>
      <w:tcPr>
        <w:tcBorders>
          <w:left w:val="single" w:color="666666" w:sz="4" w:space="0"/>
        </w:tcBorders>
      </w:tcPr>
    </w:tblStylePr>
    <w:tblStylePr w:type="nwCell">
      <w:tblPr>
        <w:tblStyle w:val="48"/>
      </w:tblPr>
      <w:tcPr>
        <w:tcBorders>
          <w:left w:val="single" w:color="666666" w:sz="4" w:space="0"/>
        </w:tcBorders>
      </w:tcPr>
    </w:tblStylePr>
    <w:tblStylePr w:type="seCell">
      <w:tblPr>
        <w:tblStyle w:val="48"/>
      </w:tblPr>
      <w:tcPr>
        <w:tcBorders>
          <w:top w:val="single" w:color="666666" w:sz="4" w:space="0"/>
        </w:tcBorders>
      </w:tcPr>
    </w:tblStylePr>
    <w:tblStylePr w:type="swCell">
      <w:tblPr>
        <w:tblStyle w:val="48"/>
      </w:tblPr>
      <w:tcPr>
        <w:tcBorders>
          <w:top w:val="single" w:color="666666" w:sz="4" w:space="0"/>
        </w:tcBorders>
      </w:tcPr>
    </w:tblStylePr>
  </w:style>
  <w:style w:type="table" w:customStyle="1" w:styleId="316">
    <w:name w:val="网格表 6 彩色 - 着色 61"/>
    <w:basedOn w:val="48"/>
    <w:qFormat/>
    <w:uiPriority w:val="51"/>
    <w:rPr>
      <w:color w:val="E36C0A"/>
    </w:rPr>
    <w:tblPr>
      <w:tblStyle w:val="48"/>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rPr>
      <w:wBefore w:w="0" w:type="dxa"/>
    </w:trPr>
    <w:tblStylePr w:type="firstRow">
      <w:rPr>
        <w:b/>
        <w:bCs/>
      </w:rPr>
      <w:tblPr>
        <w:tblStyle w:val="48"/>
      </w:tblPr>
      <w:tcPr>
        <w:tcBorders>
          <w:left w:val="single" w:color="FABF8F" w:sz="12" w:space="0"/>
        </w:tcBorders>
      </w:tcPr>
    </w:tblStylePr>
    <w:tblStylePr w:type="lastRow">
      <w:rPr>
        <w:b/>
        <w:bCs/>
      </w:rPr>
      <w:tblPr>
        <w:tblStyle w:val="48"/>
      </w:tblPr>
      <w:tcPr>
        <w:tcBorders>
          <w:top w:val="double" w:color="FABF8F" w:sz="4" w:space="0"/>
        </w:tcBorders>
      </w:tcPr>
    </w:tblStylePr>
    <w:tblStylePr w:type="firstCol">
      <w:rPr>
        <w:b/>
        <w:bCs/>
      </w:rPr>
    </w:tblStylePr>
    <w:tblStylePr w:type="lastCol">
      <w:rPr>
        <w:b/>
        <w:bCs/>
      </w:rPr>
    </w:tblStylePr>
    <w:tblStylePr w:type="band1Vert">
      <w:tblPr>
        <w:tblStyle w:val="48"/>
      </w:tblPr>
      <w:tcPr>
        <w:shd w:val="clear" w:color="auto" w:fill="FDE9D9"/>
      </w:tcPr>
    </w:tblStylePr>
    <w:tblStylePr w:type="band1Horz">
      <w:tblPr>
        <w:tblStyle w:val="48"/>
      </w:tblPr>
      <w:tcPr>
        <w:shd w:val="clear" w:color="auto" w:fill="FDE9D9"/>
      </w:tcPr>
    </w:tblStylePr>
  </w:style>
  <w:style w:type="table" w:customStyle="1" w:styleId="317">
    <w:name w:val="清单表 41"/>
    <w:basedOn w:val="48"/>
    <w:qFormat/>
    <w:uiPriority w:val="49"/>
    <w:tblPr>
      <w:tblStyle w:val="48"/>
      <w:tblBorders>
        <w:top w:val="single" w:color="666666" w:sz="4" w:space="0"/>
        <w:left w:val="single" w:color="666666" w:sz="4" w:space="0"/>
        <w:bottom w:val="single" w:color="666666" w:sz="4" w:space="0"/>
        <w:right w:val="single" w:color="666666" w:sz="4" w:space="0"/>
        <w:insideH w:val="single" w:color="666666" w:sz="4" w:space="0"/>
      </w:tblBorders>
    </w:tblPr>
    <w:trPr>
      <w:wBefore w:w="0" w:type="dxa"/>
    </w:trPr>
    <w:tblStylePr w:type="firstRow">
      <w:rPr>
        <w:b/>
        <w:bCs/>
        <w:color w:val="FFFFFF"/>
      </w:rPr>
      <w:tblPr>
        <w:tblStyle w:val="48"/>
      </w:tbl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blPr>
        <w:tblStyle w:val="48"/>
      </w:tblPr>
      <w:tcPr>
        <w:tcBorders>
          <w:top w:val="double" w:color="666666" w:sz="4" w:space="0"/>
        </w:tcBorders>
      </w:tcPr>
    </w:tblStylePr>
    <w:tblStylePr w:type="firstCol">
      <w:rPr>
        <w:b/>
        <w:bCs/>
      </w:rPr>
    </w:tblStylePr>
    <w:tblStylePr w:type="lastCol">
      <w:rPr>
        <w:b/>
        <w:bCs/>
      </w:rPr>
    </w:tblStylePr>
    <w:tblStylePr w:type="band1Vert">
      <w:tblPr>
        <w:tblStyle w:val="48"/>
      </w:tblPr>
      <w:tcPr>
        <w:shd w:val="clear" w:color="auto" w:fill="CCCCCC"/>
      </w:tcPr>
    </w:tblStylePr>
    <w:tblStylePr w:type="band1Horz">
      <w:tblPr>
        <w:tblStyle w:val="48"/>
      </w:tblPr>
      <w:tcPr>
        <w:shd w:val="clear" w:color="auto" w:fill="CCCCCC"/>
      </w:tcPr>
    </w:tblStylePr>
  </w:style>
  <w:style w:type="table" w:customStyle="1" w:styleId="318">
    <w:name w:val="清单表 3 - 着色 31"/>
    <w:basedOn w:val="48"/>
    <w:qFormat/>
    <w:uiPriority w:val="48"/>
    <w:tblPr>
      <w:tblStyle w:val="48"/>
      <w:tblBorders>
        <w:top w:val="single" w:color="9BBB59" w:sz="4" w:space="0"/>
        <w:left w:val="single" w:color="9BBB59" w:sz="4" w:space="0"/>
        <w:bottom w:val="single" w:color="9BBB59" w:sz="4" w:space="0"/>
        <w:right w:val="single" w:color="9BBB59" w:sz="4" w:space="0"/>
      </w:tblBorders>
    </w:tblPr>
    <w:trPr>
      <w:wBefore w:w="0" w:type="dxa"/>
    </w:trPr>
    <w:tblStylePr w:type="firstRow">
      <w:rPr>
        <w:b/>
        <w:bCs/>
        <w:color w:val="FFFFFF"/>
      </w:rPr>
      <w:tblPr>
        <w:tblStyle w:val="48"/>
      </w:tblPr>
      <w:tcPr>
        <w:shd w:val="clear" w:color="auto" w:fill="9BBB59"/>
      </w:tcPr>
    </w:tblStylePr>
    <w:tblStylePr w:type="lastRow">
      <w:rPr>
        <w:b/>
        <w:bCs/>
      </w:rPr>
      <w:tblPr>
        <w:tblStyle w:val="48"/>
      </w:tblPr>
      <w:tcPr>
        <w:tcBorders>
          <w:top w:val="double" w:color="9BBB59" w:sz="4" w:space="0"/>
        </w:tcBorders>
        <w:shd w:val="clear" w:color="auto" w:fill="FFFFFF"/>
      </w:tcPr>
    </w:tblStylePr>
    <w:tblStylePr w:type="firstCol">
      <w:rPr>
        <w:b/>
        <w:bCs/>
      </w:rPr>
      <w:tblPr>
        <w:tblStyle w:val="48"/>
      </w:tblPr>
      <w:tcPr>
        <w:tcBorders>
          <w:right w:val="nil"/>
        </w:tcBorders>
        <w:shd w:val="clear" w:color="auto" w:fill="FFFFFF"/>
      </w:tcPr>
    </w:tblStylePr>
    <w:tblStylePr w:type="lastCol">
      <w:rPr>
        <w:b/>
        <w:bCs/>
      </w:rPr>
      <w:tblPr>
        <w:tblStyle w:val="48"/>
      </w:tblPr>
      <w:tcPr>
        <w:tcBorders>
          <w:bottom w:val="nil"/>
        </w:tcBorders>
        <w:shd w:val="clear" w:color="auto" w:fill="FFFFFF"/>
      </w:tcPr>
    </w:tblStylePr>
    <w:tblStylePr w:type="band1Vert">
      <w:tblPr>
        <w:tblStyle w:val="48"/>
      </w:tblPr>
      <w:tcPr>
        <w:tcBorders>
          <w:bottom w:val="single" w:color="9BBB59" w:sz="4" w:space="0"/>
          <w:right w:val="single" w:color="9BBB59" w:sz="4" w:space="0"/>
        </w:tcBorders>
      </w:tcPr>
    </w:tblStylePr>
    <w:tblStylePr w:type="band1Horz">
      <w:tblPr>
        <w:tblStyle w:val="48"/>
      </w:tblPr>
      <w:tcPr>
        <w:tcBorders>
          <w:top w:val="single" w:color="9BBB59" w:sz="4" w:space="0"/>
          <w:left w:val="single" w:color="9BBB59" w:sz="4" w:space="0"/>
          <w:insideH w:val="nil"/>
        </w:tcBorders>
      </w:tcPr>
    </w:tblStylePr>
    <w:tblStylePr w:type="neCell">
      <w:tblPr>
        <w:tblStyle w:val="48"/>
      </w:tblPr>
      <w:tcPr>
        <w:tcBorders>
          <w:left w:val="nil"/>
          <w:bottom w:val="nil"/>
        </w:tcBorders>
      </w:tcPr>
    </w:tblStylePr>
    <w:tblStylePr w:type="nwCell">
      <w:tblPr>
        <w:tblStyle w:val="48"/>
      </w:tblPr>
      <w:tcPr>
        <w:tcBorders>
          <w:left w:val="nil"/>
          <w:right w:val="nil"/>
        </w:tcBorders>
      </w:tcPr>
    </w:tblStylePr>
    <w:tblStylePr w:type="seCell">
      <w:tblPr>
        <w:tblStyle w:val="48"/>
      </w:tblPr>
      <w:tcPr>
        <w:tcBorders>
          <w:top w:val="double" w:color="9BBB59" w:sz="4" w:space="0"/>
          <w:bottom w:val="nil"/>
        </w:tcBorders>
      </w:tcPr>
    </w:tblStylePr>
    <w:tblStylePr w:type="swCell">
      <w:tblPr>
        <w:tblStyle w:val="48"/>
      </w:tblPr>
      <w:tcPr>
        <w:tcBorders>
          <w:top w:val="double" w:color="9BBB59" w:sz="4" w:space="0"/>
          <w:right w:val="nil"/>
        </w:tcBorders>
      </w:tcPr>
    </w:tblStylePr>
  </w:style>
  <w:style w:type="table" w:customStyle="1" w:styleId="319">
    <w:name w:val="清单表 31"/>
    <w:basedOn w:val="48"/>
    <w:qFormat/>
    <w:uiPriority w:val="48"/>
    <w:tblPr>
      <w:tblStyle w:val="48"/>
      <w:tblBorders>
        <w:top w:val="single" w:color="000000" w:sz="4" w:space="0"/>
        <w:left w:val="single" w:color="000000" w:sz="4" w:space="0"/>
        <w:bottom w:val="single" w:color="000000" w:sz="4" w:space="0"/>
        <w:right w:val="single" w:color="000000" w:sz="4" w:space="0"/>
      </w:tblBorders>
    </w:tblPr>
    <w:trPr>
      <w:wBefore w:w="0" w:type="dxa"/>
    </w:trPr>
    <w:tblStylePr w:type="firstRow">
      <w:rPr>
        <w:b/>
        <w:bCs/>
        <w:color w:val="FFFFFF"/>
      </w:rPr>
      <w:tblPr>
        <w:tblStyle w:val="48"/>
      </w:tblPr>
      <w:tcPr>
        <w:shd w:val="clear" w:color="auto" w:fill="000000"/>
      </w:tcPr>
    </w:tblStylePr>
    <w:tblStylePr w:type="lastRow">
      <w:rPr>
        <w:b/>
        <w:bCs/>
      </w:rPr>
      <w:tblPr>
        <w:tblStyle w:val="48"/>
      </w:tblPr>
      <w:tcPr>
        <w:tcBorders>
          <w:top w:val="double" w:color="000000" w:sz="4" w:space="0"/>
        </w:tcBorders>
        <w:shd w:val="clear" w:color="auto" w:fill="FFFFFF"/>
      </w:tcPr>
    </w:tblStylePr>
    <w:tblStylePr w:type="firstCol">
      <w:rPr>
        <w:b/>
        <w:bCs/>
      </w:rPr>
      <w:tblPr>
        <w:tblStyle w:val="48"/>
      </w:tblPr>
      <w:tcPr>
        <w:tcBorders>
          <w:right w:val="nil"/>
        </w:tcBorders>
        <w:shd w:val="clear" w:color="auto" w:fill="FFFFFF"/>
      </w:tcPr>
    </w:tblStylePr>
    <w:tblStylePr w:type="lastCol">
      <w:rPr>
        <w:b/>
        <w:bCs/>
      </w:rPr>
      <w:tblPr>
        <w:tblStyle w:val="48"/>
      </w:tblPr>
      <w:tcPr>
        <w:tcBorders>
          <w:bottom w:val="nil"/>
        </w:tcBorders>
        <w:shd w:val="clear" w:color="auto" w:fill="FFFFFF"/>
      </w:tcPr>
    </w:tblStylePr>
    <w:tblStylePr w:type="band1Vert">
      <w:tblPr>
        <w:tblStyle w:val="48"/>
      </w:tblPr>
      <w:tcPr>
        <w:tcBorders>
          <w:bottom w:val="single" w:color="000000" w:sz="4" w:space="0"/>
          <w:right w:val="single" w:color="000000" w:sz="4" w:space="0"/>
        </w:tcBorders>
      </w:tcPr>
    </w:tblStylePr>
    <w:tblStylePr w:type="band1Horz">
      <w:tblPr>
        <w:tblStyle w:val="48"/>
      </w:tblPr>
      <w:tcPr>
        <w:tcBorders>
          <w:top w:val="single" w:color="000000" w:sz="4" w:space="0"/>
          <w:left w:val="single" w:color="000000" w:sz="4" w:space="0"/>
          <w:insideH w:val="nil"/>
        </w:tcBorders>
      </w:tcPr>
    </w:tblStylePr>
    <w:tblStylePr w:type="neCell">
      <w:tblPr>
        <w:tblStyle w:val="48"/>
      </w:tblPr>
      <w:tcPr>
        <w:tcBorders>
          <w:left w:val="nil"/>
          <w:bottom w:val="nil"/>
        </w:tcBorders>
      </w:tcPr>
    </w:tblStylePr>
    <w:tblStylePr w:type="nwCell">
      <w:tblPr>
        <w:tblStyle w:val="48"/>
      </w:tblPr>
      <w:tcPr>
        <w:tcBorders>
          <w:left w:val="nil"/>
          <w:right w:val="nil"/>
        </w:tcBorders>
      </w:tcPr>
    </w:tblStylePr>
    <w:tblStylePr w:type="seCell">
      <w:tblPr>
        <w:tblStyle w:val="48"/>
      </w:tblPr>
      <w:tcPr>
        <w:tcBorders>
          <w:top w:val="double" w:color="000000" w:sz="4" w:space="0"/>
          <w:bottom w:val="nil"/>
        </w:tcBorders>
      </w:tcPr>
    </w:tblStylePr>
    <w:tblStylePr w:type="swCell">
      <w:tblPr>
        <w:tblStyle w:val="48"/>
      </w:tblPr>
      <w:tcPr>
        <w:tcBorders>
          <w:top w:val="double" w:color="000000" w:sz="4" w:space="0"/>
          <w:right w:val="nil"/>
        </w:tcBorders>
      </w:tcPr>
    </w:tblStylePr>
  </w:style>
  <w:style w:type="table" w:customStyle="1" w:styleId="320">
    <w:name w:val="清单表 1 浅色 - 着色 41"/>
    <w:basedOn w:val="48"/>
    <w:qFormat/>
    <w:uiPriority w:val="46"/>
    <w:tblPr>
      <w:tblStyle w:val="48"/>
    </w:tblPr>
    <w:trPr>
      <w:wBefore w:w="0" w:type="dxa"/>
    </w:trPr>
    <w:tblStylePr w:type="firstRow">
      <w:rPr>
        <w:b/>
        <w:bCs/>
      </w:rPr>
      <w:tblPr>
        <w:tblStyle w:val="48"/>
      </w:tblPr>
      <w:tcPr>
        <w:tcBorders>
          <w:left w:val="single" w:color="B2A1C7" w:sz="4" w:space="0"/>
        </w:tcBorders>
      </w:tcPr>
    </w:tblStylePr>
    <w:tblStylePr w:type="lastRow">
      <w:rPr>
        <w:b/>
        <w:bCs/>
      </w:rPr>
      <w:tblPr>
        <w:tblStyle w:val="48"/>
      </w:tblPr>
      <w:tcPr>
        <w:tcBorders>
          <w:top w:val="single" w:color="B2A1C7" w:sz="4" w:space="0"/>
        </w:tcBorders>
      </w:tcPr>
    </w:tblStylePr>
    <w:tblStylePr w:type="firstCol">
      <w:rPr>
        <w:b/>
        <w:bCs/>
      </w:rPr>
    </w:tblStylePr>
    <w:tblStylePr w:type="lastCol">
      <w:rPr>
        <w:b/>
        <w:bCs/>
      </w:rPr>
    </w:tblStylePr>
    <w:tblStylePr w:type="band1Vert">
      <w:tblPr>
        <w:tblStyle w:val="48"/>
      </w:tblPr>
      <w:tcPr>
        <w:shd w:val="clear" w:color="auto" w:fill="E5DFEC"/>
      </w:tcPr>
    </w:tblStylePr>
    <w:tblStylePr w:type="band1Horz">
      <w:tblPr>
        <w:tblStyle w:val="48"/>
      </w:tblPr>
      <w:tcPr>
        <w:shd w:val="clear" w:color="auto" w:fill="E5DFEC"/>
      </w:tcPr>
    </w:tblStylePr>
  </w:style>
  <w:style w:type="table" w:customStyle="1" w:styleId="321">
    <w:name w:val="清单表 1 浅色 - 着色 31"/>
    <w:basedOn w:val="48"/>
    <w:qFormat/>
    <w:uiPriority w:val="46"/>
    <w:tblPr>
      <w:tblStyle w:val="48"/>
    </w:tblPr>
    <w:trPr>
      <w:wBefore w:w="0" w:type="dxa"/>
    </w:trPr>
    <w:tblStylePr w:type="firstRow">
      <w:rPr>
        <w:b/>
        <w:bCs/>
      </w:rPr>
      <w:tblPr>
        <w:tblStyle w:val="48"/>
      </w:tblPr>
      <w:tcPr>
        <w:tcBorders>
          <w:left w:val="single" w:color="C2D69B" w:sz="4" w:space="0"/>
        </w:tcBorders>
      </w:tcPr>
    </w:tblStylePr>
    <w:tblStylePr w:type="lastRow">
      <w:rPr>
        <w:b/>
        <w:bCs/>
      </w:rPr>
      <w:tblPr>
        <w:tblStyle w:val="48"/>
      </w:tblPr>
      <w:tcPr>
        <w:tcBorders>
          <w:top w:val="single" w:color="C2D69B" w:sz="4" w:space="0"/>
        </w:tcBorders>
      </w:tcPr>
    </w:tblStylePr>
    <w:tblStylePr w:type="firstCol">
      <w:rPr>
        <w:b/>
        <w:bCs/>
      </w:rPr>
    </w:tblStylePr>
    <w:tblStylePr w:type="lastCol">
      <w:rPr>
        <w:b/>
        <w:bCs/>
      </w:rPr>
    </w:tblStylePr>
    <w:tblStylePr w:type="band1Vert">
      <w:tblPr>
        <w:tblStyle w:val="48"/>
      </w:tblPr>
      <w:tcPr>
        <w:shd w:val="clear" w:color="auto" w:fill="EAF1DD"/>
      </w:tcPr>
    </w:tblStylePr>
    <w:tblStylePr w:type="band1Horz">
      <w:tblPr>
        <w:tblStyle w:val="48"/>
      </w:tblPr>
      <w:tcPr>
        <w:shd w:val="clear" w:color="auto" w:fill="EAF1DD"/>
      </w:tcPr>
    </w:tblStylePr>
  </w:style>
  <w:style w:type="table" w:customStyle="1" w:styleId="322">
    <w:name w:val="清单表 21"/>
    <w:basedOn w:val="48"/>
    <w:qFormat/>
    <w:uiPriority w:val="47"/>
    <w:tblPr>
      <w:tblStyle w:val="48"/>
      <w:tblBorders>
        <w:top w:val="single" w:color="666666" w:sz="4" w:space="0"/>
        <w:bottom w:val="single" w:color="666666" w:sz="4" w:space="0"/>
        <w:insideH w:val="single" w:color="666666" w:sz="4" w:space="0"/>
      </w:tblBorders>
    </w:tblPr>
    <w:trPr>
      <w:wBefore w:w="0" w:type="dxa"/>
    </w:trPr>
    <w:tblStylePr w:type="firstRow">
      <w:rPr>
        <w:b/>
        <w:bCs/>
      </w:rPr>
    </w:tblStylePr>
    <w:tblStylePr w:type="lastRow">
      <w:rPr>
        <w:b/>
        <w:bCs/>
      </w:rPr>
    </w:tblStylePr>
    <w:tblStylePr w:type="firstCol">
      <w:rPr>
        <w:b/>
        <w:bCs/>
      </w:rPr>
    </w:tblStylePr>
    <w:tblStylePr w:type="lastCol">
      <w:rPr>
        <w:b/>
        <w:bCs/>
      </w:rPr>
    </w:tblStylePr>
    <w:tblStylePr w:type="band1Vert">
      <w:tblPr>
        <w:tblStyle w:val="48"/>
      </w:tblPr>
      <w:tcPr>
        <w:shd w:val="clear" w:color="auto" w:fill="CCCCCC"/>
      </w:tcPr>
    </w:tblStylePr>
    <w:tblStylePr w:type="band1Horz">
      <w:tblPr>
        <w:tblStyle w:val="48"/>
      </w:tblPr>
      <w:tcPr>
        <w:shd w:val="clear" w:color="auto" w:fill="CCCCCC"/>
      </w:tcPr>
    </w:tblStylePr>
  </w:style>
  <w:style w:type="character" w:customStyle="1" w:styleId="323">
    <w:name w:val="未处理的提及3"/>
    <w:semiHidden/>
    <w:unhideWhenUsed/>
    <w:qFormat/>
    <w:uiPriority w:val="99"/>
    <w:rPr>
      <w:color w:val="808080"/>
      <w:shd w:val="clear" w:color="auto" w:fill="E6E6E6"/>
    </w:rPr>
  </w:style>
  <w:style w:type="paragraph" w:customStyle="1" w:styleId="324">
    <w:name w:val="xl6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等线" w:hAnsi="等线" w:eastAsia="等线" w:cs="宋体"/>
      <w:kern w:val="0"/>
      <w:sz w:val="16"/>
      <w:szCs w:val="16"/>
    </w:rPr>
  </w:style>
  <w:style w:type="paragraph" w:customStyle="1" w:styleId="325">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等线" w:hAnsi="等线" w:eastAsia="等线" w:cs="宋体"/>
      <w:kern w:val="0"/>
      <w:sz w:val="16"/>
      <w:szCs w:val="16"/>
    </w:rPr>
  </w:style>
  <w:style w:type="paragraph" w:customStyle="1" w:styleId="326">
    <w:name w:val="xl6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等线" w:hAnsi="等线" w:eastAsia="等线" w:cs="宋体"/>
      <w:b/>
      <w:bCs/>
      <w:kern w:val="0"/>
      <w:sz w:val="16"/>
      <w:szCs w:val="16"/>
    </w:rPr>
  </w:style>
  <w:style w:type="paragraph" w:customStyle="1" w:styleId="327">
    <w:name w:val="xl67"/>
    <w:basedOn w:val="1"/>
    <w:qFormat/>
    <w:uiPriority w:val="0"/>
    <w:pPr>
      <w:widowControl/>
      <w:pBdr>
        <w:top w:val="single" w:color="auto" w:sz="8" w:space="0"/>
        <w:bottom w:val="single" w:color="auto" w:sz="8" w:space="0"/>
      </w:pBdr>
      <w:spacing w:before="100" w:beforeAutospacing="1" w:after="100" w:afterAutospacing="1"/>
      <w:jc w:val="center"/>
    </w:pPr>
    <w:rPr>
      <w:rFonts w:ascii="等线" w:hAnsi="等线" w:eastAsia="等线" w:cs="宋体"/>
      <w:b/>
      <w:bCs/>
      <w:kern w:val="0"/>
      <w:sz w:val="16"/>
      <w:szCs w:val="16"/>
    </w:rPr>
  </w:style>
  <w:style w:type="paragraph" w:customStyle="1" w:styleId="328">
    <w:name w:val="xl68"/>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29">
    <w:name w:val="xl6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等线" w:hAnsi="等线" w:eastAsia="等线" w:cs="宋体"/>
      <w:kern w:val="0"/>
      <w:sz w:val="16"/>
      <w:szCs w:val="16"/>
    </w:rPr>
  </w:style>
  <w:style w:type="paragraph" w:customStyle="1" w:styleId="330">
    <w:name w:val="xl70"/>
    <w:basedOn w:val="1"/>
    <w:qFormat/>
    <w:uiPriority w:val="0"/>
    <w:pPr>
      <w:widowControl/>
      <w:spacing w:before="100" w:beforeAutospacing="1" w:after="100" w:afterAutospacing="1"/>
      <w:jc w:val="center"/>
    </w:pPr>
    <w:rPr>
      <w:rFonts w:ascii="宋体" w:hAnsi="宋体" w:cs="宋体"/>
      <w:kern w:val="0"/>
      <w:sz w:val="16"/>
      <w:szCs w:val="16"/>
    </w:rPr>
  </w:style>
  <w:style w:type="paragraph" w:customStyle="1" w:styleId="331">
    <w:name w:val="xl63"/>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32">
    <w:name w:val="xl71"/>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33">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等线" w:hAnsi="等线" w:eastAsia="等线" w:cs="宋体"/>
      <w:kern w:val="0"/>
      <w:sz w:val="16"/>
      <w:szCs w:val="16"/>
    </w:rPr>
  </w:style>
  <w:style w:type="paragraph" w:customStyle="1" w:styleId="334">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kern w:val="0"/>
      <w:sz w:val="16"/>
      <w:szCs w:val="16"/>
    </w:rPr>
  </w:style>
  <w:style w:type="paragraph" w:customStyle="1" w:styleId="335">
    <w:name w:val="xl74"/>
    <w:basedOn w:val="1"/>
    <w:qFormat/>
    <w:uiPriority w:val="0"/>
    <w:pPr>
      <w:widowControl/>
      <w:pBdr>
        <w:left w:val="single" w:color="auto" w:sz="4" w:space="0"/>
        <w:right w:val="single" w:color="auto" w:sz="4" w:space="0"/>
      </w:pBdr>
      <w:spacing w:before="100" w:beforeAutospacing="1" w:after="100" w:afterAutospacing="1"/>
      <w:jc w:val="left"/>
    </w:pPr>
    <w:rPr>
      <w:rFonts w:ascii="等线" w:hAnsi="等线" w:eastAsia="等线" w:cs="宋体"/>
      <w:kern w:val="0"/>
      <w:sz w:val="16"/>
      <w:szCs w:val="16"/>
    </w:rPr>
  </w:style>
  <w:style w:type="paragraph" w:customStyle="1" w:styleId="336">
    <w:name w:val="居中"/>
    <w:basedOn w:val="1"/>
    <w:qFormat/>
    <w:uiPriority w:val="0"/>
    <w:pPr>
      <w:spacing w:line="360" w:lineRule="auto"/>
      <w:ind w:firstLine="200" w:firstLineChars="200"/>
      <w:jc w:val="center"/>
    </w:pPr>
    <w:rPr>
      <w:rFonts w:ascii="Calibri" w:hAnsi="Calibri"/>
      <w:sz w:val="24"/>
      <w:szCs w:val="22"/>
    </w:rPr>
  </w:style>
  <w:style w:type="paragraph" w:customStyle="1" w:styleId="337">
    <w:name w:val="TOC 标题3"/>
    <w:basedOn w:val="2"/>
    <w:next w:val="1"/>
    <w:semiHidden/>
    <w:unhideWhenUsed/>
    <w:qFormat/>
    <w:uiPriority w:val="39"/>
    <w:pPr>
      <w:widowControl/>
      <w:numPr>
        <w:ilvl w:val="0"/>
        <w:numId w:val="0"/>
      </w:numPr>
      <w:spacing w:before="480" w:after="0" w:line="276" w:lineRule="auto"/>
      <w:jc w:val="left"/>
      <w:outlineLvl w:val="9"/>
    </w:pPr>
    <w:rPr>
      <w:rFonts w:ascii="Cambria" w:hAnsi="Cambria" w:eastAsia="宋体" w:cs="Times New Roman"/>
      <w:bCs/>
      <w:snapToGrid w:val="0"/>
      <w:color w:val="365F91"/>
      <w:kern w:val="0"/>
      <w:sz w:val="28"/>
      <w:szCs w:val="28"/>
    </w:rPr>
  </w:style>
  <w:style w:type="paragraph" w:customStyle="1" w:styleId="338">
    <w:name w:val="WPSOffice手动目录 1"/>
    <w:qFormat/>
    <w:uiPriority w:val="0"/>
    <w:rPr>
      <w:lang w:val="en-US" w:eastAsia="zh-CN" w:bidi="ar-SA"/>
    </w:rPr>
  </w:style>
  <w:style w:type="paragraph" w:customStyle="1" w:styleId="339">
    <w:name w:val="WPSOffice手动目录 2"/>
    <w:qFormat/>
    <w:uiPriority w:val="0"/>
    <w:pPr>
      <w:ind w:left="200" w:leftChars="200"/>
    </w:pPr>
    <w:rPr>
      <w:lang w:val="en-US" w:eastAsia="zh-CN" w:bidi="ar-SA"/>
    </w:rPr>
  </w:style>
  <w:style w:type="paragraph" w:customStyle="1" w:styleId="340">
    <w:name w:val="WPSOffice手动目录 3"/>
    <w:qFormat/>
    <w:uiPriority w:val="0"/>
    <w:pPr>
      <w:ind w:left="400" w:leftChars="400"/>
    </w:pPr>
    <w:rPr>
      <w:lang w:val="en-US" w:eastAsia="zh-CN" w:bidi="ar-SA"/>
    </w:rPr>
  </w:style>
  <w:style w:type="paragraph" w:customStyle="1" w:styleId="341">
    <w:name w:val="TOC 标题4"/>
    <w:basedOn w:val="2"/>
    <w:next w:val="1"/>
    <w:unhideWhenUsed/>
    <w:qFormat/>
    <w:uiPriority w:val="39"/>
    <w:pPr>
      <w:widowControl/>
      <w:numPr>
        <w:ilvl w:val="0"/>
        <w:numId w:val="0"/>
      </w:numPr>
      <w:spacing w:before="240" w:after="0" w:line="259" w:lineRule="auto"/>
      <w:jc w:val="left"/>
      <w:outlineLvl w:val="9"/>
    </w:pPr>
    <w:rPr>
      <w:rFonts w:ascii="Cambria" w:hAnsi="Cambria" w:eastAsia="宋体" w:cs="Times New Roman"/>
      <w:b w:val="0"/>
      <w:snapToGrid w:val="0"/>
      <w:color w:val="365F91"/>
      <w:kern w:val="0"/>
      <w:sz w:val="32"/>
      <w:szCs w:val="32"/>
    </w:rPr>
  </w:style>
  <w:style w:type="character" w:customStyle="1" w:styleId="342">
    <w:name w:val="font11"/>
    <w:qFormat/>
    <w:uiPriority w:val="0"/>
    <w:rPr>
      <w:rFonts w:hint="default" w:ascii="Times New Roman" w:hAnsi="Times New Roman" w:cs="Times New Roman"/>
      <w:color w:val="000000"/>
      <w:sz w:val="18"/>
      <w:szCs w:val="18"/>
      <w:u w:val="none"/>
    </w:rPr>
  </w:style>
  <w:style w:type="character" w:customStyle="1" w:styleId="343">
    <w:name w:val="font01"/>
    <w:qFormat/>
    <w:uiPriority w:val="0"/>
    <w:rPr>
      <w:rFonts w:hint="eastAsia" w:ascii="宋体" w:hAnsi="宋体" w:eastAsia="宋体" w:cs="宋体"/>
      <w:color w:val="000000"/>
      <w:sz w:val="18"/>
      <w:szCs w:val="18"/>
      <w:u w:val="none"/>
    </w:rPr>
  </w:style>
  <w:style w:type="character" w:customStyle="1" w:styleId="344">
    <w:name w:val="font31"/>
    <w:qFormat/>
    <w:uiPriority w:val="0"/>
    <w:rPr>
      <w:rFonts w:hint="default" w:ascii="Times New Roman" w:hAnsi="Times New Roman" w:cs="Times New Roman"/>
      <w:color w:val="000000"/>
      <w:sz w:val="20"/>
      <w:szCs w:val="20"/>
      <w:u w:val="none"/>
    </w:rPr>
  </w:style>
  <w:style w:type="character" w:customStyle="1" w:styleId="345">
    <w:name w:val="font21"/>
    <w:qFormat/>
    <w:uiPriority w:val="0"/>
    <w:rPr>
      <w:rFonts w:hint="eastAsia" w:ascii="宋体" w:hAnsi="宋体" w:eastAsia="宋体" w:cs="宋体"/>
      <w:color w:val="000000"/>
      <w:sz w:val="20"/>
      <w:szCs w:val="20"/>
      <w:u w:val="none"/>
    </w:rPr>
  </w:style>
  <w:style w:type="paragraph" w:customStyle="1" w:styleId="346">
    <w:name w:val="TOC 标题5"/>
    <w:basedOn w:val="2"/>
    <w:next w:val="1"/>
    <w:unhideWhenUsed/>
    <w:qFormat/>
    <w:uiPriority w:val="39"/>
    <w:pPr>
      <w:widowControl/>
      <w:numPr>
        <w:ilvl w:val="0"/>
        <w:numId w:val="0"/>
      </w:numPr>
      <w:spacing w:before="240" w:after="0" w:line="259" w:lineRule="auto"/>
      <w:jc w:val="left"/>
      <w:outlineLvl w:val="9"/>
    </w:pPr>
    <w:rPr>
      <w:rFonts w:ascii="Cambria" w:hAnsi="Cambria" w:eastAsia="宋体" w:cs="Times New Roman"/>
      <w:b w:val="0"/>
      <w:snapToGrid w:val="0"/>
      <w:color w:val="365F91"/>
      <w:kern w:val="0"/>
      <w:sz w:val="32"/>
      <w:szCs w:val="3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4.png" Type="http://schemas.openxmlformats.org/officeDocument/2006/relationships/image"/><Relationship Id="rId11" Target="media/image5.png" Type="http://schemas.openxmlformats.org/officeDocument/2006/relationships/image"/><Relationship Id="rId12" Target="media/image6.png" Type="http://schemas.openxmlformats.org/officeDocument/2006/relationships/image"/><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media/image1.png" Type="http://schemas.openxmlformats.org/officeDocument/2006/relationships/image"/><Relationship Id="rId8" Target="media/image2.png" Type="http://schemas.openxmlformats.org/officeDocument/2006/relationships/image"/><Relationship Id="rId9" Target="media/image3.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98</Pages>
  <Words>11408</Words>
  <Characters>65026</Characters>
  <Lines>541</Lines>
  <Paragraphs>152</Paragraphs>
  <TotalTime>0</TotalTime>
  <ScaleCrop>false</ScaleCrop>
  <LinksUpToDate>false</LinksUpToDate>
  <CharactersWithSpaces>76282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2020-10-14T02:05:00Z</dcterms:created>
  <dc:creator>USER</dc:creator>
  <cp:lastModifiedBy>＞眺望未来-</cp:lastModifiedBy>
  <cp:lastPrinted>2020-04-16T07:08:00Z</cp:lastPrinted>
  <dcterms:modified xsi:type="dcterms:W3CDTF">2024-01-31T01:41:02Z</dcterms:modified>
  <cp:revision>2</cp:revision>
  <dc:title>绍兴文理学院计算机机房设备及录播系统供货项目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CC08EBCC087C4E91ABE9AC4F1D08ED1D_13</vt:lpwstr>
  </property>
</Properties>
</file>