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left"/>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lang w:eastAsia="zh-CN"/>
        </w:rPr>
        <w:t>浙江省嘉兴支队乌镇消防救援大队2023年度伙食集中配送采购项目</w:t>
      </w:r>
      <w:r>
        <w:rPr>
          <w:rFonts w:hint="eastAsia" w:ascii="宋体" w:hAnsi="宋体"/>
          <w:b/>
          <w:bCs/>
          <w:sz w:val="36"/>
          <w:szCs w:val="36"/>
        </w:rPr>
        <w:t xml:space="preserve"> </w:t>
      </w:r>
    </w:p>
    <w:p>
      <w:pPr>
        <w:spacing w:line="360" w:lineRule="auto"/>
        <w:jc w:val="center"/>
        <w:rPr>
          <w:rFonts w:ascii="宋体" w:hAnsi="宋体"/>
          <w:sz w:val="36"/>
          <w:szCs w:val="36"/>
        </w:rPr>
      </w:pPr>
    </w:p>
    <w:p>
      <w:pPr>
        <w:pStyle w:val="58"/>
        <w:spacing w:line="360" w:lineRule="auto"/>
      </w:pPr>
    </w:p>
    <w:p>
      <w:pPr>
        <w:spacing w:line="360" w:lineRule="auto"/>
        <w:jc w:val="center"/>
        <w:rPr>
          <w:rFonts w:ascii="宋体" w:hAnsi="宋体"/>
          <w:b/>
          <w:sz w:val="52"/>
          <w:szCs w:val="52"/>
        </w:rPr>
      </w:pPr>
      <w:r>
        <w:rPr>
          <w:rFonts w:hint="eastAsia" w:ascii="宋体" w:hAnsi="宋体"/>
          <w:b/>
          <w:sz w:val="52"/>
          <w:szCs w:val="52"/>
        </w:rPr>
        <w:t>公</w:t>
      </w:r>
    </w:p>
    <w:p>
      <w:pPr>
        <w:spacing w:line="360" w:lineRule="auto"/>
        <w:jc w:val="center"/>
        <w:rPr>
          <w:rFonts w:ascii="宋体" w:hAnsi="宋体"/>
          <w:b/>
          <w:sz w:val="52"/>
          <w:szCs w:val="52"/>
        </w:rPr>
      </w:pPr>
      <w:r>
        <w:rPr>
          <w:rFonts w:hint="eastAsia" w:ascii="宋体" w:hAnsi="宋体"/>
          <w:b/>
          <w:sz w:val="52"/>
          <w:szCs w:val="52"/>
        </w:rPr>
        <w:t>开</w:t>
      </w:r>
    </w:p>
    <w:p>
      <w:pPr>
        <w:spacing w:line="360" w:lineRule="auto"/>
        <w:jc w:val="center"/>
        <w:rPr>
          <w:rFonts w:ascii="宋体" w:hAnsi="宋体"/>
          <w:b/>
          <w:sz w:val="52"/>
          <w:szCs w:val="52"/>
        </w:rPr>
      </w:pPr>
      <w:r>
        <w:rPr>
          <w:rFonts w:hint="eastAsia" w:ascii="宋体" w:hAnsi="宋体"/>
          <w:b/>
          <w:sz w:val="52"/>
          <w:szCs w:val="52"/>
        </w:rPr>
        <w:t>招</w:t>
      </w:r>
    </w:p>
    <w:p>
      <w:pPr>
        <w:spacing w:line="360" w:lineRule="auto"/>
        <w:jc w:val="center"/>
        <w:rPr>
          <w:rFonts w:ascii="宋体" w:hAnsi="宋体"/>
          <w:b/>
          <w:sz w:val="52"/>
          <w:szCs w:val="52"/>
        </w:rPr>
      </w:pPr>
      <w:r>
        <w:rPr>
          <w:rFonts w:hint="eastAsia" w:ascii="宋体" w:hAnsi="宋体"/>
          <w:b/>
          <w:sz w:val="52"/>
          <w:szCs w:val="52"/>
        </w:rPr>
        <w:t>标</w:t>
      </w:r>
    </w:p>
    <w:p>
      <w:pPr>
        <w:spacing w:line="360" w:lineRule="auto"/>
        <w:jc w:val="center"/>
        <w:rPr>
          <w:rFonts w:ascii="宋体" w:hAnsi="宋体"/>
          <w:b/>
          <w:sz w:val="52"/>
          <w:szCs w:val="52"/>
        </w:rPr>
      </w:pPr>
      <w:r>
        <w:rPr>
          <w:rFonts w:hint="eastAsia" w:ascii="宋体" w:hAnsi="宋体"/>
          <w:b/>
          <w:sz w:val="52"/>
          <w:szCs w:val="52"/>
        </w:rPr>
        <w:t>文</w:t>
      </w:r>
    </w:p>
    <w:p>
      <w:pPr>
        <w:spacing w:line="360" w:lineRule="auto"/>
        <w:jc w:val="center"/>
        <w:rPr>
          <w:rFonts w:ascii="宋体" w:hAnsi="宋体"/>
          <w:b/>
          <w:sz w:val="52"/>
          <w:szCs w:val="52"/>
        </w:rPr>
      </w:pPr>
      <w:r>
        <w:rPr>
          <w:rFonts w:hint="eastAsia" w:ascii="宋体" w:hAnsi="宋体"/>
          <w:b/>
          <w:sz w:val="52"/>
          <w:szCs w:val="52"/>
        </w:rPr>
        <w:t>件</w:t>
      </w:r>
    </w:p>
    <w:p>
      <w:pPr>
        <w:pStyle w:val="58"/>
        <w:spacing w:line="360" w:lineRule="auto"/>
      </w:pPr>
    </w:p>
    <w:p>
      <w:pPr>
        <w:pStyle w:val="20"/>
        <w:spacing w:after="0" w:line="360" w:lineRule="auto"/>
        <w:rPr>
          <w:rFonts w:ascii="宋体" w:hAnsi="宋体"/>
          <w:sz w:val="28"/>
          <w:szCs w:val="28"/>
        </w:rPr>
      </w:pPr>
    </w:p>
    <w:p>
      <w:pPr>
        <w:pStyle w:val="25"/>
        <w:spacing w:line="360" w:lineRule="auto"/>
        <w:ind w:firstLine="1068" w:firstLineChars="400"/>
        <w:jc w:val="left"/>
        <w:rPr>
          <w:rFonts w:hAnsi="宋体"/>
          <w:b/>
          <w:sz w:val="28"/>
          <w:szCs w:val="28"/>
        </w:rPr>
      </w:pPr>
      <w:r>
        <w:rPr>
          <w:rFonts w:hint="eastAsia" w:hAnsi="宋体"/>
          <w:b/>
          <w:bCs/>
          <w:w w:val="95"/>
          <w:sz w:val="28"/>
          <w:szCs w:val="28"/>
        </w:rPr>
        <w:t>项目编号：</w:t>
      </w:r>
      <w:r>
        <w:rPr>
          <w:rFonts w:hint="eastAsia" w:hAnsi="宋体"/>
          <w:b/>
          <w:bCs/>
          <w:w w:val="95"/>
          <w:sz w:val="28"/>
          <w:szCs w:val="28"/>
          <w:lang w:eastAsia="zh-CN"/>
        </w:rPr>
        <w:t>嘉消采-GK2023017</w:t>
      </w:r>
      <w:r>
        <w:rPr>
          <w:rFonts w:hint="eastAsia" w:hAnsi="宋体"/>
          <w:b/>
          <w:sz w:val="28"/>
          <w:szCs w:val="28"/>
        </w:rPr>
        <w:t xml:space="preserve">  </w:t>
      </w:r>
    </w:p>
    <w:p>
      <w:pPr>
        <w:pStyle w:val="25"/>
        <w:spacing w:line="360" w:lineRule="auto"/>
        <w:ind w:firstLine="1068" w:firstLineChars="400"/>
        <w:jc w:val="left"/>
        <w:rPr>
          <w:rFonts w:hAnsi="宋体"/>
          <w:b/>
          <w:bCs/>
          <w:w w:val="95"/>
          <w:sz w:val="28"/>
          <w:szCs w:val="28"/>
        </w:rPr>
      </w:pPr>
      <w:r>
        <w:rPr>
          <w:rFonts w:hint="eastAsia" w:hAnsi="宋体"/>
          <w:b/>
          <w:bCs/>
          <w:w w:val="95"/>
          <w:sz w:val="28"/>
          <w:szCs w:val="28"/>
        </w:rPr>
        <w:t>采购单位：</w:t>
      </w:r>
      <w:r>
        <w:rPr>
          <w:rFonts w:hint="eastAsia" w:hAnsi="宋体" w:cs="Times New Roman"/>
          <w:b/>
          <w:bCs/>
          <w:w w:val="95"/>
          <w:sz w:val="28"/>
          <w:szCs w:val="28"/>
          <w:lang w:val="en-US" w:eastAsia="zh-CN"/>
        </w:rPr>
        <w:t>嘉兴市消防救援支队乌镇大队</w:t>
      </w:r>
      <w:r>
        <w:rPr>
          <w:rFonts w:hint="eastAsia" w:hAnsi="宋体" w:cs="Times New Roman"/>
          <w:b/>
          <w:bCs/>
          <w:w w:val="95"/>
          <w:sz w:val="28"/>
          <w:szCs w:val="28"/>
        </w:rPr>
        <w:t xml:space="preserve"> </w:t>
      </w:r>
    </w:p>
    <w:p>
      <w:pPr>
        <w:pStyle w:val="25"/>
        <w:spacing w:line="360" w:lineRule="auto"/>
        <w:ind w:firstLine="1124" w:firstLineChars="400"/>
        <w:jc w:val="left"/>
        <w:rPr>
          <w:rFonts w:hAnsi="宋体"/>
          <w:b/>
          <w:sz w:val="28"/>
          <w:szCs w:val="28"/>
        </w:rPr>
      </w:pPr>
      <w:r>
        <w:rPr>
          <w:rFonts w:hint="eastAsia" w:hAnsi="宋体"/>
          <w:b/>
          <w:sz w:val="28"/>
          <w:szCs w:val="28"/>
        </w:rPr>
        <w:t>代理机构：浙江天钫工程管理咨询有限公司</w:t>
      </w:r>
    </w:p>
    <w:p>
      <w:pPr>
        <w:pStyle w:val="25"/>
        <w:spacing w:line="360" w:lineRule="auto"/>
        <w:ind w:firstLine="1068" w:firstLineChars="400"/>
        <w:jc w:val="left"/>
        <w:rPr>
          <w:rFonts w:hAnsi="宋体"/>
          <w:b/>
          <w:bCs/>
          <w:w w:val="95"/>
          <w:sz w:val="28"/>
          <w:szCs w:val="28"/>
        </w:rPr>
      </w:pPr>
    </w:p>
    <w:p>
      <w:pPr>
        <w:pStyle w:val="25"/>
        <w:spacing w:line="360" w:lineRule="auto"/>
        <w:ind w:firstLine="1068" w:firstLineChars="400"/>
        <w:jc w:val="left"/>
        <w:rPr>
          <w:rFonts w:hAnsi="宋体"/>
          <w:b/>
          <w:bCs/>
          <w:w w:val="95"/>
          <w:sz w:val="28"/>
          <w:szCs w:val="28"/>
        </w:rPr>
      </w:pPr>
    </w:p>
    <w:p>
      <w:pPr>
        <w:spacing w:line="360" w:lineRule="auto"/>
        <w:ind w:firstLine="534" w:firstLineChars="200"/>
        <w:jc w:val="center"/>
        <w:rPr>
          <w:rFonts w:ascii="宋体" w:hAnsi="宋体"/>
          <w:b/>
          <w:bCs/>
          <w:w w:val="95"/>
          <w:sz w:val="28"/>
          <w:szCs w:val="28"/>
        </w:rPr>
      </w:pPr>
      <w:r>
        <w:rPr>
          <w:rFonts w:hint="eastAsia" w:ascii="宋体" w:hAnsi="宋体"/>
          <w:b/>
          <w:bCs/>
          <w:w w:val="95"/>
          <w:sz w:val="28"/>
          <w:szCs w:val="28"/>
        </w:rPr>
        <w:t>2023年</w:t>
      </w:r>
      <w:r>
        <w:rPr>
          <w:rFonts w:hint="eastAsia" w:ascii="宋体" w:hAnsi="宋体"/>
          <w:b/>
          <w:bCs/>
          <w:w w:val="95"/>
          <w:sz w:val="28"/>
          <w:szCs w:val="28"/>
          <w:lang w:val="en-US" w:eastAsia="zh-CN"/>
        </w:rPr>
        <w:t>8</w:t>
      </w:r>
      <w:r>
        <w:rPr>
          <w:rFonts w:hint="eastAsia" w:ascii="宋体" w:hAnsi="宋体"/>
          <w:b/>
          <w:bCs/>
          <w:w w:val="95"/>
          <w:sz w:val="28"/>
          <w:szCs w:val="28"/>
        </w:rPr>
        <w:t>月</w:t>
      </w:r>
    </w:p>
    <w:p>
      <w:pPr>
        <w:spacing w:line="360" w:lineRule="auto"/>
        <w:ind w:firstLine="723" w:firstLineChars="200"/>
        <w:jc w:val="left"/>
        <w:rPr>
          <w:rFonts w:ascii="宋体" w:hAnsi="宋体"/>
          <w:b/>
          <w:bCs/>
          <w:sz w:val="36"/>
          <w:szCs w:val="36"/>
        </w:rPr>
      </w:pPr>
    </w:p>
    <w:p>
      <w:pPr>
        <w:spacing w:line="360" w:lineRule="auto"/>
        <w:ind w:firstLine="723" w:firstLineChars="200"/>
        <w:jc w:val="left"/>
        <w:rPr>
          <w:rFonts w:ascii="宋体" w:hAnsi="宋体"/>
          <w:b/>
          <w:bCs/>
          <w:sz w:val="36"/>
          <w:szCs w:val="36"/>
        </w:rPr>
      </w:pPr>
    </w:p>
    <w:p>
      <w:pPr>
        <w:spacing w:line="360" w:lineRule="auto"/>
        <w:rPr>
          <w:rFonts w:ascii="宋体" w:hAnsi="宋体"/>
        </w:rPr>
      </w:pPr>
    </w:p>
    <w:p>
      <w:pPr>
        <w:pStyle w:val="64"/>
        <w:spacing w:before="0" w:line="360" w:lineRule="auto"/>
        <w:ind w:firstLine="422" w:firstLineChars="200"/>
        <w:jc w:val="center"/>
        <w:rPr>
          <w:rFonts w:ascii="宋体" w:hAnsi="宋体"/>
          <w:color w:val="auto"/>
          <w:sz w:val="21"/>
          <w:szCs w:val="21"/>
        </w:rPr>
      </w:pPr>
      <w:bookmarkStart w:id="0" w:name="_Toc28810"/>
      <w:r>
        <w:rPr>
          <w:rFonts w:ascii="宋体" w:hAnsi="宋体"/>
          <w:color w:val="auto"/>
          <w:sz w:val="21"/>
          <w:szCs w:val="21"/>
          <w:lang w:val="zh-CN"/>
        </w:rPr>
        <w:t>目录</w:t>
      </w:r>
      <w:bookmarkEnd w:id="0"/>
    </w:p>
    <w:p>
      <w:pPr>
        <w:pStyle w:val="32"/>
        <w:tabs>
          <w:tab w:val="right" w:leader="dot" w:pos="8312"/>
        </w:tabs>
        <w:spacing w:line="360" w:lineRule="auto"/>
        <w:rPr>
          <w:rFonts w:ascii="宋体" w:hAnsi="宋体" w:cs="微软雅黑"/>
        </w:rPr>
      </w:pPr>
      <w:r>
        <w:rPr>
          <w:rFonts w:hint="eastAsia" w:ascii="宋体" w:hAnsi="宋体" w:cs="微软雅黑"/>
          <w:szCs w:val="21"/>
        </w:rPr>
        <w:fldChar w:fldCharType="begin"/>
      </w:r>
      <w:r>
        <w:rPr>
          <w:rFonts w:hint="eastAsia" w:ascii="宋体" w:hAnsi="宋体" w:cs="微软雅黑"/>
          <w:szCs w:val="21"/>
        </w:rPr>
        <w:instrText xml:space="preserve"> TOC \o "1-3" \h \z \u </w:instrText>
      </w:r>
      <w:r>
        <w:rPr>
          <w:rFonts w:hint="eastAsia" w:ascii="宋体" w:hAnsi="宋体" w:cs="微软雅黑"/>
          <w:szCs w:val="21"/>
        </w:rPr>
        <w:fldChar w:fldCharType="separate"/>
      </w:r>
    </w:p>
    <w:p>
      <w:pPr>
        <w:pStyle w:val="39"/>
        <w:tabs>
          <w:tab w:val="right" w:leader="dot" w:pos="8312"/>
        </w:tabs>
        <w:spacing w:line="360" w:lineRule="auto"/>
        <w:rPr>
          <w:rFonts w:ascii="宋体" w:hAnsi="宋体" w:cs="微软雅黑"/>
        </w:rPr>
      </w:pPr>
      <w:r>
        <w:fldChar w:fldCharType="begin"/>
      </w:r>
      <w:r>
        <w:instrText xml:space="preserve"> HYPERLINK \l "_Toc3494" </w:instrText>
      </w:r>
      <w:r>
        <w:fldChar w:fldCharType="separate"/>
      </w:r>
      <w:r>
        <w:rPr>
          <w:rFonts w:hint="eastAsia" w:ascii="宋体" w:hAnsi="宋体" w:cs="微软雅黑"/>
        </w:rPr>
        <w:t>第一章  公开招标采购公告</w:t>
      </w:r>
      <w:r>
        <w:rPr>
          <w:rFonts w:hint="eastAsia" w:ascii="宋体" w:hAnsi="宋体" w:cs="微软雅黑"/>
        </w:rPr>
        <w:tab/>
      </w:r>
      <w:r>
        <w:rPr>
          <w:rFonts w:hint="eastAsia" w:ascii="宋体" w:hAnsi="宋体" w:cs="微软雅黑"/>
        </w:rPr>
        <w:fldChar w:fldCharType="begin"/>
      </w:r>
      <w:r>
        <w:rPr>
          <w:rFonts w:hint="eastAsia" w:ascii="宋体" w:hAnsi="宋体" w:cs="微软雅黑"/>
        </w:rPr>
        <w:instrText xml:space="preserve"> PAGEREF _Toc3494 </w:instrText>
      </w:r>
      <w:r>
        <w:rPr>
          <w:rFonts w:hint="eastAsia" w:ascii="宋体" w:hAnsi="宋体" w:cs="微软雅黑"/>
        </w:rPr>
        <w:fldChar w:fldCharType="separate"/>
      </w:r>
      <w:r>
        <w:rPr>
          <w:rFonts w:hint="eastAsia" w:ascii="宋体" w:hAnsi="宋体" w:cs="微软雅黑"/>
        </w:rPr>
        <w:t>3</w:t>
      </w:r>
      <w:r>
        <w:rPr>
          <w:rFonts w:hint="eastAsia" w:ascii="宋体" w:hAnsi="宋体" w:cs="微软雅黑"/>
        </w:rPr>
        <w:fldChar w:fldCharType="end"/>
      </w:r>
      <w:r>
        <w:rPr>
          <w:rFonts w:hint="eastAsia" w:ascii="宋体" w:hAnsi="宋体" w:cs="微软雅黑"/>
        </w:rPr>
        <w:fldChar w:fldCharType="end"/>
      </w:r>
    </w:p>
    <w:p>
      <w:pPr>
        <w:pStyle w:val="39"/>
        <w:tabs>
          <w:tab w:val="right" w:leader="dot" w:pos="8312"/>
        </w:tabs>
        <w:spacing w:line="360" w:lineRule="auto"/>
        <w:rPr>
          <w:rFonts w:ascii="宋体" w:hAnsi="宋体" w:cs="微软雅黑"/>
        </w:rPr>
      </w:pPr>
      <w:r>
        <w:fldChar w:fldCharType="begin"/>
      </w:r>
      <w:r>
        <w:instrText xml:space="preserve"> HYPERLINK \l "_Toc3892" </w:instrText>
      </w:r>
      <w:r>
        <w:fldChar w:fldCharType="separate"/>
      </w:r>
      <w:r>
        <w:rPr>
          <w:rFonts w:hint="eastAsia" w:ascii="宋体" w:hAnsi="宋体" w:cs="微软雅黑"/>
        </w:rPr>
        <w:t>第二章  采购需求</w:t>
      </w:r>
      <w:r>
        <w:rPr>
          <w:rFonts w:hint="eastAsia" w:ascii="宋体" w:hAnsi="宋体" w:cs="微软雅黑"/>
        </w:rPr>
        <w:tab/>
      </w:r>
      <w:r>
        <w:rPr>
          <w:rFonts w:hint="eastAsia" w:ascii="宋体" w:hAnsi="宋体" w:cs="微软雅黑"/>
          <w:lang w:val="en-US" w:eastAsia="zh-CN"/>
        </w:rPr>
        <w:t>5</w:t>
      </w:r>
      <w:r>
        <w:rPr>
          <w:rFonts w:hint="eastAsia" w:ascii="宋体" w:hAnsi="宋体" w:cs="微软雅黑"/>
        </w:rPr>
        <w:fldChar w:fldCharType="end"/>
      </w:r>
    </w:p>
    <w:p>
      <w:pPr>
        <w:pStyle w:val="39"/>
        <w:tabs>
          <w:tab w:val="right" w:leader="dot" w:pos="8312"/>
        </w:tabs>
        <w:spacing w:line="360" w:lineRule="auto"/>
        <w:rPr>
          <w:rFonts w:ascii="宋体" w:hAnsi="宋体" w:cs="微软雅黑"/>
        </w:rPr>
      </w:pPr>
      <w:r>
        <w:fldChar w:fldCharType="begin"/>
      </w:r>
      <w:r>
        <w:instrText xml:space="preserve"> HYPERLINK \l "_Toc31093" </w:instrText>
      </w:r>
      <w:r>
        <w:fldChar w:fldCharType="separate"/>
      </w:r>
      <w:r>
        <w:rPr>
          <w:rFonts w:hint="eastAsia" w:ascii="宋体" w:hAnsi="宋体" w:cs="微软雅黑"/>
        </w:rPr>
        <w:t>第三章  投标人须知</w:t>
      </w:r>
      <w:r>
        <w:rPr>
          <w:rFonts w:hint="eastAsia" w:ascii="宋体" w:hAnsi="宋体" w:cs="微软雅黑"/>
        </w:rPr>
        <w:tab/>
      </w:r>
      <w:r>
        <w:rPr>
          <w:rFonts w:hint="eastAsia" w:ascii="宋体" w:hAnsi="宋体" w:cs="微软雅黑"/>
          <w:lang w:val="en-US" w:eastAsia="zh-CN"/>
        </w:rPr>
        <w:t>9</w:t>
      </w:r>
      <w:r>
        <w:rPr>
          <w:rFonts w:hint="eastAsia" w:ascii="宋体" w:hAnsi="宋体" w:cs="微软雅黑"/>
        </w:rPr>
        <w:fldChar w:fldCharType="end"/>
      </w:r>
    </w:p>
    <w:p>
      <w:pPr>
        <w:pStyle w:val="39"/>
        <w:tabs>
          <w:tab w:val="right" w:leader="dot" w:pos="8312"/>
        </w:tabs>
        <w:spacing w:line="360" w:lineRule="auto"/>
        <w:rPr>
          <w:rFonts w:ascii="宋体" w:hAnsi="宋体" w:cs="微软雅黑"/>
        </w:rPr>
      </w:pPr>
      <w:r>
        <w:fldChar w:fldCharType="begin"/>
      </w:r>
      <w:r>
        <w:instrText xml:space="preserve"> HYPERLINK \l "_Toc27157" </w:instrText>
      </w:r>
      <w:r>
        <w:fldChar w:fldCharType="separate"/>
      </w:r>
      <w:r>
        <w:rPr>
          <w:rFonts w:hint="eastAsia" w:ascii="宋体" w:hAnsi="宋体" w:cs="微软雅黑"/>
        </w:rPr>
        <w:t>第四章  评标办法及评分标准</w:t>
      </w:r>
      <w:r>
        <w:rPr>
          <w:rFonts w:hint="eastAsia" w:ascii="宋体" w:hAnsi="宋体" w:cs="微软雅黑"/>
        </w:rPr>
        <w:tab/>
      </w:r>
      <w:r>
        <w:rPr>
          <w:rFonts w:hint="eastAsia" w:ascii="宋体" w:hAnsi="宋体" w:cs="微软雅黑"/>
        </w:rPr>
        <w:fldChar w:fldCharType="begin"/>
      </w:r>
      <w:r>
        <w:rPr>
          <w:rFonts w:hint="eastAsia" w:ascii="宋体" w:hAnsi="宋体" w:cs="微软雅黑"/>
        </w:rPr>
        <w:instrText xml:space="preserve"> PAGEREF _Toc27157 </w:instrText>
      </w:r>
      <w:r>
        <w:rPr>
          <w:rFonts w:hint="eastAsia" w:ascii="宋体" w:hAnsi="宋体" w:cs="微软雅黑"/>
        </w:rPr>
        <w:fldChar w:fldCharType="separate"/>
      </w:r>
      <w:r>
        <w:rPr>
          <w:rFonts w:hint="eastAsia" w:ascii="宋体" w:hAnsi="宋体" w:cs="微软雅黑"/>
        </w:rPr>
        <w:t>2</w:t>
      </w:r>
      <w:r>
        <w:rPr>
          <w:rFonts w:hint="eastAsia" w:ascii="宋体" w:hAnsi="宋体" w:cs="微软雅黑"/>
          <w:lang w:val="en-US" w:eastAsia="zh-CN"/>
        </w:rPr>
        <w:t>2</w:t>
      </w:r>
      <w:r>
        <w:rPr>
          <w:rFonts w:hint="eastAsia" w:ascii="宋体" w:hAnsi="宋体" w:cs="微软雅黑"/>
        </w:rPr>
        <w:fldChar w:fldCharType="end"/>
      </w:r>
      <w:r>
        <w:rPr>
          <w:rFonts w:hint="eastAsia" w:ascii="宋体" w:hAnsi="宋体" w:cs="微软雅黑"/>
        </w:rPr>
        <w:fldChar w:fldCharType="end"/>
      </w:r>
    </w:p>
    <w:p>
      <w:pPr>
        <w:pStyle w:val="39"/>
        <w:tabs>
          <w:tab w:val="right" w:leader="dot" w:pos="8312"/>
        </w:tabs>
        <w:spacing w:line="360" w:lineRule="auto"/>
        <w:rPr>
          <w:rFonts w:ascii="宋体" w:hAnsi="宋体" w:cs="微软雅黑"/>
        </w:rPr>
      </w:pPr>
      <w:r>
        <w:fldChar w:fldCharType="begin"/>
      </w:r>
      <w:r>
        <w:instrText xml:space="preserve"> HYPERLINK \l "_Toc28829" </w:instrText>
      </w:r>
      <w:r>
        <w:fldChar w:fldCharType="separate"/>
      </w:r>
      <w:r>
        <w:rPr>
          <w:rFonts w:hint="eastAsia" w:ascii="宋体" w:hAnsi="宋体" w:cs="微软雅黑"/>
        </w:rPr>
        <w:t>第五章  政府采购合同</w:t>
      </w:r>
      <w:r>
        <w:rPr>
          <w:rFonts w:hint="eastAsia" w:ascii="宋体" w:hAnsi="宋体" w:cs="微软雅黑"/>
        </w:rPr>
        <w:tab/>
      </w:r>
      <w:r>
        <w:rPr>
          <w:rFonts w:hint="eastAsia" w:ascii="宋体" w:hAnsi="宋体" w:cs="微软雅黑"/>
        </w:rPr>
        <w:fldChar w:fldCharType="begin"/>
      </w:r>
      <w:r>
        <w:rPr>
          <w:rFonts w:hint="eastAsia" w:ascii="宋体" w:hAnsi="宋体" w:cs="微软雅黑"/>
        </w:rPr>
        <w:instrText xml:space="preserve"> PAGEREF _Toc28829 </w:instrText>
      </w:r>
      <w:r>
        <w:rPr>
          <w:rFonts w:hint="eastAsia" w:ascii="宋体" w:hAnsi="宋体" w:cs="微软雅黑"/>
        </w:rPr>
        <w:fldChar w:fldCharType="separate"/>
      </w:r>
      <w:r>
        <w:rPr>
          <w:rFonts w:hint="eastAsia" w:ascii="宋体" w:hAnsi="宋体" w:cs="微软雅黑"/>
        </w:rPr>
        <w:t>2</w:t>
      </w:r>
      <w:r>
        <w:rPr>
          <w:rFonts w:hint="eastAsia" w:ascii="宋体" w:hAnsi="宋体" w:cs="微软雅黑"/>
          <w:lang w:val="en-US" w:eastAsia="zh-CN"/>
        </w:rPr>
        <w:t>6</w:t>
      </w:r>
      <w:r>
        <w:rPr>
          <w:rFonts w:hint="eastAsia" w:ascii="宋体" w:hAnsi="宋体" w:cs="微软雅黑"/>
        </w:rPr>
        <w:fldChar w:fldCharType="end"/>
      </w:r>
      <w:r>
        <w:rPr>
          <w:rFonts w:hint="eastAsia" w:ascii="宋体" w:hAnsi="宋体" w:cs="微软雅黑"/>
        </w:rPr>
        <w:fldChar w:fldCharType="end"/>
      </w:r>
    </w:p>
    <w:p>
      <w:pPr>
        <w:pStyle w:val="39"/>
        <w:tabs>
          <w:tab w:val="right" w:leader="dot" w:pos="8312"/>
        </w:tabs>
        <w:spacing w:line="360" w:lineRule="auto"/>
        <w:rPr>
          <w:rFonts w:ascii="宋体" w:hAnsi="宋体" w:cs="微软雅黑"/>
        </w:rPr>
      </w:pPr>
      <w:r>
        <w:fldChar w:fldCharType="begin"/>
      </w:r>
      <w:r>
        <w:instrText xml:space="preserve"> HYPERLINK \l "_Toc5531" </w:instrText>
      </w:r>
      <w:r>
        <w:fldChar w:fldCharType="separate"/>
      </w:r>
      <w:r>
        <w:rPr>
          <w:rFonts w:hint="eastAsia" w:ascii="宋体" w:hAnsi="宋体" w:cs="微软雅黑"/>
        </w:rPr>
        <w:t>第六章　投标文件相关格式</w:t>
      </w:r>
      <w:r>
        <w:rPr>
          <w:rFonts w:hint="eastAsia" w:ascii="宋体" w:hAnsi="宋体" w:cs="微软雅黑"/>
        </w:rPr>
        <w:tab/>
      </w:r>
      <w:r>
        <w:rPr>
          <w:rFonts w:hint="eastAsia" w:ascii="宋体" w:hAnsi="宋体" w:cs="微软雅黑"/>
        </w:rPr>
        <w:fldChar w:fldCharType="begin"/>
      </w:r>
      <w:r>
        <w:rPr>
          <w:rFonts w:hint="eastAsia" w:ascii="宋体" w:hAnsi="宋体" w:cs="微软雅黑"/>
        </w:rPr>
        <w:instrText xml:space="preserve"> PAGEREF _Toc5531 </w:instrText>
      </w:r>
      <w:r>
        <w:rPr>
          <w:rFonts w:hint="eastAsia" w:ascii="宋体" w:hAnsi="宋体" w:cs="微软雅黑"/>
        </w:rPr>
        <w:fldChar w:fldCharType="separate"/>
      </w:r>
      <w:r>
        <w:rPr>
          <w:rFonts w:hint="eastAsia" w:ascii="宋体" w:hAnsi="宋体" w:cs="微软雅黑"/>
        </w:rPr>
        <w:t>3</w:t>
      </w:r>
      <w:r>
        <w:rPr>
          <w:rFonts w:hint="eastAsia" w:ascii="宋体" w:hAnsi="宋体" w:cs="微软雅黑"/>
          <w:lang w:val="en-US" w:eastAsia="zh-CN"/>
        </w:rPr>
        <w:t>6</w:t>
      </w:r>
      <w:r>
        <w:rPr>
          <w:rFonts w:hint="eastAsia" w:ascii="宋体" w:hAnsi="宋体" w:cs="微软雅黑"/>
        </w:rPr>
        <w:fldChar w:fldCharType="end"/>
      </w:r>
      <w:r>
        <w:rPr>
          <w:rFonts w:hint="eastAsia" w:ascii="宋体" w:hAnsi="宋体" w:cs="微软雅黑"/>
        </w:rPr>
        <w:fldChar w:fldCharType="end"/>
      </w:r>
    </w:p>
    <w:p>
      <w:pPr>
        <w:spacing w:line="360" w:lineRule="auto"/>
        <w:ind w:firstLine="420" w:firstLineChars="200"/>
        <w:jc w:val="left"/>
        <w:rPr>
          <w:rFonts w:ascii="宋体" w:hAnsi="宋体" w:cs="微软雅黑"/>
          <w:szCs w:val="21"/>
        </w:rPr>
      </w:pPr>
      <w:r>
        <w:rPr>
          <w:rFonts w:hint="eastAsia" w:ascii="宋体" w:hAnsi="宋体" w:cs="微软雅黑"/>
          <w:szCs w:val="21"/>
        </w:rPr>
        <w:fldChar w:fldCharType="end"/>
      </w:r>
    </w:p>
    <w:p>
      <w:pPr>
        <w:spacing w:line="360" w:lineRule="auto"/>
        <w:ind w:firstLine="420" w:firstLineChars="200"/>
        <w:jc w:val="left"/>
        <w:rPr>
          <w:rFonts w:ascii="宋体" w:hAnsi="宋体"/>
          <w:szCs w:val="21"/>
        </w:rPr>
      </w:pPr>
    </w:p>
    <w:p>
      <w:pPr>
        <w:pStyle w:val="79"/>
        <w:rPr>
          <w:rStyle w:val="132"/>
          <w:rFonts w:hint="eastAsia" w:ascii="宋体" w:eastAsia="宋体" w:cs="微软雅黑"/>
          <w:b/>
        </w:rPr>
        <w:sectPr>
          <w:headerReference r:id="rId3" w:type="default"/>
          <w:pgSz w:w="11906" w:h="16838"/>
          <w:pgMar w:top="1474" w:right="1797" w:bottom="1247" w:left="1797" w:header="851" w:footer="851" w:gutter="0"/>
          <w:cols w:space="720" w:num="1"/>
          <w:docGrid w:linePitch="312" w:charSpace="0"/>
        </w:sectPr>
      </w:pPr>
      <w:bookmarkStart w:id="1" w:name="_Toc3494"/>
      <w:bookmarkStart w:id="2" w:name="_Toc493511540"/>
    </w:p>
    <w:p>
      <w:pPr>
        <w:pStyle w:val="79"/>
        <w:rPr>
          <w:rFonts w:ascii="宋体" w:eastAsia="宋体"/>
          <w:b w:val="0"/>
        </w:rPr>
      </w:pPr>
      <w:r>
        <w:rPr>
          <w:rStyle w:val="132"/>
          <w:rFonts w:hint="eastAsia" w:ascii="宋体" w:eastAsia="宋体" w:cs="微软雅黑"/>
          <w:b/>
        </w:rPr>
        <w:t>第一章  公开招标采购公告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kern w:val="0"/>
          <w:szCs w:val="21"/>
        </w:rPr>
      </w:pPr>
      <w:r>
        <w:rPr>
          <w:rFonts w:hint="eastAsia" w:ascii="宋体" w:hAnsi="宋体" w:cs="宋体"/>
          <w:kern w:val="0"/>
          <w:szCs w:val="21"/>
        </w:rPr>
        <w:t>  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kern w:val="0"/>
          <w:szCs w:val="21"/>
          <w:u w:val="single"/>
        </w:rPr>
        <w:t xml:space="preserve"> </w:t>
      </w:r>
      <w:r>
        <w:rPr>
          <w:rFonts w:hint="eastAsia" w:ascii="宋体" w:hAnsi="宋体" w:cs="宋体"/>
          <w:kern w:val="0"/>
          <w:szCs w:val="21"/>
          <w:u w:val="single"/>
          <w:lang w:eastAsia="zh-CN"/>
        </w:rPr>
        <w:t>浙江省嘉兴支队乌镇消防救援大队2023年度伙食集中配送采购项目</w:t>
      </w:r>
      <w:r>
        <w:rPr>
          <w:rFonts w:hint="eastAsia" w:ascii="宋体" w:hAnsi="宋体" w:cs="宋体"/>
          <w:kern w:val="0"/>
          <w:szCs w:val="21"/>
        </w:rPr>
        <w:t>招标项目的潜在投标人应</w:t>
      </w:r>
      <w:r>
        <w:rPr>
          <w:rFonts w:hint="eastAsia" w:ascii="宋体" w:hAnsi="宋体" w:cs="宋体"/>
          <w:color w:val="000000" w:themeColor="text1"/>
          <w:kern w:val="0"/>
          <w:szCs w:val="21"/>
          <w:highlight w:val="none"/>
          <w:u w:val="single"/>
          <w14:textFill>
            <w14:solidFill>
              <w14:schemeClr w14:val="tx1"/>
            </w14:solidFill>
          </w14:textFill>
        </w:rPr>
        <w:t>在浙江天钫工程管理咨询有限公司（浙江省嘉兴市秀洲区新城街道秀洲大道138号未来科技广场E座902-2室）</w:t>
      </w:r>
      <w:r>
        <w:rPr>
          <w:rFonts w:hint="eastAsia" w:ascii="宋体" w:hAnsi="宋体" w:cs="宋体"/>
          <w:color w:val="000000" w:themeColor="text1"/>
          <w:kern w:val="0"/>
          <w:szCs w:val="21"/>
          <w:highlight w:val="none"/>
          <w14:textFill>
            <w14:solidFill>
              <w14:schemeClr w14:val="tx1"/>
            </w14:solidFill>
          </w14:textFill>
        </w:rPr>
        <w:t>获取招标文件，并于</w:t>
      </w:r>
      <w:r>
        <w:rPr>
          <w:rFonts w:hint="eastAsia" w:ascii="宋体" w:hAnsi="宋体" w:cs="宋体"/>
          <w:color w:val="000000" w:themeColor="text1"/>
          <w:kern w:val="0"/>
          <w:szCs w:val="21"/>
          <w:highlight w:val="none"/>
          <w:u w:val="single"/>
          <w14:textFill>
            <w14:solidFill>
              <w14:schemeClr w14:val="tx1"/>
            </w14:solidFill>
          </w14:textFill>
        </w:rPr>
        <w:t>2023年</w:t>
      </w:r>
      <w:r>
        <w:rPr>
          <w:rFonts w:hint="eastAsia" w:ascii="宋体" w:hAnsi="宋体" w:cs="宋体"/>
          <w:color w:val="000000" w:themeColor="text1"/>
          <w:kern w:val="0"/>
          <w:szCs w:val="21"/>
          <w:highlight w:val="none"/>
          <w:u w:val="single"/>
          <w:lang w:eastAsia="zh-CN"/>
          <w14:textFill>
            <w14:solidFill>
              <w14:schemeClr w14:val="tx1"/>
            </w14:solidFill>
          </w14:textFill>
        </w:rPr>
        <w:t>9月13日9：00分</w:t>
      </w:r>
      <w:r>
        <w:rPr>
          <w:rFonts w:hint="eastAsia" w:ascii="宋体" w:hAnsi="宋体" w:cs="宋体"/>
          <w:color w:val="000000" w:themeColor="text1"/>
          <w:kern w:val="0"/>
          <w:szCs w:val="21"/>
          <w:highlight w:val="none"/>
          <w:u w:val="single"/>
          <w14:textFill>
            <w14:solidFill>
              <w14:schemeClr w14:val="tx1"/>
            </w14:solidFill>
          </w14:textFill>
        </w:rPr>
        <w:t>（北京时间）</w:t>
      </w:r>
      <w:r>
        <w:rPr>
          <w:rFonts w:hint="eastAsia" w:ascii="宋体" w:hAnsi="宋体" w:cs="宋体"/>
          <w:color w:val="000000" w:themeColor="text1"/>
          <w:kern w:val="0"/>
          <w:szCs w:val="21"/>
          <w:highlight w:val="none"/>
          <w14:textFill>
            <w14:solidFill>
              <w14:schemeClr w14:val="tx1"/>
            </w14:solidFill>
          </w14:textFill>
        </w:rPr>
        <w:t>前递交投标文件。</w:t>
      </w:r>
    </w:p>
    <w:p>
      <w:pPr>
        <w:pStyle w:val="43"/>
        <w:spacing w:before="60" w:beforeAutospacing="0" w:after="60" w:afterAutospacing="0" w:line="360" w:lineRule="auto"/>
        <w:ind w:firstLine="630" w:firstLineChars="3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根据《中华人民共和国政府采购法》等有关规定，</w:t>
      </w:r>
      <w:r>
        <w:rPr>
          <w:rFonts w:hint="eastAsia" w:cs="宋体"/>
          <w:b/>
          <w:bCs/>
          <w:color w:val="000000" w:themeColor="text1"/>
          <w:sz w:val="21"/>
          <w:szCs w:val="21"/>
          <w:highlight w:val="none"/>
          <w:u w:val="single"/>
          <w14:textFill>
            <w14:solidFill>
              <w14:schemeClr w14:val="tx1"/>
            </w14:solidFill>
          </w14:textFill>
        </w:rPr>
        <w:t>浙江天钫工程管理咨询有限公司</w:t>
      </w:r>
      <w:r>
        <w:rPr>
          <w:rFonts w:hint="eastAsia" w:cs="宋体"/>
          <w:color w:val="000000" w:themeColor="text1"/>
          <w:sz w:val="21"/>
          <w:szCs w:val="21"/>
          <w:highlight w:val="none"/>
          <w14:textFill>
            <w14:solidFill>
              <w14:schemeClr w14:val="tx1"/>
            </w14:solidFill>
          </w14:textFill>
        </w:rPr>
        <w:t>受</w:t>
      </w:r>
      <w:r>
        <w:rPr>
          <w:rFonts w:hint="eastAsia" w:cs="宋体"/>
          <w:b/>
          <w:bCs/>
          <w:color w:val="000000" w:themeColor="text1"/>
          <w:sz w:val="21"/>
          <w:szCs w:val="21"/>
          <w:highlight w:val="none"/>
          <w:u w:val="single"/>
          <w:lang w:val="en-US" w:eastAsia="zh-CN"/>
          <w14:textFill>
            <w14:solidFill>
              <w14:schemeClr w14:val="tx1"/>
            </w14:solidFill>
          </w14:textFill>
        </w:rPr>
        <w:t>嘉兴市消防救援支队乌镇大队</w:t>
      </w:r>
      <w:r>
        <w:rPr>
          <w:rFonts w:hint="eastAsia" w:cs="宋体"/>
          <w:color w:val="000000" w:themeColor="text1"/>
          <w:sz w:val="21"/>
          <w:szCs w:val="21"/>
          <w:highlight w:val="none"/>
          <w14:textFill>
            <w14:solidFill>
              <w14:schemeClr w14:val="tx1"/>
            </w14:solidFill>
          </w14:textFill>
        </w:rPr>
        <w:t>委托，就</w:t>
      </w:r>
      <w:r>
        <w:rPr>
          <w:rFonts w:hint="eastAsia" w:cs="宋体"/>
          <w:b/>
          <w:bCs/>
          <w:color w:val="000000" w:themeColor="text1"/>
          <w:sz w:val="21"/>
          <w:szCs w:val="21"/>
          <w:highlight w:val="none"/>
          <w:u w:val="single"/>
          <w:lang w:eastAsia="zh-CN"/>
          <w14:textFill>
            <w14:solidFill>
              <w14:schemeClr w14:val="tx1"/>
            </w14:solidFill>
          </w14:textFill>
        </w:rPr>
        <w:t>浙江省嘉兴支队乌镇消防救援大队2023年度伙食集中配送采购项目</w:t>
      </w:r>
      <w:r>
        <w:rPr>
          <w:rFonts w:hint="eastAsia" w:cs="宋体"/>
          <w:color w:val="000000" w:themeColor="text1"/>
          <w:sz w:val="21"/>
          <w:szCs w:val="21"/>
          <w:highlight w:val="none"/>
          <w14:textFill>
            <w14:solidFill>
              <w14:schemeClr w14:val="tx1"/>
            </w14:solidFill>
          </w14:textFill>
        </w:rPr>
        <w:t>进行公开招标，欢迎国内合格的供应商前来投标。</w:t>
      </w:r>
    </w:p>
    <w:p>
      <w:pPr>
        <w:pStyle w:val="43"/>
        <w:numPr>
          <w:ilvl w:val="0"/>
          <w:numId w:val="1"/>
        </w:numPr>
        <w:spacing w:before="204" w:beforeAutospacing="0" w:after="204" w:afterAutospacing="0" w:line="360" w:lineRule="auto"/>
        <w:jc w:val="both"/>
        <w:rPr>
          <w:rStyle w:val="51"/>
          <w:rFonts w:cs="宋体"/>
          <w:color w:val="000000" w:themeColor="text1"/>
          <w:sz w:val="21"/>
          <w:szCs w:val="21"/>
          <w:highlight w:val="none"/>
          <w14:textFill>
            <w14:solidFill>
              <w14:schemeClr w14:val="tx1"/>
            </w14:solidFill>
          </w14:textFill>
        </w:rPr>
      </w:pPr>
      <w:r>
        <w:rPr>
          <w:rStyle w:val="51"/>
          <w:rFonts w:hint="eastAsia" w:cs="宋体"/>
          <w:color w:val="000000" w:themeColor="text1"/>
          <w:sz w:val="21"/>
          <w:szCs w:val="21"/>
          <w:highlight w:val="none"/>
          <w14:textFill>
            <w14:solidFill>
              <w14:schemeClr w14:val="tx1"/>
            </w14:solidFill>
          </w14:textFill>
        </w:rPr>
        <w:t>项目基本情况</w:t>
      </w:r>
    </w:p>
    <w:p>
      <w:pPr>
        <w:pStyle w:val="43"/>
        <w:snapToGrid w:val="0"/>
        <w:spacing w:before="204" w:beforeAutospacing="0" w:after="204" w:afterAutospacing="0" w:line="360" w:lineRule="auto"/>
        <w:contextualSpacing/>
        <w:jc w:val="both"/>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项目编号：</w:t>
      </w:r>
      <w:r>
        <w:rPr>
          <w:rFonts w:hint="eastAsia" w:cs="宋体"/>
          <w:color w:val="000000" w:themeColor="text1"/>
          <w:sz w:val="21"/>
          <w:szCs w:val="21"/>
          <w:highlight w:val="none"/>
          <w:lang w:eastAsia="zh-CN"/>
          <w14:textFill>
            <w14:solidFill>
              <w14:schemeClr w14:val="tx1"/>
            </w14:solidFill>
          </w14:textFill>
        </w:rPr>
        <w:t>嘉消采-GK2023017</w:t>
      </w:r>
      <w:r>
        <w:rPr>
          <w:rFonts w:hint="eastAsia" w:cs="宋体"/>
          <w:color w:val="000000" w:themeColor="text1"/>
          <w:sz w:val="21"/>
          <w:szCs w:val="21"/>
          <w:highlight w:val="none"/>
          <w14:textFill>
            <w14:solidFill>
              <w14:schemeClr w14:val="tx1"/>
            </w14:solidFill>
          </w14:textFill>
        </w:rPr>
        <w:t> </w:t>
      </w:r>
    </w:p>
    <w:p>
      <w:pPr>
        <w:pStyle w:val="43"/>
        <w:snapToGrid w:val="0"/>
        <w:spacing w:before="60" w:beforeAutospacing="0" w:after="60" w:afterAutospacing="0" w:line="360" w:lineRule="auto"/>
        <w:contextualSpacing/>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项目名称：</w:t>
      </w:r>
      <w:r>
        <w:rPr>
          <w:rFonts w:hint="eastAsia" w:cs="宋体"/>
          <w:color w:val="000000" w:themeColor="text1"/>
          <w:sz w:val="21"/>
          <w:szCs w:val="21"/>
          <w:highlight w:val="none"/>
          <w:lang w:eastAsia="zh-CN"/>
          <w14:textFill>
            <w14:solidFill>
              <w14:schemeClr w14:val="tx1"/>
            </w14:solidFill>
          </w14:textFill>
        </w:rPr>
        <w:t>浙江省嘉兴支队乌镇消防救援大队2023年度伙食集中配送采购项目</w:t>
      </w:r>
      <w:r>
        <w:rPr>
          <w:rFonts w:hint="eastAsia" w:cs="宋体"/>
          <w:color w:val="000000" w:themeColor="text1"/>
          <w:sz w:val="21"/>
          <w:szCs w:val="21"/>
          <w:highlight w:val="none"/>
          <w14:textFill>
            <w14:solidFill>
              <w14:schemeClr w14:val="tx1"/>
            </w14:solidFill>
          </w14:textFill>
        </w:rPr>
        <w:t xml:space="preserve"> </w:t>
      </w:r>
    </w:p>
    <w:p>
      <w:pPr>
        <w:pStyle w:val="43"/>
        <w:snapToGrid w:val="0"/>
        <w:spacing w:before="60" w:beforeAutospacing="0" w:after="60" w:afterAutospacing="0" w:line="360" w:lineRule="auto"/>
        <w:contextualSpacing/>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预算金额（元）：</w:t>
      </w:r>
      <w:r>
        <w:rPr>
          <w:rFonts w:hint="eastAsia" w:cs="宋体"/>
          <w:color w:val="000000" w:themeColor="text1"/>
          <w:sz w:val="21"/>
          <w:szCs w:val="21"/>
          <w:highlight w:val="none"/>
          <w:lang w:eastAsia="zh-CN"/>
          <w14:textFill>
            <w14:solidFill>
              <w14:schemeClr w14:val="tx1"/>
            </w14:solidFill>
          </w14:textFill>
        </w:rPr>
        <w:t>769100</w:t>
      </w:r>
      <w:r>
        <w:rPr>
          <w:rFonts w:hint="eastAsia" w:cs="宋体"/>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（根据上年度采购量估算供参考）</w:t>
      </w:r>
    </w:p>
    <w:p>
      <w:pPr>
        <w:pStyle w:val="43"/>
        <w:snapToGrid w:val="0"/>
        <w:spacing w:before="60" w:beforeAutospacing="0" w:after="60" w:afterAutospacing="0" w:line="360" w:lineRule="auto"/>
        <w:contextualSpacing/>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最高限价（折扣率）：100%</w:t>
      </w:r>
    </w:p>
    <w:p>
      <w:pPr>
        <w:pStyle w:val="43"/>
        <w:snapToGrid w:val="0"/>
        <w:spacing w:before="60" w:beforeAutospacing="0" w:after="60" w:afterAutospacing="0" w:line="360" w:lineRule="auto"/>
        <w:ind w:firstLine="630" w:firstLineChars="300"/>
        <w:contextualSpacing/>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采购需求：提供全年的食堂物品采购配送服务，详见采购需求</w:t>
      </w:r>
    </w:p>
    <w:p>
      <w:pPr>
        <w:pStyle w:val="43"/>
        <w:snapToGrid w:val="0"/>
        <w:spacing w:before="60" w:beforeAutospacing="0" w:after="60" w:afterAutospacing="0" w:line="360" w:lineRule="auto"/>
        <w:ind w:firstLine="630"/>
        <w:contextualSpacing/>
        <w:rPr>
          <w:rFonts w:hint="eastAsia"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合同履约期限：</w:t>
      </w:r>
      <w:r>
        <w:rPr>
          <w:rFonts w:cs="宋体"/>
          <w:color w:val="000000" w:themeColor="text1"/>
          <w:sz w:val="21"/>
          <w:szCs w:val="21"/>
          <w:highlight w:val="none"/>
          <w14:textFill>
            <w14:solidFill>
              <w14:schemeClr w14:val="tx1"/>
            </w14:solidFill>
          </w14:textFill>
        </w:rPr>
        <w:t xml:space="preserve"> </w:t>
      </w:r>
      <w:r>
        <w:rPr>
          <w:rFonts w:hint="eastAsia" w:cs="宋体"/>
          <w:color w:val="000000" w:themeColor="text1"/>
          <w:sz w:val="21"/>
          <w:szCs w:val="21"/>
          <w:highlight w:val="none"/>
          <w:lang w:eastAsia="zh-CN"/>
          <w14:textFill>
            <w14:solidFill>
              <w14:schemeClr w14:val="tx1"/>
            </w14:solidFill>
          </w14:textFill>
        </w:rPr>
        <w:t xml:space="preserve"> 合同签订后一年或配送金额达到合同金额（以先到为准），配送时间为2023年9月30日至2024年9月29日</w:t>
      </w:r>
    </w:p>
    <w:p>
      <w:pPr>
        <w:pStyle w:val="43"/>
        <w:spacing w:before="60" w:beforeAutospacing="0" w:after="60" w:afterAutospacing="0" w:line="360" w:lineRule="auto"/>
        <w:ind w:firstLine="630" w:firstLineChars="3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本项目（是/否）接受联合体投标: 否</w:t>
      </w:r>
    </w:p>
    <w:p>
      <w:pPr>
        <w:pStyle w:val="43"/>
        <w:spacing w:before="180" w:beforeAutospacing="0" w:after="180" w:afterAutospacing="0" w:line="360" w:lineRule="auto"/>
        <w:rPr>
          <w:rFonts w:cs="宋体"/>
          <w:color w:val="000000" w:themeColor="text1"/>
          <w:sz w:val="21"/>
          <w:szCs w:val="21"/>
          <w:highlight w:val="none"/>
          <w14:textFill>
            <w14:solidFill>
              <w14:schemeClr w14:val="tx1"/>
            </w14:solidFill>
          </w14:textFill>
        </w:rPr>
      </w:pPr>
      <w:r>
        <w:rPr>
          <w:rStyle w:val="51"/>
          <w:rFonts w:hint="eastAsia" w:cs="宋体"/>
          <w:color w:val="000000" w:themeColor="text1"/>
          <w:sz w:val="21"/>
          <w:szCs w:val="21"/>
          <w:highlight w:val="none"/>
          <w14:textFill>
            <w14:solidFill>
              <w14:schemeClr w14:val="tx1"/>
            </w14:solidFill>
          </w14:textFill>
        </w:rPr>
        <w:t>二、申请人的资格要求：</w:t>
      </w:r>
    </w:p>
    <w:p>
      <w:pPr>
        <w:pStyle w:val="43"/>
        <w:spacing w:before="60" w:beforeAutospacing="0" w:after="6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    2.落实政府采购政策需满足的资格要求：</w:t>
      </w:r>
    </w:p>
    <w:p>
      <w:pPr>
        <w:spacing w:line="360" w:lineRule="auto"/>
        <w:ind w:firstLine="218" w:firstLineChars="91"/>
        <w:rPr>
          <w:rFonts w:ascii="宋体" w:hAnsi="宋体" w:cs="宋体"/>
          <w:color w:val="000000" w:themeColor="text1"/>
          <w:kern w:val="0"/>
          <w:szCs w:val="2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928616923"/>
        </w:sdtPr>
        <w:sdtEndPr>
          <w:rPr>
            <w:rFonts w:hint="eastAsia" w:ascii="宋体" w:hAnsi="宋体" w:cs="宋体"/>
            <w:color w:val="000000" w:themeColor="text1"/>
            <w:kern w:val="0"/>
            <w:sz w:val="21"/>
            <w:szCs w:val="21"/>
            <w:highlight w:val="none"/>
            <w14:textFill>
              <w14:solidFill>
                <w14:schemeClr w14:val="tx1"/>
              </w14:solidFill>
            </w14:textFill>
          </w:rPr>
        </w:sdtEndPr>
        <w:sdtContent>
          <w:r>
            <w:rPr>
              <w:rFonts w:hint="eastAsia" w:ascii="宋体" w:hAnsi="宋体" w:cs="宋体"/>
              <w:color w:val="000000" w:themeColor="text1"/>
              <w:kern w:val="0"/>
              <w:szCs w:val="21"/>
              <w:highlight w:val="none"/>
              <w14:textFill>
                <w14:solidFill>
                  <w14:schemeClr w14:val="tx1"/>
                </w14:solidFill>
              </w14:textFill>
            </w:rPr>
            <w:t>☐</w:t>
          </w:r>
        </w:sdtContent>
      </w:sdt>
      <w:r>
        <w:rPr>
          <w:rFonts w:hint="eastAsia" w:ascii="宋体" w:hAnsi="宋体" w:cs="宋体"/>
          <w:color w:val="000000" w:themeColor="text1"/>
          <w:kern w:val="0"/>
          <w:szCs w:val="21"/>
          <w:highlight w:val="none"/>
          <w14:textFill>
            <w14:solidFill>
              <w14:schemeClr w14:val="tx1"/>
            </w14:solidFill>
          </w14:textFill>
        </w:rPr>
        <w:t>无（注：不得限制大中型企业与小微企业组成联合体参与投标）；</w:t>
      </w:r>
    </w:p>
    <w:p>
      <w:pPr>
        <w:spacing w:line="360" w:lineRule="auto"/>
        <w:ind w:firstLine="191" w:firstLineChars="91"/>
        <w:rPr>
          <w:rFonts w:ascii="宋体" w:hAnsi="宋体" w:cs="宋体"/>
          <w:color w:val="000000" w:themeColor="text1"/>
          <w:kern w:val="0"/>
          <w:szCs w:val="21"/>
          <w:highlight w:val="none"/>
          <w14:textFill>
            <w14:solidFill>
              <w14:schemeClr w14:val="tx1"/>
            </w14:solidFill>
          </w14:textFill>
        </w:rPr>
      </w:pPr>
      <w:sdt>
        <w:sdtPr>
          <w:rPr>
            <w:rFonts w:hint="eastAsia" w:ascii="宋体" w:hAnsi="宋体" w:cs="宋体"/>
            <w:color w:val="000000" w:themeColor="text1"/>
            <w:kern w:val="0"/>
            <w:szCs w:val="21"/>
            <w:highlight w:val="none"/>
            <w14:textFill>
              <w14:solidFill>
                <w14:schemeClr w14:val="tx1"/>
              </w14:solidFill>
            </w14:textFill>
          </w:rPr>
          <w:id w:val="-1024704304"/>
        </w:sdtPr>
        <w:sdtEndPr>
          <w:rPr>
            <w:rFonts w:hint="eastAsia" w:ascii="宋体" w:hAnsi="宋体" w:cs="宋体"/>
            <w:color w:val="000000" w:themeColor="text1"/>
            <w:kern w:val="0"/>
            <w:szCs w:val="21"/>
            <w:highlight w:val="none"/>
            <w14:textFill>
              <w14:solidFill>
                <w14:schemeClr w14:val="tx1"/>
              </w14:solidFill>
            </w14:textFill>
          </w:rPr>
        </w:sdtEndPr>
        <w:sdtContent>
          <w:r>
            <w:rPr>
              <w:rFonts w:ascii="Wingdings" w:hAnsi="Wingdings" w:cs="宋体"/>
              <w:color w:val="000000" w:themeColor="text1"/>
              <w:kern w:val="0"/>
              <w:szCs w:val="21"/>
              <w:highlight w:val="none"/>
              <w14:textFill>
                <w14:solidFill>
                  <w14:schemeClr w14:val="tx1"/>
                </w14:solidFill>
              </w14:textFill>
            </w:rPr>
            <w:t></w:t>
          </w:r>
        </w:sdtContent>
      </w:sdt>
      <w:r>
        <w:rPr>
          <w:rFonts w:hint="eastAsia" w:ascii="宋体" w:hAnsi="宋体" w:cs="宋体"/>
          <w:color w:val="000000" w:themeColor="text1"/>
          <w:kern w:val="0"/>
          <w:szCs w:val="21"/>
          <w:highlight w:val="none"/>
          <w14:textFill>
            <w14:solidFill>
              <w14:schemeClr w14:val="tx1"/>
            </w14:solidFill>
          </w14:textFill>
        </w:rPr>
        <w:t>专门面向中小企业</w:t>
      </w:r>
    </w:p>
    <w:p>
      <w:pPr>
        <w:spacing w:line="360" w:lineRule="auto"/>
        <w:ind w:firstLine="191" w:firstLineChars="91"/>
        <w:rPr>
          <w:rFonts w:ascii="宋体" w:hAnsi="宋体" w:cs="宋体"/>
          <w:color w:val="000000" w:themeColor="text1"/>
          <w:kern w:val="0"/>
          <w:szCs w:val="21"/>
          <w:highlight w:val="none"/>
          <w14:textFill>
            <w14:solidFill>
              <w14:schemeClr w14:val="tx1"/>
            </w14:solidFill>
          </w14:textFill>
        </w:rPr>
      </w:pPr>
      <w:sdt>
        <w:sdtPr>
          <w:rPr>
            <w:rFonts w:hint="eastAsia" w:ascii="宋体" w:hAnsi="宋体" w:cs="宋体"/>
            <w:color w:val="000000" w:themeColor="text1"/>
            <w:kern w:val="0"/>
            <w:szCs w:val="21"/>
            <w:highlight w:val="none"/>
            <w14:textFill>
              <w14:solidFill>
                <w14:schemeClr w14:val="tx1"/>
              </w14:solidFill>
            </w14:textFill>
          </w:rPr>
          <w:id w:val="-924730588"/>
        </w:sdtPr>
        <w:sdtEndPr>
          <w:rPr>
            <w:rFonts w:hint="eastAsia" w:ascii="宋体" w:hAnsi="宋体" w:cs="宋体"/>
            <w:color w:val="000000" w:themeColor="text1"/>
            <w:kern w:val="0"/>
            <w:szCs w:val="21"/>
            <w:highlight w:val="none"/>
            <w14:textFill>
              <w14:solidFill>
                <w14:schemeClr w14:val="tx1"/>
              </w14:solidFill>
            </w14:textFill>
          </w:rPr>
        </w:sdtEndPr>
        <w:sdtContent>
          <w:r>
            <w:rPr>
              <w:rFonts w:hint="eastAsia" w:ascii="宋体" w:hAnsi="宋体" w:cs="宋体"/>
              <w:color w:val="000000" w:themeColor="text1"/>
              <w:kern w:val="0"/>
              <w:szCs w:val="21"/>
              <w:highlight w:val="none"/>
              <w14:textFill>
                <w14:solidFill>
                  <w14:schemeClr w14:val="tx1"/>
                </w14:solidFill>
              </w14:textFill>
            </w:rPr>
            <w:t>☐</w:t>
          </w:r>
        </w:sdtContent>
      </w:sdt>
      <w:r>
        <w:rPr>
          <w:rFonts w:hint="eastAsia" w:ascii="宋体" w:hAnsi="宋体" w:cs="宋体"/>
          <w:color w:val="000000" w:themeColor="text1"/>
          <w:kern w:val="0"/>
          <w:szCs w:val="21"/>
          <w:highlight w:val="none"/>
          <w14:textFill>
            <w14:solidFill>
              <w14:schemeClr w14:val="tx1"/>
            </w14:solidFill>
          </w14:textFill>
        </w:rPr>
        <w:t>服务全部由符合政策要求的中小企业提供，提供中小企业声明函；</w:t>
      </w:r>
    </w:p>
    <w:p>
      <w:pPr>
        <w:spacing w:line="360" w:lineRule="auto"/>
        <w:ind w:firstLine="191" w:firstLineChars="91"/>
        <w:rPr>
          <w:rFonts w:ascii="宋体" w:hAnsi="宋体" w:cs="宋体"/>
          <w:color w:val="000000" w:themeColor="text1"/>
          <w:kern w:val="0"/>
          <w:szCs w:val="21"/>
          <w:highlight w:val="none"/>
          <w14:textFill>
            <w14:solidFill>
              <w14:schemeClr w14:val="tx1"/>
            </w14:solidFill>
          </w14:textFill>
        </w:rPr>
      </w:pPr>
      <w:sdt>
        <w:sdtPr>
          <w:rPr>
            <w:rFonts w:hint="eastAsia" w:ascii="宋体" w:hAnsi="宋体" w:cs="宋体"/>
            <w:color w:val="000000" w:themeColor="text1"/>
            <w:kern w:val="0"/>
            <w:szCs w:val="21"/>
            <w:highlight w:val="none"/>
            <w14:textFill>
              <w14:solidFill>
                <w14:schemeClr w14:val="tx1"/>
              </w14:solidFill>
            </w14:textFill>
          </w:rPr>
          <w:id w:val="-1152604937"/>
        </w:sdtPr>
        <w:sdtEndPr>
          <w:rPr>
            <w:rFonts w:hint="eastAsia" w:ascii="宋体" w:hAnsi="宋体" w:cs="宋体"/>
            <w:color w:val="000000" w:themeColor="text1"/>
            <w:kern w:val="0"/>
            <w:szCs w:val="21"/>
            <w:highlight w:val="none"/>
            <w14:textFill>
              <w14:solidFill>
                <w14:schemeClr w14:val="tx1"/>
              </w14:solidFill>
            </w14:textFill>
          </w:rPr>
        </w:sdtEndPr>
        <w:sdtContent>
          <w:r>
            <w:rPr>
              <w:rFonts w:hint="eastAsia" w:ascii="宋体" w:hAnsi="宋体" w:cs="宋体"/>
              <w:color w:val="000000" w:themeColor="text1"/>
              <w:kern w:val="0"/>
              <w:szCs w:val="21"/>
              <w:highlight w:val="none"/>
              <w14:textFill>
                <w14:solidFill>
                  <w14:schemeClr w14:val="tx1"/>
                </w14:solidFill>
              </w14:textFill>
            </w:rPr>
            <w:t>☐</w:t>
          </w:r>
        </w:sdtContent>
      </w:sdt>
      <w:r>
        <w:rPr>
          <w:rFonts w:hint="eastAsia" w:ascii="宋体" w:hAnsi="宋体" w:cs="宋体"/>
          <w:color w:val="000000" w:themeColor="text1"/>
          <w:kern w:val="0"/>
          <w:szCs w:val="21"/>
          <w:highlight w:val="none"/>
          <w14:textFill>
            <w14:solidFill>
              <w14:schemeClr w14:val="tx1"/>
            </w14:solidFill>
          </w14:textFill>
        </w:rPr>
        <w:t>服务全部由符合政策要求的小微企业提供，提供中小企业声明函；</w:t>
      </w:r>
    </w:p>
    <w:p>
      <w:pPr>
        <w:spacing w:line="360" w:lineRule="auto"/>
        <w:ind w:firstLine="191" w:firstLineChars="91"/>
        <w:rPr>
          <w:rFonts w:ascii="宋体" w:hAnsi="宋体" w:cs="宋体"/>
          <w:color w:val="000000" w:themeColor="text1"/>
          <w:kern w:val="0"/>
          <w:szCs w:val="21"/>
          <w:highlight w:val="none"/>
          <w14:textFill>
            <w14:solidFill>
              <w14:schemeClr w14:val="tx1"/>
            </w14:solidFill>
          </w14:textFill>
        </w:rPr>
      </w:pPr>
      <w:sdt>
        <w:sdtPr>
          <w:rPr>
            <w:rFonts w:hint="eastAsia" w:ascii="宋体" w:hAnsi="宋体" w:cs="宋体"/>
            <w:color w:val="000000" w:themeColor="text1"/>
            <w:kern w:val="0"/>
            <w:szCs w:val="21"/>
            <w:highlight w:val="none"/>
            <w14:textFill>
              <w14:solidFill>
                <w14:schemeClr w14:val="tx1"/>
              </w14:solidFill>
            </w14:textFill>
          </w:rPr>
          <w:id w:val="-1985607795"/>
        </w:sdtPr>
        <w:sdtEndPr>
          <w:rPr>
            <w:rFonts w:hint="eastAsia" w:ascii="宋体" w:hAnsi="宋体" w:cs="宋体"/>
            <w:color w:val="000000" w:themeColor="text1"/>
            <w:kern w:val="0"/>
            <w:szCs w:val="21"/>
            <w:highlight w:val="none"/>
            <w14:textFill>
              <w14:solidFill>
                <w14:schemeClr w14:val="tx1"/>
              </w14:solidFill>
            </w14:textFill>
          </w:rPr>
        </w:sdtEndPr>
        <w:sdtContent>
          <w:r>
            <w:rPr>
              <w:rFonts w:hint="eastAsia" w:ascii="宋体" w:hAnsi="宋体" w:cs="宋体"/>
              <w:color w:val="000000" w:themeColor="text1"/>
              <w:kern w:val="0"/>
              <w:szCs w:val="21"/>
              <w:highlight w:val="none"/>
              <w14:textFill>
                <w14:solidFill>
                  <w14:schemeClr w14:val="tx1"/>
                </w14:solidFill>
              </w14:textFill>
            </w:rPr>
            <w:t>☐</w:t>
          </w:r>
        </w:sdtContent>
      </w:sdt>
      <w:r>
        <w:rPr>
          <w:rFonts w:hint="eastAsia" w:ascii="宋体" w:hAnsi="宋体" w:cs="宋体"/>
          <w:color w:val="000000" w:themeColor="text1"/>
          <w:kern w:val="0"/>
          <w:szCs w:val="21"/>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%，其中小微企业合同金额应当达到</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w:t>
      </w:r>
      <w:sdt>
        <w:sdtPr>
          <w:rPr>
            <w:rFonts w:hint="eastAsia" w:ascii="宋体" w:hAnsi="宋体" w:cs="宋体"/>
            <w:color w:val="000000" w:themeColor="text1"/>
            <w:kern w:val="0"/>
            <w:szCs w:val="21"/>
            <w:highlight w:val="none"/>
            <w14:textFill>
              <w14:solidFill>
                <w14:schemeClr w14:val="tx1"/>
              </w14:solidFill>
            </w14:textFill>
          </w:rPr>
          <w:id w:val="34630645"/>
        </w:sdtPr>
        <w:sdtEndPr>
          <w:rPr>
            <w:rFonts w:hint="eastAsia" w:ascii="宋体" w:hAnsi="宋体" w:cs="宋体"/>
            <w:color w:val="000000" w:themeColor="text1"/>
            <w:kern w:val="0"/>
            <w:szCs w:val="21"/>
            <w:highlight w:val="none"/>
            <w14:textFill>
              <w14:solidFill>
                <w14:schemeClr w14:val="tx1"/>
              </w14:solidFill>
            </w14:textFill>
          </w:rPr>
        </w:sdtEndPr>
        <w:sdtContent>
          <w:r>
            <w:rPr>
              <w:rFonts w:hint="eastAsia" w:ascii="宋体" w:hAnsi="宋体" w:cs="宋体"/>
              <w:color w:val="000000" w:themeColor="text1"/>
              <w:kern w:val="0"/>
              <w:szCs w:val="21"/>
              <w:highlight w:val="none"/>
              <w14:textFill>
                <w14:solidFill>
                  <w14:schemeClr w14:val="tx1"/>
                </w14:solidFill>
              </w14:textFill>
            </w:rPr>
            <w:t>☐</w:t>
          </w:r>
        </w:sdtContent>
      </w:sdt>
      <w:r>
        <w:rPr>
          <w:rFonts w:hint="eastAsia" w:ascii="宋体" w:hAnsi="宋体" w:cs="宋体"/>
          <w:color w:val="000000" w:themeColor="text1"/>
          <w:kern w:val="0"/>
          <w:szCs w:val="21"/>
          <w:highlight w:val="none"/>
          <w14:textFill>
            <w14:solidFill>
              <w14:schemeClr w14:val="tx1"/>
            </w14:solidFill>
          </w14:textFill>
        </w:rPr>
        <w:t>要求合同分包，提供分包意向协议和中小企业声明函，分包意向协议中中小企业合同金额应当达到</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，其中小微企业合同金额应当达到</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;如果供应商本身提供所有标的均由中小企业制造、承建或承接，并相应达到了前述比例要求，视同符合了资格条件，无需再向中小企业分包，无需提供分包意向协议；</w:t>
      </w:r>
    </w:p>
    <w:p>
      <w:pPr>
        <w:pStyle w:val="43"/>
        <w:spacing w:before="60" w:beforeAutospacing="0" w:after="60" w:afterAutospacing="0" w:line="360" w:lineRule="auto"/>
        <w:ind w:firstLine="63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3.本项目的特定资格要求：无</w:t>
      </w:r>
    </w:p>
    <w:p>
      <w:pPr>
        <w:pStyle w:val="43"/>
        <w:spacing w:before="204" w:beforeAutospacing="0" w:after="204" w:afterAutospacing="0" w:line="360" w:lineRule="auto"/>
        <w:jc w:val="both"/>
        <w:rPr>
          <w:rFonts w:cs="宋体"/>
          <w:color w:val="000000" w:themeColor="text1"/>
          <w:sz w:val="21"/>
          <w:szCs w:val="21"/>
          <w:highlight w:val="none"/>
          <w14:textFill>
            <w14:solidFill>
              <w14:schemeClr w14:val="tx1"/>
            </w14:solidFill>
          </w14:textFill>
        </w:rPr>
      </w:pPr>
      <w:r>
        <w:rPr>
          <w:rStyle w:val="51"/>
          <w:rFonts w:hint="eastAsia" w:cs="宋体"/>
          <w:color w:val="000000" w:themeColor="text1"/>
          <w:sz w:val="21"/>
          <w:szCs w:val="21"/>
          <w:highlight w:val="none"/>
          <w14:textFill>
            <w14:solidFill>
              <w14:schemeClr w14:val="tx1"/>
            </w14:solidFill>
          </w14:textFill>
        </w:rPr>
        <w:t>三、获取招标文件方式</w:t>
      </w:r>
      <w:r>
        <w:rPr>
          <w:rFonts w:hint="eastAsia" w:cs="宋体"/>
          <w:color w:val="000000" w:themeColor="text1"/>
          <w:sz w:val="21"/>
          <w:szCs w:val="21"/>
          <w:highlight w:val="none"/>
          <w14:textFill>
            <w14:solidFill>
              <w14:schemeClr w14:val="tx1"/>
            </w14:solidFill>
          </w14:textFill>
        </w:rPr>
        <w:t> </w:t>
      </w:r>
    </w:p>
    <w:p>
      <w:pPr>
        <w:pStyle w:val="43"/>
        <w:spacing w:before="60" w:beforeAutospacing="0" w:after="6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r>
        <w:rPr>
          <w:rFonts w:hint="eastAsia" w:cs="宋体"/>
          <w:color w:val="000000" w:themeColor="text1"/>
          <w:sz w:val="21"/>
          <w:szCs w:val="21"/>
          <w:highlight w:val="none"/>
          <w:lang w:val="en-US" w:eastAsia="zh-CN"/>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 </w:t>
      </w:r>
      <w:r>
        <w:rPr>
          <w:rFonts w:hint="eastAsia" w:cs="宋体"/>
          <w:b/>
          <w:bCs/>
          <w:color w:val="000000" w:themeColor="text1"/>
          <w:sz w:val="21"/>
          <w:szCs w:val="21"/>
          <w:highlight w:val="none"/>
          <w14:textFill>
            <w14:solidFill>
              <w14:schemeClr w14:val="tx1"/>
            </w14:solidFill>
          </w14:textFill>
        </w:rPr>
        <w:t>1.时间：</w:t>
      </w:r>
      <w:r>
        <w:rPr>
          <w:rFonts w:hint="eastAsia" w:cs="宋体"/>
          <w:color w:val="000000" w:themeColor="text1"/>
          <w:sz w:val="21"/>
          <w:szCs w:val="21"/>
          <w:highlight w:val="none"/>
          <w14:textFill>
            <w14:solidFill>
              <w14:schemeClr w14:val="tx1"/>
            </w14:solidFill>
          </w14:textFill>
        </w:rPr>
        <w:t>2023年</w:t>
      </w:r>
      <w:r>
        <w:rPr>
          <w:rFonts w:hint="eastAsia" w:cs="宋体"/>
          <w:color w:val="000000" w:themeColor="text1"/>
          <w:sz w:val="21"/>
          <w:szCs w:val="21"/>
          <w:highlight w:val="none"/>
          <w:lang w:val="en-US" w:eastAsia="zh-CN"/>
          <w14:textFill>
            <w14:solidFill>
              <w14:schemeClr w14:val="tx1"/>
            </w14:solidFill>
          </w14:textFill>
        </w:rPr>
        <w:t>8</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lang w:val="en-US" w:eastAsia="zh-CN"/>
          <w14:textFill>
            <w14:solidFill>
              <w14:schemeClr w14:val="tx1"/>
            </w14:solidFill>
          </w14:textFill>
        </w:rPr>
        <w:t>24</w:t>
      </w:r>
      <w:r>
        <w:rPr>
          <w:rFonts w:hint="eastAsia" w:cs="宋体"/>
          <w:color w:val="000000" w:themeColor="text1"/>
          <w:sz w:val="21"/>
          <w:szCs w:val="21"/>
          <w:highlight w:val="none"/>
          <w14:textFill>
            <w14:solidFill>
              <w14:schemeClr w14:val="tx1"/>
            </w14:solidFill>
          </w14:textFill>
        </w:rPr>
        <w:t>日至2023年</w:t>
      </w:r>
      <w:r>
        <w:rPr>
          <w:rFonts w:hint="eastAsia" w:cs="宋体"/>
          <w:color w:val="000000" w:themeColor="text1"/>
          <w:sz w:val="21"/>
          <w:szCs w:val="21"/>
          <w:highlight w:val="none"/>
          <w:lang w:val="en-US" w:eastAsia="zh-CN"/>
          <w14:textFill>
            <w14:solidFill>
              <w14:schemeClr w14:val="tx1"/>
            </w14:solidFill>
          </w14:textFill>
        </w:rPr>
        <w:t>9</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lang w:val="en-US" w:eastAsia="zh-CN"/>
          <w14:textFill>
            <w14:solidFill>
              <w14:schemeClr w14:val="tx1"/>
            </w14:solidFill>
          </w14:textFill>
        </w:rPr>
        <w:t>12</w:t>
      </w:r>
      <w:r>
        <w:rPr>
          <w:rFonts w:hint="eastAsia" w:cs="宋体"/>
          <w:color w:val="000000" w:themeColor="text1"/>
          <w:sz w:val="21"/>
          <w:szCs w:val="21"/>
          <w:highlight w:val="none"/>
          <w14:textFill>
            <w14:solidFill>
              <w14:schemeClr w14:val="tx1"/>
            </w14:solidFill>
          </w14:textFill>
        </w:rPr>
        <w:t>日 ，每天9：00—17：00（北京时间，法定节假日除外）</w:t>
      </w:r>
    </w:p>
    <w:p>
      <w:pPr>
        <w:pStyle w:val="43"/>
        <w:spacing w:before="60" w:beforeAutospacing="0" w:after="60" w:afterAutospacing="0" w:line="360" w:lineRule="auto"/>
        <w:ind w:firstLine="632" w:firstLineChars="300"/>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2.获取地点：</w:t>
      </w:r>
      <w:r>
        <w:rPr>
          <w:rFonts w:hint="eastAsia" w:cs="宋体"/>
          <w:color w:val="000000" w:themeColor="text1"/>
          <w:sz w:val="21"/>
          <w:szCs w:val="21"/>
          <w:highlight w:val="none"/>
          <w14:textFill>
            <w14:solidFill>
              <w14:schemeClr w14:val="tx1"/>
            </w14:solidFill>
          </w14:textFill>
        </w:rPr>
        <w:t>浙江天钫工程管理咨询有限公司（浙江省嘉兴市秀洲区新城街道秀洲大道138号未来科技广场E座902-2室）</w:t>
      </w:r>
    </w:p>
    <w:p>
      <w:pPr>
        <w:pStyle w:val="43"/>
        <w:spacing w:before="60" w:beforeAutospacing="0" w:after="60" w:afterAutospacing="0" w:line="360" w:lineRule="auto"/>
        <w:ind w:firstLine="632" w:firstLineChars="300"/>
        <w:rPr>
          <w:rFonts w:hint="eastAsia"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3.方式：</w:t>
      </w:r>
      <w:r>
        <w:rPr>
          <w:rFonts w:hint="eastAsia" w:cs="宋体"/>
          <w:color w:val="000000" w:themeColor="text1"/>
          <w:sz w:val="21"/>
          <w:szCs w:val="21"/>
          <w:highlight w:val="none"/>
          <w14:textFill>
            <w14:solidFill>
              <w14:schemeClr w14:val="tx1"/>
            </w14:solidFill>
          </w14:textFill>
        </w:rPr>
        <w:t>现场或将报名资料发送到邮箱</w:t>
      </w:r>
      <w:r>
        <w:rPr>
          <w:rFonts w:hint="eastAsia" w:cs="宋体"/>
          <w:color w:val="000000" w:themeColor="text1"/>
          <w:sz w:val="21"/>
          <w:szCs w:val="21"/>
          <w:highlight w:val="none"/>
          <w:lang w:eastAsia="zh-CN"/>
          <w14:textFill>
            <w14:solidFill>
              <w14:schemeClr w14:val="tx1"/>
            </w14:solidFill>
          </w14:textFill>
        </w:rPr>
        <w:t>1127602671</w:t>
      </w:r>
      <w:r>
        <w:rPr>
          <w:rFonts w:hint="eastAsia" w:cs="宋体"/>
          <w:color w:val="000000" w:themeColor="text1"/>
          <w:sz w:val="21"/>
          <w:szCs w:val="21"/>
          <w:highlight w:val="none"/>
          <w14:textFill>
            <w14:solidFill>
              <w14:schemeClr w14:val="tx1"/>
            </w14:solidFill>
          </w14:textFill>
        </w:rPr>
        <w:t>@qq.com</w:t>
      </w:r>
    </w:p>
    <w:p>
      <w:pPr>
        <w:pStyle w:val="43"/>
        <w:spacing w:before="60" w:beforeAutospacing="0" w:after="60" w:afterAutospacing="0" w:line="360" w:lineRule="auto"/>
        <w:ind w:firstLine="632" w:firstLineChars="300"/>
        <w:rPr>
          <w:rFonts w:hint="eastAsia"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4. 招标文件工本费</w:t>
      </w: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14:textFill>
            <w14:solidFill>
              <w14:schemeClr w14:val="tx1"/>
            </w14:solidFill>
          </w14:textFill>
        </w:rPr>
        <w:t>人民币500元，请投标单位将此费用转账到以下账户：</w:t>
      </w:r>
    </w:p>
    <w:p>
      <w:pPr>
        <w:pStyle w:val="43"/>
        <w:spacing w:before="60" w:beforeAutospacing="0" w:after="60" w:afterAutospacing="0" w:line="360" w:lineRule="auto"/>
        <w:ind w:firstLine="630" w:firstLineChars="3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开户名称：浙江天钫工程管理咨询有限公司嘉兴分公司</w:t>
      </w:r>
    </w:p>
    <w:p>
      <w:pPr>
        <w:pStyle w:val="43"/>
        <w:spacing w:before="60" w:beforeAutospacing="0" w:after="60" w:afterAutospacing="0" w:line="360" w:lineRule="auto"/>
        <w:ind w:firstLine="630" w:firstLineChars="3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开户银行：中国农业银行嘉兴秀洲新区支行</w:t>
      </w:r>
    </w:p>
    <w:p>
      <w:pPr>
        <w:pStyle w:val="43"/>
        <w:spacing w:before="60" w:beforeAutospacing="0" w:after="60" w:afterAutospacing="0" w:line="360" w:lineRule="auto"/>
        <w:ind w:firstLine="630" w:firstLineChars="3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账号：19320401040017405</w:t>
      </w:r>
    </w:p>
    <w:p>
      <w:pPr>
        <w:pStyle w:val="43"/>
        <w:spacing w:before="60" w:beforeAutospacing="0" w:after="60" w:afterAutospacing="0"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转账成功后请将介绍信或法定代表人授权书、被授权人身份证、有效的营业执照、《食品经营许可证》（复印件加盖单位公章）和转账截屏、开票信息发送至邮箱</w:t>
      </w:r>
      <w:r>
        <w:rPr>
          <w:rFonts w:hint="eastAsia" w:cs="宋体"/>
          <w:color w:val="000000" w:themeColor="text1"/>
          <w:sz w:val="21"/>
          <w:szCs w:val="21"/>
          <w:highlight w:val="none"/>
          <w:lang w:eastAsia="zh-CN"/>
          <w14:textFill>
            <w14:solidFill>
              <w14:schemeClr w14:val="tx1"/>
            </w14:solidFill>
          </w14:textFill>
        </w:rPr>
        <w:t>1127602671</w:t>
      </w:r>
      <w:r>
        <w:rPr>
          <w:rFonts w:hint="eastAsia" w:cs="宋体"/>
          <w:color w:val="000000" w:themeColor="text1"/>
          <w:sz w:val="21"/>
          <w:szCs w:val="21"/>
          <w:highlight w:val="none"/>
          <w14:textFill>
            <w14:solidFill>
              <w14:schemeClr w14:val="tx1"/>
            </w14:solidFill>
          </w14:textFill>
        </w:rPr>
        <w:t>@qq.com，代理机构确认后将电子版招标文件发送给投标单位。</w:t>
      </w:r>
    </w:p>
    <w:p>
      <w:pPr>
        <w:pStyle w:val="43"/>
        <w:spacing w:before="204" w:beforeAutospacing="0" w:after="204" w:afterAutospacing="0" w:line="360" w:lineRule="auto"/>
        <w:jc w:val="both"/>
        <w:rPr>
          <w:rFonts w:cs="宋体"/>
          <w:color w:val="000000" w:themeColor="text1"/>
          <w:sz w:val="21"/>
          <w:szCs w:val="21"/>
          <w:highlight w:val="none"/>
          <w14:textFill>
            <w14:solidFill>
              <w14:schemeClr w14:val="tx1"/>
            </w14:solidFill>
          </w14:textFill>
        </w:rPr>
      </w:pPr>
      <w:r>
        <w:rPr>
          <w:rStyle w:val="51"/>
          <w:rFonts w:hint="eastAsia" w:cs="宋体"/>
          <w:color w:val="000000" w:themeColor="text1"/>
          <w:sz w:val="21"/>
          <w:szCs w:val="21"/>
          <w:highlight w:val="none"/>
          <w14:textFill>
            <w14:solidFill>
              <w14:schemeClr w14:val="tx1"/>
            </w14:solidFill>
          </w14:textFill>
        </w:rPr>
        <w:t>四、提交投标文件截止时间、开标时间和地点</w:t>
      </w:r>
    </w:p>
    <w:p>
      <w:pPr>
        <w:pStyle w:val="43"/>
        <w:spacing w:before="60" w:beforeAutospacing="0" w:after="60" w:afterAutospacing="0"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1.提交投标文件截止时间及地点：投标人应于2023年</w:t>
      </w:r>
      <w:r>
        <w:rPr>
          <w:rFonts w:hint="eastAsia" w:cs="宋体"/>
          <w:color w:val="000000" w:themeColor="text1"/>
          <w:sz w:val="21"/>
          <w:szCs w:val="21"/>
          <w:highlight w:val="none"/>
          <w:lang w:eastAsia="zh-CN"/>
          <w14:textFill>
            <w14:solidFill>
              <w14:schemeClr w14:val="tx1"/>
            </w14:solidFill>
          </w14:textFill>
        </w:rPr>
        <w:t>9月13日9：00分</w:t>
      </w:r>
      <w:r>
        <w:rPr>
          <w:rFonts w:hint="eastAsia" w:cs="宋体"/>
          <w:color w:val="000000" w:themeColor="text1"/>
          <w:sz w:val="21"/>
          <w:szCs w:val="21"/>
          <w:highlight w:val="none"/>
          <w14:textFill>
            <w14:solidFill>
              <w14:schemeClr w14:val="tx1"/>
            </w14:solidFill>
          </w14:textFill>
        </w:rPr>
        <w:t>（北京时间）前将投标文件密封送交到浙江天钫工程管理咨询有限公司（浙江省嘉兴市秀洲区新城街道秀洲大道138号未来科技广场E座902-2室），逾期送达不予接收。</w:t>
      </w:r>
      <w:r>
        <w:rPr>
          <w:rFonts w:hint="eastAsia" w:cs="宋体"/>
          <w:b/>
          <w:color w:val="000000" w:themeColor="text1"/>
          <w:sz w:val="21"/>
          <w:szCs w:val="21"/>
          <w:highlight w:val="none"/>
          <w14:textFill>
            <w14:solidFill>
              <w14:schemeClr w14:val="tx1"/>
            </w14:solidFill>
          </w14:textFill>
        </w:rPr>
        <w:t>请各投标人全程佩戴口罩，送达文件后迅速离场。</w:t>
      </w:r>
    </w:p>
    <w:p>
      <w:pPr>
        <w:pStyle w:val="43"/>
        <w:spacing w:before="60" w:beforeAutospacing="0" w:after="60" w:afterAutospacing="0"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2.开标时间：2</w:t>
      </w:r>
      <w:r>
        <w:rPr>
          <w:rFonts w:cs="宋体"/>
          <w:color w:val="000000" w:themeColor="text1"/>
          <w:sz w:val="21"/>
          <w:szCs w:val="21"/>
          <w:highlight w:val="none"/>
          <w14:textFill>
            <w14:solidFill>
              <w14:schemeClr w14:val="tx1"/>
            </w14:solidFill>
          </w14:textFill>
        </w:rPr>
        <w:t>023</w:t>
      </w:r>
      <w:r>
        <w:rPr>
          <w:rFonts w:hint="eastAsia" w:cs="宋体"/>
          <w:color w:val="000000" w:themeColor="text1"/>
          <w:sz w:val="21"/>
          <w:szCs w:val="21"/>
          <w:highlight w:val="none"/>
          <w14:textFill>
            <w14:solidFill>
              <w14:schemeClr w14:val="tx1"/>
            </w14:solidFill>
          </w14:textFill>
        </w:rPr>
        <w:t>年</w:t>
      </w:r>
      <w:r>
        <w:rPr>
          <w:rFonts w:hint="eastAsia" w:cs="宋体"/>
          <w:color w:val="000000" w:themeColor="text1"/>
          <w:sz w:val="21"/>
          <w:szCs w:val="21"/>
          <w:highlight w:val="none"/>
          <w:lang w:val="en-US" w:eastAsia="zh-CN"/>
          <w14:textFill>
            <w14:solidFill>
              <w14:schemeClr w14:val="tx1"/>
            </w14:solidFill>
          </w14:textFill>
        </w:rPr>
        <w:t>9</w:t>
      </w:r>
      <w:r>
        <w:rPr>
          <w:rFonts w:hint="eastAsia" w:cs="宋体"/>
          <w:color w:val="000000" w:themeColor="text1"/>
          <w:sz w:val="21"/>
          <w:szCs w:val="21"/>
          <w:highlight w:val="none"/>
          <w14:textFill>
            <w14:solidFill>
              <w14:schemeClr w14:val="tx1"/>
            </w14:solidFill>
          </w14:textFill>
        </w:rPr>
        <w:t>月</w:t>
      </w:r>
      <w:r>
        <w:rPr>
          <w:rFonts w:hint="eastAsia" w:cs="宋体"/>
          <w:color w:val="000000" w:themeColor="text1"/>
          <w:sz w:val="21"/>
          <w:szCs w:val="21"/>
          <w:highlight w:val="none"/>
          <w:lang w:val="en-US" w:eastAsia="zh-CN"/>
          <w14:textFill>
            <w14:solidFill>
              <w14:schemeClr w14:val="tx1"/>
            </w14:solidFill>
          </w14:textFill>
        </w:rPr>
        <w:t>13</w:t>
      </w:r>
      <w:r>
        <w:rPr>
          <w:rFonts w:hint="eastAsia" w:cs="宋体"/>
          <w:color w:val="000000" w:themeColor="text1"/>
          <w:sz w:val="21"/>
          <w:szCs w:val="21"/>
          <w:highlight w:val="none"/>
          <w14:textFill>
            <w14:solidFill>
              <w14:schemeClr w14:val="tx1"/>
            </w14:solidFill>
          </w14:textFill>
        </w:rPr>
        <w:t>日</w:t>
      </w:r>
      <w:r>
        <w:rPr>
          <w:rFonts w:hint="eastAsia" w:cs="宋体"/>
          <w:color w:val="000000" w:themeColor="text1"/>
          <w:sz w:val="21"/>
          <w:szCs w:val="21"/>
          <w:highlight w:val="none"/>
          <w:lang w:val="en-US" w:eastAsia="zh-CN"/>
          <w14:textFill>
            <w14:solidFill>
              <w14:schemeClr w14:val="tx1"/>
            </w14:solidFill>
          </w14:textFill>
        </w:rPr>
        <w:t>9</w:t>
      </w:r>
      <w:r>
        <w:rPr>
          <w:rFonts w:hint="eastAsia" w:cs="宋体"/>
          <w:color w:val="000000" w:themeColor="text1"/>
          <w:sz w:val="21"/>
          <w:szCs w:val="21"/>
          <w:highlight w:val="none"/>
          <w14:textFill>
            <w14:solidFill>
              <w14:schemeClr w14:val="tx1"/>
            </w14:solidFill>
          </w14:textFill>
        </w:rPr>
        <w:t>时</w:t>
      </w:r>
      <w:r>
        <w:rPr>
          <w:rFonts w:hint="eastAsia" w:cs="宋体"/>
          <w:color w:val="000000" w:themeColor="text1"/>
          <w:sz w:val="21"/>
          <w:szCs w:val="21"/>
          <w:highlight w:val="none"/>
          <w:lang w:val="en-US" w:eastAsia="zh-CN"/>
          <w14:textFill>
            <w14:solidFill>
              <w14:schemeClr w14:val="tx1"/>
            </w14:solidFill>
          </w14:textFill>
        </w:rPr>
        <w:t>30</w:t>
      </w:r>
      <w:r>
        <w:rPr>
          <w:rFonts w:hint="eastAsia" w:cs="宋体"/>
          <w:color w:val="000000" w:themeColor="text1"/>
          <w:sz w:val="21"/>
          <w:szCs w:val="21"/>
          <w:highlight w:val="none"/>
          <w14:textFill>
            <w14:solidFill>
              <w14:schemeClr w14:val="tx1"/>
            </w14:solidFill>
          </w14:textFill>
        </w:rPr>
        <w:t>分（北京时间）</w:t>
      </w:r>
    </w:p>
    <w:p>
      <w:pPr>
        <w:pStyle w:val="43"/>
        <w:spacing w:before="60" w:beforeAutospacing="0" w:after="60" w:afterAutospacing="0" w:line="360" w:lineRule="auto"/>
        <w:ind w:firstLine="420" w:firstLineChars="200"/>
        <w:rPr>
          <w:rFonts w:cs="宋体"/>
          <w:color w:val="000000" w:themeColor="text1"/>
          <w:sz w:val="21"/>
          <w:szCs w:val="21"/>
          <w:highlight w:val="none"/>
          <w14:textFill>
            <w14:solidFill>
              <w14:schemeClr w14:val="tx1"/>
            </w14:solidFill>
          </w14:textFill>
        </w:rPr>
      </w:pPr>
      <w:r>
        <w:rPr>
          <w:rFonts w:cs="宋体"/>
          <w:color w:val="000000" w:themeColor="text1"/>
          <w:sz w:val="21"/>
          <w:szCs w:val="21"/>
          <w:highlight w:val="none"/>
          <w14:textFill>
            <w14:solidFill>
              <w14:schemeClr w14:val="tx1"/>
            </w14:solidFill>
          </w14:textFill>
        </w:rPr>
        <w:t>3</w:t>
      </w:r>
      <w:r>
        <w:rPr>
          <w:rFonts w:hint="eastAsia" w:cs="宋体"/>
          <w:color w:val="000000" w:themeColor="text1"/>
          <w:sz w:val="21"/>
          <w:szCs w:val="21"/>
          <w:highlight w:val="none"/>
          <w14:textFill>
            <w14:solidFill>
              <w14:schemeClr w14:val="tx1"/>
            </w14:solidFill>
          </w14:textFill>
        </w:rPr>
        <w:t>.开标地点：在嘉兴市消防救援支队4楼开标室（嘉兴市长水路1500号）开标，</w:t>
      </w:r>
      <w:r>
        <w:rPr>
          <w:rFonts w:hint="eastAsia" w:cs="宋体"/>
          <w:b/>
          <w:bCs/>
          <w:color w:val="000000" w:themeColor="text1"/>
          <w:sz w:val="21"/>
          <w:szCs w:val="21"/>
          <w:highlight w:val="none"/>
          <w14:textFill>
            <w14:solidFill>
              <w14:schemeClr w14:val="tx1"/>
            </w14:solidFill>
          </w14:textFill>
        </w:rPr>
        <w:t>投标单位无需出席开标会议</w:t>
      </w:r>
      <w:r>
        <w:rPr>
          <w:rFonts w:hint="eastAsia" w:cs="宋体"/>
          <w:color w:val="000000" w:themeColor="text1"/>
          <w:sz w:val="21"/>
          <w:szCs w:val="21"/>
          <w:highlight w:val="none"/>
          <w14:textFill>
            <w14:solidFill>
              <w14:schemeClr w14:val="tx1"/>
            </w14:solidFill>
          </w14:textFill>
        </w:rPr>
        <w:t>。 </w:t>
      </w:r>
    </w:p>
    <w:p>
      <w:pPr>
        <w:snapToGrid w:val="0"/>
        <w:spacing w:before="204" w:after="204" w:line="360" w:lineRule="auto"/>
        <w:contextualSpacing/>
        <w:rPr>
          <w:rFonts w:ascii="宋体" w:hAnsi="宋体" w:cs="宋体"/>
          <w:color w:val="000000" w:themeColor="text1"/>
          <w:szCs w:val="21"/>
          <w:highlight w:val="none"/>
          <w14:textFill>
            <w14:solidFill>
              <w14:schemeClr w14:val="tx1"/>
            </w14:solidFill>
          </w14:textFill>
        </w:rPr>
      </w:pPr>
      <w:r>
        <w:rPr>
          <w:rStyle w:val="51"/>
          <w:rFonts w:hint="eastAsia" w:cs="宋体"/>
          <w:color w:val="000000" w:themeColor="text1"/>
          <w:szCs w:val="21"/>
          <w:highlight w:val="none"/>
          <w14:textFill>
            <w14:solidFill>
              <w14:schemeClr w14:val="tx1"/>
            </w14:solidFill>
          </w14:textFill>
        </w:rPr>
        <w:t>五、</w:t>
      </w:r>
      <w:r>
        <w:rPr>
          <w:rFonts w:hint="eastAsia" w:ascii="宋体" w:hAnsi="宋体" w:cs="Arial"/>
          <w:b/>
          <w:color w:val="000000" w:themeColor="text1"/>
          <w:szCs w:val="21"/>
          <w:highlight w:val="none"/>
          <w14:textFill>
            <w14:solidFill>
              <w14:schemeClr w14:val="tx1"/>
            </w14:solidFill>
          </w14:textFill>
        </w:rPr>
        <w:t>公告期限</w:t>
      </w:r>
    </w:p>
    <w:p>
      <w:pPr>
        <w:ind w:firstLine="420" w:firstLineChars="200"/>
        <w:rPr>
          <w:rFonts w:ascii="仿宋" w:hAnsi="仿宋" w:eastAsia="仿宋" w:cs="宋体"/>
          <w:color w:val="000000" w:themeColor="text1"/>
          <w:kern w:val="0"/>
          <w:sz w:val="28"/>
          <w:szCs w:val="28"/>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 </w:t>
      </w:r>
      <w:r>
        <w:rPr>
          <w:rFonts w:hint="eastAsia" w:ascii="宋体" w:hAnsi="宋体" w:cs="宋体"/>
          <w:color w:val="000000" w:themeColor="text1"/>
          <w:kern w:val="0"/>
          <w:szCs w:val="21"/>
          <w:highlight w:val="none"/>
          <w14:textFill>
            <w14:solidFill>
              <w14:schemeClr w14:val="tx1"/>
            </w14:solidFill>
          </w14:textFill>
        </w:rPr>
        <w:t xml:space="preserve"> 自本公告发布之日起5个工作日。</w:t>
      </w:r>
    </w:p>
    <w:p>
      <w:pPr>
        <w:pStyle w:val="43"/>
        <w:spacing w:before="204" w:beforeAutospacing="0" w:after="204" w:afterAutospacing="0" w:line="360" w:lineRule="auto"/>
        <w:jc w:val="both"/>
        <w:rPr>
          <w:rFonts w:cs="宋体"/>
          <w:color w:val="000000" w:themeColor="text1"/>
          <w:sz w:val="21"/>
          <w:szCs w:val="21"/>
          <w:highlight w:val="none"/>
          <w14:textFill>
            <w14:solidFill>
              <w14:schemeClr w14:val="tx1"/>
            </w14:solidFill>
          </w14:textFill>
        </w:rPr>
      </w:pPr>
      <w:r>
        <w:rPr>
          <w:rStyle w:val="51"/>
          <w:rFonts w:hint="eastAsia" w:cs="宋体"/>
          <w:color w:val="000000" w:themeColor="text1"/>
          <w:sz w:val="21"/>
          <w:szCs w:val="21"/>
          <w:highlight w:val="none"/>
          <w14:textFill>
            <w14:solidFill>
              <w14:schemeClr w14:val="tx1"/>
            </w14:solidFill>
          </w14:textFill>
        </w:rPr>
        <w:t>六、其他补充事宜</w:t>
      </w:r>
    </w:p>
    <w:p>
      <w:pPr>
        <w:pStyle w:val="43"/>
        <w:spacing w:before="60" w:beforeAutospacing="0" w:after="60" w:afterAutospacing="0"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 7 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Style w:val="43"/>
        <w:spacing w:before="60" w:beforeAutospacing="0" w:after="60" w:afterAutospacing="0"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2.单位负责人为同一人或者存在直接控股、管理关系的不同供应商，不得同时参加同一合同项下的投标。</w:t>
      </w:r>
    </w:p>
    <w:p>
      <w:pPr>
        <w:pStyle w:val="43"/>
        <w:spacing w:before="60" w:beforeAutospacing="0" w:after="60" w:afterAutospacing="0"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3.为项目提供整体设计、规范编制或者项目管理、监理、检测等服务的供应商，不得再参加该采购项目的其他采购活动。</w:t>
      </w:r>
      <w:bookmarkStart w:id="373" w:name="_GoBack"/>
      <w:bookmarkEnd w:id="373"/>
    </w:p>
    <w:p>
      <w:pPr>
        <w:pStyle w:val="43"/>
        <w:spacing w:before="60" w:beforeAutospacing="0" w:after="60" w:afterAutospacing="0"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4.投标人不得为列入失信被执行人、重大税收违法案件当事人名单、政府采购严重违法失信行为记录名单的供应商。 </w:t>
      </w:r>
    </w:p>
    <w:p>
      <w:pPr>
        <w:pStyle w:val="43"/>
        <w:spacing w:before="60" w:beforeAutospacing="0" w:after="60" w:afterAutospacing="0"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（1）信用信息查询渠道：“信用中国”网站（www.creditchina.gov.cn）、中国政府采购网（www.ccgp.gov.cn）。 </w:t>
      </w:r>
    </w:p>
    <w:p>
      <w:pPr>
        <w:pStyle w:val="43"/>
        <w:spacing w:before="60" w:beforeAutospacing="0" w:after="60" w:afterAutospacing="0"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（2）信用信息查询截止时点：开标日由采购人或采购代理查询投标人的信用信息记录。</w:t>
      </w:r>
    </w:p>
    <w:p>
      <w:pPr>
        <w:pStyle w:val="43"/>
        <w:spacing w:before="60" w:beforeAutospacing="0" w:after="60" w:afterAutospacing="0"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（3）信用信息查询记录和证据留存的具体方式：信用信息查询记录将以网站截图打印稿形式与其他采购文件一并保存。 </w:t>
      </w:r>
    </w:p>
    <w:p>
      <w:pPr>
        <w:pStyle w:val="43"/>
        <w:spacing w:before="60" w:beforeAutospacing="0" w:after="60" w:afterAutospacing="0"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（4） 信 用 信 息 的 使 用 规 则 ： 如 投 标 人 为 “ 信 用 中 国 ” 网 站（www.creditchina.gov.cn）中列入失信被执行人或重大税收违法案件当事人名单的供应商，或为中国政府采购网（www.ccgp.gov.cn）政府采购严重违法失信行为记录名单中被财政部门禁止参加政府采购活动的供应商，则其投标将被拒绝。 </w:t>
      </w:r>
    </w:p>
    <w:p>
      <w:pPr>
        <w:pStyle w:val="43"/>
        <w:spacing w:before="60" w:beforeAutospacing="0" w:after="60" w:afterAutospacing="0"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5.本项目不收取投标保证金。</w:t>
      </w:r>
    </w:p>
    <w:p>
      <w:pPr>
        <w:pStyle w:val="43"/>
        <w:spacing w:before="60" w:beforeAutospacing="0" w:after="60" w:afterAutospacing="0" w:line="360" w:lineRule="auto"/>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6.本项目执行促进中小企业发展、优先采购节能产品、优先采购环境标志产品政策。</w:t>
      </w:r>
    </w:p>
    <w:p>
      <w:pPr>
        <w:pStyle w:val="43"/>
        <w:spacing w:before="60" w:beforeAutospacing="0" w:after="60" w:afterAutospacing="0" w:line="360" w:lineRule="auto"/>
        <w:ind w:firstLine="420" w:firstLineChars="200"/>
        <w:rPr>
          <w:rFonts w:cs="宋体"/>
          <w:color w:val="000000" w:themeColor="text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7、本项目的采购公告、补充（答疑、澄清）文件及中标公告等需公告的有关信息均在中国政府采购网(http://www.ccgp.gov.cn/)、浙江政府采购网(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"http://zfcg.czt.zj.gov.cn/"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http://zfcg.czt.zj.gov.cn/</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t>)、嘉兴市公共资源交易网（http://jxszwsjb.jiaxing.gov.cn/）上发布信息，请投标人自行及时关注，采购人及采购代理机构可不再另行通知相关情况，投标人因自身贻误行为导致响应失败的，责任自负。</w:t>
      </w:r>
    </w:p>
    <w:p>
      <w:pPr>
        <w:pStyle w:val="43"/>
        <w:spacing w:before="204" w:beforeAutospacing="0" w:after="204" w:afterAutospacing="0" w:line="360" w:lineRule="auto"/>
        <w:jc w:val="both"/>
        <w:rPr>
          <w:rFonts w:cs="宋体"/>
          <w:color w:val="000000" w:themeColor="text1"/>
          <w:sz w:val="21"/>
          <w:szCs w:val="21"/>
          <w:highlight w:val="none"/>
          <w14:textFill>
            <w14:solidFill>
              <w14:schemeClr w14:val="tx1"/>
            </w14:solidFill>
          </w14:textFill>
        </w:rPr>
      </w:pPr>
      <w:r>
        <w:rPr>
          <w:rStyle w:val="51"/>
          <w:rFonts w:hint="eastAsia" w:cs="宋体"/>
          <w:color w:val="000000" w:themeColor="text1"/>
          <w:sz w:val="21"/>
          <w:szCs w:val="21"/>
          <w:highlight w:val="none"/>
          <w14:textFill>
            <w14:solidFill>
              <w14:schemeClr w14:val="tx1"/>
            </w14:solidFill>
          </w14:textFill>
        </w:rPr>
        <w:t>七、对本次采购提出询问、质疑、投诉，请按以下方式联系</w:t>
      </w:r>
    </w:p>
    <w:p>
      <w:pPr>
        <w:pStyle w:val="43"/>
        <w:spacing w:before="60" w:beforeAutospacing="0" w:after="6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1.采购人信息</w:t>
      </w:r>
    </w:p>
    <w:p>
      <w:pPr>
        <w:pStyle w:val="43"/>
        <w:spacing w:before="60" w:beforeAutospacing="0" w:after="6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名   称：</w:t>
      </w:r>
      <w:r>
        <w:rPr>
          <w:rFonts w:hint="eastAsia" w:cs="宋体"/>
          <w:color w:val="000000" w:themeColor="text1"/>
          <w:sz w:val="21"/>
          <w:szCs w:val="21"/>
          <w:highlight w:val="none"/>
          <w:lang w:val="en-US" w:eastAsia="zh-CN"/>
          <w14:textFill>
            <w14:solidFill>
              <w14:schemeClr w14:val="tx1"/>
            </w14:solidFill>
          </w14:textFill>
        </w:rPr>
        <w:t>嘉兴市消防救援支队乌镇大队</w:t>
      </w:r>
      <w:r>
        <w:rPr>
          <w:rFonts w:hint="eastAsia" w:cs="宋体"/>
          <w:color w:val="000000" w:themeColor="text1"/>
          <w:sz w:val="21"/>
          <w:szCs w:val="21"/>
          <w:highlight w:val="none"/>
          <w14:textFill>
            <w14:solidFill>
              <w14:schemeClr w14:val="tx1"/>
            </w14:solidFill>
          </w14:textFill>
        </w:rPr>
        <w:t xml:space="preserve">  </w:t>
      </w:r>
    </w:p>
    <w:p>
      <w:pPr>
        <w:pStyle w:val="43"/>
        <w:spacing w:before="60" w:beforeAutospacing="0" w:after="60" w:afterAutospacing="0" w:line="360" w:lineRule="auto"/>
        <w:rPr>
          <w:rFonts w:hint="default"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xml:space="preserve">    </w:t>
      </w:r>
      <w:r>
        <w:rPr>
          <w:rFonts w:hint="eastAsia" w:cs="宋体"/>
          <w:color w:val="000000" w:themeColor="text1"/>
          <w:sz w:val="21"/>
          <w:szCs w:val="21"/>
          <w:highlight w:val="none"/>
          <w:lang w:val="en-US" w:eastAsia="zh-CN"/>
          <w14:textFill>
            <w14:solidFill>
              <w14:schemeClr w14:val="tx1"/>
            </w14:solidFill>
          </w14:textFill>
        </w:rPr>
        <w:t>地  址：桐乡市乌镇镇环河路与姚太线交叉口向北100米</w:t>
      </w:r>
    </w:p>
    <w:p>
      <w:pPr>
        <w:pStyle w:val="43"/>
        <w:spacing w:before="60" w:beforeAutospacing="0" w:after="6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传   真：  /</w:t>
      </w:r>
    </w:p>
    <w:p>
      <w:pPr>
        <w:pStyle w:val="43"/>
        <w:spacing w:before="60" w:beforeAutospacing="0" w:after="6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项目联系人（询问）：</w:t>
      </w:r>
      <w:r>
        <w:rPr>
          <w:rFonts w:hint="eastAsia" w:cs="宋体"/>
          <w:color w:val="000000" w:themeColor="text1"/>
          <w:sz w:val="21"/>
          <w:szCs w:val="21"/>
          <w:highlight w:val="none"/>
          <w:lang w:eastAsia="zh-CN"/>
          <w14:textFill>
            <w14:solidFill>
              <w14:schemeClr w14:val="tx1"/>
            </w14:solidFill>
          </w14:textFill>
        </w:rPr>
        <w:t>林先生</w:t>
      </w:r>
      <w:r>
        <w:rPr>
          <w:rFonts w:hint="eastAsia" w:cs="宋体"/>
          <w:color w:val="000000" w:themeColor="text1"/>
          <w:sz w:val="21"/>
          <w:szCs w:val="21"/>
          <w:highlight w:val="none"/>
          <w14:textFill>
            <w14:solidFill>
              <w14:schemeClr w14:val="tx1"/>
            </w14:solidFill>
          </w14:textFill>
        </w:rPr>
        <w:t>  </w:t>
      </w:r>
    </w:p>
    <w:p>
      <w:pPr>
        <w:pStyle w:val="43"/>
        <w:spacing w:before="60" w:beforeAutospacing="0" w:after="6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项目联系方式（询问）：</w:t>
      </w:r>
      <w:r>
        <w:rPr>
          <w:rFonts w:hint="eastAsia" w:cs="宋体"/>
          <w:color w:val="000000" w:themeColor="text1"/>
          <w:sz w:val="21"/>
          <w:szCs w:val="21"/>
          <w:highlight w:val="none"/>
          <w:lang w:eastAsia="zh-CN"/>
          <w14:textFill>
            <w14:solidFill>
              <w14:schemeClr w14:val="tx1"/>
            </w14:solidFill>
          </w14:textFill>
        </w:rPr>
        <w:t>18268321364</w:t>
      </w:r>
      <w:r>
        <w:rPr>
          <w:rFonts w:hint="eastAsia" w:cs="宋体"/>
          <w:color w:val="000000" w:themeColor="text1"/>
          <w:sz w:val="21"/>
          <w:szCs w:val="21"/>
          <w:highlight w:val="none"/>
          <w14:textFill>
            <w14:solidFill>
              <w14:schemeClr w14:val="tx1"/>
            </w14:solidFill>
          </w14:textFill>
        </w:rPr>
        <w:t xml:space="preserve"> </w:t>
      </w:r>
    </w:p>
    <w:p>
      <w:pPr>
        <w:pStyle w:val="43"/>
        <w:spacing w:before="60" w:beforeAutospacing="0" w:after="6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质疑联系人：嘉兴市消防救援支队采购办公室</w:t>
      </w:r>
    </w:p>
    <w:p>
      <w:pPr>
        <w:pStyle w:val="43"/>
        <w:spacing w:before="60" w:beforeAutospacing="0" w:after="60" w:afterAutospacing="0" w:line="360" w:lineRule="auto"/>
        <w:ind w:firstLine="630" w:firstLineChars="3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质疑联系方式：0573-82630533</w:t>
      </w:r>
    </w:p>
    <w:p>
      <w:pPr>
        <w:pStyle w:val="43"/>
        <w:spacing w:before="60" w:beforeAutospacing="0" w:after="6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2.采购代理机构信息            </w:t>
      </w:r>
    </w:p>
    <w:p>
      <w:pPr>
        <w:pStyle w:val="43"/>
        <w:spacing w:before="60" w:beforeAutospacing="0" w:after="6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名   称：浙江天钫工程管理咨询有限公司             </w:t>
      </w:r>
    </w:p>
    <w:p>
      <w:pPr>
        <w:pStyle w:val="43"/>
        <w:spacing w:before="60" w:beforeAutospacing="0" w:after="60" w:afterAutospacing="0" w:line="360" w:lineRule="auto"/>
        <w:ind w:left="210" w:hanging="210" w:hangingChars="1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地   址：浙江省嘉兴市秀洲区新城街道秀洲大道138号未来科技广场E座902-2室             </w:t>
      </w:r>
    </w:p>
    <w:p>
      <w:pPr>
        <w:pStyle w:val="43"/>
        <w:spacing w:before="60" w:beforeAutospacing="0" w:after="6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传   真： /            </w:t>
      </w:r>
    </w:p>
    <w:p>
      <w:pPr>
        <w:pStyle w:val="43"/>
        <w:spacing w:before="60" w:beforeAutospacing="0" w:after="6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项目联系人（询问）：</w:t>
      </w:r>
      <w:r>
        <w:rPr>
          <w:rFonts w:hint="eastAsia" w:cs="宋体"/>
          <w:color w:val="000000" w:themeColor="text1"/>
          <w:sz w:val="21"/>
          <w:szCs w:val="21"/>
          <w:highlight w:val="none"/>
          <w:lang w:eastAsia="zh-CN"/>
          <w14:textFill>
            <w14:solidFill>
              <w14:schemeClr w14:val="tx1"/>
            </w14:solidFill>
          </w14:textFill>
        </w:rPr>
        <w:t>符女士</w:t>
      </w:r>
      <w:r>
        <w:rPr>
          <w:rFonts w:hint="eastAsia" w:cs="宋体"/>
          <w:color w:val="000000" w:themeColor="text1"/>
          <w:sz w:val="21"/>
          <w:szCs w:val="21"/>
          <w:highlight w:val="none"/>
          <w14:textFill>
            <w14:solidFill>
              <w14:schemeClr w14:val="tx1"/>
            </w14:solidFill>
          </w14:textFill>
        </w:rPr>
        <w:t>              </w:t>
      </w:r>
    </w:p>
    <w:p>
      <w:pPr>
        <w:pStyle w:val="43"/>
        <w:spacing w:before="60" w:beforeAutospacing="0" w:after="6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项目联系方式（询问）：0573-</w:t>
      </w:r>
      <w:r>
        <w:rPr>
          <w:rFonts w:cs="宋体"/>
          <w:color w:val="000000" w:themeColor="text1"/>
          <w:sz w:val="21"/>
          <w:szCs w:val="21"/>
          <w:highlight w:val="none"/>
          <w14:textFill>
            <w14:solidFill>
              <w14:schemeClr w14:val="tx1"/>
            </w14:solidFill>
          </w14:textFill>
        </w:rPr>
        <w:t>82271253</w:t>
      </w:r>
      <w:r>
        <w:rPr>
          <w:rFonts w:cs="宋体"/>
          <w:color w:val="000000" w:themeColor="text1"/>
          <w:szCs w:val="21"/>
          <w:highlight w:val="none"/>
          <w14:textFill>
            <w14:solidFill>
              <w14:schemeClr w14:val="tx1"/>
            </w14:solidFill>
          </w14:textFill>
        </w:rPr>
        <w:t>/</w:t>
      </w:r>
      <w:r>
        <w:rPr>
          <w:rFonts w:hint="eastAsia" w:cs="宋体"/>
          <w:color w:val="000000" w:themeColor="text1"/>
          <w:szCs w:val="21"/>
          <w:highlight w:val="none"/>
          <w:lang w:eastAsia="zh-CN"/>
          <w14:textFill>
            <w14:solidFill>
              <w14:schemeClr w14:val="tx1"/>
            </w14:solidFill>
          </w14:textFill>
        </w:rPr>
        <w:t>13575323452</w:t>
      </w:r>
      <w:r>
        <w:rPr>
          <w:rFonts w:hint="eastAsia" w:cs="宋体"/>
          <w:color w:val="000000" w:themeColor="text1"/>
          <w:sz w:val="21"/>
          <w:szCs w:val="21"/>
          <w:highlight w:val="none"/>
          <w14:textFill>
            <w14:solidFill>
              <w14:schemeClr w14:val="tx1"/>
            </w14:solidFill>
          </w14:textFill>
        </w:rPr>
        <w:t> </w:t>
      </w:r>
    </w:p>
    <w:p>
      <w:pPr>
        <w:pStyle w:val="43"/>
        <w:spacing w:before="60" w:beforeAutospacing="0" w:after="6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质疑联系人：符女士             </w:t>
      </w:r>
    </w:p>
    <w:p>
      <w:pPr>
        <w:pStyle w:val="43"/>
        <w:spacing w:before="60" w:beforeAutospacing="0" w:after="6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质疑联系方式：</w:t>
      </w:r>
      <w:r>
        <w:rPr>
          <w:rFonts w:cs="宋体"/>
          <w:color w:val="000000" w:themeColor="text1"/>
          <w:sz w:val="21"/>
          <w:szCs w:val="21"/>
          <w:highlight w:val="none"/>
          <w14:textFill>
            <w14:solidFill>
              <w14:schemeClr w14:val="tx1"/>
            </w14:solidFill>
          </w14:textFill>
        </w:rPr>
        <w:t>0573-82270515</w:t>
      </w:r>
      <w:r>
        <w:rPr>
          <w:rFonts w:hint="eastAsia" w:cs="宋体"/>
          <w:color w:val="000000" w:themeColor="text1"/>
          <w:sz w:val="21"/>
          <w:szCs w:val="21"/>
          <w:highlight w:val="none"/>
          <w14:textFill>
            <w14:solidFill>
              <w14:schemeClr w14:val="tx1"/>
            </w14:solidFill>
          </w14:textFill>
        </w:rPr>
        <w:t> 　　</w:t>
      </w:r>
    </w:p>
    <w:p>
      <w:pPr>
        <w:pStyle w:val="43"/>
        <w:spacing w:before="60" w:beforeAutospacing="0" w:after="60" w:afterAutospacing="0" w:line="360" w:lineRule="auto"/>
        <w:ind w:firstLine="630" w:firstLineChars="300"/>
        <w:rPr>
          <w:rFonts w:cs="宋体"/>
          <w:color w:val="000000" w:themeColor="text1"/>
          <w:sz w:val="21"/>
          <w:szCs w:val="21"/>
          <w:highlight w:val="none"/>
          <w14:textFill>
            <w14:solidFill>
              <w14:schemeClr w14:val="tx1"/>
            </w14:solidFill>
          </w14:textFill>
        </w:rPr>
      </w:pPr>
    </w:p>
    <w:p>
      <w:pPr>
        <w:pStyle w:val="43"/>
        <w:spacing w:before="60" w:beforeAutospacing="0" w:after="60" w:afterAutospacing="0" w:line="360" w:lineRule="auto"/>
        <w:ind w:firstLine="630" w:firstLineChars="300"/>
        <w:rPr>
          <w:rFonts w:cs="宋体"/>
          <w:color w:val="000000" w:themeColor="text1"/>
          <w:sz w:val="21"/>
          <w:szCs w:val="21"/>
          <w:highlight w:val="none"/>
          <w14:textFill>
            <w14:solidFill>
              <w14:schemeClr w14:val="tx1"/>
            </w14:solidFill>
          </w14:textFill>
        </w:rPr>
      </w:pPr>
    </w:p>
    <w:p>
      <w:pPr>
        <w:pStyle w:val="43"/>
        <w:spacing w:before="60" w:beforeAutospacing="0" w:after="60" w:afterAutospacing="0" w:line="360" w:lineRule="auto"/>
        <w:ind w:firstLine="630" w:firstLineChars="3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w:t>
      </w:r>
    </w:p>
    <w:p>
      <w:pPr>
        <w:pStyle w:val="43"/>
        <w:spacing w:before="60" w:beforeAutospacing="0" w:after="60" w:afterAutospacing="0" w:line="360" w:lineRule="auto"/>
        <w:ind w:firstLine="735" w:firstLineChars="35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　　　　     </w:t>
      </w:r>
    </w:p>
    <w:p>
      <w:pPr>
        <w:pStyle w:val="43"/>
        <w:spacing w:before="60" w:beforeAutospacing="0" w:after="60" w:afterAutospacing="0" w:line="360" w:lineRule="auto"/>
        <w:ind w:firstLine="735" w:firstLineChars="350"/>
        <w:rPr>
          <w:rFonts w:cs="宋体"/>
          <w:color w:val="000000" w:themeColor="text1"/>
          <w:sz w:val="21"/>
          <w:szCs w:val="21"/>
          <w:highlight w:val="none"/>
          <w14:textFill>
            <w14:solidFill>
              <w14:schemeClr w14:val="tx1"/>
            </w14:solidFill>
          </w14:textFill>
        </w:rPr>
        <w:sectPr>
          <w:footerReference r:id="rId4" w:type="default"/>
          <w:pgSz w:w="11906" w:h="16838"/>
          <w:pgMar w:top="1474" w:right="1797" w:bottom="1247" w:left="1797" w:header="851" w:footer="851" w:gutter="0"/>
          <w:pgNumType w:fmt="decimal" w:start="1"/>
          <w:cols w:space="720" w:num="1"/>
          <w:docGrid w:linePitch="312" w:charSpace="0"/>
        </w:sectPr>
      </w:pPr>
      <w:r>
        <w:rPr>
          <w:rFonts w:hint="eastAsia" w:cs="宋体"/>
          <w:color w:val="000000" w:themeColor="text1"/>
          <w:sz w:val="21"/>
          <w:szCs w:val="21"/>
          <w:highlight w:val="none"/>
          <w14:textFill>
            <w14:solidFill>
              <w14:schemeClr w14:val="tx1"/>
            </w14:solidFill>
          </w14:textFill>
        </w:rPr>
        <w:t xml:space="preserve">  </w:t>
      </w:r>
    </w:p>
    <w:bookmarkEnd w:id="1"/>
    <w:bookmarkEnd w:id="2"/>
    <w:p>
      <w:pPr>
        <w:pStyle w:val="43"/>
        <w:spacing w:before="60" w:after="60"/>
        <w:jc w:val="center"/>
        <w:rPr>
          <w:rStyle w:val="132"/>
          <w:rFonts w:ascii="宋体" w:hAnsi="Times New Roman" w:eastAsia="宋体" w:cs="微软雅黑"/>
          <w:color w:val="000000" w:themeColor="text1"/>
          <w:highlight w:val="none"/>
          <w14:textFill>
            <w14:solidFill>
              <w14:schemeClr w14:val="tx1"/>
            </w14:solidFill>
          </w14:textFill>
        </w:rPr>
      </w:pPr>
      <w:bookmarkStart w:id="3" w:name="_Toc31093"/>
      <w:bookmarkStart w:id="4" w:name="_Toc177870534"/>
      <w:bookmarkStart w:id="5" w:name="_Toc493511542"/>
      <w:r>
        <w:rPr>
          <w:rStyle w:val="132"/>
          <w:rFonts w:hint="eastAsia" w:ascii="宋体" w:eastAsia="宋体" w:cs="微软雅黑"/>
          <w:color w:val="000000" w:themeColor="text1"/>
          <w:highlight w:val="none"/>
          <w14:textFill>
            <w14:solidFill>
              <w14:schemeClr w14:val="tx1"/>
            </w14:solidFill>
          </w14:textFill>
        </w:rPr>
        <w:t>第二章</w:t>
      </w:r>
      <w:r>
        <w:rPr>
          <w:rStyle w:val="132"/>
          <w:rFonts w:hint="eastAsia" w:ascii="宋体" w:hAnsi="Times New Roman" w:eastAsia="宋体" w:cs="微软雅黑"/>
          <w:color w:val="000000" w:themeColor="text1"/>
          <w:highlight w:val="none"/>
          <w14:textFill>
            <w14:solidFill>
              <w14:schemeClr w14:val="tx1"/>
            </w14:solidFill>
          </w14:textFill>
        </w:rPr>
        <w:t xml:space="preserve">  </w:t>
      </w:r>
      <w:r>
        <w:rPr>
          <w:rStyle w:val="132"/>
          <w:rFonts w:hint="eastAsia" w:hAnsi="Times New Roman" w:cs="微软雅黑"/>
          <w:color w:val="000000" w:themeColor="text1"/>
          <w:highlight w:val="none"/>
          <w14:textFill>
            <w14:solidFill>
              <w14:schemeClr w14:val="tx1"/>
            </w14:solidFill>
          </w14:textFill>
        </w:rPr>
        <w:t>采购需求</w:t>
      </w:r>
    </w:p>
    <w:p>
      <w:pPr>
        <w:pStyle w:val="43"/>
        <w:spacing w:before="180" w:beforeAutospacing="0" w:after="180" w:afterAutospacing="0" w:line="360" w:lineRule="auto"/>
        <w:rPr>
          <w:rStyle w:val="51"/>
          <w:rFonts w:ascii="Times New Roman" w:hAnsi="Times New Roman" w:cs="宋体"/>
          <w:color w:val="000000" w:themeColor="text1"/>
          <w:sz w:val="21"/>
          <w:szCs w:val="21"/>
          <w:highlight w:val="none"/>
          <w14:textFill>
            <w14:solidFill>
              <w14:schemeClr w14:val="tx1"/>
            </w14:solidFill>
          </w14:textFill>
        </w:rPr>
      </w:pPr>
      <w:r>
        <w:rPr>
          <w:rStyle w:val="51"/>
          <w:rFonts w:hint="eastAsia" w:ascii="Times New Roman" w:hAnsi="Times New Roman" w:cs="宋体"/>
          <w:color w:val="000000" w:themeColor="text1"/>
          <w:sz w:val="21"/>
          <w:szCs w:val="21"/>
          <w:highlight w:val="none"/>
          <w14:textFill>
            <w14:solidFill>
              <w14:schemeClr w14:val="tx1"/>
            </w14:solidFill>
          </w14:textFill>
        </w:rPr>
        <w:t>一、采购内容</w:t>
      </w:r>
    </w:p>
    <w:p>
      <w:pPr>
        <w:pStyle w:val="43"/>
        <w:spacing w:before="180" w:beforeAutospacing="0" w:after="180" w:afterAutospacing="0" w:line="360" w:lineRule="auto"/>
        <w:ind w:firstLine="420" w:firstLineChars="200"/>
        <w:rPr>
          <w:rStyle w:val="51"/>
          <w:rFonts w:ascii="Times New Roman" w:hAnsi="Times New Roman" w:cs="宋体"/>
          <w:b w:val="0"/>
          <w:bCs w:val="0"/>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浙江省嘉兴支队乌镇消防救援大队2023年度伙食集中配送采购项目</w:t>
      </w:r>
      <w:r>
        <w:rPr>
          <w:rFonts w:hint="eastAsia" w:cs="宋体"/>
          <w:color w:val="000000" w:themeColor="text1"/>
          <w:sz w:val="21"/>
          <w:szCs w:val="21"/>
          <w:highlight w:val="none"/>
          <w14:textFill>
            <w14:solidFill>
              <w14:schemeClr w14:val="tx1"/>
            </w14:solidFill>
          </w14:textFill>
        </w:rPr>
        <w:t xml:space="preserve"> ，预算金额</w:t>
      </w:r>
      <w:r>
        <w:rPr>
          <w:rFonts w:hint="eastAsia" w:cs="宋体"/>
          <w:color w:val="000000" w:themeColor="text1"/>
          <w:sz w:val="21"/>
          <w:szCs w:val="21"/>
          <w:highlight w:val="none"/>
          <w:lang w:eastAsia="zh-CN"/>
          <w14:textFill>
            <w14:solidFill>
              <w14:schemeClr w14:val="tx1"/>
            </w14:solidFill>
          </w14:textFill>
        </w:rPr>
        <w:t>769100</w:t>
      </w:r>
      <w:r>
        <w:rPr>
          <w:rFonts w:hint="eastAsia" w:cs="宋体"/>
          <w:color w:val="000000" w:themeColor="text1"/>
          <w:sz w:val="21"/>
          <w:szCs w:val="21"/>
          <w:highlight w:val="none"/>
          <w14:textFill>
            <w14:solidFill>
              <w14:schemeClr w14:val="tx1"/>
            </w14:solidFill>
          </w14:textFill>
        </w:rPr>
        <w:t>元。（根据上年度采</w:t>
      </w:r>
      <w:r>
        <w:rPr>
          <w:rStyle w:val="51"/>
          <w:rFonts w:hint="eastAsia" w:ascii="Times New Roman" w:hAnsi="Times New Roman" w:cs="宋体"/>
          <w:b w:val="0"/>
          <w:bCs w:val="0"/>
          <w:color w:val="000000" w:themeColor="text1"/>
          <w:sz w:val="21"/>
          <w:szCs w:val="21"/>
          <w:highlight w:val="none"/>
          <w14:textFill>
            <w14:solidFill>
              <w14:schemeClr w14:val="tx1"/>
            </w14:solidFill>
          </w14:textFill>
        </w:rPr>
        <w:t>购量估算供参考）</w:t>
      </w:r>
    </w:p>
    <w:p>
      <w:pPr>
        <w:pStyle w:val="43"/>
        <w:spacing w:before="180" w:beforeAutospacing="0" w:after="180" w:afterAutospacing="0" w:line="360" w:lineRule="auto"/>
        <w:rPr>
          <w:rStyle w:val="51"/>
          <w:rFonts w:ascii="Times New Roman" w:hAnsi="Times New Roman" w:cs="宋体"/>
          <w:color w:val="000000" w:themeColor="text1"/>
          <w:sz w:val="21"/>
          <w:szCs w:val="21"/>
          <w:highlight w:val="none"/>
          <w14:textFill>
            <w14:solidFill>
              <w14:schemeClr w14:val="tx1"/>
            </w14:solidFill>
          </w14:textFill>
        </w:rPr>
      </w:pPr>
      <w:r>
        <w:rPr>
          <w:rStyle w:val="51"/>
          <w:rFonts w:hint="eastAsia" w:ascii="Times New Roman" w:hAnsi="Times New Roman" w:cs="宋体"/>
          <w:color w:val="000000" w:themeColor="text1"/>
          <w:sz w:val="21"/>
          <w:szCs w:val="21"/>
          <w:highlight w:val="none"/>
          <w14:textFill>
            <w14:solidFill>
              <w14:schemeClr w14:val="tx1"/>
            </w14:solidFill>
          </w14:textFill>
        </w:rPr>
        <w:t>二、采购要求</w:t>
      </w:r>
    </w:p>
    <w:p>
      <w:pPr>
        <w:widowControl/>
        <w:kinsoku w:val="0"/>
        <w:autoSpaceDE w:val="0"/>
        <w:autoSpaceDN w:val="0"/>
        <w:adjustRightInd w:val="0"/>
        <w:snapToGrid w:val="0"/>
        <w:spacing w:line="560" w:lineRule="exact"/>
        <w:ind w:firstLine="422" w:firstLineChars="200"/>
        <w:textAlignment w:val="baseline"/>
        <w:rPr>
          <w:rFonts w:cs="黑体" w:asciiTheme="minorEastAsia" w:hAnsiTheme="minorEastAsia" w:eastAsiaTheme="minorEastAsia"/>
          <w:color w:val="000000" w:themeColor="text1"/>
          <w:szCs w:val="21"/>
          <w:highlight w:val="none"/>
          <w:lang w:val="zh-CN"/>
          <w14:textFill>
            <w14:solidFill>
              <w14:schemeClr w14:val="tx1"/>
            </w14:solidFill>
          </w14:textFill>
        </w:rPr>
      </w:pPr>
      <w:r>
        <w:rPr>
          <w:rFonts w:hint="eastAsia" w:cs="楷体_GB2312" w:asciiTheme="minorEastAsia" w:hAnsiTheme="minorEastAsia" w:eastAsiaTheme="minorEastAsia"/>
          <w:b/>
          <w:bCs/>
          <w:color w:val="000000" w:themeColor="text1"/>
          <w:szCs w:val="21"/>
          <w:highlight w:val="none"/>
          <w14:textFill>
            <w14:solidFill>
              <w14:schemeClr w14:val="tx1"/>
            </w14:solidFill>
          </w14:textFill>
        </w:rPr>
        <w:t>（一）各类食材</w:t>
      </w:r>
      <w:r>
        <w:rPr>
          <w:rFonts w:hint="eastAsia" w:cs="楷体_GB2312" w:asciiTheme="minorEastAsia" w:hAnsiTheme="minorEastAsia" w:eastAsiaTheme="minorEastAsia"/>
          <w:b/>
          <w:bCs/>
          <w:color w:val="000000" w:themeColor="text1"/>
          <w:szCs w:val="21"/>
          <w:highlight w:val="none"/>
          <w:lang w:val="zh-CN"/>
          <w14:textFill>
            <w14:solidFill>
              <w14:schemeClr w14:val="tx1"/>
            </w14:solidFill>
          </w14:textFill>
        </w:rPr>
        <w:t>清单</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1821"/>
        <w:gridCol w:w="5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1887"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序号</w:t>
            </w:r>
          </w:p>
        </w:tc>
        <w:tc>
          <w:tcPr>
            <w:tcW w:w="1821"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类别</w:t>
            </w:r>
          </w:p>
        </w:tc>
        <w:tc>
          <w:tcPr>
            <w:tcW w:w="5279"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87"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asciiTheme="minorEastAsia" w:hAnsiTheme="minorEastAsia" w:eastAsiaTheme="minorEastAsia" w:cstheme="minorEastAsia"/>
                <w:color w:val="000000" w:themeColor="text1"/>
                <w:szCs w:val="21"/>
                <w:highlight w:val="none"/>
                <w14:textFill>
                  <w14:solidFill>
                    <w14:schemeClr w14:val="tx1"/>
                  </w14:solidFill>
                </w14:textFill>
              </w:rPr>
              <w:t>1</w:t>
            </w:r>
          </w:p>
        </w:tc>
        <w:tc>
          <w:tcPr>
            <w:tcW w:w="1821"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蔬菜类</w:t>
            </w:r>
          </w:p>
        </w:tc>
        <w:tc>
          <w:tcPr>
            <w:tcW w:w="5279"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叶菜类、茎菜类、花菜类、根菜类、果菜类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1887"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asciiTheme="minorEastAsia" w:hAnsiTheme="minorEastAsia" w:eastAsiaTheme="minorEastAsia" w:cstheme="minorEastAsia"/>
                <w:color w:val="000000" w:themeColor="text1"/>
                <w:szCs w:val="21"/>
                <w:highlight w:val="none"/>
                <w14:textFill>
                  <w14:solidFill>
                    <w14:schemeClr w14:val="tx1"/>
                  </w14:solidFill>
                </w14:textFill>
              </w:rPr>
              <w:t>2</w:t>
            </w:r>
          </w:p>
        </w:tc>
        <w:tc>
          <w:tcPr>
            <w:tcW w:w="1821"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肉类</w:t>
            </w:r>
          </w:p>
        </w:tc>
        <w:tc>
          <w:tcPr>
            <w:tcW w:w="5279"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新鲜牛肉、羊肉、猪肉、驴肉、兔肉、鸡肉、鸭肉、鹅肉等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1887"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asciiTheme="minorEastAsia" w:hAnsiTheme="minorEastAsia" w:eastAsiaTheme="minorEastAsia" w:cstheme="minorEastAsia"/>
                <w:color w:val="000000" w:themeColor="text1"/>
                <w:szCs w:val="21"/>
                <w:highlight w:val="none"/>
                <w14:textFill>
                  <w14:solidFill>
                    <w14:schemeClr w14:val="tx1"/>
                  </w14:solidFill>
                </w14:textFill>
              </w:rPr>
              <w:t>3</w:t>
            </w:r>
          </w:p>
        </w:tc>
        <w:tc>
          <w:tcPr>
            <w:tcW w:w="1821"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冷冻食品类</w:t>
            </w:r>
          </w:p>
        </w:tc>
        <w:tc>
          <w:tcPr>
            <w:tcW w:w="5279"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水产冷冻类（鲜活水产品除外）、畜产冷冻类（新鲜肉类除</w:t>
            </w:r>
            <w:r>
              <w:rPr>
                <w:rFonts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外）、其他冷冻食品（半成品甜点等）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87"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asciiTheme="minorEastAsia" w:hAnsiTheme="minorEastAsia" w:eastAsiaTheme="minorEastAsia" w:cstheme="minorEastAsia"/>
                <w:color w:val="000000" w:themeColor="text1"/>
                <w:szCs w:val="21"/>
                <w:highlight w:val="none"/>
                <w14:textFill>
                  <w14:solidFill>
                    <w14:schemeClr w14:val="tx1"/>
                  </w14:solidFill>
                </w14:textFill>
              </w:rPr>
              <w:t>4</w:t>
            </w:r>
          </w:p>
        </w:tc>
        <w:tc>
          <w:tcPr>
            <w:tcW w:w="1821"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干货类</w:t>
            </w:r>
          </w:p>
        </w:tc>
        <w:tc>
          <w:tcPr>
            <w:tcW w:w="5279"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板栗、锥栗、霹雳果、榛子、腰果等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87"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asciiTheme="minorEastAsia" w:hAnsiTheme="minorEastAsia" w:eastAsiaTheme="minorEastAsia" w:cstheme="minorEastAsia"/>
                <w:color w:val="000000" w:themeColor="text1"/>
                <w:szCs w:val="21"/>
                <w:highlight w:val="none"/>
                <w14:textFill>
                  <w14:solidFill>
                    <w14:schemeClr w14:val="tx1"/>
                  </w14:solidFill>
                </w14:textFill>
              </w:rPr>
              <w:t>5</w:t>
            </w:r>
          </w:p>
        </w:tc>
        <w:tc>
          <w:tcPr>
            <w:tcW w:w="1821"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豆制品类</w:t>
            </w:r>
          </w:p>
        </w:tc>
        <w:tc>
          <w:tcPr>
            <w:tcW w:w="5279"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黄豆、绿豆、黑豆、红豆、豆腐等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87"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asciiTheme="minorEastAsia" w:hAnsiTheme="minorEastAsia" w:eastAsiaTheme="minorEastAsia" w:cstheme="minorEastAsia"/>
                <w:color w:val="000000" w:themeColor="text1"/>
                <w:szCs w:val="21"/>
                <w:highlight w:val="none"/>
                <w14:textFill>
                  <w14:solidFill>
                    <w14:schemeClr w14:val="tx1"/>
                  </w14:solidFill>
                </w14:textFill>
              </w:rPr>
              <w:t>6</w:t>
            </w:r>
          </w:p>
        </w:tc>
        <w:tc>
          <w:tcPr>
            <w:tcW w:w="1821"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水产品类</w:t>
            </w:r>
          </w:p>
        </w:tc>
        <w:tc>
          <w:tcPr>
            <w:tcW w:w="5279"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鲜活草鱼、淡水鲈鱼、虾等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87"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asciiTheme="minorEastAsia" w:hAnsiTheme="minorEastAsia" w:eastAsiaTheme="minorEastAsia" w:cstheme="minorEastAsia"/>
                <w:color w:val="000000" w:themeColor="text1"/>
                <w:szCs w:val="21"/>
                <w:highlight w:val="none"/>
                <w14:textFill>
                  <w14:solidFill>
                    <w14:schemeClr w14:val="tx1"/>
                  </w14:solidFill>
                </w14:textFill>
              </w:rPr>
              <w:t>7</w:t>
            </w:r>
          </w:p>
        </w:tc>
        <w:tc>
          <w:tcPr>
            <w:tcW w:w="1821"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禽蛋类</w:t>
            </w:r>
          </w:p>
        </w:tc>
        <w:tc>
          <w:tcPr>
            <w:tcW w:w="5279"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鸡蛋、鸭蛋、咸鸭蛋、鹌鹑蛋、皮蛋等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87"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asciiTheme="minorEastAsia" w:hAnsiTheme="minorEastAsia" w:eastAsiaTheme="minorEastAsia" w:cstheme="minorEastAsia"/>
                <w:color w:val="000000" w:themeColor="text1"/>
                <w:szCs w:val="21"/>
                <w:highlight w:val="none"/>
                <w14:textFill>
                  <w14:solidFill>
                    <w14:schemeClr w14:val="tx1"/>
                  </w14:solidFill>
                </w14:textFill>
              </w:rPr>
              <w:t>8</w:t>
            </w:r>
          </w:p>
        </w:tc>
        <w:tc>
          <w:tcPr>
            <w:tcW w:w="1821"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其他类</w:t>
            </w:r>
          </w:p>
        </w:tc>
        <w:tc>
          <w:tcPr>
            <w:tcW w:w="5279"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凉茶、果汁、汽水、椰汁、盐、酱、醋、调味料等</w:t>
            </w:r>
          </w:p>
        </w:tc>
      </w:tr>
    </w:tbl>
    <w:p>
      <w:pP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包含但不限于以上产品，</w:t>
      </w:r>
      <w:r>
        <w:rPr>
          <w:rFonts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以合同执行时实际配送产品清单为准。</w:t>
      </w:r>
    </w:p>
    <w:p>
      <w:pPr>
        <w:widowControl/>
        <w:kinsoku w:val="0"/>
        <w:autoSpaceDE w:val="0"/>
        <w:autoSpaceDN w:val="0"/>
        <w:adjustRightInd w:val="0"/>
        <w:snapToGrid w:val="0"/>
        <w:spacing w:line="560" w:lineRule="exact"/>
        <w:ind w:firstLine="422" w:firstLineChars="200"/>
        <w:textAlignment w:val="baseline"/>
        <w:rPr>
          <w:rFonts w:cs="楷体_GB2312" w:asciiTheme="minorEastAsia" w:hAnsiTheme="minorEastAsia" w:eastAsiaTheme="minorEastAsia"/>
          <w:b/>
          <w:bCs/>
          <w:color w:val="000000" w:themeColor="text1"/>
          <w:szCs w:val="21"/>
          <w:highlight w:val="none"/>
          <w14:textFill>
            <w14:solidFill>
              <w14:schemeClr w14:val="tx1"/>
            </w14:solidFill>
          </w14:textFill>
        </w:rPr>
      </w:pPr>
      <w:r>
        <w:rPr>
          <w:rFonts w:hint="eastAsia" w:cs="楷体_GB2312" w:asciiTheme="minorEastAsia" w:hAnsiTheme="minorEastAsia" w:eastAsiaTheme="minorEastAsia"/>
          <w:b/>
          <w:bCs/>
          <w:color w:val="000000" w:themeColor="text1"/>
          <w:szCs w:val="21"/>
          <w:highlight w:val="none"/>
          <w14:textFill>
            <w14:solidFill>
              <w14:schemeClr w14:val="tx1"/>
            </w14:solidFill>
          </w14:textFill>
        </w:rPr>
        <w:t>（二）各类食材配送标准</w:t>
      </w:r>
    </w:p>
    <w:p>
      <w:pPr>
        <w:widowControl/>
        <w:kinsoku w:val="0"/>
        <w:autoSpaceDE w:val="0"/>
        <w:autoSpaceDN w:val="0"/>
        <w:adjustRightInd w:val="0"/>
        <w:snapToGrid w:val="0"/>
        <w:spacing w:line="560" w:lineRule="exact"/>
        <w:ind w:firstLine="420" w:firstLineChars="200"/>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禽蛋、肉、冷冻食品</w:t>
      </w:r>
      <w:r>
        <w:rPr>
          <w:rFonts w:asciiTheme="minorEastAsia" w:hAnsiTheme="minorEastAsia" w:eastAsia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、蔬菜等必须提供所供物资检验检疫报告，定型包装的，必须有“</w:t>
      </w:r>
      <w:r>
        <w:rPr>
          <w:rFonts w:asciiTheme="minorEastAsia" w:hAnsiTheme="minorEastAsia" w:eastAsiaTheme="minorEastAsia"/>
          <w:color w:val="000000" w:themeColor="text1"/>
          <w:szCs w:val="21"/>
          <w:highlight w:val="none"/>
          <w14:textFill>
            <w14:solidFill>
              <w14:schemeClr w14:val="tx1"/>
            </w14:solidFill>
          </w14:textFill>
        </w:rPr>
        <w:t>QS</w:t>
      </w:r>
      <w:r>
        <w:rPr>
          <w:rFonts w:hint="eastAsia" w:asciiTheme="minorEastAsia" w:hAnsiTheme="minorEastAsia" w:eastAsiaTheme="minorEastAsia"/>
          <w:color w:val="000000" w:themeColor="text1"/>
          <w:szCs w:val="21"/>
          <w:highlight w:val="none"/>
          <w14:textFill>
            <w14:solidFill>
              <w14:schemeClr w14:val="tx1"/>
            </w14:solidFill>
          </w14:textFill>
        </w:rPr>
        <w:t>”食品质量认证标志；</w:t>
      </w:r>
    </w:p>
    <w:p>
      <w:pPr>
        <w:widowControl/>
        <w:kinsoku w:val="0"/>
        <w:autoSpaceDE w:val="0"/>
        <w:autoSpaceDN w:val="0"/>
        <w:adjustRightInd w:val="0"/>
        <w:snapToGrid w:val="0"/>
        <w:spacing w:line="560" w:lineRule="exact"/>
        <w:ind w:firstLine="420" w:firstLineChars="200"/>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2.</w:t>
      </w:r>
      <w:r>
        <w:rPr>
          <w:rFonts w:hint="eastAsia" w:asciiTheme="minorEastAsia" w:hAnsiTheme="minorEastAsia" w:eastAsiaTheme="minorEastAsia"/>
          <w:color w:val="000000" w:themeColor="text1"/>
          <w:szCs w:val="21"/>
          <w:highlight w:val="none"/>
          <w14:textFill>
            <w14:solidFill>
              <w14:schemeClr w14:val="tx1"/>
            </w14:solidFill>
          </w14:textFill>
        </w:rPr>
        <w:t>豆制品、半成品必须具有“</w:t>
      </w:r>
      <w:r>
        <w:rPr>
          <w:rFonts w:asciiTheme="minorEastAsia" w:hAnsiTheme="minorEastAsia" w:eastAsiaTheme="minorEastAsia"/>
          <w:color w:val="000000" w:themeColor="text1"/>
          <w:szCs w:val="21"/>
          <w:highlight w:val="none"/>
          <w14:textFill>
            <w14:solidFill>
              <w14:schemeClr w14:val="tx1"/>
            </w14:solidFill>
          </w14:textFill>
        </w:rPr>
        <w:t>QS</w:t>
      </w:r>
      <w:r>
        <w:rPr>
          <w:rFonts w:hint="eastAsia" w:asciiTheme="minorEastAsia" w:hAnsiTheme="minorEastAsia" w:eastAsiaTheme="minorEastAsia"/>
          <w:color w:val="000000" w:themeColor="text1"/>
          <w:szCs w:val="21"/>
          <w:highlight w:val="none"/>
          <w14:textFill>
            <w14:solidFill>
              <w14:schemeClr w14:val="tx1"/>
            </w14:solidFill>
          </w14:textFill>
        </w:rPr>
        <w:t>”食品质量安全认证；</w:t>
      </w:r>
    </w:p>
    <w:p>
      <w:pPr>
        <w:widowControl/>
        <w:kinsoku w:val="0"/>
        <w:autoSpaceDE w:val="0"/>
        <w:autoSpaceDN w:val="0"/>
        <w:adjustRightInd w:val="0"/>
        <w:snapToGrid w:val="0"/>
        <w:spacing w:line="560" w:lineRule="exact"/>
        <w:ind w:firstLine="420" w:firstLineChars="200"/>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3.</w:t>
      </w:r>
      <w:r>
        <w:rPr>
          <w:rFonts w:hint="eastAsia" w:asciiTheme="minorEastAsia" w:hAnsiTheme="minorEastAsia" w:eastAsiaTheme="minorEastAsia"/>
          <w:color w:val="000000" w:themeColor="text1"/>
          <w:szCs w:val="21"/>
          <w:highlight w:val="none"/>
          <w14:textFill>
            <w14:solidFill>
              <w14:schemeClr w14:val="tx1"/>
            </w14:solidFill>
          </w14:textFill>
        </w:rPr>
        <w:t>禽蛋、蔬菜、水产品必须保证新鲜，且符合《食品安全法》要求。</w:t>
      </w:r>
    </w:p>
    <w:p>
      <w:pPr>
        <w:widowControl/>
        <w:kinsoku w:val="0"/>
        <w:autoSpaceDE w:val="0"/>
        <w:autoSpaceDN w:val="0"/>
        <w:adjustRightInd w:val="0"/>
        <w:snapToGrid w:val="0"/>
        <w:spacing w:line="560" w:lineRule="exact"/>
        <w:ind w:firstLine="422" w:firstLineChars="200"/>
        <w:textAlignment w:val="baseline"/>
        <w:rPr>
          <w:rFonts w:cs="楷体_GB2312" w:asciiTheme="minorEastAsia" w:hAnsiTheme="minorEastAsia" w:eastAsiaTheme="minorEastAsia"/>
          <w:b/>
          <w:bCs/>
          <w:color w:val="000000" w:themeColor="text1"/>
          <w:szCs w:val="21"/>
          <w:highlight w:val="none"/>
          <w:lang w:val="zh-CN"/>
          <w14:textFill>
            <w14:solidFill>
              <w14:schemeClr w14:val="tx1"/>
            </w14:solidFill>
          </w14:textFill>
        </w:rPr>
      </w:pPr>
      <w:r>
        <w:rPr>
          <w:rFonts w:hint="eastAsia" w:cs="楷体_GB2312" w:asciiTheme="minorEastAsia" w:hAnsiTheme="minorEastAsia" w:eastAsiaTheme="minorEastAsia"/>
          <w:b/>
          <w:bCs/>
          <w:color w:val="000000" w:themeColor="text1"/>
          <w:szCs w:val="21"/>
          <w:highlight w:val="none"/>
          <w:lang w:val="zh-CN"/>
          <w14:textFill>
            <w14:solidFill>
              <w14:schemeClr w14:val="tx1"/>
            </w14:solidFill>
          </w14:textFill>
        </w:rPr>
        <w:t>（三）服务要求</w:t>
      </w:r>
    </w:p>
    <w:p>
      <w:pPr>
        <w:widowControl/>
        <w:kinsoku w:val="0"/>
        <w:autoSpaceDE w:val="0"/>
        <w:autoSpaceDN w:val="0"/>
        <w:adjustRightInd w:val="0"/>
        <w:snapToGrid w:val="0"/>
        <w:spacing w:line="560" w:lineRule="exact"/>
        <w:ind w:firstLine="420" w:firstLineChars="200"/>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中标人应严格遵守相关法律法规的相关规定，一经发现供应以下食品，除全部退货外，将取消中标人的供货资格，没收全部未结清款项，中标人并承担由此造成的经济责任和法律责任：</w:t>
      </w:r>
    </w:p>
    <w:p>
      <w:pPr>
        <w:widowControl/>
        <w:kinsoku w:val="0"/>
        <w:autoSpaceDE w:val="0"/>
        <w:autoSpaceDN w:val="0"/>
        <w:adjustRightInd w:val="0"/>
        <w:snapToGrid w:val="0"/>
        <w:spacing w:line="560" w:lineRule="exact"/>
        <w:ind w:firstLine="420" w:firstLineChars="200"/>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asciiTheme="minorEastAsia" w:hAnsiTheme="minorEastAsia" w:eastAsia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）腐败变质、油脂酸败、霉变、生虫、污秽不洁、混有异物或者其他感官性状异常，对人体健康有害的；</w:t>
      </w:r>
    </w:p>
    <w:p>
      <w:pPr>
        <w:widowControl/>
        <w:kinsoku w:val="0"/>
        <w:autoSpaceDE w:val="0"/>
        <w:autoSpaceDN w:val="0"/>
        <w:adjustRightInd w:val="0"/>
        <w:snapToGrid w:val="0"/>
        <w:spacing w:line="560" w:lineRule="exact"/>
        <w:ind w:firstLine="420" w:firstLineChars="200"/>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asciiTheme="minorEastAsia" w:hAnsiTheme="minorEastAsia" w:eastAsiaTheme="minorEastAsia"/>
          <w:color w:val="000000" w:themeColor="text1"/>
          <w:szCs w:val="21"/>
          <w:highlight w:val="none"/>
          <w14:textFill>
            <w14:solidFill>
              <w14:schemeClr w14:val="tx1"/>
            </w14:solidFill>
          </w14:textFill>
        </w:rPr>
        <w:t>2</w:t>
      </w:r>
      <w:r>
        <w:rPr>
          <w:rFonts w:hint="eastAsia" w:asciiTheme="minorEastAsia" w:hAnsiTheme="minorEastAsia" w:eastAsiaTheme="minorEastAsia"/>
          <w:color w:val="000000" w:themeColor="text1"/>
          <w:szCs w:val="21"/>
          <w:highlight w:val="none"/>
          <w14:textFill>
            <w14:solidFill>
              <w14:schemeClr w14:val="tx1"/>
            </w14:solidFill>
          </w14:textFill>
        </w:rPr>
        <w:t>）含有毒、有害物质或者被有害物质污染，对人体健康有害的；</w:t>
      </w:r>
    </w:p>
    <w:p>
      <w:pPr>
        <w:widowControl/>
        <w:kinsoku w:val="0"/>
        <w:autoSpaceDE w:val="0"/>
        <w:autoSpaceDN w:val="0"/>
        <w:adjustRightInd w:val="0"/>
        <w:snapToGrid w:val="0"/>
        <w:spacing w:line="560" w:lineRule="exact"/>
        <w:ind w:firstLine="420" w:firstLineChars="200"/>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asciiTheme="minorEastAsia" w:hAnsiTheme="minorEastAsia" w:eastAsiaTheme="minorEastAsia"/>
          <w:color w:val="000000" w:themeColor="text1"/>
          <w:szCs w:val="21"/>
          <w:highlight w:val="none"/>
          <w14:textFill>
            <w14:solidFill>
              <w14:schemeClr w14:val="tx1"/>
            </w14:solidFill>
          </w14:textFill>
        </w:rPr>
        <w:t>3</w:t>
      </w:r>
      <w:r>
        <w:rPr>
          <w:rFonts w:hint="eastAsia" w:asciiTheme="minorEastAsia" w:hAnsiTheme="minorEastAsia" w:eastAsiaTheme="minorEastAsia"/>
          <w:color w:val="000000" w:themeColor="text1"/>
          <w:szCs w:val="21"/>
          <w:highlight w:val="none"/>
          <w14:textFill>
            <w14:solidFill>
              <w14:schemeClr w14:val="tx1"/>
            </w14:solidFill>
          </w14:textFill>
        </w:rPr>
        <w:t>）含有致病性寄生虫、微生物或者微生物含量超过国家限定标准的；</w:t>
      </w:r>
    </w:p>
    <w:p>
      <w:pPr>
        <w:widowControl/>
        <w:kinsoku w:val="0"/>
        <w:autoSpaceDE w:val="0"/>
        <w:autoSpaceDN w:val="0"/>
        <w:adjustRightInd w:val="0"/>
        <w:snapToGrid w:val="0"/>
        <w:spacing w:line="560" w:lineRule="exact"/>
        <w:ind w:firstLine="420" w:firstLineChars="200"/>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asciiTheme="minorEastAsia" w:hAnsiTheme="minorEastAsia" w:eastAsiaTheme="minorEastAsia"/>
          <w:color w:val="000000" w:themeColor="text1"/>
          <w:szCs w:val="21"/>
          <w:highlight w:val="none"/>
          <w14:textFill>
            <w14:solidFill>
              <w14:schemeClr w14:val="tx1"/>
            </w14:solidFill>
          </w14:textFill>
        </w:rPr>
        <w:t>4</w:t>
      </w:r>
      <w:r>
        <w:rPr>
          <w:rFonts w:hint="eastAsia" w:asciiTheme="minorEastAsia" w:hAnsiTheme="minorEastAsia" w:eastAsiaTheme="minorEastAsia"/>
          <w:color w:val="000000" w:themeColor="text1"/>
          <w:szCs w:val="21"/>
          <w:highlight w:val="none"/>
          <w14:textFill>
            <w14:solidFill>
              <w14:schemeClr w14:val="tx1"/>
            </w14:solidFill>
          </w14:textFill>
        </w:rPr>
        <w:t>）未经动物检疫部门检疫、检验或者检疫、检验不合格的肉类及其制品；</w:t>
      </w:r>
    </w:p>
    <w:p>
      <w:pPr>
        <w:widowControl/>
        <w:kinsoku w:val="0"/>
        <w:autoSpaceDE w:val="0"/>
        <w:autoSpaceDN w:val="0"/>
        <w:adjustRightInd w:val="0"/>
        <w:snapToGrid w:val="0"/>
        <w:spacing w:line="560" w:lineRule="exact"/>
        <w:ind w:firstLine="420" w:firstLineChars="200"/>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asciiTheme="minorEastAsia" w:hAnsiTheme="minorEastAsia" w:eastAsiaTheme="minorEastAsia"/>
          <w:color w:val="000000" w:themeColor="text1"/>
          <w:szCs w:val="21"/>
          <w:highlight w:val="none"/>
          <w14:textFill>
            <w14:solidFill>
              <w14:schemeClr w14:val="tx1"/>
            </w14:solidFill>
          </w14:textFill>
        </w:rPr>
        <w:t>5</w:t>
      </w:r>
      <w:r>
        <w:rPr>
          <w:rFonts w:hint="eastAsia" w:asciiTheme="minorEastAsia" w:hAnsiTheme="minorEastAsia" w:eastAsiaTheme="minorEastAsia"/>
          <w:color w:val="000000" w:themeColor="text1"/>
          <w:szCs w:val="21"/>
          <w:highlight w:val="none"/>
          <w14:textFill>
            <w14:solidFill>
              <w14:schemeClr w14:val="tx1"/>
            </w14:solidFill>
          </w14:textFill>
        </w:rPr>
        <w:t>）病死、毒死或者死因不明的禽、蓄、兽、水产动物等及其制品；</w:t>
      </w:r>
    </w:p>
    <w:p>
      <w:pPr>
        <w:widowControl/>
        <w:kinsoku w:val="0"/>
        <w:autoSpaceDE w:val="0"/>
        <w:autoSpaceDN w:val="0"/>
        <w:adjustRightInd w:val="0"/>
        <w:snapToGrid w:val="0"/>
        <w:spacing w:line="560" w:lineRule="exact"/>
        <w:ind w:firstLine="420" w:firstLineChars="200"/>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asciiTheme="minorEastAsia" w:hAnsiTheme="minorEastAsia" w:eastAsiaTheme="minorEastAsia"/>
          <w:color w:val="000000" w:themeColor="text1"/>
          <w:szCs w:val="21"/>
          <w:highlight w:val="none"/>
          <w14:textFill>
            <w14:solidFill>
              <w14:schemeClr w14:val="tx1"/>
            </w14:solidFill>
          </w14:textFill>
        </w:rPr>
        <w:t>6</w:t>
      </w:r>
      <w:r>
        <w:rPr>
          <w:rFonts w:hint="eastAsia" w:asciiTheme="minorEastAsia" w:hAnsiTheme="minorEastAsia" w:eastAsiaTheme="minorEastAsia"/>
          <w:color w:val="000000" w:themeColor="text1"/>
          <w:szCs w:val="21"/>
          <w:highlight w:val="none"/>
          <w14:textFill>
            <w14:solidFill>
              <w14:schemeClr w14:val="tx1"/>
            </w14:solidFill>
          </w14:textFill>
        </w:rPr>
        <w:t>）掺假、掺杂、伪造，影响营养、卫生的；</w:t>
      </w:r>
    </w:p>
    <w:p>
      <w:pPr>
        <w:widowControl/>
        <w:kinsoku w:val="0"/>
        <w:autoSpaceDE w:val="0"/>
        <w:autoSpaceDN w:val="0"/>
        <w:adjustRightInd w:val="0"/>
        <w:snapToGrid w:val="0"/>
        <w:spacing w:line="560" w:lineRule="exact"/>
        <w:ind w:firstLine="420" w:firstLineChars="200"/>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asciiTheme="minorEastAsia" w:hAnsiTheme="minorEastAsia" w:eastAsiaTheme="minorEastAsia"/>
          <w:color w:val="000000" w:themeColor="text1"/>
          <w:szCs w:val="21"/>
          <w:highlight w:val="none"/>
          <w14:textFill>
            <w14:solidFill>
              <w14:schemeClr w14:val="tx1"/>
            </w14:solidFill>
          </w14:textFill>
        </w:rPr>
        <w:t>7</w:t>
      </w:r>
      <w:r>
        <w:rPr>
          <w:rFonts w:hint="eastAsia" w:asciiTheme="minorEastAsia" w:hAnsiTheme="minorEastAsia" w:eastAsiaTheme="minorEastAsia"/>
          <w:color w:val="000000" w:themeColor="text1"/>
          <w:szCs w:val="21"/>
          <w:highlight w:val="none"/>
          <w14:textFill>
            <w14:solidFill>
              <w14:schemeClr w14:val="tx1"/>
            </w14:solidFill>
          </w14:textFill>
        </w:rPr>
        <w:t>）用非食品原料加工的，加入非食品用化学物质或者将非食品当作食品的；</w:t>
      </w:r>
    </w:p>
    <w:p>
      <w:pPr>
        <w:widowControl/>
        <w:kinsoku w:val="0"/>
        <w:autoSpaceDE w:val="0"/>
        <w:autoSpaceDN w:val="0"/>
        <w:adjustRightInd w:val="0"/>
        <w:snapToGrid w:val="0"/>
        <w:spacing w:line="560" w:lineRule="exact"/>
        <w:ind w:firstLine="420" w:firstLineChars="200"/>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asciiTheme="minorEastAsia" w:hAnsiTheme="minorEastAsia" w:eastAsiaTheme="minorEastAsia"/>
          <w:color w:val="000000" w:themeColor="text1"/>
          <w:szCs w:val="21"/>
          <w:highlight w:val="none"/>
          <w14:textFill>
            <w14:solidFill>
              <w14:schemeClr w14:val="tx1"/>
            </w14:solidFill>
          </w14:textFill>
        </w:rPr>
        <w:t>8</w:t>
      </w:r>
      <w:r>
        <w:rPr>
          <w:rFonts w:hint="eastAsia" w:asciiTheme="minorEastAsia" w:hAnsiTheme="minorEastAsia" w:eastAsiaTheme="minorEastAsia"/>
          <w:color w:val="000000" w:themeColor="text1"/>
          <w:szCs w:val="21"/>
          <w:highlight w:val="none"/>
          <w14:textFill>
            <w14:solidFill>
              <w14:schemeClr w14:val="tx1"/>
            </w14:solidFill>
          </w14:textFill>
        </w:rPr>
        <w:t>）超过保质期限的；</w:t>
      </w:r>
    </w:p>
    <w:p>
      <w:pPr>
        <w:widowControl/>
        <w:kinsoku w:val="0"/>
        <w:autoSpaceDE w:val="0"/>
        <w:autoSpaceDN w:val="0"/>
        <w:adjustRightInd w:val="0"/>
        <w:snapToGrid w:val="0"/>
        <w:spacing w:line="560" w:lineRule="exact"/>
        <w:ind w:firstLine="420" w:firstLineChars="200"/>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w:t>
      </w:r>
      <w:r>
        <w:rPr>
          <w:rFonts w:asciiTheme="minorEastAsia" w:hAnsiTheme="minorEastAsia" w:eastAsiaTheme="minorEastAsia"/>
          <w:color w:val="000000" w:themeColor="text1"/>
          <w:szCs w:val="21"/>
          <w:highlight w:val="none"/>
          <w14:textFill>
            <w14:solidFill>
              <w14:schemeClr w14:val="tx1"/>
            </w14:solidFill>
          </w14:textFill>
        </w:rPr>
        <w:t>9</w:t>
      </w:r>
      <w:r>
        <w:rPr>
          <w:rFonts w:hint="eastAsia" w:asciiTheme="minorEastAsia" w:hAnsiTheme="minorEastAsia" w:eastAsiaTheme="minorEastAsia"/>
          <w:color w:val="000000" w:themeColor="text1"/>
          <w:szCs w:val="21"/>
          <w:highlight w:val="none"/>
          <w14:textFill>
            <w14:solidFill>
              <w14:schemeClr w14:val="tx1"/>
            </w14:solidFill>
          </w14:textFill>
        </w:rPr>
        <w:t>）使用有毒塑料制品包装食材的。</w:t>
      </w:r>
    </w:p>
    <w:p>
      <w:pPr>
        <w:widowControl/>
        <w:kinsoku w:val="0"/>
        <w:autoSpaceDE w:val="0"/>
        <w:autoSpaceDN w:val="0"/>
        <w:adjustRightInd w:val="0"/>
        <w:snapToGrid w:val="0"/>
        <w:spacing w:line="560" w:lineRule="exact"/>
        <w:ind w:firstLine="420" w:firstLineChars="200"/>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2.</w:t>
      </w:r>
      <w:r>
        <w:rPr>
          <w:rFonts w:hint="eastAsia" w:asciiTheme="minorEastAsia" w:hAnsiTheme="minorEastAsia" w:eastAsiaTheme="minorEastAsia"/>
          <w:color w:val="000000" w:themeColor="text1"/>
          <w:szCs w:val="21"/>
          <w:highlight w:val="none"/>
          <w14:textFill>
            <w14:solidFill>
              <w14:schemeClr w14:val="tx1"/>
            </w14:solidFill>
          </w14:textFill>
        </w:rPr>
        <w:t>货物需有合法的产品溯源性；供货时提供应相关部门出具的食材检测报告、食品检验合格证、检验检疫证明等；禽蛋类产品、肉类产品需提供营业执照、《动物防疫条件合格证》《生猪定点屠宰许可证》等；对实行食品质量（</w:t>
      </w:r>
      <w:r>
        <w:rPr>
          <w:rFonts w:asciiTheme="minorEastAsia" w:hAnsiTheme="minorEastAsia" w:eastAsiaTheme="minorEastAsia"/>
          <w:color w:val="000000" w:themeColor="text1"/>
          <w:szCs w:val="21"/>
          <w:highlight w:val="none"/>
          <w14:textFill>
            <w14:solidFill>
              <w14:schemeClr w14:val="tx1"/>
            </w14:solidFill>
          </w14:textFill>
        </w:rPr>
        <w:t>QS</w:t>
      </w:r>
      <w:r>
        <w:rPr>
          <w:rFonts w:hint="eastAsia" w:asciiTheme="minorEastAsia" w:hAnsiTheme="minorEastAsia" w:eastAsiaTheme="minorEastAsia"/>
          <w:color w:val="000000" w:themeColor="text1"/>
          <w:szCs w:val="21"/>
          <w:highlight w:val="none"/>
          <w14:textFill>
            <w14:solidFill>
              <w14:schemeClr w14:val="tx1"/>
            </w14:solidFill>
          </w14:textFill>
        </w:rPr>
        <w:t>）（以</w:t>
      </w:r>
      <w:r>
        <w:rPr>
          <w:rFonts w:asciiTheme="minorEastAsia" w:hAnsiTheme="minorEastAsia" w:eastAsiaTheme="minorEastAsia"/>
          <w:color w:val="000000" w:themeColor="text1"/>
          <w:szCs w:val="21"/>
          <w:highlight w:val="none"/>
          <w14:textFill>
            <w14:solidFill>
              <w14:schemeClr w14:val="tx1"/>
            </w14:solidFill>
          </w14:textFill>
        </w:rPr>
        <w:t xml:space="preserve"> SC </w:t>
      </w:r>
      <w:r>
        <w:rPr>
          <w:rFonts w:hint="eastAsia" w:asciiTheme="minorEastAsia" w:hAnsiTheme="minorEastAsia" w:eastAsiaTheme="minorEastAsia"/>
          <w:color w:val="000000" w:themeColor="text1"/>
          <w:szCs w:val="21"/>
          <w:highlight w:val="none"/>
          <w14:textFill>
            <w14:solidFill>
              <w14:schemeClr w14:val="tx1"/>
            </w14:solidFill>
          </w14:textFill>
        </w:rPr>
        <w:t>编码作为标准，取代</w:t>
      </w:r>
      <w:r>
        <w:rPr>
          <w:rFonts w:asciiTheme="minorEastAsia" w:hAnsiTheme="minorEastAsia" w:eastAsiaTheme="minorEastAsia"/>
          <w:color w:val="000000" w:themeColor="text1"/>
          <w:szCs w:val="21"/>
          <w:highlight w:val="none"/>
          <w14:textFill>
            <w14:solidFill>
              <w14:schemeClr w14:val="tx1"/>
            </w14:solidFill>
          </w14:textFill>
        </w:rPr>
        <w:t>QS</w:t>
      </w:r>
      <w:r>
        <w:rPr>
          <w:rFonts w:hint="eastAsia" w:asciiTheme="minorEastAsia" w:hAnsiTheme="minorEastAsia" w:eastAsiaTheme="minorEastAsia"/>
          <w:color w:val="000000" w:themeColor="text1"/>
          <w:szCs w:val="21"/>
          <w:highlight w:val="none"/>
          <w14:textFill>
            <w14:solidFill>
              <w14:schemeClr w14:val="tx1"/>
            </w14:solidFill>
          </w14:textFill>
        </w:rPr>
        <w:t>）安全市场准入制的食品，须提供</w:t>
      </w:r>
      <w:r>
        <w:rPr>
          <w:rFonts w:asciiTheme="minorEastAsia" w:hAnsiTheme="minorEastAsia" w:eastAsiaTheme="minorEastAsia"/>
          <w:color w:val="000000" w:themeColor="text1"/>
          <w:szCs w:val="21"/>
          <w:highlight w:val="none"/>
          <w14:textFill>
            <w14:solidFill>
              <w14:schemeClr w14:val="tx1"/>
            </w14:solidFill>
          </w14:textFill>
        </w:rPr>
        <w:t xml:space="preserve"> QS </w:t>
      </w:r>
      <w:r>
        <w:rPr>
          <w:rFonts w:hint="eastAsia" w:asciiTheme="minorEastAsia" w:hAnsiTheme="minorEastAsia" w:eastAsiaTheme="minorEastAsia"/>
          <w:color w:val="000000" w:themeColor="text1"/>
          <w:szCs w:val="21"/>
          <w:highlight w:val="none"/>
          <w14:textFill>
            <w14:solidFill>
              <w14:schemeClr w14:val="tx1"/>
            </w14:solidFill>
          </w14:textFill>
        </w:rPr>
        <w:t>认证的相关证明资料。目前国家实行食品质量（</w:t>
      </w:r>
      <w:r>
        <w:rPr>
          <w:rFonts w:asciiTheme="minorEastAsia" w:hAnsiTheme="minorEastAsia" w:eastAsiaTheme="minorEastAsia"/>
          <w:color w:val="000000" w:themeColor="text1"/>
          <w:szCs w:val="21"/>
          <w:highlight w:val="none"/>
          <w14:textFill>
            <w14:solidFill>
              <w14:schemeClr w14:val="tx1"/>
            </w14:solidFill>
          </w14:textFill>
        </w:rPr>
        <w:t>QS</w:t>
      </w:r>
      <w:r>
        <w:rPr>
          <w:rFonts w:hint="eastAsia" w:asciiTheme="minorEastAsia" w:hAnsiTheme="minorEastAsia" w:eastAsiaTheme="minorEastAsia"/>
          <w:color w:val="000000" w:themeColor="text1"/>
          <w:szCs w:val="21"/>
          <w:highlight w:val="none"/>
          <w14:textFill>
            <w14:solidFill>
              <w14:schemeClr w14:val="tx1"/>
            </w14:solidFill>
          </w14:textFill>
        </w:rPr>
        <w:t>）安全市场准入制的食品共</w:t>
      </w:r>
      <w:r>
        <w:rPr>
          <w:rFonts w:asciiTheme="minorEastAsia" w:hAnsiTheme="minorEastAsia" w:eastAsiaTheme="minorEastAsia"/>
          <w:color w:val="000000" w:themeColor="text1"/>
          <w:szCs w:val="21"/>
          <w:highlight w:val="none"/>
          <w14:textFill>
            <w14:solidFill>
              <w14:schemeClr w14:val="tx1"/>
            </w14:solidFill>
          </w14:textFill>
        </w:rPr>
        <w:t xml:space="preserve"> 28 </w:t>
      </w:r>
      <w:r>
        <w:rPr>
          <w:rFonts w:hint="eastAsia" w:asciiTheme="minorEastAsia" w:hAnsiTheme="minorEastAsia" w:eastAsiaTheme="minorEastAsia"/>
          <w:color w:val="000000" w:themeColor="text1"/>
          <w:szCs w:val="21"/>
          <w:highlight w:val="none"/>
          <w14:textFill>
            <w14:solidFill>
              <w14:schemeClr w14:val="tx1"/>
            </w14:solidFill>
          </w14:textFill>
        </w:rPr>
        <w:t>类：大米、小麦粉、酱油、醋、食用植物油、肉制品、乳制品、饮料、味精、方便面、饼干、罐头食品、冷冻饮品、速冻面米食品、膨化食品、糖果</w:t>
      </w:r>
      <w:r>
        <w:rPr>
          <w:rFonts w:asciiTheme="minorEastAsia" w:hAnsiTheme="minorEastAsia" w:eastAsia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制品、茶叶、葡萄酒、果酒、啤酒、黄酒、白酒、酱腌菜、蜜饯、炒货食品、蛋制品、可可制品、水产加工品、淀粉及淀粉制品（包括粉丝、粉条）。</w:t>
      </w:r>
    </w:p>
    <w:p>
      <w:pPr>
        <w:widowControl/>
        <w:kinsoku w:val="0"/>
        <w:autoSpaceDE w:val="0"/>
        <w:autoSpaceDN w:val="0"/>
        <w:adjustRightInd w:val="0"/>
        <w:snapToGrid w:val="0"/>
        <w:spacing w:line="560" w:lineRule="exact"/>
        <w:ind w:firstLine="420" w:firstLineChars="200"/>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3.</w:t>
      </w:r>
      <w:r>
        <w:rPr>
          <w:rFonts w:hint="eastAsia" w:asciiTheme="minorEastAsia" w:hAnsiTheme="minorEastAsia" w:eastAsiaTheme="minorEastAsia"/>
          <w:color w:val="000000" w:themeColor="text1"/>
          <w:szCs w:val="21"/>
          <w:highlight w:val="none"/>
          <w14:textFill>
            <w14:solidFill>
              <w14:schemeClr w14:val="tx1"/>
            </w14:solidFill>
          </w14:textFill>
        </w:rPr>
        <w:t>中标人尽量满足采购人合理的其他需求（如采购人有特殊紧急情况下，能确保在半小时内响应采购人需求等）。</w:t>
      </w:r>
    </w:p>
    <w:p>
      <w:pPr>
        <w:widowControl/>
        <w:kinsoku w:val="0"/>
        <w:autoSpaceDE w:val="0"/>
        <w:autoSpaceDN w:val="0"/>
        <w:adjustRightInd w:val="0"/>
        <w:snapToGrid w:val="0"/>
        <w:spacing w:line="560" w:lineRule="exact"/>
        <w:ind w:firstLine="420" w:firstLineChars="200"/>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4.</w:t>
      </w:r>
      <w:r>
        <w:rPr>
          <w:rFonts w:hint="eastAsia" w:asciiTheme="minorEastAsia" w:hAnsiTheme="minorEastAsia" w:eastAsiaTheme="minorEastAsia"/>
          <w:color w:val="000000" w:themeColor="text1"/>
          <w:szCs w:val="21"/>
          <w:highlight w:val="none"/>
          <w14:textFill>
            <w14:solidFill>
              <w14:schemeClr w14:val="tx1"/>
            </w14:solidFill>
          </w14:textFill>
        </w:rPr>
        <w:t>配送方式：专人专车，严格履行采购人疫情防控要求。</w:t>
      </w:r>
    </w:p>
    <w:p>
      <w:pPr>
        <w:widowControl/>
        <w:kinsoku w:val="0"/>
        <w:autoSpaceDE w:val="0"/>
        <w:autoSpaceDN w:val="0"/>
        <w:adjustRightInd w:val="0"/>
        <w:snapToGrid w:val="0"/>
        <w:spacing w:line="560" w:lineRule="exact"/>
        <w:ind w:firstLine="420" w:firstLineChars="200"/>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5.</w:t>
      </w:r>
      <w:r>
        <w:rPr>
          <w:rFonts w:hint="eastAsia" w:asciiTheme="minorEastAsia" w:hAnsiTheme="minorEastAsia" w:eastAsiaTheme="minorEastAsia"/>
          <w:color w:val="000000" w:themeColor="text1"/>
          <w:szCs w:val="21"/>
          <w:highlight w:val="none"/>
          <w14:textFill>
            <w14:solidFill>
              <w14:schemeClr w14:val="tx1"/>
            </w14:solidFill>
          </w14:textFill>
        </w:rPr>
        <w:t>运输要求：做到配送人员和机动车辆固定。提供的冷链装置要达到冻品的标准温度和冷藏保鲜温度。食品运输必须采用符合卫生要求的外包装和运载工具，并且要保持清洁和定期消毒，保持性能稳定，符合规定的温度要求；运输工具应清洁卫生无污染，运输车厢的内仓，包括地面、墙面和顶，应为抗腐蚀、防潮，防虫、防鼠的设计，车厢内无不良气味、异味；运输途中严防日晒、雨淋，注意通风散热；蔬菜瓜果类蔬菜应小心轻卸，严防机械损伤；冷藏、冷冻食品必须用专用冷藏、冷冻载具运输在整个运输过程中保持安全的冷藏，保证食品在运输全过程符合储存温度要求，并记录存档；肉类送货车辆实行</w:t>
      </w:r>
      <w:r>
        <w:rPr>
          <w:rFonts w:asciiTheme="minorEastAsia" w:hAnsiTheme="minorEastAsia" w:eastAsia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小时配送圈运作，</w:t>
      </w:r>
      <w:r>
        <w:rPr>
          <w:rFonts w:asciiTheme="minorEastAsia" w:hAnsiTheme="minorEastAsia" w:eastAsia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小时以外的用制冷车配送，保证肉类中心温度控制在</w:t>
      </w:r>
      <w:r>
        <w:rPr>
          <w:rFonts w:asciiTheme="minorEastAsia" w:hAnsiTheme="minorEastAsia" w:eastAsiaTheme="minorEastAsia"/>
          <w:color w:val="000000" w:themeColor="text1"/>
          <w:szCs w:val="21"/>
          <w:highlight w:val="none"/>
          <w14:textFill>
            <w14:solidFill>
              <w14:schemeClr w14:val="tx1"/>
            </w14:solidFill>
          </w14:textFill>
        </w:rPr>
        <w:t>-2-7</w:t>
      </w:r>
      <w:r>
        <w:rPr>
          <w:rFonts w:hint="eastAsia" w:asciiTheme="minorEastAsia" w:hAnsiTheme="minorEastAsia" w:eastAsiaTheme="minorEastAsia"/>
          <w:color w:val="000000" w:themeColor="text1"/>
          <w:szCs w:val="21"/>
          <w:highlight w:val="none"/>
          <w14:textFill>
            <w14:solidFill>
              <w14:schemeClr w14:val="tx1"/>
            </w14:solidFill>
          </w14:textFill>
        </w:rPr>
        <w:t>℃的范围之内，保证运输过程冷链不中断；整个运输过程应科学合理。</w:t>
      </w:r>
    </w:p>
    <w:p>
      <w:pPr>
        <w:widowControl/>
        <w:kinsoku w:val="0"/>
        <w:autoSpaceDE w:val="0"/>
        <w:autoSpaceDN w:val="0"/>
        <w:adjustRightInd w:val="0"/>
        <w:snapToGrid w:val="0"/>
        <w:spacing w:line="560" w:lineRule="exact"/>
        <w:ind w:firstLine="420" w:firstLineChars="200"/>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6.</w:t>
      </w:r>
      <w:r>
        <w:rPr>
          <w:rFonts w:hint="eastAsia" w:asciiTheme="minorEastAsia" w:hAnsiTheme="minorEastAsia" w:eastAsiaTheme="minorEastAsia"/>
          <w:color w:val="000000" w:themeColor="text1"/>
          <w:szCs w:val="21"/>
          <w:highlight w:val="none"/>
          <w14:textFill>
            <w14:solidFill>
              <w14:schemeClr w14:val="tx1"/>
            </w14:solidFill>
          </w14:textFill>
        </w:rPr>
        <w:t>疫情严重情况下的服务需求：疫情期间，配送时必须进行三次消毒，（库房消毒、进入采购人单位前消毒、到达卸货位置消毒），消毒视频上传至采购人，必须全程佩戴口罩、手套。需有较强的货源组织和配送保障能力，在疫情严重时期，全力保障和满足招标人的食材供应需求。</w:t>
      </w:r>
      <w:r>
        <w:rPr>
          <w:rFonts w:asciiTheme="minorEastAsia" w:hAnsiTheme="minorEastAsia" w:eastAsia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同时按照当地防疫要求，做好工作人员的防疫保护、食材检测和质量把关，对仓储配送场地、设施、车辆进行清洁消毒，确保食材和人员安全。</w:t>
      </w:r>
    </w:p>
    <w:p>
      <w:pPr>
        <w:widowControl/>
        <w:kinsoku w:val="0"/>
        <w:autoSpaceDE w:val="0"/>
        <w:autoSpaceDN w:val="0"/>
        <w:adjustRightInd w:val="0"/>
        <w:snapToGrid w:val="0"/>
        <w:spacing w:line="560" w:lineRule="exact"/>
        <w:ind w:firstLine="420" w:firstLineChars="200"/>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7.</w:t>
      </w:r>
      <w:r>
        <w:rPr>
          <w:rFonts w:hint="eastAsia" w:asciiTheme="minorEastAsia" w:hAnsiTheme="minorEastAsia" w:eastAsiaTheme="minorEastAsia"/>
          <w:color w:val="000000" w:themeColor="text1"/>
          <w:szCs w:val="21"/>
          <w:highlight w:val="none"/>
          <w14:textFill>
            <w14:solidFill>
              <w14:schemeClr w14:val="tx1"/>
            </w14:solidFill>
          </w14:textFill>
        </w:rPr>
        <w:t>需针对单位食堂配送买食品安全责任险</w:t>
      </w:r>
    </w:p>
    <w:p>
      <w:pPr>
        <w:widowControl/>
        <w:kinsoku w:val="0"/>
        <w:autoSpaceDE w:val="0"/>
        <w:autoSpaceDN w:val="0"/>
        <w:adjustRightInd w:val="0"/>
        <w:snapToGrid w:val="0"/>
        <w:spacing w:line="560" w:lineRule="exact"/>
        <w:ind w:firstLine="422" w:firstLineChars="200"/>
        <w:textAlignment w:val="baseline"/>
        <w:rPr>
          <w:rFonts w:cs="楷体_GB2312" w:asciiTheme="minorEastAsia" w:hAnsiTheme="minorEastAsia" w:eastAsiaTheme="minorEastAsia"/>
          <w:b/>
          <w:bCs/>
          <w:color w:val="000000" w:themeColor="text1"/>
          <w:szCs w:val="21"/>
          <w:highlight w:val="none"/>
          <w14:textFill>
            <w14:solidFill>
              <w14:schemeClr w14:val="tx1"/>
            </w14:solidFill>
          </w14:textFill>
        </w:rPr>
      </w:pPr>
      <w:r>
        <w:rPr>
          <w:rFonts w:hint="eastAsia" w:cs="楷体_GB2312" w:asciiTheme="minorEastAsia" w:hAnsiTheme="minorEastAsia" w:eastAsiaTheme="minorEastAsia"/>
          <w:b/>
          <w:bCs/>
          <w:color w:val="000000" w:themeColor="text1"/>
          <w:szCs w:val="21"/>
          <w:highlight w:val="none"/>
          <w14:textFill>
            <w14:solidFill>
              <w14:schemeClr w14:val="tx1"/>
            </w14:solidFill>
          </w14:textFill>
        </w:rPr>
        <w:t>（三）验收要求</w:t>
      </w:r>
    </w:p>
    <w:p>
      <w:pPr>
        <w:widowControl/>
        <w:kinsoku w:val="0"/>
        <w:autoSpaceDE w:val="0"/>
        <w:autoSpaceDN w:val="0"/>
        <w:adjustRightInd w:val="0"/>
        <w:snapToGrid w:val="0"/>
        <w:spacing w:line="560" w:lineRule="exact"/>
        <w:ind w:firstLine="420" w:firstLineChars="200"/>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采购人有权按照中标人提供食品的数量、质量、卫生、新鲜程度及相关检验文件（动物检疫证明、农产品农药残留证明）等进行验收。</w:t>
      </w:r>
    </w:p>
    <w:p>
      <w:pPr>
        <w:widowControl/>
        <w:kinsoku w:val="0"/>
        <w:autoSpaceDE w:val="0"/>
        <w:autoSpaceDN w:val="0"/>
        <w:adjustRightInd w:val="0"/>
        <w:snapToGrid w:val="0"/>
        <w:spacing w:line="560" w:lineRule="exact"/>
        <w:ind w:firstLine="420" w:firstLineChars="200"/>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2.</w:t>
      </w:r>
      <w:r>
        <w:rPr>
          <w:rFonts w:hint="eastAsia" w:asciiTheme="minorEastAsia" w:hAnsiTheme="minorEastAsia" w:eastAsiaTheme="minorEastAsia"/>
          <w:color w:val="000000" w:themeColor="text1"/>
          <w:szCs w:val="21"/>
          <w:highlight w:val="none"/>
          <w14:textFill>
            <w14:solidFill>
              <w14:schemeClr w14:val="tx1"/>
            </w14:solidFill>
          </w14:textFill>
        </w:rPr>
        <w:t>采购人有权指定中标人在规定时间、地点将配送品种送达，中标人没有按照采购人提出的要求落实，采购人有权拒收、退货且不承担任何责任。</w:t>
      </w:r>
    </w:p>
    <w:p>
      <w:pPr>
        <w:widowControl/>
        <w:kinsoku w:val="0"/>
        <w:autoSpaceDE w:val="0"/>
        <w:autoSpaceDN w:val="0"/>
        <w:adjustRightInd w:val="0"/>
        <w:snapToGrid w:val="0"/>
        <w:spacing w:line="560" w:lineRule="exact"/>
        <w:ind w:firstLine="420" w:firstLineChars="200"/>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3.</w:t>
      </w:r>
      <w:r>
        <w:rPr>
          <w:rFonts w:hint="eastAsia" w:asciiTheme="minorEastAsia" w:hAnsiTheme="minorEastAsia" w:eastAsiaTheme="minorEastAsia"/>
          <w:color w:val="000000" w:themeColor="text1"/>
          <w:szCs w:val="21"/>
          <w:highlight w:val="none"/>
          <w14:textFill>
            <w14:solidFill>
              <w14:schemeClr w14:val="tx1"/>
            </w14:solidFill>
          </w14:textFill>
        </w:rPr>
        <w:t>采购人有权对不符合标准要求的农副产品作退货处理，中标人在规定时限内补货。</w:t>
      </w:r>
    </w:p>
    <w:p>
      <w:pPr>
        <w:widowControl/>
        <w:kinsoku w:val="0"/>
        <w:autoSpaceDE w:val="0"/>
        <w:autoSpaceDN w:val="0"/>
        <w:adjustRightInd w:val="0"/>
        <w:snapToGrid w:val="0"/>
        <w:spacing w:line="560" w:lineRule="exact"/>
        <w:ind w:firstLine="420" w:firstLineChars="200"/>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4.</w:t>
      </w:r>
      <w:r>
        <w:rPr>
          <w:rFonts w:hint="eastAsia" w:asciiTheme="minorEastAsia" w:hAnsiTheme="minorEastAsia" w:eastAsiaTheme="minorEastAsia"/>
          <w:color w:val="000000" w:themeColor="text1"/>
          <w:szCs w:val="21"/>
          <w:highlight w:val="none"/>
          <w14:textFill>
            <w14:solidFill>
              <w14:schemeClr w14:val="tx1"/>
            </w14:solidFill>
          </w14:textFill>
        </w:rPr>
        <w:t>采购品种发生变化时，采购人应第一时间告知投标人，中标人根据通知进行调整和配送。</w:t>
      </w:r>
    </w:p>
    <w:p>
      <w:pPr>
        <w:widowControl/>
        <w:kinsoku w:val="0"/>
        <w:autoSpaceDE w:val="0"/>
        <w:autoSpaceDN w:val="0"/>
        <w:adjustRightInd w:val="0"/>
        <w:snapToGrid w:val="0"/>
        <w:spacing w:line="560" w:lineRule="exact"/>
        <w:ind w:firstLine="420" w:firstLineChars="200"/>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5.</w:t>
      </w:r>
      <w:r>
        <w:rPr>
          <w:rFonts w:hint="eastAsia" w:asciiTheme="minorEastAsia" w:hAnsiTheme="minorEastAsia" w:eastAsiaTheme="minorEastAsia"/>
          <w:color w:val="000000" w:themeColor="text1"/>
          <w:szCs w:val="21"/>
          <w:highlight w:val="none"/>
          <w14:textFill>
            <w14:solidFill>
              <w14:schemeClr w14:val="tx1"/>
            </w14:solidFill>
          </w14:textFill>
        </w:rPr>
        <w:t>中标人在送货过程中出现错送、漏送、少送、多送，</w:t>
      </w:r>
      <w:r>
        <w:rPr>
          <w:rFonts w:asciiTheme="minorEastAsia" w:hAnsiTheme="minorEastAsia" w:eastAsia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Cs w:val="21"/>
          <w:highlight w:val="none"/>
          <w14:textFill>
            <w14:solidFill>
              <w14:schemeClr w14:val="tx1"/>
            </w14:solidFill>
          </w14:textFill>
        </w:rPr>
        <w:t>采购人有权要求投标人按照采购人提出的要求，立即整改，造成的损失由中标人承担。</w:t>
      </w:r>
    </w:p>
    <w:p>
      <w:pPr>
        <w:widowControl/>
        <w:kinsoku w:val="0"/>
        <w:autoSpaceDE w:val="0"/>
        <w:autoSpaceDN w:val="0"/>
        <w:adjustRightInd w:val="0"/>
        <w:snapToGrid w:val="0"/>
        <w:spacing w:line="560" w:lineRule="exact"/>
        <w:ind w:firstLine="422" w:firstLineChars="200"/>
        <w:textAlignment w:val="baseline"/>
        <w:rPr>
          <w:rFonts w:cs="楷体_GB2312" w:asciiTheme="minorEastAsia" w:hAnsiTheme="minorEastAsia" w:eastAsiaTheme="minorEastAsia"/>
          <w:b/>
          <w:bCs/>
          <w:color w:val="000000" w:themeColor="text1"/>
          <w:szCs w:val="21"/>
          <w:highlight w:val="none"/>
          <w14:textFill>
            <w14:solidFill>
              <w14:schemeClr w14:val="tx1"/>
            </w14:solidFill>
          </w14:textFill>
        </w:rPr>
      </w:pPr>
      <w:r>
        <w:rPr>
          <w:rFonts w:cs="楷体_GB2312" w:asciiTheme="minorEastAsia" w:hAnsiTheme="minorEastAsia" w:eastAsiaTheme="minorEastAsia"/>
          <w:b/>
          <w:bCs/>
          <w:color w:val="000000" w:themeColor="text1"/>
          <w:szCs w:val="21"/>
          <w:highlight w:val="none"/>
          <w14:textFill>
            <w14:solidFill>
              <w14:schemeClr w14:val="tx1"/>
            </w14:solidFill>
          </w14:textFill>
        </w:rPr>
        <w:t>（</w:t>
      </w:r>
      <w:r>
        <w:rPr>
          <w:rFonts w:hint="eastAsia" w:cs="楷体_GB2312" w:asciiTheme="minorEastAsia" w:hAnsiTheme="minorEastAsia" w:eastAsiaTheme="minorEastAsia"/>
          <w:b/>
          <w:bCs/>
          <w:color w:val="000000" w:themeColor="text1"/>
          <w:szCs w:val="21"/>
          <w:highlight w:val="none"/>
          <w14:textFill>
            <w14:solidFill>
              <w14:schemeClr w14:val="tx1"/>
            </w14:solidFill>
          </w14:textFill>
        </w:rPr>
        <w:t>四</w:t>
      </w:r>
      <w:r>
        <w:rPr>
          <w:rFonts w:cs="楷体_GB2312" w:asciiTheme="minorEastAsia" w:hAnsiTheme="minorEastAsia" w:eastAsiaTheme="minorEastAsia"/>
          <w:b/>
          <w:bCs/>
          <w:color w:val="000000" w:themeColor="text1"/>
          <w:szCs w:val="21"/>
          <w:highlight w:val="none"/>
          <w14:textFill>
            <w14:solidFill>
              <w14:schemeClr w14:val="tx1"/>
            </w14:solidFill>
          </w14:textFill>
        </w:rPr>
        <w:t>）</w:t>
      </w:r>
      <w:r>
        <w:rPr>
          <w:rFonts w:hint="eastAsia" w:cs="楷体_GB2312" w:asciiTheme="minorEastAsia" w:hAnsiTheme="minorEastAsia" w:eastAsiaTheme="minorEastAsia"/>
          <w:b/>
          <w:bCs/>
          <w:color w:val="000000" w:themeColor="text1"/>
          <w:szCs w:val="21"/>
          <w:highlight w:val="none"/>
          <w14:textFill>
            <w14:solidFill>
              <w14:schemeClr w14:val="tx1"/>
            </w14:solidFill>
          </w14:textFill>
        </w:rPr>
        <w:t>供货时间、地点</w:t>
      </w:r>
    </w:p>
    <w:p>
      <w:pPr>
        <w:spacing w:line="360" w:lineRule="auto"/>
        <w:ind w:firstLine="420" w:firstLineChars="200"/>
        <w:rPr>
          <w:rFonts w:hint="eastAsia" w:asciiTheme="minorEastAsia" w:hAnsiTheme="minorEastAsia" w:eastAsia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eastAsia="zh-CN"/>
          <w14:textFill>
            <w14:solidFill>
              <w14:schemeClr w14:val="tx1"/>
            </w14:solidFill>
          </w14:textFill>
        </w:rPr>
        <w:t>实行每日供货制，特殊情况除外；乙方需在每日早 7 时前将当日所需原材料配送至甲方指定位置：嘉兴市桐乡市乌镇镇嘉兴市消防救援支队乌镇大队（合同服务期内增加配送地点，中标人需保证分别配送。）如遇采购人要求需要紧急临时增加配送食材时，按照采购人要求时限提供配送。</w:t>
      </w:r>
    </w:p>
    <w:p>
      <w:pPr>
        <w:widowControl/>
        <w:kinsoku w:val="0"/>
        <w:autoSpaceDE w:val="0"/>
        <w:autoSpaceDN w:val="0"/>
        <w:adjustRightInd w:val="0"/>
        <w:snapToGrid w:val="0"/>
        <w:spacing w:line="560" w:lineRule="exact"/>
        <w:ind w:firstLine="422" w:firstLineChars="200"/>
        <w:textAlignment w:val="baseline"/>
        <w:rPr>
          <w:rFonts w:cs="楷体_GB2312" w:asciiTheme="minorEastAsia" w:hAnsiTheme="minorEastAsia" w:eastAsiaTheme="minorEastAsia"/>
          <w:b/>
          <w:bCs/>
          <w:color w:val="000000" w:themeColor="text1"/>
          <w:szCs w:val="21"/>
          <w:highlight w:val="none"/>
          <w14:textFill>
            <w14:solidFill>
              <w14:schemeClr w14:val="tx1"/>
            </w14:solidFill>
          </w14:textFill>
        </w:rPr>
      </w:pPr>
      <w:r>
        <w:rPr>
          <w:rFonts w:cs="楷体_GB2312" w:asciiTheme="minorEastAsia" w:hAnsiTheme="minorEastAsia" w:eastAsiaTheme="minorEastAsia"/>
          <w:b/>
          <w:bCs/>
          <w:color w:val="000000" w:themeColor="text1"/>
          <w:szCs w:val="21"/>
          <w:highlight w:val="none"/>
          <w14:textFill>
            <w14:solidFill>
              <w14:schemeClr w14:val="tx1"/>
            </w14:solidFill>
          </w14:textFill>
        </w:rPr>
        <w:t>（</w:t>
      </w:r>
      <w:r>
        <w:rPr>
          <w:rFonts w:hint="eastAsia" w:cs="楷体_GB2312" w:asciiTheme="minorEastAsia" w:hAnsiTheme="minorEastAsia" w:eastAsiaTheme="minorEastAsia"/>
          <w:b/>
          <w:bCs/>
          <w:color w:val="000000" w:themeColor="text1"/>
          <w:szCs w:val="21"/>
          <w:highlight w:val="none"/>
          <w14:textFill>
            <w14:solidFill>
              <w14:schemeClr w14:val="tx1"/>
            </w14:solidFill>
          </w14:textFill>
        </w:rPr>
        <w:t>五</w:t>
      </w:r>
      <w:r>
        <w:rPr>
          <w:rFonts w:cs="楷体_GB2312" w:asciiTheme="minorEastAsia" w:hAnsiTheme="minorEastAsia" w:eastAsiaTheme="minorEastAsia"/>
          <w:b/>
          <w:bCs/>
          <w:color w:val="000000" w:themeColor="text1"/>
          <w:szCs w:val="21"/>
          <w:highlight w:val="none"/>
          <w14:textFill>
            <w14:solidFill>
              <w14:schemeClr w14:val="tx1"/>
            </w14:solidFill>
          </w14:textFill>
        </w:rPr>
        <w:t>）</w:t>
      </w:r>
      <w:r>
        <w:rPr>
          <w:rFonts w:hint="eastAsia" w:cs="楷体_GB2312" w:asciiTheme="minorEastAsia" w:hAnsiTheme="minorEastAsia" w:eastAsiaTheme="minorEastAsia"/>
          <w:b/>
          <w:bCs/>
          <w:color w:val="000000" w:themeColor="text1"/>
          <w:szCs w:val="21"/>
          <w:highlight w:val="none"/>
          <w14:textFill>
            <w14:solidFill>
              <w14:schemeClr w14:val="tx1"/>
            </w14:solidFill>
          </w14:textFill>
        </w:rPr>
        <w:t>定价标准</w:t>
      </w:r>
    </w:p>
    <w:p>
      <w:pPr>
        <w:widowControl/>
        <w:kinsoku w:val="0"/>
        <w:autoSpaceDE w:val="0"/>
        <w:autoSpaceDN w:val="0"/>
        <w:adjustRightInd w:val="0"/>
        <w:snapToGrid w:val="0"/>
        <w:spacing w:line="560" w:lineRule="exact"/>
        <w:ind w:firstLine="420" w:firstLineChars="200"/>
        <w:textAlignment w:val="baseline"/>
        <w:rPr>
          <w:rFonts w:hint="eastAsia" w:asciiTheme="minorEastAsia" w:hAnsiTheme="minorEastAsia" w:eastAsiaTheme="minorEastAsia"/>
          <w:color w:val="000000" w:themeColor="text1"/>
          <w:szCs w:val="21"/>
          <w:highlight w:val="none"/>
          <w:lang w:val="zh-CN"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eastAsia="zh-CN"/>
          <w14:textFill>
            <w14:solidFill>
              <w14:schemeClr w14:val="tx1"/>
            </w14:solidFill>
          </w14:textFill>
        </w:rPr>
        <w:t>以乌镇农贸市场物品价格为基准，投标人按折扣率进行报价。桐乡农贸市场物品价格未包含的其他个别物品，由甲方管理人员与配送供货企业相关人员共同到桐乡农贸市场采集，以当周公布价格取平均值为市场价。</w:t>
      </w:r>
    </w:p>
    <w:p>
      <w:pPr>
        <w:widowControl/>
        <w:kinsoku w:val="0"/>
        <w:autoSpaceDE w:val="0"/>
        <w:autoSpaceDN w:val="0"/>
        <w:adjustRightInd w:val="0"/>
        <w:snapToGrid w:val="0"/>
        <w:spacing w:line="560" w:lineRule="exact"/>
        <w:ind w:firstLine="422" w:firstLineChars="200"/>
        <w:textAlignment w:val="baseline"/>
        <w:rPr>
          <w:rFonts w:cs="楷体_GB2312" w:asciiTheme="minorEastAsia" w:hAnsiTheme="minorEastAsia" w:eastAsiaTheme="minorEastAsia"/>
          <w:b/>
          <w:bCs/>
          <w:color w:val="000000" w:themeColor="text1"/>
          <w:szCs w:val="21"/>
          <w:highlight w:val="none"/>
          <w14:textFill>
            <w14:solidFill>
              <w14:schemeClr w14:val="tx1"/>
            </w14:solidFill>
          </w14:textFill>
        </w:rPr>
      </w:pPr>
      <w:r>
        <w:rPr>
          <w:rFonts w:cs="楷体_GB2312" w:asciiTheme="minorEastAsia" w:hAnsiTheme="minorEastAsia" w:eastAsiaTheme="minorEastAsia"/>
          <w:b/>
          <w:bCs/>
          <w:color w:val="000000" w:themeColor="text1"/>
          <w:szCs w:val="21"/>
          <w:highlight w:val="none"/>
          <w14:textFill>
            <w14:solidFill>
              <w14:schemeClr w14:val="tx1"/>
            </w14:solidFill>
          </w14:textFill>
        </w:rPr>
        <w:t>（</w:t>
      </w:r>
      <w:r>
        <w:rPr>
          <w:rFonts w:hint="eastAsia" w:cs="楷体_GB2312" w:asciiTheme="minorEastAsia" w:hAnsiTheme="minorEastAsia" w:eastAsiaTheme="minorEastAsia"/>
          <w:b/>
          <w:bCs/>
          <w:color w:val="000000" w:themeColor="text1"/>
          <w:szCs w:val="21"/>
          <w:highlight w:val="none"/>
          <w14:textFill>
            <w14:solidFill>
              <w14:schemeClr w14:val="tx1"/>
            </w14:solidFill>
          </w14:textFill>
        </w:rPr>
        <w:t>六</w:t>
      </w:r>
      <w:r>
        <w:rPr>
          <w:rFonts w:cs="楷体_GB2312" w:asciiTheme="minorEastAsia" w:hAnsiTheme="minorEastAsia" w:eastAsiaTheme="minorEastAsia"/>
          <w:b/>
          <w:bCs/>
          <w:color w:val="000000" w:themeColor="text1"/>
          <w:szCs w:val="21"/>
          <w:highlight w:val="none"/>
          <w14:textFill>
            <w14:solidFill>
              <w14:schemeClr w14:val="tx1"/>
            </w14:solidFill>
          </w14:textFill>
        </w:rPr>
        <w:t>）</w:t>
      </w:r>
      <w:r>
        <w:rPr>
          <w:rFonts w:hint="eastAsia" w:cs="楷体_GB2312" w:asciiTheme="minorEastAsia" w:hAnsiTheme="minorEastAsia" w:eastAsiaTheme="minorEastAsia"/>
          <w:b/>
          <w:bCs/>
          <w:color w:val="000000" w:themeColor="text1"/>
          <w:szCs w:val="21"/>
          <w:highlight w:val="none"/>
          <w14:textFill>
            <w14:solidFill>
              <w14:schemeClr w14:val="tx1"/>
            </w14:solidFill>
          </w14:textFill>
        </w:rPr>
        <w:t>结算方式</w:t>
      </w:r>
    </w:p>
    <w:p>
      <w:pPr>
        <w:widowControl/>
        <w:kinsoku w:val="0"/>
        <w:autoSpaceDE w:val="0"/>
        <w:autoSpaceDN w:val="0"/>
        <w:adjustRightInd w:val="0"/>
        <w:snapToGrid w:val="0"/>
        <w:spacing w:line="560" w:lineRule="exact"/>
        <w:ind w:firstLine="420" w:firstLineChars="200"/>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1）中标人</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每</w:t>
      </w:r>
      <w:r>
        <w:rPr>
          <w:rFonts w:hint="eastAsia" w:asciiTheme="minorEastAsia" w:hAnsiTheme="minorEastAsia" w:eastAsiaTheme="minorEastAsia"/>
          <w:color w:val="000000" w:themeColor="text1"/>
          <w:szCs w:val="21"/>
          <w:highlight w:val="none"/>
          <w14:textFill>
            <w14:solidFill>
              <w14:schemeClr w14:val="tx1"/>
            </w14:solidFill>
          </w14:textFill>
        </w:rPr>
        <w:t>天根据采购人需求配送食堂大宗物品（采购人提前一天</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每日17:00时前</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1"/>
          <w:highlight w:val="none"/>
          <w14:textFill>
            <w14:solidFill>
              <w14:schemeClr w14:val="tx1"/>
            </w14:solidFill>
          </w14:textFill>
        </w:rPr>
        <w:t>告知</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中标人</w:t>
      </w:r>
      <w:r>
        <w:rPr>
          <w:rFonts w:hint="eastAsia" w:asciiTheme="minorEastAsia" w:hAnsiTheme="minorEastAsia" w:eastAsiaTheme="minorEastAsia"/>
          <w:color w:val="000000" w:themeColor="text1"/>
          <w:szCs w:val="21"/>
          <w:highlight w:val="none"/>
          <w14:textFill>
            <w14:solidFill>
              <w14:schemeClr w14:val="tx1"/>
            </w14:solidFill>
          </w14:textFill>
        </w:rPr>
        <w:t>第二天需求配送食堂大宗物品）。采购人每天由食堂管理人员验收数量、质量和品种。</w:t>
      </w:r>
    </w:p>
    <w:p>
      <w:pPr>
        <w:widowControl/>
        <w:kinsoku w:val="0"/>
        <w:autoSpaceDE w:val="0"/>
        <w:autoSpaceDN w:val="0"/>
        <w:adjustRightInd w:val="0"/>
        <w:snapToGrid w:val="0"/>
        <w:spacing w:line="560" w:lineRule="exact"/>
        <w:ind w:firstLine="420" w:firstLineChars="200"/>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2）采购人食堂管理人员每天依据结算价统计食堂大宗物品的配送金额，上报财务结算。</w:t>
      </w:r>
    </w:p>
    <w:p>
      <w:pPr>
        <w:widowControl/>
        <w:kinsoku w:val="0"/>
        <w:autoSpaceDE w:val="0"/>
        <w:autoSpaceDN w:val="0"/>
        <w:adjustRightInd w:val="0"/>
        <w:snapToGrid w:val="0"/>
        <w:spacing w:line="560" w:lineRule="exact"/>
        <w:ind w:firstLine="420" w:firstLineChars="200"/>
        <w:textAlignment w:val="baseline"/>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3）每周由采购人食堂管理人员统计上周的发生额与配送企业相关人员确认</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1"/>
          <w:highlight w:val="none"/>
          <w14:textFill>
            <w14:solidFill>
              <w14:schemeClr w14:val="tx1"/>
            </w14:solidFill>
          </w14:textFill>
        </w:rPr>
        <w:t>须中标人提供正式税务发票后付款，收到发票后付款结算周期不超过15个工作日，因中标人延迟提供发票，导致采购人逾期付款的，采购人不因此承担违约责任。</w:t>
      </w:r>
    </w:p>
    <w:p>
      <w:pPr>
        <w:widowControl/>
        <w:kinsoku w:val="0"/>
        <w:autoSpaceDE w:val="0"/>
        <w:autoSpaceDN w:val="0"/>
        <w:adjustRightInd w:val="0"/>
        <w:snapToGrid w:val="0"/>
        <w:spacing w:line="560" w:lineRule="exact"/>
        <w:ind w:firstLine="420" w:firstLineChars="200"/>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4）结算价=基准价*中标人所报的各大类的统一折扣率。</w:t>
      </w:r>
    </w:p>
    <w:p>
      <w:pPr>
        <w:widowControl/>
        <w:kinsoku w:val="0"/>
        <w:autoSpaceDE w:val="0"/>
        <w:autoSpaceDN w:val="0"/>
        <w:adjustRightInd w:val="0"/>
        <w:snapToGrid w:val="0"/>
        <w:spacing w:line="560" w:lineRule="exact"/>
        <w:ind w:firstLine="422" w:firstLineChars="200"/>
        <w:textAlignment w:val="baseline"/>
        <w:rPr>
          <w:rFonts w:cs="楷体_GB2312" w:asciiTheme="minorEastAsia" w:hAnsiTheme="minorEastAsia" w:eastAsiaTheme="minorEastAsia"/>
          <w:b/>
          <w:bCs/>
          <w:color w:val="000000" w:themeColor="text1"/>
          <w:szCs w:val="21"/>
          <w:highlight w:val="none"/>
          <w14:textFill>
            <w14:solidFill>
              <w14:schemeClr w14:val="tx1"/>
            </w14:solidFill>
          </w14:textFill>
        </w:rPr>
      </w:pPr>
      <w:r>
        <w:rPr>
          <w:rFonts w:cs="楷体_GB2312" w:asciiTheme="minorEastAsia" w:hAnsiTheme="minorEastAsia" w:eastAsiaTheme="minorEastAsia"/>
          <w:b/>
          <w:bCs/>
          <w:color w:val="000000" w:themeColor="text1"/>
          <w:szCs w:val="21"/>
          <w:highlight w:val="none"/>
          <w14:textFill>
            <w14:solidFill>
              <w14:schemeClr w14:val="tx1"/>
            </w14:solidFill>
          </w14:textFill>
        </w:rPr>
        <w:t>（</w:t>
      </w:r>
      <w:r>
        <w:rPr>
          <w:rFonts w:hint="eastAsia" w:cs="楷体_GB2312" w:asciiTheme="minorEastAsia" w:hAnsiTheme="minorEastAsia" w:eastAsiaTheme="minorEastAsia"/>
          <w:b/>
          <w:bCs/>
          <w:color w:val="000000" w:themeColor="text1"/>
          <w:szCs w:val="21"/>
          <w:highlight w:val="none"/>
          <w14:textFill>
            <w14:solidFill>
              <w14:schemeClr w14:val="tx1"/>
            </w14:solidFill>
          </w14:textFill>
        </w:rPr>
        <w:t>七</w:t>
      </w:r>
      <w:r>
        <w:rPr>
          <w:rFonts w:cs="楷体_GB2312" w:asciiTheme="minorEastAsia" w:hAnsiTheme="minorEastAsia" w:eastAsiaTheme="minorEastAsia"/>
          <w:b/>
          <w:bCs/>
          <w:color w:val="000000" w:themeColor="text1"/>
          <w:szCs w:val="21"/>
          <w:highlight w:val="none"/>
          <w14:textFill>
            <w14:solidFill>
              <w14:schemeClr w14:val="tx1"/>
            </w14:solidFill>
          </w14:textFill>
        </w:rPr>
        <w:t>）</w:t>
      </w:r>
      <w:r>
        <w:rPr>
          <w:rFonts w:hint="eastAsia" w:cs="楷体_GB2312" w:asciiTheme="minorEastAsia" w:hAnsiTheme="minorEastAsia" w:eastAsiaTheme="minorEastAsia"/>
          <w:b/>
          <w:bCs/>
          <w:color w:val="000000" w:themeColor="text1"/>
          <w:szCs w:val="21"/>
          <w:highlight w:val="none"/>
          <w14:textFill>
            <w14:solidFill>
              <w14:schemeClr w14:val="tx1"/>
            </w14:solidFill>
          </w14:textFill>
        </w:rPr>
        <w:t>人员要求</w:t>
      </w:r>
    </w:p>
    <w:p>
      <w:pPr>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要求配送人员持有《公共卫生从业人员健康检查证》《食品检验员从业资格证》，做到持证上岗。同时，做到配送人员和机动车辆固定。配送人员固定在</w:t>
      </w:r>
      <w:r>
        <w:rPr>
          <w:rFonts w:asciiTheme="minorEastAsia" w:hAnsiTheme="minorEastAsia" w:eastAsiaTheme="minorEastAsia"/>
          <w:color w:val="000000" w:themeColor="text1"/>
          <w:szCs w:val="21"/>
          <w:highlight w:val="none"/>
          <w14:textFill>
            <w14:solidFill>
              <w14:schemeClr w14:val="tx1"/>
            </w14:solidFill>
          </w14:textFill>
        </w:rPr>
        <w:t>2</w:t>
      </w:r>
      <w:r>
        <w:rPr>
          <w:rFonts w:hint="eastAsia" w:asciiTheme="minorEastAsia" w:hAnsiTheme="minorEastAsia" w:eastAsiaTheme="minorEastAsia"/>
          <w:color w:val="000000" w:themeColor="text1"/>
          <w:szCs w:val="21"/>
          <w:highlight w:val="none"/>
          <w14:textFill>
            <w14:solidFill>
              <w14:schemeClr w14:val="tx1"/>
            </w14:solidFill>
          </w14:textFill>
        </w:rPr>
        <w:t>人以上</w:t>
      </w:r>
      <w:r>
        <w:rPr>
          <w:rFonts w:asciiTheme="minorEastAsia" w:hAnsiTheme="minorEastAsia" w:eastAsiaTheme="minorEastAsia"/>
          <w:color w:val="000000" w:themeColor="text1"/>
          <w:szCs w:val="21"/>
          <w:highlight w:val="none"/>
          <w14:textFill>
            <w14:solidFill>
              <w14:schemeClr w14:val="tx1"/>
            </w14:solidFill>
          </w14:textFill>
        </w:rPr>
        <w:t>5</w:t>
      </w:r>
      <w:r>
        <w:rPr>
          <w:rFonts w:hint="eastAsia" w:asciiTheme="minorEastAsia" w:hAnsiTheme="minorEastAsia" w:eastAsiaTheme="minorEastAsia"/>
          <w:color w:val="000000" w:themeColor="text1"/>
          <w:szCs w:val="21"/>
          <w:highlight w:val="none"/>
          <w14:textFill>
            <w14:solidFill>
              <w14:schemeClr w14:val="tx1"/>
            </w14:solidFill>
          </w14:textFill>
        </w:rPr>
        <w:t>人以下（需明确具体人员名单）。</w:t>
      </w:r>
    </w:p>
    <w:p>
      <w:pPr>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2</w:t>
      </w:r>
      <w:r>
        <w:rPr>
          <w:rFonts w:hint="eastAsia" w:asciiTheme="minorEastAsia" w:hAnsiTheme="minorEastAsia" w:eastAsiaTheme="minorEastAsia"/>
          <w:color w:val="000000" w:themeColor="text1"/>
          <w:szCs w:val="21"/>
          <w:highlight w:val="none"/>
          <w14:textFill>
            <w14:solidFill>
              <w14:schemeClr w14:val="tx1"/>
            </w14:solidFill>
          </w14:textFill>
        </w:rPr>
        <w:t>、中标人应提供一定量的培训，确保配送过程中采购方验收交接过程中的食品安全。</w:t>
      </w:r>
    </w:p>
    <w:p>
      <w:pPr>
        <w:widowControl/>
        <w:kinsoku w:val="0"/>
        <w:autoSpaceDE w:val="0"/>
        <w:autoSpaceDN w:val="0"/>
        <w:adjustRightInd w:val="0"/>
        <w:snapToGrid w:val="0"/>
        <w:spacing w:line="560" w:lineRule="exact"/>
        <w:ind w:firstLine="422" w:firstLineChars="200"/>
        <w:textAlignment w:val="baseline"/>
        <w:rPr>
          <w:rFonts w:cs="楷体_GB2312" w:asciiTheme="minorEastAsia" w:hAnsiTheme="minorEastAsia" w:eastAsiaTheme="minorEastAsia"/>
          <w:b/>
          <w:bCs/>
          <w:color w:val="000000" w:themeColor="text1"/>
          <w:szCs w:val="21"/>
          <w:highlight w:val="none"/>
          <w14:textFill>
            <w14:solidFill>
              <w14:schemeClr w14:val="tx1"/>
            </w14:solidFill>
          </w14:textFill>
        </w:rPr>
      </w:pPr>
      <w:r>
        <w:rPr>
          <w:rFonts w:cs="楷体_GB2312" w:asciiTheme="minorEastAsia" w:hAnsiTheme="minorEastAsia" w:eastAsiaTheme="minorEastAsia"/>
          <w:b/>
          <w:bCs/>
          <w:color w:val="000000" w:themeColor="text1"/>
          <w:szCs w:val="21"/>
          <w:highlight w:val="none"/>
          <w14:textFill>
            <w14:solidFill>
              <w14:schemeClr w14:val="tx1"/>
            </w14:solidFill>
          </w14:textFill>
        </w:rPr>
        <w:t>（</w:t>
      </w:r>
      <w:r>
        <w:rPr>
          <w:rFonts w:hint="eastAsia" w:cs="楷体_GB2312" w:asciiTheme="minorEastAsia" w:hAnsiTheme="minorEastAsia" w:eastAsiaTheme="minorEastAsia"/>
          <w:b/>
          <w:bCs/>
          <w:color w:val="000000" w:themeColor="text1"/>
          <w:szCs w:val="21"/>
          <w:highlight w:val="none"/>
          <w14:textFill>
            <w14:solidFill>
              <w14:schemeClr w14:val="tx1"/>
            </w14:solidFill>
          </w14:textFill>
        </w:rPr>
        <w:t>八</w:t>
      </w:r>
      <w:r>
        <w:rPr>
          <w:rFonts w:cs="楷体_GB2312" w:asciiTheme="minorEastAsia" w:hAnsiTheme="minorEastAsia" w:eastAsiaTheme="minorEastAsia"/>
          <w:b/>
          <w:bCs/>
          <w:color w:val="000000" w:themeColor="text1"/>
          <w:szCs w:val="21"/>
          <w:highlight w:val="none"/>
          <w14:textFill>
            <w14:solidFill>
              <w14:schemeClr w14:val="tx1"/>
            </w14:solidFill>
          </w14:textFill>
        </w:rPr>
        <w:t>）</w:t>
      </w:r>
      <w:r>
        <w:rPr>
          <w:rFonts w:hint="eastAsia" w:cs="楷体_GB2312" w:asciiTheme="minorEastAsia" w:hAnsiTheme="minorEastAsia" w:eastAsiaTheme="minorEastAsia"/>
          <w:b/>
          <w:bCs/>
          <w:color w:val="000000" w:themeColor="text1"/>
          <w:szCs w:val="21"/>
          <w:highlight w:val="none"/>
          <w14:textFill>
            <w14:solidFill>
              <w14:schemeClr w14:val="tx1"/>
            </w14:solidFill>
          </w14:textFill>
        </w:rPr>
        <w:t>服务时间</w:t>
      </w:r>
    </w:p>
    <w:p>
      <w:pPr>
        <w:widowControl/>
        <w:kinsoku w:val="0"/>
        <w:autoSpaceDE w:val="0"/>
        <w:autoSpaceDN w:val="0"/>
        <w:adjustRightInd w:val="0"/>
        <w:snapToGrid w:val="0"/>
        <w:spacing w:line="560" w:lineRule="exact"/>
        <w:ind w:firstLine="420" w:firstLineChars="200"/>
        <w:textAlignment w:val="baseline"/>
        <w:rPr>
          <w:rFonts w:hint="eastAsia" w:asciiTheme="minorEastAsia" w:hAnsiTheme="minorEastAsia" w:eastAsia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Cs w:val="21"/>
          <w:highlight w:val="none"/>
          <w:lang w:eastAsia="zh-CN"/>
          <w14:textFill>
            <w14:solidFill>
              <w14:schemeClr w14:val="tx1"/>
            </w14:solidFill>
          </w14:textFill>
        </w:rPr>
        <w:t xml:space="preserve"> 合同签订后一年或配送金额达到合同金额（以先到为准），配送时间为2023年9月30日至2024年9月29日</w:t>
      </w:r>
    </w:p>
    <w:p>
      <w:pPr>
        <w:widowControl/>
        <w:jc w:val="left"/>
        <w:rPr>
          <w:rFonts w:ascii="黑体" w:hAnsi="宋体" w:eastAsia="微软雅黑"/>
          <w:b/>
          <w:bCs/>
          <w:color w:val="000000" w:themeColor="text1"/>
          <w:sz w:val="24"/>
          <w:szCs w:val="52"/>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79"/>
        <w:rPr>
          <w:rFonts w:ascii="宋体" w:eastAsia="宋体" w:cs="微软雅黑"/>
          <w:color w:val="000000" w:themeColor="text1"/>
          <w:sz w:val="36"/>
          <w:highlight w:val="none"/>
          <w14:textFill>
            <w14:solidFill>
              <w14:schemeClr w14:val="tx1"/>
            </w14:solidFill>
          </w14:textFill>
        </w:rPr>
      </w:pPr>
      <w:r>
        <w:rPr>
          <w:rFonts w:hint="eastAsia" w:ascii="宋体" w:eastAsia="宋体"/>
          <w:color w:val="000000" w:themeColor="text1"/>
          <w:highlight w:val="none"/>
          <w14:textFill>
            <w14:solidFill>
              <w14:schemeClr w14:val="tx1"/>
            </w14:solidFill>
          </w14:textFill>
        </w:rPr>
        <w:t>第三章  投标人须知</w:t>
      </w:r>
    </w:p>
    <w:p>
      <w:pPr>
        <w:spacing w:line="360" w:lineRule="auto"/>
        <w:ind w:firstLine="422" w:firstLineChars="200"/>
        <w:jc w:val="center"/>
        <w:outlineLvl w:val="1"/>
        <w:rPr>
          <w:rFonts w:ascii="宋体" w:hAnsi="宋体"/>
          <w:b/>
          <w:color w:val="000000" w:themeColor="text1"/>
          <w:szCs w:val="21"/>
          <w:highlight w:val="none"/>
          <w14:textFill>
            <w14:solidFill>
              <w14:schemeClr w14:val="tx1"/>
            </w14:solidFill>
          </w14:textFill>
        </w:rPr>
      </w:pPr>
      <w:bookmarkStart w:id="6" w:name="_Toc493511543"/>
      <w:bookmarkStart w:id="7" w:name="_Toc17413"/>
      <w:bookmarkStart w:id="8" w:name="_Toc177870535"/>
      <w:bookmarkStart w:id="9" w:name="_Toc50012816"/>
      <w:r>
        <w:rPr>
          <w:rFonts w:hint="eastAsia" w:ascii="宋体" w:hAnsi="宋体"/>
          <w:b/>
          <w:color w:val="000000" w:themeColor="text1"/>
          <w:szCs w:val="21"/>
          <w:highlight w:val="none"/>
          <w14:textFill>
            <w14:solidFill>
              <w14:schemeClr w14:val="tx1"/>
            </w14:solidFill>
          </w14:textFill>
        </w:rPr>
        <w:t>前附表</w:t>
      </w:r>
      <w:bookmarkEnd w:id="6"/>
      <w:bookmarkEnd w:id="7"/>
      <w:bookmarkEnd w:id="8"/>
      <w:bookmarkEnd w:id="9"/>
    </w:p>
    <w:tbl>
      <w:tblPr>
        <w:tblStyle w:val="47"/>
        <w:tblW w:w="9288" w:type="dxa"/>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86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序号</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1</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eastAsia="宋体" w:cs="微软雅黑"/>
                <w:b/>
                <w:color w:val="000000" w:themeColor="text1"/>
                <w:szCs w:val="21"/>
                <w:highlight w:val="none"/>
                <w:lang w:eastAsia="zh-CN"/>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项目名称：</w:t>
            </w:r>
            <w:r>
              <w:rPr>
                <w:rFonts w:hint="eastAsia" w:ascii="宋体" w:hAnsi="宋体" w:cs="微软雅黑"/>
                <w:b/>
                <w:color w:val="000000" w:themeColor="text1"/>
                <w:szCs w:val="21"/>
                <w:highlight w:val="none"/>
                <w:lang w:eastAsia="zh-CN"/>
                <w14:textFill>
                  <w14:solidFill>
                    <w14:schemeClr w14:val="tx1"/>
                  </w14:solidFill>
                </w14:textFill>
              </w:rPr>
              <w:t>浙江省嘉兴支队乌镇消防救援大队2023年度伙食集中配送采购项目</w:t>
            </w:r>
          </w:p>
          <w:p>
            <w:pPr>
              <w:snapToGrid w:val="0"/>
              <w:spacing w:line="360" w:lineRule="auto"/>
              <w:jc w:val="left"/>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项目概况：</w:t>
            </w:r>
            <w:r>
              <w:rPr>
                <w:rFonts w:hint="eastAsia" w:ascii="宋体" w:hAnsi="宋体"/>
                <w:color w:val="000000" w:themeColor="text1"/>
                <w:szCs w:val="21"/>
                <w:highlight w:val="none"/>
                <w:lang w:eastAsia="zh-CN"/>
                <w14:textFill>
                  <w14:solidFill>
                    <w14:schemeClr w14:val="tx1"/>
                  </w14:solidFill>
                </w14:textFill>
              </w:rPr>
              <w:t>嘉兴市消防救援支队乌镇大队</w:t>
            </w:r>
            <w:r>
              <w:rPr>
                <w:rFonts w:hint="eastAsia" w:ascii="宋体" w:hAnsi="宋体"/>
                <w:color w:val="000000" w:themeColor="text1"/>
                <w:szCs w:val="21"/>
                <w:highlight w:val="none"/>
                <w14:textFill>
                  <w14:solidFill>
                    <w14:schemeClr w14:val="tx1"/>
                  </w14:solidFill>
                </w14:textFill>
              </w:rPr>
              <w:t>食堂大宗物品采购，采购配送的内容为采购人食堂所需的八大类大宗物品（实际配送物品以业主实际需求为准进行调整）。配送地点为：</w:t>
            </w:r>
            <w:r>
              <w:rPr>
                <w:rFonts w:hint="eastAsia" w:ascii="宋体" w:hAnsi="宋体"/>
                <w:color w:val="000000" w:themeColor="text1"/>
                <w:szCs w:val="21"/>
                <w:highlight w:val="none"/>
                <w:lang w:eastAsia="zh-CN"/>
                <w14:textFill>
                  <w14:solidFill>
                    <w14:schemeClr w14:val="tx1"/>
                  </w14:solidFill>
                </w14:textFill>
              </w:rPr>
              <w:t>嘉兴市桐乡市乌镇镇嘉兴市消防救援支队乌镇大队</w:t>
            </w:r>
            <w:r>
              <w:rPr>
                <w:rFonts w:hint="eastAsia" w:ascii="宋体" w:hAnsi="宋体"/>
                <w:color w:val="000000" w:themeColor="text1"/>
                <w:szCs w:val="21"/>
                <w:highlight w:val="none"/>
                <w14:textFill>
                  <w14:solidFill>
                    <w14:schemeClr w14:val="tx1"/>
                  </w14:solidFill>
                </w14:textFill>
              </w:rPr>
              <w:t>（合同服务期内增加配送地点，中标人需保证分别配送。）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项目编号：</w:t>
            </w:r>
            <w:r>
              <w:rPr>
                <w:rFonts w:hint="eastAsia" w:ascii="宋体" w:hAnsi="宋体" w:cs="微软雅黑"/>
                <w:color w:val="000000" w:themeColor="text1"/>
                <w:szCs w:val="21"/>
                <w:highlight w:val="none"/>
                <w:lang w:eastAsia="zh-CN"/>
                <w14:textFill>
                  <w14:solidFill>
                    <w14:schemeClr w14:val="tx1"/>
                  </w14:solidFill>
                </w14:textFill>
              </w:rPr>
              <w:t>嘉消采-GK2023017</w:t>
            </w:r>
            <w:r>
              <w:rPr>
                <w:rFonts w:hint="eastAsia" w:ascii="宋体" w:hAnsi="宋体"/>
                <w:color w:val="000000" w:themeColor="text1"/>
                <w:szCs w:val="21"/>
                <w:highlight w:val="none"/>
                <w14:textFill>
                  <w14:solidFill>
                    <w14:schemeClr w14:val="tx1"/>
                  </w14:solidFill>
                </w14:textFill>
              </w:rPr>
              <w:t xml:space="preserve"> </w:t>
            </w:r>
            <w:r>
              <w:rPr>
                <w:rFonts w:hint="eastAsia" w:cs="宋体"/>
                <w:color w:val="000000" w:themeColor="text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3</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投标报价及费用：</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、本项目投标应以人民币报价；</w:t>
            </w:r>
          </w:p>
          <w:p>
            <w:pPr>
              <w:spacing w:line="360" w:lineRule="auto"/>
              <w:ind w:left="420" w:left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、不论投标结果如何，供应商均应自行承担所有与投标有关的全部费用；          </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3、标书费：人民币5</w:t>
            </w:r>
            <w:r>
              <w:rPr>
                <w:rFonts w:ascii="宋体" w:hAnsi="宋体"/>
                <w:color w:val="000000" w:themeColor="text1"/>
                <w:szCs w:val="21"/>
                <w:highlight w:val="none"/>
                <w14:textFill>
                  <w14:solidFill>
                    <w14:schemeClr w14:val="tx1"/>
                  </w14:solidFill>
                </w14:textFill>
              </w:rPr>
              <w:t>00</w:t>
            </w:r>
            <w:r>
              <w:rPr>
                <w:rFonts w:hint="eastAsia" w:ascii="宋体" w:hAnsi="宋体"/>
                <w:color w:val="000000" w:themeColor="text1"/>
                <w:szCs w:val="21"/>
                <w:highlight w:val="none"/>
                <w14:textFill>
                  <w14:solidFill>
                    <w14:schemeClr w14:val="tx1"/>
                  </w14:solidFill>
                </w14:textFill>
              </w:rPr>
              <w:t>元整；</w:t>
            </w:r>
          </w:p>
          <w:p>
            <w:pPr>
              <w:snapToGrid w:val="0"/>
              <w:spacing w:line="360" w:lineRule="auto"/>
              <w:ind w:firstLine="420" w:firstLineChars="200"/>
              <w:jc w:val="left"/>
              <w:rPr>
                <w:rFonts w:ascii="宋体" w:hAnsi="宋体" w:cs="宋体"/>
                <w:b/>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本项目招标代理费以预算金额为基数按计价格(2002)1980号收费标准70%计取，由中标单位领取中标通知书时一次性支付，请各投标单位投标报价时综合考虑此费用。计费基数为预算价*下浮率；单个项目招标代理服务费保底费用4000元。</w:t>
            </w:r>
          </w:p>
          <w:p>
            <w:pPr>
              <w:snapToGrid w:val="0"/>
              <w:spacing w:line="360" w:lineRule="auto"/>
              <w:ind w:firstLine="422" w:firstLineChars="20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开户名称：浙江天钫工程管理咨询有限公司嘉兴分公司</w:t>
            </w:r>
          </w:p>
          <w:p>
            <w:pPr>
              <w:snapToGrid w:val="0"/>
              <w:spacing w:line="360" w:lineRule="auto"/>
              <w:ind w:firstLine="422" w:firstLineChars="20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开户银行：中国农业银行嘉兴秀洲新区支行</w:t>
            </w:r>
          </w:p>
          <w:p>
            <w:pPr>
              <w:snapToGrid w:val="0"/>
              <w:spacing w:line="360" w:lineRule="auto"/>
              <w:ind w:firstLine="422" w:firstLineChars="200"/>
              <w:jc w:val="left"/>
              <w:rPr>
                <w:rFonts w:ascii="宋体" w:hAnsi="宋体" w:cs="微软雅黑"/>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账号：19320401040017405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4</w:t>
            </w:r>
          </w:p>
        </w:tc>
        <w:tc>
          <w:tcPr>
            <w:tcW w:w="8652" w:type="dxa"/>
            <w:tcBorders>
              <w:top w:val="single" w:color="auto" w:sz="4" w:space="0"/>
              <w:left w:val="single" w:color="auto" w:sz="4" w:space="0"/>
              <w:bottom w:val="single" w:color="auto" w:sz="4" w:space="0"/>
              <w:right w:val="single" w:color="auto" w:sz="4" w:space="0"/>
            </w:tcBorders>
            <w:vAlign w:val="center"/>
          </w:tcPr>
          <w:p>
            <w:pPr>
              <w:pStyle w:val="43"/>
              <w:snapToGrid w:val="0"/>
              <w:spacing w:before="60" w:beforeAutospacing="0" w:after="60" w:afterAutospacing="0" w:line="360" w:lineRule="auto"/>
              <w:contextualSpacing/>
              <w:rPr>
                <w:color w:val="000000" w:themeColor="text1"/>
                <w:szCs w:val="21"/>
                <w:highlight w:val="none"/>
                <w14:textFill>
                  <w14:solidFill>
                    <w14:schemeClr w14:val="tx1"/>
                  </w14:solidFill>
                </w14:textFill>
              </w:rPr>
            </w:pPr>
            <w:r>
              <w:rPr>
                <w:rFonts w:hint="eastAsia" w:cs="微软雅黑" w:asciiTheme="minorEastAsia" w:hAnsiTheme="minorEastAsia" w:eastAsiaTheme="minorEastAsia"/>
                <w:color w:val="000000" w:themeColor="text1"/>
                <w:sz w:val="21"/>
                <w:szCs w:val="21"/>
                <w:highlight w:val="none"/>
                <w14:textFill>
                  <w14:solidFill>
                    <w14:schemeClr w14:val="tx1"/>
                  </w14:solidFill>
                </w14:textFill>
              </w:rPr>
              <w:t>▲预算金额：</w:t>
            </w:r>
            <w:r>
              <w:rPr>
                <w:rFonts w:hint="eastAsia" w:cs="宋体" w:eastAsiaTheme="minorEastAsia"/>
                <w:color w:val="000000" w:themeColor="text1"/>
                <w:sz w:val="21"/>
                <w:szCs w:val="21"/>
                <w:highlight w:val="none"/>
                <w:lang w:eastAsia="zh-CN"/>
                <w14:textFill>
                  <w14:solidFill>
                    <w14:schemeClr w14:val="tx1"/>
                  </w14:solidFill>
                </w14:textFill>
              </w:rPr>
              <w:t>769100</w:t>
            </w:r>
            <w:r>
              <w:rPr>
                <w:rFonts w:cs="宋体"/>
                <w:color w:val="000000" w:themeColor="text1"/>
                <w:sz w:val="21"/>
                <w:szCs w:val="21"/>
                <w:highlight w:val="none"/>
                <w14:textFill>
                  <w14:solidFill>
                    <w14:schemeClr w14:val="tx1"/>
                  </w14:solidFill>
                </w14:textFill>
              </w:rPr>
              <w:t xml:space="preserve"> </w:t>
            </w:r>
            <w:r>
              <w:rPr>
                <w:rFonts w:hint="eastAsia" w:cs="宋体"/>
                <w:color w:val="000000" w:themeColor="text1"/>
                <w:sz w:val="21"/>
                <w:szCs w:val="21"/>
                <w:highlight w:val="none"/>
                <w14:textFill>
                  <w14:solidFill>
                    <w14:schemeClr w14:val="tx1"/>
                  </w14:solidFill>
                </w14:textFill>
              </w:rPr>
              <w:t>元，本项目</w:t>
            </w:r>
            <w:r>
              <w:rPr>
                <w:rFonts w:hint="eastAsia" w:cs="宋体"/>
                <w:color w:val="000000" w:themeColor="text1"/>
                <w:sz w:val="21"/>
                <w:szCs w:val="21"/>
                <w:highlight w:val="none"/>
                <w:lang w:val="zh-CN"/>
                <w14:textFill>
                  <w14:solidFill>
                    <w14:schemeClr w14:val="tx1"/>
                  </w14:solidFill>
                </w14:textFill>
              </w:rPr>
              <w:t>以桐乡农贸市场物品价格为基准，投标人按折扣率进行报价。桐乡农贸市场物品价格未包含的其他个别物品，由甲方管理人员与配送供货企业相关人员共同到乌镇农贸市场采集，以当周公布价格取平均值为市场价。</w:t>
            </w:r>
            <w:r>
              <w:rPr>
                <w:rFonts w:hint="eastAsia" w:cs="宋体"/>
                <w:color w:val="000000" w:themeColor="text1"/>
                <w:sz w:val="21"/>
                <w:szCs w:val="21"/>
                <w:highlight w:val="none"/>
                <w14:textFill>
                  <w14:solidFill>
                    <w14:schemeClr w14:val="tx1"/>
                  </w14:solidFill>
                </w14:textFill>
              </w:rPr>
              <w:t>报价折扣率超过</w:t>
            </w:r>
            <w:r>
              <w:rPr>
                <w:rFonts w:cs="宋体"/>
                <w:color w:val="000000" w:themeColor="text1"/>
                <w:sz w:val="21"/>
                <w:szCs w:val="21"/>
                <w:highlight w:val="none"/>
                <w14:textFill>
                  <w14:solidFill>
                    <w14:schemeClr w14:val="tx1"/>
                  </w14:solidFill>
                </w14:textFill>
              </w:rPr>
              <w:t>100%的其投标文件作无效标处理。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5</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投标保证金：</w:t>
            </w:r>
            <w:r>
              <w:rPr>
                <w:rFonts w:hint="eastAsia" w:ascii="宋体" w:hAnsi="宋体"/>
                <w:color w:val="000000" w:themeColor="text1"/>
                <w:szCs w:val="21"/>
                <w:highlight w:val="none"/>
                <w14:textFill>
                  <w14:solidFill>
                    <w14:schemeClr w14:val="tx1"/>
                  </w14:solidFill>
                </w14:textFill>
              </w:rPr>
              <w:t>本项目不设投标保证金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6</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现场踏勘：自行踏勘（费用自理）若因投标人未踏勘造成的报价不准确，由投标人自行承担所有责任。联系人：</w:t>
            </w:r>
            <w:r>
              <w:rPr>
                <w:rFonts w:hint="eastAsia" w:ascii="宋体" w:hAnsi="宋体" w:cs="微软雅黑"/>
                <w:color w:val="000000" w:themeColor="text1"/>
                <w:szCs w:val="21"/>
                <w:highlight w:val="none"/>
                <w:lang w:eastAsia="zh-CN"/>
                <w14:textFill>
                  <w14:solidFill>
                    <w14:schemeClr w14:val="tx1"/>
                  </w14:solidFill>
                </w14:textFill>
              </w:rPr>
              <w:t>林先生</w:t>
            </w:r>
            <w:r>
              <w:rPr>
                <w:rFonts w:hint="eastAsia" w:ascii="宋体" w:hAnsi="宋体" w:cs="微软雅黑"/>
                <w:color w:val="000000" w:themeColor="text1"/>
                <w:szCs w:val="21"/>
                <w:highlight w:val="none"/>
                <w14:textFill>
                  <w14:solidFill>
                    <w14:schemeClr w14:val="tx1"/>
                  </w14:solidFill>
                </w14:textFill>
              </w:rPr>
              <w:t>，联系方式：</w:t>
            </w:r>
            <w:r>
              <w:rPr>
                <w:rFonts w:hint="eastAsia" w:ascii="宋体" w:hAnsi="宋体" w:cs="微软雅黑"/>
                <w:color w:val="000000" w:themeColor="text1"/>
                <w:szCs w:val="21"/>
                <w:highlight w:val="none"/>
                <w:lang w:eastAsia="zh-CN"/>
                <w14:textFill>
                  <w14:solidFill>
                    <w14:schemeClr w14:val="tx1"/>
                  </w14:solidFill>
                </w14:textFill>
              </w:rPr>
              <w:t>18268321364</w:t>
            </w:r>
            <w:r>
              <w:rPr>
                <w:rFonts w:hint="eastAsia" w:ascii="宋体" w:hAnsi="宋体" w:cs="微软雅黑"/>
                <w:color w:val="000000" w:themeColor="text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7</w:t>
            </w:r>
          </w:p>
        </w:tc>
        <w:tc>
          <w:tcPr>
            <w:tcW w:w="865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演示时间及地点：</w:t>
            </w:r>
          </w:p>
          <w:p>
            <w:pPr>
              <w:snapToGrid w:val="0"/>
              <w:spacing w:line="360" w:lineRule="auto"/>
              <w:jc w:val="left"/>
              <w:rPr>
                <w:rFonts w:ascii="宋体" w:hAnsi="宋体" w:cs="微软雅黑"/>
                <w:color w:val="000000" w:themeColor="text1"/>
                <w:szCs w:val="21"/>
                <w:highlight w:val="none"/>
                <w14:textFill>
                  <w14:solidFill>
                    <w14:schemeClr w14:val="tx1"/>
                  </w14:solidFill>
                </w14:textFill>
              </w:rPr>
            </w:pPr>
            <w:sdt>
              <w:sdtPr>
                <w:rPr>
                  <w:rFonts w:hint="eastAsia" w:ascii="宋体" w:hAnsi="宋体" w:cs="微软雅黑"/>
                  <w:color w:val="000000" w:themeColor="text1"/>
                  <w:szCs w:val="21"/>
                  <w:highlight w:val="none"/>
                  <w14:textFill>
                    <w14:solidFill>
                      <w14:schemeClr w14:val="tx1"/>
                    </w14:solidFill>
                  </w14:textFill>
                </w:rPr>
                <w:id w:val="-1859348549"/>
              </w:sdtPr>
              <w:sdtEndPr>
                <w:rPr>
                  <w:rFonts w:hint="eastAsia" w:ascii="宋体" w:hAnsi="宋体" w:cs="微软雅黑"/>
                  <w:color w:val="000000" w:themeColor="text1"/>
                  <w:szCs w:val="21"/>
                  <w:highlight w:val="none"/>
                  <w14:textFill>
                    <w14:solidFill>
                      <w14:schemeClr w14:val="tx1"/>
                    </w14:solidFill>
                  </w14:textFill>
                </w:rPr>
              </w:sdtEndPr>
              <w:sdtContent>
                <w:r>
                  <w:rPr>
                    <w:rFonts w:ascii="Wingdings" w:hAnsi="Wingdings" w:cs="微软雅黑"/>
                    <w:color w:val="000000" w:themeColor="text1"/>
                    <w:szCs w:val="21"/>
                    <w:highlight w:val="none"/>
                    <w14:textFill>
                      <w14:solidFill>
                        <w14:schemeClr w14:val="tx1"/>
                      </w14:solidFill>
                    </w14:textFill>
                  </w:rPr>
                  <w:t></w:t>
                </w:r>
              </w:sdtContent>
            </w:sdt>
            <w:r>
              <w:rPr>
                <w:rFonts w:hint="eastAsia" w:ascii="宋体" w:hAnsi="宋体" w:cs="微软雅黑"/>
                <w:color w:val="000000" w:themeColor="text1"/>
                <w:szCs w:val="21"/>
                <w:highlight w:val="none"/>
                <w14:textFill>
                  <w14:solidFill>
                    <w14:schemeClr w14:val="tx1"/>
                  </w14:solidFill>
                </w14:textFill>
              </w:rPr>
              <w:t>A不组织。</w:t>
            </w:r>
          </w:p>
          <w:p>
            <w:pPr>
              <w:snapToGrid w:val="0"/>
              <w:spacing w:line="360" w:lineRule="auto"/>
              <w:jc w:val="left"/>
              <w:rPr>
                <w:rFonts w:ascii="宋体" w:hAnsi="宋体" w:cs="微软雅黑"/>
                <w:color w:val="000000" w:themeColor="text1"/>
                <w:szCs w:val="21"/>
                <w:highlight w:val="none"/>
                <w14:textFill>
                  <w14:solidFill>
                    <w14:schemeClr w14:val="tx1"/>
                  </w14:solidFill>
                </w14:textFill>
              </w:rPr>
            </w:pPr>
            <w:sdt>
              <w:sdtPr>
                <w:rPr>
                  <w:rFonts w:hint="eastAsia" w:ascii="宋体" w:hAnsi="宋体" w:cs="微软雅黑"/>
                  <w:color w:val="000000" w:themeColor="text1"/>
                  <w:szCs w:val="21"/>
                  <w:highlight w:val="none"/>
                  <w14:textFill>
                    <w14:solidFill>
                      <w14:schemeClr w14:val="tx1"/>
                    </w14:solidFill>
                  </w14:textFill>
                </w:rPr>
                <w:id w:val="1174071719"/>
              </w:sdtPr>
              <w:sdtEndPr>
                <w:rPr>
                  <w:rFonts w:hint="eastAsia" w:ascii="宋体" w:hAnsi="宋体" w:cs="微软雅黑"/>
                  <w:color w:val="000000" w:themeColor="text1"/>
                  <w:szCs w:val="21"/>
                  <w:highlight w:val="none"/>
                  <w14:textFill>
                    <w14:solidFill>
                      <w14:schemeClr w14:val="tx1"/>
                    </w14:solidFill>
                  </w14:textFill>
                </w:rPr>
              </w:sdtEndPr>
              <w:sdtContent>
                <w:r>
                  <w:rPr>
                    <w:rFonts w:hint="eastAsia" w:ascii="宋体" w:hAnsi="宋体" w:cs="微软雅黑"/>
                    <w:color w:val="000000" w:themeColor="text1"/>
                    <w:szCs w:val="21"/>
                    <w:highlight w:val="none"/>
                    <w14:textFill>
                      <w14:solidFill>
                        <w14:schemeClr w14:val="tx1"/>
                      </w14:solidFill>
                    </w14:textFill>
                  </w:rPr>
                  <w:t>☐</w:t>
                </w:r>
              </w:sdtContent>
            </w:sdt>
            <w:r>
              <w:rPr>
                <w:rFonts w:hint="eastAsia" w:ascii="宋体" w:hAnsi="宋体" w:cs="微软雅黑"/>
                <w:color w:val="000000" w:themeColor="text1"/>
                <w:szCs w:val="21"/>
                <w:highlight w:val="none"/>
                <w14:textFill>
                  <w14:solidFill>
                    <w14:schemeClr w14:val="tx1"/>
                  </w14:solidFill>
                </w14:textFill>
              </w:rPr>
              <w:t>B组织。</w:t>
            </w:r>
          </w:p>
          <w:p>
            <w:pPr>
              <w:snapToGrid w:val="0"/>
              <w:spacing w:line="360" w:lineRule="auto"/>
              <w:jc w:val="left"/>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1）在评标时安排每个投标人进行方案讲解演示。每个投标人时间不超过20（编制时可根据项目情况进行调整）分钟，讲解次序以投标文件解密时间先后次序为准，讲解演示人员不超过1（编制时可根据项目情况进行调整）人。讲解演示结束后按要求解答评标委员会提问。</w:t>
            </w:r>
          </w:p>
          <w:p>
            <w:pPr>
              <w:snapToGrid w:val="0"/>
              <w:spacing w:line="360" w:lineRule="auto"/>
              <w:jc w:val="left"/>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（2）方案讲解演示可选择以下其中一种方式：</w:t>
            </w:r>
          </w:p>
          <w:p>
            <w:pPr>
              <w:snapToGrid w:val="0"/>
              <w:spacing w:line="360" w:lineRule="auto"/>
              <w:jc w:val="left"/>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方式一：钉钉在线讲解演示。钉钉会议视频功能在线讲解需投标人根据钉钉软件操作要求做好准备工作，提前完善软硬件配置环境。</w:t>
            </w:r>
          </w:p>
          <w:p>
            <w:pPr>
              <w:snapToGrid w:val="0"/>
              <w:spacing w:line="360" w:lineRule="auto"/>
              <w:jc w:val="left"/>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方式二：现场讲解演示。现场讲解地点为</w:t>
            </w:r>
            <w:r>
              <w:rPr>
                <w:rFonts w:hint="eastAsia" w:cs="宋体"/>
                <w:color w:val="000000" w:themeColor="text1"/>
                <w:szCs w:val="21"/>
                <w:highlight w:val="none"/>
                <w14:textFill>
                  <w14:solidFill>
                    <w14:schemeClr w14:val="tx1"/>
                  </w14:solidFill>
                </w14:textFill>
              </w:rPr>
              <w:t>在嘉兴市消防救援支队</w:t>
            </w:r>
            <w:r>
              <w:rPr>
                <w:rFonts w:hint="eastAsia" w:ascii="宋体" w:hAnsi="宋体" w:cs="微软雅黑"/>
                <w:color w:val="000000" w:themeColor="text1"/>
                <w:szCs w:val="21"/>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pPr>
              <w:snapToGrid w:val="0"/>
              <w:spacing w:line="360" w:lineRule="auto"/>
              <w:jc w:val="left"/>
              <w:rPr>
                <w:color w:val="000000" w:themeColor="text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8</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分包：</w:t>
            </w:r>
          </w:p>
          <w:p>
            <w:pPr>
              <w:snapToGrid w:val="0"/>
              <w:spacing w:line="360" w:lineRule="auto"/>
              <w:jc w:val="left"/>
              <w:rPr>
                <w:rFonts w:ascii="宋体" w:hAnsi="宋体" w:cs="微软雅黑"/>
                <w:color w:val="000000" w:themeColor="text1"/>
                <w:szCs w:val="21"/>
                <w:highlight w:val="none"/>
                <w14:textFill>
                  <w14:solidFill>
                    <w14:schemeClr w14:val="tx1"/>
                  </w14:solidFill>
                </w14:textFill>
              </w:rPr>
            </w:pPr>
            <w:sdt>
              <w:sdtPr>
                <w:rPr>
                  <w:rFonts w:hint="eastAsia" w:ascii="宋体" w:hAnsi="宋体" w:cs="微软雅黑"/>
                  <w:color w:val="000000" w:themeColor="text1"/>
                  <w:szCs w:val="21"/>
                  <w:highlight w:val="none"/>
                  <w14:textFill>
                    <w14:solidFill>
                      <w14:schemeClr w14:val="tx1"/>
                    </w14:solidFill>
                  </w14:textFill>
                </w:rPr>
                <w:id w:val="-1477286927"/>
              </w:sdtPr>
              <w:sdtEndPr>
                <w:rPr>
                  <w:rFonts w:hint="eastAsia" w:ascii="宋体" w:hAnsi="宋体" w:cs="微软雅黑"/>
                  <w:color w:val="000000" w:themeColor="text1"/>
                  <w:szCs w:val="21"/>
                  <w:highlight w:val="none"/>
                  <w14:textFill>
                    <w14:solidFill>
                      <w14:schemeClr w14:val="tx1"/>
                    </w14:solidFill>
                  </w14:textFill>
                </w:rPr>
              </w:sdtEndPr>
              <w:sdtContent>
                <w:r>
                  <w:rPr>
                    <w:rFonts w:hint="eastAsia" w:ascii="宋体" w:hAnsi="宋体" w:cs="微软雅黑"/>
                    <w:color w:val="000000" w:themeColor="text1"/>
                    <w:szCs w:val="21"/>
                    <w:highlight w:val="none"/>
                    <w14:textFill>
                      <w14:solidFill>
                        <w14:schemeClr w14:val="tx1"/>
                      </w14:solidFill>
                    </w14:textFill>
                  </w:rPr>
                  <w:t>☐</w:t>
                </w:r>
              </w:sdtContent>
            </w:sdt>
            <w:r>
              <w:rPr>
                <w:rFonts w:hint="eastAsia" w:ascii="宋体" w:hAnsi="宋体" w:cs="微软雅黑"/>
                <w:color w:val="000000" w:themeColor="text1"/>
                <w:szCs w:val="21"/>
                <w:highlight w:val="none"/>
                <w14:textFill>
                  <w14:solidFill>
                    <w14:schemeClr w14:val="tx1"/>
                  </w14:solidFill>
                </w14:textFill>
              </w:rPr>
              <w:t xml:space="preserve"> A同意将非主体、非关键性的</w:t>
            </w:r>
            <w:r>
              <w:rPr>
                <w:rFonts w:hint="eastAsia" w:ascii="宋体" w:hAnsi="宋体" w:cs="微软雅黑"/>
                <w:color w:val="000000" w:themeColor="text1"/>
                <w:szCs w:val="21"/>
                <w:highlight w:val="none"/>
                <w:u w:val="single"/>
                <w14:textFill>
                  <w14:solidFill>
                    <w14:schemeClr w14:val="tx1"/>
                  </w14:solidFill>
                </w14:textFill>
              </w:rPr>
              <w:t xml:space="preserve">            </w:t>
            </w:r>
            <w:r>
              <w:rPr>
                <w:rFonts w:hint="eastAsia" w:ascii="宋体" w:hAnsi="宋体" w:cs="微软雅黑"/>
                <w:color w:val="000000" w:themeColor="text1"/>
                <w:szCs w:val="21"/>
                <w:highlight w:val="none"/>
                <w14:textFill>
                  <w14:solidFill>
                    <w14:schemeClr w14:val="tx1"/>
                  </w14:solidFill>
                </w14:textFill>
              </w:rPr>
              <w:t xml:space="preserve"> 工作分包。</w:t>
            </w:r>
          </w:p>
          <w:p>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共分为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个包，第1包:分包名称，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万元，第2包:分包名称，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万元，第3包:分包名称，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w:t>
            </w:r>
          </w:p>
          <w:p>
            <w:pPr>
              <w:pStyle w:val="5"/>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注：每个分包需注明预留中小企业份额</w:t>
            </w:r>
          </w:p>
          <w:p>
            <w:pPr>
              <w:snapToGrid w:val="0"/>
              <w:spacing w:line="360" w:lineRule="auto"/>
              <w:jc w:val="left"/>
              <w:rPr>
                <w:rFonts w:ascii="宋体" w:hAnsi="宋体" w:cs="微软雅黑"/>
                <w:color w:val="000000" w:themeColor="text1"/>
                <w:szCs w:val="21"/>
                <w:highlight w:val="none"/>
                <w14:textFill>
                  <w14:solidFill>
                    <w14:schemeClr w14:val="tx1"/>
                  </w14:solidFill>
                </w14:textFill>
              </w:rPr>
            </w:pPr>
            <w:sdt>
              <w:sdtPr>
                <w:rPr>
                  <w:rFonts w:hint="eastAsia" w:ascii="宋体" w:hAnsi="宋体" w:cs="微软雅黑"/>
                  <w:color w:val="000000" w:themeColor="text1"/>
                  <w:szCs w:val="21"/>
                  <w:highlight w:val="none"/>
                  <w14:textFill>
                    <w14:solidFill>
                      <w14:schemeClr w14:val="tx1"/>
                    </w14:solidFill>
                  </w14:textFill>
                </w:rPr>
                <w:id w:val="-1276331357"/>
              </w:sdtPr>
              <w:sdtEndPr>
                <w:rPr>
                  <w:rFonts w:hint="eastAsia" w:ascii="宋体" w:hAnsi="宋体" w:cs="微软雅黑"/>
                  <w:color w:val="000000" w:themeColor="text1"/>
                  <w:szCs w:val="21"/>
                  <w:highlight w:val="none"/>
                  <w14:textFill>
                    <w14:solidFill>
                      <w14:schemeClr w14:val="tx1"/>
                    </w14:solidFill>
                  </w14:textFill>
                </w:rPr>
              </w:sdtEndPr>
              <w:sdtContent>
                <w:r>
                  <w:rPr>
                    <w:rFonts w:ascii="Wingdings" w:hAnsi="Wingdings" w:cs="微软雅黑"/>
                    <w:color w:val="000000" w:themeColor="text1"/>
                    <w:szCs w:val="21"/>
                    <w:highlight w:val="none"/>
                    <w14:textFill>
                      <w14:solidFill>
                        <w14:schemeClr w14:val="tx1"/>
                      </w14:solidFill>
                    </w14:textFill>
                  </w:rPr>
                  <w:t></w:t>
                </w:r>
              </w:sdtContent>
            </w:sdt>
            <w:r>
              <w:rPr>
                <w:rFonts w:hint="eastAsia" w:ascii="宋体" w:hAnsi="宋体" w:cs="微软雅黑"/>
                <w:color w:val="000000" w:themeColor="text1"/>
                <w:szCs w:val="21"/>
                <w:highlight w:val="none"/>
                <w14:textFill>
                  <w14:solidFill>
                    <w14:schemeClr w14:val="tx1"/>
                  </w14:solidFill>
                </w14:textFill>
              </w:rPr>
              <w:t xml:space="preserve"> B不同意分包。</w:t>
            </w:r>
          </w:p>
          <w:p>
            <w:pPr>
              <w:snapToGrid w:val="0"/>
              <w:spacing w:line="360" w:lineRule="auto"/>
              <w:jc w:val="left"/>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9</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答疑与澄清：详见招标文件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10</w:t>
            </w:r>
          </w:p>
        </w:tc>
        <w:tc>
          <w:tcPr>
            <w:tcW w:w="86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left"/>
              <w:textAlignment w:val="bottom"/>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投标文件组成</w:t>
            </w:r>
            <w:r>
              <w:rPr>
                <w:rFonts w:hint="eastAsia" w:ascii="宋体" w:hAnsi="宋体"/>
                <w:color w:val="000000" w:themeColor="text1"/>
                <w:szCs w:val="21"/>
                <w:highlight w:val="none"/>
                <w14:textFill>
                  <w14:solidFill>
                    <w14:schemeClr w14:val="tx1"/>
                  </w14:solidFill>
                </w14:textFill>
              </w:rPr>
              <w:t>：报价文件、资信商务及技术文件正本各1份；副本各4份；提供电子文档一份（光盘/u盘）。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11</w:t>
            </w:r>
          </w:p>
        </w:tc>
        <w:tc>
          <w:tcPr>
            <w:tcW w:w="8652" w:type="dxa"/>
            <w:tcBorders>
              <w:top w:val="single" w:color="auto" w:sz="4" w:space="0"/>
              <w:left w:val="single" w:color="auto" w:sz="4" w:space="0"/>
              <w:bottom w:val="single" w:color="auto" w:sz="4" w:space="0"/>
              <w:right w:val="single" w:color="auto" w:sz="4" w:space="0"/>
            </w:tcBorders>
            <w:vAlign w:val="center"/>
          </w:tcPr>
          <w:p>
            <w:pPr>
              <w:pStyle w:val="43"/>
              <w:spacing w:before="60" w:beforeAutospacing="0" w:after="60" w:afterAutospacing="0" w:line="360" w:lineRule="auto"/>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提交投标文件截止时间及地点：投标人应于2023年</w:t>
            </w:r>
            <w:r>
              <w:rPr>
                <w:rFonts w:hint="eastAsia" w:cs="宋体"/>
                <w:color w:val="000000" w:themeColor="text1"/>
                <w:sz w:val="21"/>
                <w:szCs w:val="21"/>
                <w:highlight w:val="none"/>
                <w:lang w:eastAsia="zh-CN"/>
                <w14:textFill>
                  <w14:solidFill>
                    <w14:schemeClr w14:val="tx1"/>
                  </w14:solidFill>
                </w14:textFill>
              </w:rPr>
              <w:t>9月13日9：00分</w:t>
            </w:r>
            <w:r>
              <w:rPr>
                <w:rFonts w:hint="eastAsia" w:cs="宋体"/>
                <w:color w:val="000000" w:themeColor="text1"/>
                <w:sz w:val="21"/>
                <w:szCs w:val="21"/>
                <w:highlight w:val="none"/>
                <w14:textFill>
                  <w14:solidFill>
                    <w14:schemeClr w14:val="tx1"/>
                  </w14:solidFill>
                </w14:textFill>
              </w:rPr>
              <w:t>前将投标文件密封送交到浙江天钫工程管理咨询有限公司（浙江省嘉兴市秀洲区新城街道秀洲大道138号未来科技广场E座902-2室），逾期送达不予接收。 </w:t>
            </w:r>
          </w:p>
          <w:p>
            <w:pPr>
              <w:autoSpaceDE w:val="0"/>
              <w:autoSpaceDN w:val="0"/>
              <w:snapToGrid w:val="0"/>
              <w:spacing w:line="360" w:lineRule="auto"/>
              <w:jc w:val="left"/>
              <w:textAlignment w:val="bottom"/>
              <w:rPr>
                <w:rFonts w:ascii="宋体" w:hAnsi="宋体" w:cs="微软雅黑"/>
                <w:color w:val="000000" w:themeColor="text1"/>
                <w:szCs w:val="21"/>
                <w:highlight w:val="none"/>
                <w14:textFill>
                  <w14:solidFill>
                    <w14:schemeClr w14:val="tx1"/>
                  </w14:solidFill>
                </w14:textFill>
              </w:rPr>
            </w:pPr>
            <w:r>
              <w:rPr>
                <w:rFonts w:hint="eastAsia" w:cs="宋体"/>
                <w:b/>
                <w:color w:val="000000" w:themeColor="text1"/>
                <w:szCs w:val="21"/>
                <w:highlight w:val="none"/>
                <w14:textFill>
                  <w14:solidFill>
                    <w14:schemeClr w14:val="tx1"/>
                  </w14:solidFill>
                </w14:textFill>
              </w:rPr>
              <w:t>请各投标人全程佩戴口罩，送达文件后迅速离场。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12</w:t>
            </w:r>
          </w:p>
        </w:tc>
        <w:tc>
          <w:tcPr>
            <w:tcW w:w="8652" w:type="dxa"/>
            <w:tcBorders>
              <w:top w:val="single" w:color="auto" w:sz="4" w:space="0"/>
              <w:left w:val="single" w:color="auto" w:sz="4" w:space="0"/>
              <w:bottom w:val="single" w:color="auto" w:sz="4" w:space="0"/>
              <w:right w:val="single" w:color="auto" w:sz="4" w:space="0"/>
            </w:tcBorders>
            <w:vAlign w:val="center"/>
          </w:tcPr>
          <w:p>
            <w:pPr>
              <w:pStyle w:val="43"/>
              <w:spacing w:before="60" w:beforeAutospacing="0" w:after="60" w:afterAutospacing="0" w:line="360" w:lineRule="auto"/>
              <w:rPr>
                <w:rFonts w:hint="eastAsia"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开标时间：2023年</w:t>
            </w:r>
            <w:r>
              <w:rPr>
                <w:rFonts w:hint="eastAsia" w:cs="宋体"/>
                <w:color w:val="000000" w:themeColor="text1"/>
                <w:sz w:val="21"/>
                <w:szCs w:val="21"/>
                <w:highlight w:val="none"/>
                <w:lang w:eastAsia="zh-CN"/>
                <w14:textFill>
                  <w14:solidFill>
                    <w14:schemeClr w14:val="tx1"/>
                  </w14:solidFill>
                </w14:textFill>
              </w:rPr>
              <w:t>9月13日9：30分</w:t>
            </w:r>
          </w:p>
          <w:p>
            <w:pPr>
              <w:autoSpaceDE w:val="0"/>
              <w:autoSpaceDN w:val="0"/>
              <w:snapToGrid w:val="0"/>
              <w:spacing w:line="360" w:lineRule="auto"/>
              <w:jc w:val="left"/>
              <w:textAlignment w:val="bottom"/>
              <w:rPr>
                <w:rFonts w:ascii="宋体" w:hAnsi="宋体" w:cs="微软雅黑"/>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开标地点：在嘉兴市消防救援支队4楼开标室（嘉兴市长水路1500号）开标，投标单位无需出席开标会议。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13</w:t>
            </w:r>
          </w:p>
        </w:tc>
        <w:tc>
          <w:tcPr>
            <w:tcW w:w="86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left"/>
              <w:textAlignment w:val="bottom"/>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14</w:t>
            </w:r>
          </w:p>
        </w:tc>
        <w:tc>
          <w:tcPr>
            <w:tcW w:w="86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left"/>
              <w:textAlignment w:val="bottom"/>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履约保证金的收取及退还：</w:t>
            </w:r>
          </w:p>
          <w:p>
            <w:pPr>
              <w:autoSpaceDE w:val="0"/>
              <w:autoSpaceDN w:val="0"/>
              <w:snapToGrid w:val="0"/>
              <w:spacing w:line="360" w:lineRule="auto"/>
              <w:ind w:firstLine="420" w:firstLineChars="200"/>
              <w:jc w:val="left"/>
              <w:textAlignment w:val="bottom"/>
              <w:rPr>
                <w:rFonts w:cs="宋体"/>
                <w:color w:val="000000" w:themeColor="text1"/>
                <w:szCs w:val="21"/>
                <w:highlight w:val="none"/>
                <w14:textFill>
                  <w14:solidFill>
                    <w14:schemeClr w14:val="tx1"/>
                  </w14:solidFill>
                </w14:textFill>
              </w:rPr>
            </w:pPr>
            <w:r>
              <w:rPr>
                <w:rFonts w:hint="eastAsia" w:ascii="MS Gothic" w:hAnsi="MS Gothic" w:cs="宋体"/>
                <w:color w:val="000000" w:themeColor="text1"/>
                <w:szCs w:val="21"/>
                <w:highlight w:val="none"/>
                <w14:textFill>
                  <w14:solidFill>
                    <w14:schemeClr w14:val="tx1"/>
                  </w14:solidFill>
                </w14:textFill>
              </w:rPr>
              <w:t>☐</w:t>
            </w:r>
            <w:r>
              <w:rPr>
                <w:rFonts w:hint="eastAsia" w:cs="宋体"/>
                <w:color w:val="000000" w:themeColor="text1"/>
                <w:szCs w:val="21"/>
                <w:highlight w:val="none"/>
                <w14:textFill>
                  <w14:solidFill>
                    <w14:schemeClr w14:val="tx1"/>
                  </w14:solidFill>
                </w14:textFill>
              </w:rPr>
              <w:t>无；</w:t>
            </w:r>
          </w:p>
          <w:p>
            <w:pPr>
              <w:tabs>
                <w:tab w:val="left" w:pos="0"/>
              </w:tabs>
              <w:spacing w:line="360" w:lineRule="auto"/>
              <w:ind w:firstLine="482"/>
              <w:jc w:val="left"/>
              <w:rPr>
                <w:rFonts w:ascii="宋体" w:hAnsi="宋体" w:cs="微软雅黑"/>
                <w:color w:val="000000" w:themeColor="text1"/>
                <w:szCs w:val="21"/>
                <w:highlight w:val="none"/>
                <w14:textFill>
                  <w14:solidFill>
                    <w14:schemeClr w14:val="tx1"/>
                  </w14:solidFill>
                </w14:textFill>
              </w:rPr>
            </w:pPr>
            <w:sdt>
              <w:sdtPr>
                <w:rPr>
                  <w:rFonts w:hint="eastAsia" w:cs="宋体"/>
                  <w:color w:val="000000" w:themeColor="text1"/>
                  <w:szCs w:val="21"/>
                  <w:highlight w:val="none"/>
                  <w14:textFill>
                    <w14:solidFill>
                      <w14:schemeClr w14:val="tx1"/>
                    </w14:solidFill>
                  </w14:textFill>
                </w:rPr>
                <w:id w:val="1465620494"/>
              </w:sdtPr>
              <w:sdtEndPr>
                <w:rPr>
                  <w:rFonts w:hint="eastAsia" w:cs="宋体"/>
                  <w:color w:val="000000" w:themeColor="text1"/>
                  <w:szCs w:val="21"/>
                  <w:highlight w:val="none"/>
                  <w14:textFill>
                    <w14:solidFill>
                      <w14:schemeClr w14:val="tx1"/>
                    </w14:solidFill>
                  </w14:textFill>
                </w:rPr>
              </w:sdtEndPr>
              <w:sdtContent>
                <w:sdt>
                  <w:sdtPr>
                    <w:rPr>
                      <w:rFonts w:hint="eastAsia" w:cs="宋体"/>
                      <w:color w:val="000000" w:themeColor="text1"/>
                      <w:szCs w:val="21"/>
                      <w:highlight w:val="none"/>
                      <w14:textFill>
                        <w14:solidFill>
                          <w14:schemeClr w14:val="tx1"/>
                        </w14:solidFill>
                      </w14:textFill>
                    </w:rPr>
                    <w:id w:val="249396817"/>
                  </w:sdtPr>
                  <w:sdtEndPr>
                    <w:rPr>
                      <w:rFonts w:hint="eastAsia" w:cs="宋体"/>
                      <w:color w:val="000000" w:themeColor="text1"/>
                      <w:szCs w:val="21"/>
                      <w:highlight w:val="none"/>
                      <w14:textFill>
                        <w14:solidFill>
                          <w14:schemeClr w14:val="tx1"/>
                        </w14:solidFill>
                      </w14:textFill>
                    </w:rPr>
                  </w:sdtEndPr>
                  <w:sdtContent>
                    <w:r>
                      <w:rPr>
                        <w:rFonts w:ascii="Wingdings" w:hAnsi="Wingdings" w:cs="宋体"/>
                        <w:color w:val="000000" w:themeColor="text1"/>
                        <w:szCs w:val="21"/>
                        <w:highlight w:val="none"/>
                        <w14:textFill>
                          <w14:solidFill>
                            <w14:schemeClr w14:val="tx1"/>
                          </w14:solidFill>
                        </w14:textFill>
                      </w:rPr>
                      <w:t></w:t>
                    </w:r>
                  </w:sdtContent>
                </w:sdt>
              </w:sdtContent>
            </w:sdt>
            <w:r>
              <w:rPr>
                <w:rFonts w:hint="eastAsia" w:cs="宋体"/>
                <w:color w:val="000000" w:themeColor="text1"/>
                <w:szCs w:val="21"/>
                <w:highlight w:val="none"/>
                <w14:textFill>
                  <w14:solidFill>
                    <w14:schemeClr w14:val="tx1"/>
                  </w14:solidFill>
                </w14:textFill>
              </w:rPr>
              <w:t>有：合同签订后5个工作日内，供应商向采购人缴纳</w:t>
            </w:r>
            <w:r>
              <w:rPr>
                <w:rFonts w:hint="eastAsia" w:cs="宋体"/>
                <w:color w:val="000000" w:themeColor="text1"/>
                <w:szCs w:val="21"/>
                <w:highlight w:val="none"/>
                <w:lang w:eastAsia="zh-CN"/>
                <w14:textFill>
                  <w14:solidFill>
                    <w14:schemeClr w14:val="tx1"/>
                  </w14:solidFill>
                </w14:textFill>
              </w:rPr>
              <w:t>柒仟元</w:t>
            </w:r>
            <w:r>
              <w:rPr>
                <w:rFonts w:hint="eastAsia" w:cs="宋体"/>
                <w:color w:val="000000" w:themeColor="text1"/>
                <w:szCs w:val="21"/>
                <w:highlight w:val="none"/>
                <w14:textFill>
                  <w14:solidFill>
                    <w14:schemeClr w14:val="tx1"/>
                  </w14:solidFill>
                </w14:textFill>
              </w:rPr>
              <w:t>履约保证金</w:t>
            </w:r>
            <w:r>
              <w:rPr>
                <w:rFonts w:hint="eastAsia" w:asciiTheme="minorEastAsia" w:hAnsiTheme="minorEastAsia" w:eastAsiaTheme="minorEastAsia"/>
                <w:color w:val="000000" w:themeColor="text1"/>
                <w:szCs w:val="21"/>
                <w:highlight w:val="none"/>
                <w14:textFill>
                  <w14:solidFill>
                    <w14:schemeClr w14:val="tx1"/>
                  </w14:solidFill>
                </w14:textFill>
              </w:rPr>
              <w:t>，供应商应当以支票、汇票、本票或者金融机构、担保机构出具的保函等非现金形式提交，采购单位不得拒收，政府采购货物和服务项目不得收取质量保证金政府采购工程以及与工程建设有关的货物、服务，采用招标方式采购的，按国家和省有关规定执行。履约保证金的在合同履行完毕后及时退还，延迟退还的，应当按照合同约定和法律规定承担相应的赔偿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15</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投标文件有效期：</w:t>
            </w:r>
            <w:r>
              <w:rPr>
                <w:rFonts w:hint="eastAsia" w:ascii="宋体" w:hAnsi="宋体" w:cs="微软雅黑"/>
                <w:color w:val="000000" w:themeColor="text1"/>
                <w:szCs w:val="21"/>
                <w:highlight w:val="none"/>
                <w:u w:val="single"/>
                <w14:textFill>
                  <w14:solidFill>
                    <w14:schemeClr w14:val="tx1"/>
                  </w14:solidFill>
                </w14:textFill>
              </w:rPr>
              <w:t>90</w:t>
            </w:r>
            <w:r>
              <w:rPr>
                <w:rFonts w:hint="eastAsia" w:ascii="宋体" w:hAnsi="宋体" w:cs="微软雅黑"/>
                <w:color w:val="000000" w:themeColor="text1"/>
                <w:szCs w:val="21"/>
                <w:highlight w:val="none"/>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16</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微软雅黑"/>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根据《政府采购促进中小企业发展管理办法》财库〔2020〕46号文件的规定，本项目属于预留份额专门面向中小企业采购的项目。</w:t>
            </w:r>
            <w:r>
              <w:rPr>
                <w:rFonts w:hint="eastAsia" w:ascii="宋体" w:hAnsi="宋体"/>
                <w:color w:val="000000" w:themeColor="text1"/>
                <w:szCs w:val="21"/>
                <w:highlight w:val="none"/>
                <w14:textFill>
                  <w14:solidFill>
                    <w14:schemeClr w14:val="tx1"/>
                  </w14:solidFill>
                </w14:textFill>
              </w:rPr>
              <w:t>本项目为服务类，所属行业为批发业。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17</w:t>
            </w:r>
          </w:p>
        </w:tc>
        <w:tc>
          <w:tcPr>
            <w:tcW w:w="865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微软雅黑"/>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评标结果公告：</w:t>
            </w:r>
            <w:r>
              <w:rPr>
                <w:rFonts w:hint="eastAsia" w:ascii="宋体" w:hAnsi="宋体" w:cs="宋体"/>
                <w:color w:val="000000" w:themeColor="text1"/>
                <w:szCs w:val="21"/>
                <w:highlight w:val="none"/>
                <w14:textFill>
                  <w14:solidFill>
                    <w14:schemeClr w14:val="tx1"/>
                  </w14:solidFill>
                </w14:textFill>
              </w:rPr>
              <w:t>评标结束且采购人确认采购结果后，中标结果公告于中国政府采购网(http://www.ccgp.gov.cn/)、浙江政府采购网(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"http://zfcg.czt.zj.gov.cn/" </w:instrText>
            </w:r>
            <w:r>
              <w:rPr>
                <w:color w:val="000000" w:themeColor="text1"/>
                <w:highlight w:val="none"/>
                <w14:textFill>
                  <w14:solidFill>
                    <w14:schemeClr w14:val="tx1"/>
                  </w14:solidFill>
                </w14:textFill>
              </w:rPr>
              <w:fldChar w:fldCharType="separate"/>
            </w:r>
            <w:r>
              <w:rPr>
                <w:rStyle w:val="54"/>
                <w:rFonts w:hint="eastAsia" w:ascii="宋体" w:hAnsi="宋体" w:cs="宋体"/>
                <w:color w:val="000000" w:themeColor="text1"/>
                <w:szCs w:val="21"/>
                <w:highlight w:val="none"/>
                <w14:textFill>
                  <w14:solidFill>
                    <w14:schemeClr w14:val="tx1"/>
                  </w14:solidFill>
                </w14:textFill>
              </w:rPr>
              <w:t>http://zfcg.czt.zj.gov.cn/</w:t>
            </w:r>
            <w:r>
              <w:rPr>
                <w:rStyle w:val="54"/>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)、嘉兴市公共资源交易网（http://jxszwsjb.jiaxing.gov.cn/）。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18</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微软雅黑"/>
                <w:color w:val="000000" w:themeColor="text1"/>
                <w:szCs w:val="21"/>
                <w:highlight w:val="none"/>
                <w14:textFill>
                  <w14:solidFill>
                    <w14:schemeClr w14:val="tx1"/>
                  </w14:solidFill>
                </w14:textFill>
              </w:rPr>
            </w:pPr>
            <w:r>
              <w:rPr>
                <w:rFonts w:hint="eastAsia" w:ascii="宋体" w:hAnsi="宋体" w:cs="微软雅黑"/>
                <w:color w:val="000000" w:themeColor="text1"/>
                <w:szCs w:val="21"/>
                <w:highlight w:val="none"/>
                <w14:textFill>
                  <w14:solidFill>
                    <w14:schemeClr w14:val="tx1"/>
                  </w14:solidFill>
                </w14:textFill>
              </w:rPr>
              <w:t>解释：本招标文件的解释权属于招标采购单位。</w:t>
            </w:r>
          </w:p>
        </w:tc>
      </w:tr>
      <w:bookmarkEnd w:id="3"/>
      <w:bookmarkEnd w:id="4"/>
      <w:bookmarkEnd w:id="5"/>
    </w:tbl>
    <w:p>
      <w:pPr>
        <w:snapToGrid w:val="0"/>
        <w:spacing w:line="360" w:lineRule="auto"/>
        <w:ind w:firstLine="422" w:firstLineChars="200"/>
        <w:jc w:val="left"/>
        <w:outlineLvl w:val="1"/>
        <w:rPr>
          <w:rFonts w:ascii="宋体" w:hAnsi="宋体"/>
          <w:b/>
          <w:color w:val="000000" w:themeColor="text1"/>
          <w:szCs w:val="21"/>
          <w:highlight w:val="none"/>
          <w14:textFill>
            <w14:solidFill>
              <w14:schemeClr w14:val="tx1"/>
            </w14:solidFill>
          </w14:textFill>
        </w:rPr>
      </w:pPr>
      <w:bookmarkStart w:id="10" w:name="_Toc50012817"/>
      <w:bookmarkStart w:id="11" w:name="_Toc493511580"/>
      <w:bookmarkStart w:id="12" w:name="_Toc177870536"/>
    </w:p>
    <w:p>
      <w:pPr>
        <w:widowControl/>
        <w:jc w:val="left"/>
        <w:rPr>
          <w:rFonts w:ascii="宋体" w:hAnsi="宋体"/>
          <w:b/>
          <w:color w:val="000000" w:themeColor="text1"/>
          <w:szCs w:val="21"/>
          <w:highlight w:val="none"/>
          <w14:textFill>
            <w14:solidFill>
              <w14:schemeClr w14:val="tx1"/>
            </w14:solidFill>
          </w14:textFill>
        </w:rPr>
      </w:pPr>
      <w:bookmarkStart w:id="13" w:name="_Toc2096"/>
      <w:r>
        <w:rPr>
          <w:rFonts w:ascii="宋体" w:hAnsi="宋体"/>
          <w:b/>
          <w:color w:val="000000" w:themeColor="text1"/>
          <w:szCs w:val="21"/>
          <w:highlight w:val="none"/>
          <w14:textFill>
            <w14:solidFill>
              <w14:schemeClr w14:val="tx1"/>
            </w14:solidFill>
          </w14:textFill>
        </w:rPr>
        <w:br w:type="page"/>
      </w:r>
    </w:p>
    <w:p>
      <w:pPr>
        <w:snapToGrid w:val="0"/>
        <w:spacing w:line="360" w:lineRule="auto"/>
        <w:ind w:firstLine="422" w:firstLineChars="200"/>
        <w:jc w:val="left"/>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一、总  则</w:t>
      </w:r>
      <w:bookmarkEnd w:id="10"/>
      <w:bookmarkEnd w:id="11"/>
      <w:bookmarkEnd w:id="12"/>
      <w:bookmarkEnd w:id="13"/>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14" w:name="_Toc493511581"/>
      <w:bookmarkStart w:id="15" w:name="_Toc427915759"/>
      <w:bookmarkStart w:id="16" w:name="_Toc177825120"/>
      <w:bookmarkStart w:id="17" w:name="_Toc177824939"/>
      <w:bookmarkStart w:id="18" w:name="_Toc50012818"/>
      <w:bookmarkStart w:id="19" w:name="_Toc8394"/>
      <w:bookmarkStart w:id="20" w:name="_Toc177870537"/>
      <w:bookmarkStart w:id="21" w:name="_Toc177824872"/>
      <w:r>
        <w:rPr>
          <w:rFonts w:hint="eastAsia" w:ascii="宋体" w:hAnsi="宋体"/>
          <w:color w:val="000000" w:themeColor="text1"/>
          <w:szCs w:val="21"/>
          <w:highlight w:val="none"/>
          <w14:textFill>
            <w14:solidFill>
              <w14:schemeClr w14:val="tx1"/>
            </w14:solidFill>
          </w14:textFill>
        </w:rPr>
        <w:t>1、 适用范围</w:t>
      </w:r>
      <w:bookmarkEnd w:id="14"/>
      <w:bookmarkEnd w:id="15"/>
      <w:bookmarkEnd w:id="16"/>
      <w:bookmarkEnd w:id="17"/>
      <w:bookmarkEnd w:id="18"/>
      <w:bookmarkEnd w:id="19"/>
      <w:bookmarkEnd w:id="20"/>
      <w:bookmarkEnd w:id="21"/>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22" w:name="_Toc30106"/>
      <w:bookmarkStart w:id="23" w:name="_Toc493511582"/>
      <w:bookmarkStart w:id="24" w:name="_Toc50012819"/>
      <w:r>
        <w:rPr>
          <w:rFonts w:hint="eastAsia" w:ascii="宋体" w:hAnsi="宋体"/>
          <w:color w:val="000000" w:themeColor="text1"/>
          <w:szCs w:val="21"/>
          <w:highlight w:val="none"/>
          <w14:textFill>
            <w14:solidFill>
              <w14:schemeClr w14:val="tx1"/>
            </w14:solidFill>
          </w14:textFill>
        </w:rPr>
        <w:t>1.1、本招标文件适用于本次所述项目的招标。</w:t>
      </w:r>
      <w:bookmarkEnd w:id="22"/>
      <w:bookmarkEnd w:id="23"/>
      <w:bookmarkEnd w:id="24"/>
      <w:bookmarkStart w:id="25" w:name="_Toc177824940"/>
      <w:bookmarkStart w:id="26" w:name="_Toc427915760"/>
      <w:bookmarkStart w:id="27" w:name="_Toc177824873"/>
      <w:bookmarkStart w:id="28" w:name="_Toc177870538"/>
      <w:bookmarkStart w:id="29" w:name="_Toc177825121"/>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30" w:name="_Toc493511583"/>
      <w:bookmarkStart w:id="31" w:name="_Toc29052"/>
      <w:bookmarkStart w:id="32" w:name="_Toc50012820"/>
      <w:r>
        <w:rPr>
          <w:rFonts w:hint="eastAsia" w:ascii="宋体" w:hAnsi="宋体"/>
          <w:color w:val="000000" w:themeColor="text1"/>
          <w:szCs w:val="21"/>
          <w:highlight w:val="none"/>
          <w14:textFill>
            <w14:solidFill>
              <w14:schemeClr w14:val="tx1"/>
            </w14:solidFill>
          </w14:textFill>
        </w:rPr>
        <w:t>2、定义</w:t>
      </w:r>
      <w:bookmarkEnd w:id="25"/>
      <w:bookmarkEnd w:id="26"/>
      <w:bookmarkEnd w:id="27"/>
      <w:bookmarkEnd w:id="28"/>
      <w:bookmarkEnd w:id="29"/>
      <w:bookmarkEnd w:id="30"/>
      <w:bookmarkEnd w:id="31"/>
      <w:bookmarkEnd w:id="32"/>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33" w:name="_Toc493511584"/>
      <w:bookmarkStart w:id="34" w:name="_Toc50012821"/>
      <w:bookmarkStart w:id="35" w:name="_Toc19542"/>
      <w:r>
        <w:rPr>
          <w:rFonts w:hint="eastAsia" w:ascii="宋体" w:hAnsi="宋体"/>
          <w:color w:val="000000" w:themeColor="text1"/>
          <w:szCs w:val="21"/>
          <w:highlight w:val="none"/>
          <w14:textFill>
            <w14:solidFill>
              <w14:schemeClr w14:val="tx1"/>
            </w14:solidFill>
          </w14:textFill>
        </w:rPr>
        <w:t>2.1、“招标人”系指组织本次招标的代理机构或采购人。</w:t>
      </w:r>
      <w:bookmarkEnd w:id="33"/>
      <w:bookmarkEnd w:id="34"/>
      <w:bookmarkEnd w:id="35"/>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36" w:name="_Toc22525"/>
      <w:bookmarkStart w:id="37" w:name="_Toc493511585"/>
      <w:bookmarkStart w:id="38" w:name="_Toc50012822"/>
      <w:r>
        <w:rPr>
          <w:rFonts w:hint="eastAsia" w:ascii="宋体" w:hAnsi="宋体"/>
          <w:color w:val="000000" w:themeColor="text1"/>
          <w:szCs w:val="21"/>
          <w:highlight w:val="none"/>
          <w14:textFill>
            <w14:solidFill>
              <w14:schemeClr w14:val="tx1"/>
            </w14:solidFill>
          </w14:textFill>
        </w:rPr>
        <w:t>2.2、“投标人”系指向招标方提交投标文件的投标人。</w:t>
      </w:r>
      <w:bookmarkEnd w:id="36"/>
      <w:bookmarkEnd w:id="37"/>
      <w:bookmarkEnd w:id="38"/>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39" w:name="_Toc493511586"/>
      <w:bookmarkStart w:id="40" w:name="_Toc2392"/>
      <w:bookmarkStart w:id="41" w:name="_Toc50012823"/>
      <w:r>
        <w:rPr>
          <w:rFonts w:hint="eastAsia" w:ascii="宋体" w:hAnsi="宋体"/>
          <w:color w:val="000000" w:themeColor="text1"/>
          <w:szCs w:val="21"/>
          <w:highlight w:val="none"/>
          <w14:textFill>
            <w14:solidFill>
              <w14:schemeClr w14:val="tx1"/>
            </w14:solidFill>
          </w14:textFill>
        </w:rPr>
        <w:t>2.3、“产品”系指供方按招标文件规定，须向采购人提供的一切设备、保险、税金、备品备件、工具、手册及其他有关技术资料和材料。</w:t>
      </w:r>
      <w:bookmarkEnd w:id="39"/>
      <w:bookmarkEnd w:id="40"/>
      <w:bookmarkEnd w:id="41"/>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42" w:name="_Toc15752"/>
      <w:bookmarkStart w:id="43" w:name="_Toc50012824"/>
      <w:bookmarkStart w:id="44" w:name="_Toc493511587"/>
      <w:r>
        <w:rPr>
          <w:rFonts w:hint="eastAsia" w:ascii="宋体" w:hAnsi="宋体"/>
          <w:color w:val="000000" w:themeColor="text1"/>
          <w:szCs w:val="21"/>
          <w:highlight w:val="none"/>
          <w14:textFill>
            <w14:solidFill>
              <w14:schemeClr w14:val="tx1"/>
            </w14:solidFill>
          </w14:textFill>
        </w:rPr>
        <w:t>2.4、“服务”系指招标文件规定投标人须承担的安装、调试、技术协助、校准、培训、技术指导以及其他类似的义务。</w:t>
      </w:r>
      <w:bookmarkEnd w:id="42"/>
      <w:bookmarkEnd w:id="43"/>
      <w:bookmarkEnd w:id="44"/>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45" w:name="_Toc50012825"/>
      <w:bookmarkStart w:id="46" w:name="_Toc14499"/>
      <w:bookmarkStart w:id="47" w:name="_Toc493511588"/>
      <w:r>
        <w:rPr>
          <w:rFonts w:hint="eastAsia" w:ascii="宋体" w:hAnsi="宋体"/>
          <w:color w:val="000000" w:themeColor="text1"/>
          <w:szCs w:val="21"/>
          <w:highlight w:val="none"/>
          <w14:textFill>
            <w14:solidFill>
              <w14:schemeClr w14:val="tx1"/>
            </w14:solidFill>
          </w14:textFill>
        </w:rPr>
        <w:t>2.5、“项目”系指投标人按招标文件规定向采购人提供的产品和服务。</w:t>
      </w:r>
      <w:bookmarkEnd w:id="45"/>
      <w:bookmarkEnd w:id="46"/>
      <w:bookmarkEnd w:id="47"/>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48" w:name="_Toc28414"/>
      <w:bookmarkStart w:id="49" w:name="_Toc50012826"/>
      <w:bookmarkStart w:id="50" w:name="_Toc493511589"/>
      <w:r>
        <w:rPr>
          <w:rFonts w:hint="eastAsia" w:ascii="宋体" w:hAnsi="宋体"/>
          <w:color w:val="000000" w:themeColor="text1"/>
          <w:szCs w:val="21"/>
          <w:highlight w:val="none"/>
          <w14:textFill>
            <w14:solidFill>
              <w14:schemeClr w14:val="tx1"/>
            </w14:solidFill>
          </w14:textFill>
        </w:rPr>
        <w:t>2.6、“书面形式”包括信函、传真、电报、电子文档等。</w:t>
      </w:r>
      <w:bookmarkEnd w:id="48"/>
      <w:bookmarkEnd w:id="49"/>
      <w:bookmarkEnd w:id="50"/>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51" w:name="_Toc493511590"/>
      <w:bookmarkStart w:id="52" w:name="_Toc18649"/>
      <w:bookmarkStart w:id="53" w:name="_Toc50012827"/>
      <w:r>
        <w:rPr>
          <w:rFonts w:hint="eastAsia" w:ascii="宋体" w:hAnsi="宋体"/>
          <w:color w:val="000000" w:themeColor="text1"/>
          <w:szCs w:val="21"/>
          <w:highlight w:val="none"/>
          <w14:textFill>
            <w14:solidFill>
              <w14:schemeClr w14:val="tx1"/>
            </w14:solidFill>
          </w14:textFill>
        </w:rPr>
        <w:t>2.7、</w:t>
      </w:r>
      <w:bookmarkEnd w:id="51"/>
      <w:bookmarkEnd w:id="52"/>
      <w:bookmarkEnd w:id="53"/>
      <w:bookmarkStart w:id="54" w:name="_Toc177870539"/>
      <w:bookmarkStart w:id="55" w:name="_Toc427915761"/>
      <w:r>
        <w:rPr>
          <w:rFonts w:hint="eastAsia" w:hAnsi="宋体"/>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w:t>
      </w:r>
      <w:r>
        <w:rPr>
          <w:rFonts w:hint="eastAsia" w:hAnsi="宋体"/>
          <w:color w:val="000000" w:themeColor="text1"/>
          <w:szCs w:val="21"/>
          <w:highlight w:val="none"/>
          <w14:textFill>
            <w14:solidFill>
              <w14:schemeClr w14:val="tx1"/>
            </w14:solidFill>
          </w14:textFill>
        </w:rPr>
        <w:t>”为重要技术指标，一项不满足的作无效标处理。“</w:t>
      </w:r>
      <w:r>
        <w:rPr>
          <w:rFonts w:hint="eastAsia" w:hAnsi="宋体" w:cs="宋体"/>
          <w:color w:val="000000" w:themeColor="text1"/>
          <w:kern w:val="0"/>
          <w:szCs w:val="21"/>
          <w:highlight w:val="none"/>
          <w14:textFill>
            <w14:solidFill>
              <w14:schemeClr w14:val="tx1"/>
            </w14:solidFill>
          </w14:textFill>
        </w:rPr>
        <w:t>○</w:t>
      </w:r>
      <w:r>
        <w:rPr>
          <w:rFonts w:hint="eastAsia" w:hAnsi="宋体"/>
          <w:color w:val="000000" w:themeColor="text1"/>
          <w:szCs w:val="21"/>
          <w:highlight w:val="none"/>
          <w14:textFill>
            <w14:solidFill>
              <w14:schemeClr w14:val="tx1"/>
            </w14:solidFill>
          </w14:textFill>
        </w:rPr>
        <w:t>”为主要技术指标,投标时产生偏离的将影响评分。</w:t>
      </w:r>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56" w:name="_Toc493511591"/>
      <w:bookmarkStart w:id="57" w:name="_Toc50012828"/>
      <w:bookmarkStart w:id="58" w:name="_Toc10422"/>
      <w:r>
        <w:rPr>
          <w:rFonts w:hint="eastAsia" w:ascii="宋体" w:hAnsi="宋体"/>
          <w:color w:val="000000" w:themeColor="text1"/>
          <w:szCs w:val="21"/>
          <w:highlight w:val="none"/>
          <w14:textFill>
            <w14:solidFill>
              <w14:schemeClr w14:val="tx1"/>
            </w14:solidFill>
          </w14:textFill>
        </w:rPr>
        <w:t>3、招标方式</w:t>
      </w:r>
      <w:bookmarkEnd w:id="54"/>
      <w:bookmarkEnd w:id="55"/>
      <w:bookmarkEnd w:id="56"/>
      <w:bookmarkEnd w:id="57"/>
      <w:bookmarkEnd w:id="58"/>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59" w:name="_Toc21572"/>
      <w:bookmarkStart w:id="60" w:name="_Toc493511592"/>
      <w:bookmarkStart w:id="61" w:name="_Toc50012829"/>
      <w:r>
        <w:rPr>
          <w:rFonts w:hint="eastAsia" w:ascii="宋体" w:hAnsi="宋体"/>
          <w:color w:val="000000" w:themeColor="text1"/>
          <w:szCs w:val="21"/>
          <w:highlight w:val="none"/>
          <w14:textFill>
            <w14:solidFill>
              <w14:schemeClr w14:val="tx1"/>
            </w14:solidFill>
          </w14:textFill>
        </w:rPr>
        <w:t>3.1、本次招标采用公开招标方式进行。</w:t>
      </w:r>
      <w:bookmarkEnd w:id="59"/>
      <w:bookmarkEnd w:id="60"/>
      <w:bookmarkEnd w:id="61"/>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62" w:name="_Toc493511593"/>
      <w:bookmarkStart w:id="63" w:name="_Toc30170"/>
      <w:bookmarkStart w:id="64" w:name="_Toc50012830"/>
      <w:r>
        <w:rPr>
          <w:rFonts w:hint="eastAsia" w:ascii="宋体" w:hAnsi="宋体"/>
          <w:color w:val="000000" w:themeColor="text1"/>
          <w:szCs w:val="21"/>
          <w:highlight w:val="none"/>
          <w14:textFill>
            <w14:solidFill>
              <w14:schemeClr w14:val="tx1"/>
            </w14:solidFill>
          </w14:textFill>
        </w:rPr>
        <w:t>3.2、本次招标设定上限价详见前附表。</w:t>
      </w:r>
      <w:bookmarkEnd w:id="62"/>
      <w:bookmarkEnd w:id="63"/>
      <w:bookmarkEnd w:id="64"/>
      <w:bookmarkStart w:id="65" w:name="_Toc177870540"/>
      <w:bookmarkStart w:id="66" w:name="_Toc427915762"/>
      <w:bookmarkStart w:id="67" w:name="_Toc177824941"/>
      <w:bookmarkStart w:id="68" w:name="_Toc177824874"/>
      <w:bookmarkStart w:id="69" w:name="_Toc177825122"/>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70" w:name="_Toc21323"/>
      <w:bookmarkStart w:id="71" w:name="_Toc493511594"/>
      <w:bookmarkStart w:id="72" w:name="_Toc50012831"/>
      <w:r>
        <w:rPr>
          <w:rFonts w:hint="eastAsia" w:ascii="宋体" w:hAnsi="宋体"/>
          <w:color w:val="000000" w:themeColor="text1"/>
          <w:szCs w:val="21"/>
          <w:highlight w:val="none"/>
          <w14:textFill>
            <w14:solidFill>
              <w14:schemeClr w14:val="tx1"/>
            </w14:solidFill>
          </w14:textFill>
        </w:rPr>
        <w:t>4、投标委托</w:t>
      </w:r>
      <w:bookmarkEnd w:id="65"/>
      <w:bookmarkEnd w:id="66"/>
      <w:bookmarkEnd w:id="67"/>
      <w:bookmarkEnd w:id="68"/>
      <w:bookmarkEnd w:id="69"/>
      <w:bookmarkEnd w:id="70"/>
      <w:bookmarkEnd w:id="71"/>
      <w:bookmarkEnd w:id="72"/>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73" w:name="_Toc10126"/>
      <w:bookmarkStart w:id="74" w:name="_Toc493511595"/>
      <w:bookmarkStart w:id="75" w:name="_Toc50012832"/>
      <w:r>
        <w:rPr>
          <w:rFonts w:hint="eastAsia" w:ascii="宋体" w:hAnsi="宋体"/>
          <w:color w:val="000000" w:themeColor="text1"/>
          <w:szCs w:val="21"/>
          <w:highlight w:val="none"/>
          <w14:textFill>
            <w14:solidFill>
              <w14:schemeClr w14:val="tx1"/>
            </w14:solidFill>
          </w14:textFill>
        </w:rPr>
        <w:t>投标人代表需携带居民身份证。如投标人代表不是法定代表人，须有法定代表人出具的授权委托书。（正本用原件，副本可用复印件，格式见第六部分）。</w:t>
      </w:r>
      <w:bookmarkEnd w:id="73"/>
      <w:bookmarkEnd w:id="74"/>
      <w:bookmarkEnd w:id="75"/>
      <w:bookmarkStart w:id="76" w:name="_Toc177870541"/>
      <w:bookmarkStart w:id="77" w:name="_Toc177824875"/>
      <w:bookmarkStart w:id="78" w:name="_Toc177824942"/>
      <w:bookmarkStart w:id="79" w:name="_Toc427915763"/>
      <w:bookmarkStart w:id="80" w:name="_Toc177825123"/>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81" w:name="_Toc50012833"/>
      <w:bookmarkStart w:id="82" w:name="_Toc2927"/>
      <w:bookmarkStart w:id="83" w:name="_Toc493511596"/>
      <w:r>
        <w:rPr>
          <w:rFonts w:hint="eastAsia" w:ascii="宋体" w:hAnsi="宋体"/>
          <w:color w:val="000000" w:themeColor="text1"/>
          <w:szCs w:val="21"/>
          <w:highlight w:val="none"/>
          <w14:textFill>
            <w14:solidFill>
              <w14:schemeClr w14:val="tx1"/>
            </w14:solidFill>
          </w14:textFill>
        </w:rPr>
        <w:t>5、投标费用</w:t>
      </w:r>
      <w:bookmarkEnd w:id="76"/>
      <w:bookmarkEnd w:id="77"/>
      <w:bookmarkEnd w:id="78"/>
      <w:bookmarkEnd w:id="79"/>
      <w:bookmarkEnd w:id="80"/>
      <w:bookmarkEnd w:id="81"/>
      <w:bookmarkEnd w:id="82"/>
      <w:bookmarkEnd w:id="83"/>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84" w:name="_Toc493511597"/>
      <w:bookmarkStart w:id="85" w:name="_Toc50012834"/>
      <w:bookmarkStart w:id="86" w:name="_Toc2682"/>
      <w:r>
        <w:rPr>
          <w:rFonts w:hint="eastAsia" w:ascii="宋体" w:hAnsi="宋体"/>
          <w:color w:val="000000" w:themeColor="text1"/>
          <w:szCs w:val="21"/>
          <w:highlight w:val="none"/>
          <w14:textFill>
            <w14:solidFill>
              <w14:schemeClr w14:val="tx1"/>
            </w14:solidFill>
          </w14:textFill>
        </w:rPr>
        <w:t>不论投标结果如何，投标人均应自行承担所有与投标有关的全部费用。</w:t>
      </w:r>
      <w:bookmarkEnd w:id="84"/>
      <w:bookmarkEnd w:id="85"/>
      <w:bookmarkEnd w:id="86"/>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87" w:name="_Toc26432"/>
      <w:bookmarkStart w:id="88" w:name="_Toc493511598"/>
      <w:bookmarkStart w:id="89" w:name="_Toc50012835"/>
      <w:r>
        <w:rPr>
          <w:rFonts w:hint="eastAsia" w:ascii="宋体" w:hAnsi="宋体"/>
          <w:color w:val="000000" w:themeColor="text1"/>
          <w:szCs w:val="21"/>
          <w:highlight w:val="none"/>
          <w14:textFill>
            <w14:solidFill>
              <w14:schemeClr w14:val="tx1"/>
            </w14:solidFill>
          </w14:textFill>
        </w:rPr>
        <w:t>6、联合体投标</w:t>
      </w:r>
      <w:bookmarkEnd w:id="87"/>
      <w:bookmarkEnd w:id="88"/>
      <w:bookmarkEnd w:id="89"/>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90" w:name="_Toc493511599"/>
      <w:bookmarkStart w:id="91" w:name="_Toc30057"/>
      <w:bookmarkStart w:id="92" w:name="_Toc50012836"/>
      <w:r>
        <w:rPr>
          <w:rFonts w:hint="eastAsia" w:ascii="宋体" w:hAnsi="宋体"/>
          <w:color w:val="000000" w:themeColor="text1"/>
          <w:szCs w:val="21"/>
          <w:highlight w:val="none"/>
          <w14:textFill>
            <w14:solidFill>
              <w14:schemeClr w14:val="tx1"/>
            </w14:solidFill>
          </w14:textFill>
        </w:rPr>
        <w:t>本项目不接受联合体投标。</w:t>
      </w:r>
      <w:bookmarkEnd w:id="90"/>
      <w:bookmarkEnd w:id="91"/>
      <w:bookmarkEnd w:id="92"/>
      <w:bookmarkStart w:id="93" w:name="_Toc177870544"/>
    </w:p>
    <w:p>
      <w:pPr>
        <w:snapToGrid w:val="0"/>
        <w:spacing w:line="360" w:lineRule="auto"/>
        <w:ind w:firstLine="422" w:firstLineChars="200"/>
        <w:jc w:val="left"/>
        <w:outlineLvl w:val="1"/>
        <w:rPr>
          <w:rFonts w:ascii="宋体" w:hAnsi="宋体"/>
          <w:b/>
          <w:color w:val="000000" w:themeColor="text1"/>
          <w:szCs w:val="21"/>
          <w:highlight w:val="none"/>
          <w14:textFill>
            <w14:solidFill>
              <w14:schemeClr w14:val="tx1"/>
            </w14:solidFill>
          </w14:textFill>
        </w:rPr>
      </w:pPr>
      <w:bookmarkStart w:id="94" w:name="_Toc50012837"/>
      <w:bookmarkStart w:id="95" w:name="_Toc1772"/>
      <w:r>
        <w:rPr>
          <w:rFonts w:hint="eastAsia" w:ascii="宋体" w:hAnsi="宋体"/>
          <w:b/>
          <w:color w:val="000000" w:themeColor="text1"/>
          <w:szCs w:val="21"/>
          <w:highlight w:val="none"/>
          <w14:textFill>
            <w14:solidFill>
              <w14:schemeClr w14:val="tx1"/>
            </w14:solidFill>
          </w14:textFill>
        </w:rPr>
        <w:t>7.转包与分包</w:t>
      </w:r>
      <w:bookmarkEnd w:id="94"/>
      <w:bookmarkEnd w:id="95"/>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96" w:name="_Toc50012838"/>
      <w:bookmarkStart w:id="97" w:name="_Toc25115"/>
      <w:r>
        <w:rPr>
          <w:rFonts w:hint="eastAsia" w:ascii="宋体" w:hAnsi="宋体"/>
          <w:color w:val="000000" w:themeColor="text1"/>
          <w:szCs w:val="21"/>
          <w:highlight w:val="none"/>
          <w14:textFill>
            <w14:solidFill>
              <w14:schemeClr w14:val="tx1"/>
            </w14:solidFill>
          </w14:textFill>
        </w:rPr>
        <w:t>7.1</w:t>
      </w:r>
      <w:r>
        <w:rPr>
          <w:rFonts w:ascii="宋体" w:hAnsi="宋体"/>
          <w:color w:val="000000" w:themeColor="text1"/>
          <w:szCs w:val="21"/>
          <w:highlight w:val="none"/>
          <w14:textFill>
            <w14:solidFill>
              <w14:schemeClr w14:val="tx1"/>
            </w14:solidFill>
          </w14:textFill>
        </w:rPr>
        <w:t>本项目不允许转包</w:t>
      </w:r>
      <w:r>
        <w:rPr>
          <w:rFonts w:hint="eastAsia" w:ascii="宋体" w:hAnsi="宋体"/>
          <w:color w:val="000000" w:themeColor="text1"/>
          <w:szCs w:val="21"/>
          <w:highlight w:val="none"/>
          <w14:textFill>
            <w14:solidFill>
              <w14:schemeClr w14:val="tx1"/>
            </w14:solidFill>
          </w14:textFill>
        </w:rPr>
        <w:t>；</w:t>
      </w:r>
      <w:bookmarkEnd w:id="96"/>
      <w:bookmarkEnd w:id="97"/>
    </w:p>
    <w:p>
      <w:pPr>
        <w:snapToGrid w:val="0"/>
        <w:spacing w:line="360" w:lineRule="auto"/>
        <w:ind w:firstLine="420" w:firstLineChars="200"/>
        <w:jc w:val="left"/>
        <w:outlineLvl w:val="1"/>
        <w:rPr>
          <w:rFonts w:ascii="宋体" w:hAnsi="宋体" w:cs="宋体"/>
          <w:color w:val="000000" w:themeColor="text1"/>
          <w:kern w:val="0"/>
          <w:szCs w:val="21"/>
          <w:highlight w:val="none"/>
          <w14:textFill>
            <w14:solidFill>
              <w14:schemeClr w14:val="tx1"/>
            </w14:solidFill>
          </w14:textFill>
        </w:rPr>
      </w:pPr>
      <w:bookmarkStart w:id="98" w:name="_Toc5717"/>
      <w:bookmarkStart w:id="99" w:name="_Toc50012839"/>
      <w:r>
        <w:rPr>
          <w:rFonts w:hint="eastAsia" w:ascii="宋体" w:hAnsi="宋体" w:cs="宋体"/>
          <w:color w:val="000000" w:themeColor="text1"/>
          <w:kern w:val="0"/>
          <w:szCs w:val="21"/>
          <w:highlight w:val="none"/>
          <w14:textFill>
            <w14:solidFill>
              <w14:schemeClr w14:val="tx1"/>
            </w14:solidFill>
          </w14:textFill>
        </w:rPr>
        <w:t>7.2</w:t>
      </w:r>
      <w:r>
        <w:rPr>
          <w:rFonts w:ascii="宋体" w:hAnsi="宋体"/>
          <w:color w:val="000000" w:themeColor="text1"/>
          <w:szCs w:val="21"/>
          <w:highlight w:val="none"/>
          <w14:textFill>
            <w14:solidFill>
              <w14:schemeClr w14:val="tx1"/>
            </w14:solidFill>
          </w14:textFill>
        </w:rPr>
        <w:t>本项目</w:t>
      </w:r>
      <w:r>
        <w:rPr>
          <w:rFonts w:hint="eastAsia" w:ascii="宋体" w:hAnsi="宋体"/>
          <w:color w:val="000000" w:themeColor="text1"/>
          <w:szCs w:val="21"/>
          <w:highlight w:val="none"/>
          <w14:textFill>
            <w14:solidFill>
              <w14:schemeClr w14:val="tx1"/>
            </w14:solidFill>
          </w14:textFill>
        </w:rPr>
        <w:t>不</w:t>
      </w:r>
      <w:r>
        <w:rPr>
          <w:rFonts w:ascii="宋体" w:hAnsi="宋体"/>
          <w:color w:val="000000" w:themeColor="text1"/>
          <w:szCs w:val="21"/>
          <w:highlight w:val="none"/>
          <w14:textFill>
            <w14:solidFill>
              <w14:schemeClr w14:val="tx1"/>
            </w14:solidFill>
          </w14:textFill>
        </w:rPr>
        <w:t>可以分包</w:t>
      </w:r>
      <w:r>
        <w:rPr>
          <w:rFonts w:hint="eastAsia" w:ascii="宋体" w:hAnsi="宋体"/>
          <w:color w:val="000000" w:themeColor="text1"/>
          <w:szCs w:val="21"/>
          <w:highlight w:val="none"/>
          <w14:textFill>
            <w14:solidFill>
              <w14:schemeClr w14:val="tx1"/>
            </w14:solidFill>
          </w14:textFill>
        </w:rPr>
        <w:t>。</w:t>
      </w:r>
      <w:bookmarkEnd w:id="98"/>
      <w:bookmarkEnd w:id="99"/>
      <w:bookmarkStart w:id="100" w:name="_Toc430786267"/>
      <w:bookmarkStart w:id="101" w:name="_Toc177870542"/>
    </w:p>
    <w:p>
      <w:pPr>
        <w:snapToGrid w:val="0"/>
        <w:spacing w:line="360" w:lineRule="auto"/>
        <w:ind w:firstLine="422" w:firstLineChars="200"/>
        <w:jc w:val="left"/>
        <w:outlineLvl w:val="1"/>
        <w:rPr>
          <w:rFonts w:ascii="宋体" w:hAnsi="宋体"/>
          <w:b/>
          <w:color w:val="000000" w:themeColor="text1"/>
          <w:szCs w:val="21"/>
          <w:highlight w:val="none"/>
          <w14:textFill>
            <w14:solidFill>
              <w14:schemeClr w14:val="tx1"/>
            </w14:solidFill>
          </w14:textFill>
        </w:rPr>
      </w:pPr>
      <w:bookmarkStart w:id="102" w:name="_Toc50012840"/>
      <w:bookmarkStart w:id="103" w:name="_Toc2435"/>
      <w:r>
        <w:rPr>
          <w:rFonts w:hint="eastAsia" w:ascii="宋体" w:hAnsi="宋体"/>
          <w:b/>
          <w:color w:val="000000" w:themeColor="text1"/>
          <w:szCs w:val="21"/>
          <w:highlight w:val="none"/>
          <w14:textFill>
            <w14:solidFill>
              <w14:schemeClr w14:val="tx1"/>
            </w14:solidFill>
          </w14:textFill>
        </w:rPr>
        <w:t>8.特别说明：</w:t>
      </w:r>
      <w:bookmarkEnd w:id="100"/>
      <w:bookmarkEnd w:id="101"/>
      <w:bookmarkEnd w:id="102"/>
      <w:bookmarkEnd w:id="103"/>
    </w:p>
    <w:p>
      <w:pPr>
        <w:pStyle w:val="6"/>
        <w:snapToGrid w:val="0"/>
        <w:spacing w:line="360" w:lineRule="auto"/>
        <w:ind w:firstLine="420" w:firstLineChars="200"/>
        <w:jc w:val="left"/>
        <w:rPr>
          <w:rFonts w:hAnsi="宋体"/>
          <w:color w:val="000000" w:themeColor="text1"/>
          <w:spacing w:val="0"/>
          <w:sz w:val="21"/>
          <w:szCs w:val="21"/>
          <w:highlight w:val="none"/>
          <w14:textFill>
            <w14:solidFill>
              <w14:schemeClr w14:val="tx1"/>
            </w14:solidFill>
          </w14:textFill>
        </w:rPr>
      </w:pPr>
      <w:bookmarkStart w:id="104" w:name="_Toc495603533"/>
      <w:bookmarkStart w:id="105" w:name="_Toc430786268"/>
      <w:bookmarkStart w:id="106" w:name="_Toc177870543"/>
      <w:r>
        <w:rPr>
          <w:rFonts w:hint="eastAsia" w:hAnsi="宋体"/>
          <w:color w:val="000000" w:themeColor="text1"/>
          <w:spacing w:val="0"/>
          <w:sz w:val="21"/>
          <w:szCs w:val="21"/>
          <w:highlight w:val="none"/>
          <w14:textFill>
            <w14:solidFill>
              <w14:schemeClr w14:val="tx1"/>
            </w14:solidFill>
          </w14:textFill>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6"/>
        <w:snapToGrid w:val="0"/>
        <w:spacing w:line="360" w:lineRule="auto"/>
        <w:ind w:firstLine="420" w:firstLineChars="200"/>
        <w:jc w:val="left"/>
        <w:rPr>
          <w:rFonts w:hAnsi="宋体"/>
          <w:color w:val="000000" w:themeColor="text1"/>
          <w:spacing w:val="0"/>
          <w:sz w:val="21"/>
          <w:szCs w:val="21"/>
          <w:highlight w:val="none"/>
          <w14:textFill>
            <w14:solidFill>
              <w14:schemeClr w14:val="tx1"/>
            </w14:solidFill>
          </w14:textFill>
        </w:rPr>
      </w:pPr>
      <w:r>
        <w:rPr>
          <w:rFonts w:hint="eastAsia" w:hAnsi="宋体"/>
          <w:color w:val="000000" w:themeColor="text1"/>
          <w:spacing w:val="0"/>
          <w:sz w:val="21"/>
          <w:szCs w:val="21"/>
          <w:highlight w:val="none"/>
          <w14:textFill>
            <w14:solidFill>
              <w14:schemeClr w14:val="tx1"/>
            </w14:solidFill>
          </w14:textFill>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6"/>
        <w:snapToGrid w:val="0"/>
        <w:spacing w:line="360" w:lineRule="auto"/>
        <w:ind w:firstLine="420" w:firstLineChars="200"/>
        <w:jc w:val="left"/>
        <w:rPr>
          <w:rFonts w:hAnsi="宋体"/>
          <w:color w:val="000000" w:themeColor="text1"/>
          <w:spacing w:val="0"/>
          <w:sz w:val="21"/>
          <w:szCs w:val="21"/>
          <w:highlight w:val="none"/>
          <w14:textFill>
            <w14:solidFill>
              <w14:schemeClr w14:val="tx1"/>
            </w14:solidFill>
          </w14:textFill>
        </w:rPr>
      </w:pPr>
      <w:r>
        <w:rPr>
          <w:rFonts w:hint="eastAsia" w:hAnsi="宋体"/>
          <w:color w:val="000000" w:themeColor="text1"/>
          <w:spacing w:val="0"/>
          <w:sz w:val="21"/>
          <w:szCs w:val="21"/>
          <w:highlight w:val="none"/>
          <w14:textFill>
            <w14:solidFill>
              <w14:schemeClr w14:val="tx1"/>
            </w14:solidFill>
          </w14:textFill>
        </w:rPr>
        <w:t>8.3、非单一产品采购项目，采购人应当根据采购项目技术构成、产品价格比重等合理确定核心产品，并在招标文件中载明。多家投标人提供的核心产品品牌相同的，按前两款规定处理。</w:t>
      </w:r>
    </w:p>
    <w:p>
      <w:pPr>
        <w:snapToGrid w:val="0"/>
        <w:spacing w:line="360" w:lineRule="auto"/>
        <w:ind w:firstLine="422" w:firstLineChars="200"/>
        <w:jc w:val="left"/>
        <w:outlineLvl w:val="1"/>
        <w:rPr>
          <w:rFonts w:ascii="宋体" w:hAnsi="宋体"/>
          <w:b/>
          <w:color w:val="000000" w:themeColor="text1"/>
          <w:szCs w:val="21"/>
          <w:highlight w:val="none"/>
          <w14:textFill>
            <w14:solidFill>
              <w14:schemeClr w14:val="tx1"/>
            </w14:solidFill>
          </w14:textFill>
        </w:rPr>
      </w:pPr>
      <w:bookmarkStart w:id="107" w:name="_Toc50012841"/>
      <w:bookmarkStart w:id="108" w:name="_Toc7381"/>
      <w:r>
        <w:rPr>
          <w:rFonts w:hint="eastAsia" w:ascii="宋体" w:hAnsi="宋体"/>
          <w:b/>
          <w:color w:val="000000" w:themeColor="text1"/>
          <w:szCs w:val="21"/>
          <w:highlight w:val="none"/>
          <w14:textFill>
            <w14:solidFill>
              <w14:schemeClr w14:val="tx1"/>
            </w14:solidFill>
          </w14:textFill>
        </w:rPr>
        <w:t>9.质疑</w:t>
      </w:r>
      <w:bookmarkEnd w:id="104"/>
      <w:bookmarkEnd w:id="105"/>
      <w:bookmarkEnd w:id="106"/>
      <w:bookmarkEnd w:id="107"/>
      <w:bookmarkEnd w:id="108"/>
    </w:p>
    <w:p>
      <w:pPr>
        <w:pStyle w:val="25"/>
        <w:spacing w:line="360" w:lineRule="auto"/>
        <w:ind w:firstLine="422" w:firstLineChars="200"/>
        <w:jc w:val="left"/>
        <w:outlineLvl w:val="1"/>
        <w:rPr>
          <w:rFonts w:hAnsi="宋体"/>
          <w:b/>
          <w:color w:val="000000" w:themeColor="text1"/>
          <w:szCs w:val="21"/>
          <w:highlight w:val="none"/>
          <w14:textFill>
            <w14:solidFill>
              <w14:schemeClr w14:val="tx1"/>
            </w14:solidFill>
          </w14:textFill>
        </w:rPr>
      </w:pPr>
      <w:bookmarkStart w:id="109" w:name="_Toc50012842"/>
      <w:bookmarkStart w:id="110" w:name="_Toc1791"/>
      <w:bookmarkStart w:id="111" w:name="_Toc495603534"/>
      <w:r>
        <w:rPr>
          <w:rFonts w:hint="eastAsia" w:hAnsi="宋体"/>
          <w:b/>
          <w:color w:val="000000" w:themeColor="text1"/>
          <w:szCs w:val="21"/>
          <w:highlight w:val="none"/>
          <w14:textFill>
            <w14:solidFill>
              <w14:schemeClr w14:val="tx1"/>
            </w14:solidFill>
          </w14:textFill>
        </w:rPr>
        <w:t>9.</w:t>
      </w:r>
      <w:r>
        <w:rPr>
          <w:rFonts w:hAnsi="宋体"/>
          <w:b/>
          <w:color w:val="000000" w:themeColor="text1"/>
          <w:szCs w:val="21"/>
          <w:highlight w:val="none"/>
          <w14:textFill>
            <w14:solidFill>
              <w14:schemeClr w14:val="tx1"/>
            </w14:solidFill>
          </w14:textFill>
        </w:rPr>
        <w:t>1</w:t>
      </w:r>
      <w:r>
        <w:rPr>
          <w:rFonts w:hint="eastAsia" w:hAnsi="宋体"/>
          <w:b/>
          <w:color w:val="000000" w:themeColor="text1"/>
          <w:szCs w:val="21"/>
          <w:highlight w:val="none"/>
          <w14:textFill>
            <w14:solidFill>
              <w14:schemeClr w14:val="tx1"/>
            </w14:solidFill>
          </w14:textFill>
        </w:rPr>
        <w:t>、</w:t>
      </w:r>
      <w:r>
        <w:rPr>
          <w:rFonts w:hAnsi="宋体"/>
          <w:b/>
          <w:color w:val="000000" w:themeColor="text1"/>
          <w:szCs w:val="21"/>
          <w:highlight w:val="none"/>
          <w14:textFill>
            <w14:solidFill>
              <w14:schemeClr w14:val="tx1"/>
            </w14:solidFill>
          </w14:textFill>
        </w:rPr>
        <w:t>投标人认为招标文件、招标过程</w:t>
      </w:r>
      <w:r>
        <w:rPr>
          <w:rFonts w:hint="eastAsia" w:hAnsi="宋体"/>
          <w:b/>
          <w:color w:val="000000" w:themeColor="text1"/>
          <w:szCs w:val="21"/>
          <w:highlight w:val="none"/>
          <w14:textFill>
            <w14:solidFill>
              <w14:schemeClr w14:val="tx1"/>
            </w14:solidFill>
          </w14:textFill>
        </w:rPr>
        <w:t>或</w:t>
      </w:r>
      <w:r>
        <w:rPr>
          <w:rFonts w:hAnsi="宋体"/>
          <w:b/>
          <w:color w:val="000000" w:themeColor="text1"/>
          <w:szCs w:val="21"/>
          <w:highlight w:val="none"/>
          <w14:textFill>
            <w14:solidFill>
              <w14:schemeClr w14:val="tx1"/>
            </w14:solidFill>
          </w14:textFill>
        </w:rPr>
        <w:t>中标结果使自己的合法权益受到损害的，应当在知道或者应知其权益受到损害之日起七个工作日内，以书面形式向采购人、</w:t>
      </w:r>
      <w:r>
        <w:rPr>
          <w:rFonts w:hint="eastAsia" w:hAnsi="宋体"/>
          <w:b/>
          <w:color w:val="000000" w:themeColor="text1"/>
          <w:szCs w:val="21"/>
          <w:highlight w:val="none"/>
          <w14:textFill>
            <w14:solidFill>
              <w14:schemeClr w14:val="tx1"/>
            </w14:solidFill>
          </w14:textFill>
        </w:rPr>
        <w:t>代理机构</w:t>
      </w:r>
      <w:r>
        <w:rPr>
          <w:rFonts w:hAnsi="宋体"/>
          <w:b/>
          <w:color w:val="000000" w:themeColor="text1"/>
          <w:szCs w:val="21"/>
          <w:highlight w:val="none"/>
          <w14:textFill>
            <w14:solidFill>
              <w14:schemeClr w14:val="tx1"/>
            </w14:solidFill>
          </w14:textFill>
        </w:rPr>
        <w:t>提出质疑。投标人对招标采购单位的质疑答复不满意或者招标采购单位未在规定时间内</w:t>
      </w:r>
      <w:r>
        <w:rPr>
          <w:rFonts w:hint="eastAsia" w:hAnsi="宋体"/>
          <w:b/>
          <w:color w:val="000000" w:themeColor="text1"/>
          <w:szCs w:val="21"/>
          <w:highlight w:val="none"/>
          <w14:textFill>
            <w14:solidFill>
              <w14:schemeClr w14:val="tx1"/>
            </w14:solidFill>
          </w14:textFill>
        </w:rPr>
        <w:t>作出</w:t>
      </w:r>
      <w:r>
        <w:rPr>
          <w:rFonts w:hAnsi="宋体"/>
          <w:b/>
          <w:color w:val="000000" w:themeColor="text1"/>
          <w:szCs w:val="21"/>
          <w:highlight w:val="none"/>
          <w14:textFill>
            <w14:solidFill>
              <w14:schemeClr w14:val="tx1"/>
            </w14:solidFill>
          </w14:textFill>
        </w:rPr>
        <w:t>答复的，可以在答复期满后十五个工作日内向同级采购监管部门投诉。</w:t>
      </w:r>
      <w:bookmarkEnd w:id="109"/>
      <w:bookmarkEnd w:id="110"/>
      <w:bookmarkEnd w:id="111"/>
      <w:bookmarkStart w:id="112" w:name="_Toc495603535"/>
    </w:p>
    <w:p>
      <w:pPr>
        <w:pStyle w:val="25"/>
        <w:spacing w:line="360" w:lineRule="auto"/>
        <w:ind w:firstLine="422" w:firstLineChars="200"/>
        <w:jc w:val="left"/>
        <w:outlineLvl w:val="1"/>
        <w:rPr>
          <w:rFonts w:hAnsi="宋体"/>
          <w:b/>
          <w:color w:val="000000" w:themeColor="text1"/>
          <w:szCs w:val="21"/>
          <w:highlight w:val="none"/>
          <w14:textFill>
            <w14:solidFill>
              <w14:schemeClr w14:val="tx1"/>
            </w14:solidFill>
          </w14:textFill>
        </w:rPr>
      </w:pPr>
      <w:bookmarkStart w:id="113" w:name="_Toc23570"/>
      <w:bookmarkStart w:id="114" w:name="_Toc50012843"/>
      <w:r>
        <w:rPr>
          <w:rFonts w:hint="eastAsia" w:hAnsi="宋体"/>
          <w:b/>
          <w:color w:val="000000" w:themeColor="text1"/>
          <w:szCs w:val="21"/>
          <w:highlight w:val="none"/>
          <w14:textFill>
            <w14:solidFill>
              <w14:schemeClr w14:val="tx1"/>
            </w14:solidFill>
          </w14:textFill>
        </w:rPr>
        <w:t>9.</w:t>
      </w:r>
      <w:r>
        <w:rPr>
          <w:rFonts w:hAnsi="宋体"/>
          <w:b/>
          <w:color w:val="000000" w:themeColor="text1"/>
          <w:szCs w:val="21"/>
          <w:highlight w:val="none"/>
          <w14:textFill>
            <w14:solidFill>
              <w14:schemeClr w14:val="tx1"/>
            </w14:solidFill>
          </w14:textFill>
        </w:rPr>
        <w:t>2</w:t>
      </w:r>
      <w:r>
        <w:rPr>
          <w:rFonts w:hint="eastAsia" w:hAnsi="宋体"/>
          <w:b/>
          <w:color w:val="000000" w:themeColor="text1"/>
          <w:szCs w:val="21"/>
          <w:highlight w:val="none"/>
          <w14:textFill>
            <w14:solidFill>
              <w14:schemeClr w14:val="tx1"/>
            </w14:solidFill>
          </w14:textFill>
        </w:rPr>
        <w:t>、</w:t>
      </w:r>
      <w:r>
        <w:rPr>
          <w:rFonts w:hAnsi="宋体"/>
          <w:b/>
          <w:color w:val="000000" w:themeColor="text1"/>
          <w:szCs w:val="21"/>
          <w:highlight w:val="none"/>
          <w14:textFill>
            <w14:solidFill>
              <w14:schemeClr w14:val="tx1"/>
            </w14:solidFill>
          </w14:textFill>
        </w:rPr>
        <w:t>质疑、投诉应当采用书面形式，质疑书、投诉书均应明确阐述招标文件、招标过程</w:t>
      </w:r>
      <w:r>
        <w:rPr>
          <w:rFonts w:hint="eastAsia" w:hAnsi="宋体"/>
          <w:b/>
          <w:color w:val="000000" w:themeColor="text1"/>
          <w:szCs w:val="21"/>
          <w:highlight w:val="none"/>
          <w14:textFill>
            <w14:solidFill>
              <w14:schemeClr w14:val="tx1"/>
            </w14:solidFill>
          </w14:textFill>
        </w:rPr>
        <w:t>或</w:t>
      </w:r>
      <w:r>
        <w:rPr>
          <w:rFonts w:hAnsi="宋体"/>
          <w:b/>
          <w:color w:val="000000" w:themeColor="text1"/>
          <w:szCs w:val="21"/>
          <w:highlight w:val="none"/>
          <w14:textFill>
            <w14:solidFill>
              <w14:schemeClr w14:val="tx1"/>
            </w14:solidFill>
          </w14:textFill>
        </w:rPr>
        <w:t>中标结果中使自己合法权益受到损害的实质性内容，提供相关事实、依据和证据及其来源或线索，便于有关单位调查、答复和处理</w:t>
      </w:r>
      <w:r>
        <w:rPr>
          <w:rFonts w:hint="eastAsia" w:hAnsi="宋体"/>
          <w:b/>
          <w:color w:val="000000" w:themeColor="text1"/>
          <w:szCs w:val="21"/>
          <w:highlight w:val="none"/>
          <w14:textFill>
            <w14:solidFill>
              <w14:schemeClr w14:val="tx1"/>
            </w14:solidFill>
          </w14:textFill>
        </w:rPr>
        <w:t>。</w:t>
      </w:r>
      <w:bookmarkEnd w:id="112"/>
      <w:bookmarkEnd w:id="113"/>
      <w:bookmarkEnd w:id="114"/>
    </w:p>
    <w:p>
      <w:pPr>
        <w:snapToGrid w:val="0"/>
        <w:spacing w:before="120" w:beforeLines="50" w:line="360" w:lineRule="auto"/>
        <w:ind w:firstLine="413" w:firstLineChars="196"/>
        <w:jc w:val="left"/>
        <w:outlineLvl w:val="2"/>
        <w:rPr>
          <w:rFonts w:ascii="宋体" w:hAnsi="宋体"/>
          <w:b/>
          <w:color w:val="000000" w:themeColor="text1"/>
          <w:highlight w:val="none"/>
          <w14:textFill>
            <w14:solidFill>
              <w14:schemeClr w14:val="tx1"/>
            </w14:solidFill>
          </w14:textFill>
        </w:rPr>
      </w:pPr>
      <w:r>
        <w:rPr>
          <w:rFonts w:hint="eastAsia" w:hAnsi="宋体"/>
          <w:b/>
          <w:color w:val="000000" w:themeColor="text1"/>
          <w:szCs w:val="21"/>
          <w:highlight w:val="none"/>
          <w14:textFill>
            <w14:solidFill>
              <w14:schemeClr w14:val="tx1"/>
            </w14:solidFill>
          </w14:textFill>
        </w:rPr>
        <w:t>10.</w:t>
      </w:r>
      <w:r>
        <w:rPr>
          <w:rFonts w:hint="eastAsia" w:ascii="宋体" w:hAnsi="宋体"/>
          <w:b/>
          <w:color w:val="000000" w:themeColor="text1"/>
          <w:highlight w:val="none"/>
          <w14:textFill>
            <w14:solidFill>
              <w14:schemeClr w14:val="tx1"/>
            </w14:solidFill>
          </w14:textFill>
        </w:rPr>
        <w:t>相关政府采购政策</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2.支持绿色发展</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供应商须按招标文件要求提供相关产品认证证书。▲采购人拟采购的产品属于政府强制采购的节能产品品目清单范围的，投标供应商未按招标文件要求提供国家确定的认证机构出具的、处于有效期之内的节能产品认证证书的，投标无效。</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 修缮、装修类项目采购建材的，采购人应将绿色建筑和绿色建材性能、指标等作为实质性条件纳入招标文件和合同。</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3.支持中小企业发展</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符合中小企业划分标准的个体工商户，在政府采购活动中视同中小企业。</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3.2在政府采购活动中，投标供应商提供的货物、工程或者服务符合下列情形的，享受中小企业扶持政策：</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3.2.1在货物采购项目中，货物由中小企业制造，即货物由中小企业生产且使用该中小企业商号或者注册商标；</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3.2.2在工程采购项目中，工程由中小企业承建，即工程施工单位为中小企业；</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3.2.3在服务采购项目中，服务由中小企业承接，即提供服务的人员为中小企业依照民法典订立劳动合同的从业人员。</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在货物采购项目中，投标供应商提供的货物既有中小企业制造货物，也有大型企业制造货物的，不享受中小企业扶持政策。</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3.3符合《关于促进残疾人就业政府采购政策的通知》（财库〔2017〕141号）规定的条件并提供《残疾人福利性单位声明函》的残疾人福利性单位视同小型、微型企业；</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3.4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3.5可享受中小企业扶持政策的投标供应商应按照招标文件格式要求提供《中小企业声明函》，投标供应商提供的《中小企业声明函》与实际情况不符的，不享受中小企业扶持政策。声明内容不实的，属于提供虚假材料谋取中标、成交的，依法承担法律责任。</w:t>
      </w:r>
    </w:p>
    <w:p>
      <w:pPr>
        <w:pStyle w:val="25"/>
        <w:spacing w:line="360" w:lineRule="auto"/>
        <w:ind w:firstLine="420" w:firstLineChars="200"/>
        <w:jc w:val="left"/>
        <w:outlineLvl w:val="1"/>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3.6中小企业享受扶持政策获得政府采购合同的，小微企业不得将合同分包给大中型企业，中型企业不得将合同分包给大型企业。</w:t>
      </w:r>
    </w:p>
    <w:p>
      <w:pPr>
        <w:snapToGrid w:val="0"/>
        <w:spacing w:line="360" w:lineRule="auto"/>
        <w:ind w:firstLine="422" w:firstLineChars="200"/>
        <w:jc w:val="left"/>
        <w:outlineLvl w:val="1"/>
        <w:rPr>
          <w:rFonts w:ascii="宋体" w:hAnsi="宋体"/>
          <w:b/>
          <w:color w:val="000000" w:themeColor="text1"/>
          <w:szCs w:val="21"/>
          <w:highlight w:val="none"/>
          <w14:textFill>
            <w14:solidFill>
              <w14:schemeClr w14:val="tx1"/>
            </w14:solidFill>
          </w14:textFill>
        </w:rPr>
      </w:pPr>
      <w:bookmarkStart w:id="115" w:name="_Toc25169"/>
      <w:bookmarkStart w:id="116" w:name="_Toc493511613"/>
      <w:bookmarkStart w:id="117" w:name="_Toc50012844"/>
      <w:r>
        <w:rPr>
          <w:rFonts w:hint="eastAsia" w:ascii="宋体" w:hAnsi="宋体"/>
          <w:b/>
          <w:color w:val="000000" w:themeColor="text1"/>
          <w:szCs w:val="21"/>
          <w:highlight w:val="none"/>
          <w14:textFill>
            <w14:solidFill>
              <w14:schemeClr w14:val="tx1"/>
            </w14:solidFill>
          </w14:textFill>
        </w:rPr>
        <w:t>二 、招标文件</w:t>
      </w:r>
      <w:bookmarkEnd w:id="93"/>
      <w:bookmarkEnd w:id="115"/>
      <w:bookmarkEnd w:id="116"/>
      <w:bookmarkEnd w:id="117"/>
    </w:p>
    <w:p>
      <w:pPr>
        <w:snapToGrid w:val="0"/>
        <w:spacing w:line="360" w:lineRule="auto"/>
        <w:ind w:firstLine="422" w:firstLineChars="200"/>
        <w:jc w:val="left"/>
        <w:outlineLvl w:val="1"/>
        <w:rPr>
          <w:rFonts w:ascii="宋体" w:hAnsi="宋体"/>
          <w:b/>
          <w:color w:val="000000" w:themeColor="text1"/>
          <w:szCs w:val="21"/>
          <w:highlight w:val="none"/>
          <w14:textFill>
            <w14:solidFill>
              <w14:schemeClr w14:val="tx1"/>
            </w14:solidFill>
          </w14:textFill>
        </w:rPr>
      </w:pPr>
      <w:bookmarkStart w:id="118" w:name="_Toc16026"/>
      <w:bookmarkStart w:id="119" w:name="_Toc493511614"/>
      <w:bookmarkStart w:id="120" w:name="_Toc50012845"/>
      <w:r>
        <w:rPr>
          <w:rFonts w:hint="eastAsia" w:ascii="宋体" w:hAnsi="宋体"/>
          <w:b/>
          <w:color w:val="000000" w:themeColor="text1"/>
          <w:szCs w:val="21"/>
          <w:highlight w:val="none"/>
          <w14:textFill>
            <w14:solidFill>
              <w14:schemeClr w14:val="tx1"/>
            </w14:solidFill>
          </w14:textFill>
        </w:rPr>
        <w:t>1、招标文件的构成</w:t>
      </w:r>
      <w:bookmarkEnd w:id="118"/>
      <w:bookmarkEnd w:id="119"/>
      <w:bookmarkEnd w:id="120"/>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121" w:name="_Toc493511615"/>
      <w:bookmarkStart w:id="122" w:name="_Toc50012846"/>
      <w:bookmarkStart w:id="123" w:name="_Toc7778"/>
      <w:r>
        <w:rPr>
          <w:rFonts w:hint="eastAsia" w:ascii="宋体" w:hAnsi="宋体"/>
          <w:color w:val="000000" w:themeColor="text1"/>
          <w:szCs w:val="21"/>
          <w:highlight w:val="none"/>
          <w14:textFill>
            <w14:solidFill>
              <w14:schemeClr w14:val="tx1"/>
            </w14:solidFill>
          </w14:textFill>
        </w:rPr>
        <w:t>1.1、公开招标采购公告</w:t>
      </w:r>
      <w:bookmarkEnd w:id="121"/>
      <w:bookmarkEnd w:id="122"/>
      <w:bookmarkEnd w:id="123"/>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124" w:name="_Toc50012847"/>
      <w:bookmarkStart w:id="125" w:name="_Toc493511616"/>
      <w:bookmarkStart w:id="126" w:name="_Toc7186"/>
      <w:r>
        <w:rPr>
          <w:rFonts w:hint="eastAsia" w:ascii="宋体" w:hAnsi="宋体"/>
          <w:color w:val="000000" w:themeColor="text1"/>
          <w:szCs w:val="21"/>
          <w:highlight w:val="none"/>
          <w14:textFill>
            <w14:solidFill>
              <w14:schemeClr w14:val="tx1"/>
            </w14:solidFill>
          </w14:textFill>
        </w:rPr>
        <w:t>1.2、采购需求</w:t>
      </w:r>
      <w:bookmarkEnd w:id="124"/>
      <w:bookmarkEnd w:id="125"/>
      <w:bookmarkEnd w:id="126"/>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127" w:name="_Toc6933"/>
      <w:bookmarkStart w:id="128" w:name="_Toc493511617"/>
      <w:bookmarkStart w:id="129" w:name="_Toc50012848"/>
      <w:r>
        <w:rPr>
          <w:rFonts w:hint="eastAsia" w:ascii="宋体" w:hAnsi="宋体"/>
          <w:color w:val="000000" w:themeColor="text1"/>
          <w:szCs w:val="21"/>
          <w:highlight w:val="none"/>
          <w14:textFill>
            <w14:solidFill>
              <w14:schemeClr w14:val="tx1"/>
            </w14:solidFill>
          </w14:textFill>
        </w:rPr>
        <w:t>1.3、投标人须知</w:t>
      </w:r>
      <w:bookmarkEnd w:id="127"/>
      <w:bookmarkEnd w:id="128"/>
      <w:bookmarkEnd w:id="129"/>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130" w:name="_Toc493511618"/>
      <w:bookmarkStart w:id="131" w:name="_Toc50012849"/>
      <w:bookmarkStart w:id="132" w:name="_Toc2119"/>
      <w:r>
        <w:rPr>
          <w:rFonts w:hint="eastAsia" w:ascii="宋体" w:hAnsi="宋体"/>
          <w:color w:val="000000" w:themeColor="text1"/>
          <w:szCs w:val="21"/>
          <w:highlight w:val="none"/>
          <w14:textFill>
            <w14:solidFill>
              <w14:schemeClr w14:val="tx1"/>
            </w14:solidFill>
          </w14:textFill>
        </w:rPr>
        <w:t>1.4、评标办法</w:t>
      </w:r>
      <w:bookmarkEnd w:id="130"/>
      <w:bookmarkEnd w:id="131"/>
      <w:bookmarkEnd w:id="132"/>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133" w:name="_Toc19120"/>
      <w:bookmarkStart w:id="134" w:name="_Toc50012850"/>
      <w:bookmarkStart w:id="135" w:name="_Toc493511619"/>
      <w:r>
        <w:rPr>
          <w:rFonts w:hint="eastAsia" w:ascii="宋体" w:hAnsi="宋体"/>
          <w:color w:val="000000" w:themeColor="text1"/>
          <w:szCs w:val="21"/>
          <w:highlight w:val="none"/>
          <w14:textFill>
            <w14:solidFill>
              <w14:schemeClr w14:val="tx1"/>
            </w14:solidFill>
          </w14:textFill>
        </w:rPr>
        <w:t>1.5、政府采购合同</w:t>
      </w:r>
      <w:bookmarkEnd w:id="133"/>
      <w:bookmarkEnd w:id="134"/>
      <w:bookmarkEnd w:id="135"/>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136" w:name="_Toc493511620"/>
      <w:bookmarkStart w:id="137" w:name="_Toc19300"/>
      <w:bookmarkStart w:id="138" w:name="_Toc50012851"/>
      <w:r>
        <w:rPr>
          <w:rFonts w:hint="eastAsia" w:ascii="宋体" w:hAnsi="宋体"/>
          <w:color w:val="000000" w:themeColor="text1"/>
          <w:szCs w:val="21"/>
          <w:highlight w:val="none"/>
          <w14:textFill>
            <w14:solidFill>
              <w14:schemeClr w14:val="tx1"/>
            </w14:solidFill>
          </w14:textFill>
        </w:rPr>
        <w:t>1.6、投标文件相关文件格式</w:t>
      </w:r>
      <w:bookmarkEnd w:id="136"/>
      <w:bookmarkEnd w:id="137"/>
      <w:bookmarkEnd w:id="138"/>
      <w:bookmarkStart w:id="139" w:name="_Toc482363722"/>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140" w:name="_Toc50012852"/>
      <w:bookmarkStart w:id="141" w:name="_Toc32687"/>
      <w:bookmarkStart w:id="142" w:name="_Toc493511621"/>
      <w:r>
        <w:rPr>
          <w:rFonts w:ascii="宋体" w:hAnsi="宋体"/>
          <w:color w:val="000000" w:themeColor="text1"/>
          <w:szCs w:val="21"/>
          <w:highlight w:val="none"/>
          <w14:textFill>
            <w14:solidFill>
              <w14:schemeClr w14:val="tx1"/>
            </w14:solidFill>
          </w14:textFill>
        </w:rPr>
        <w:t>1.7、本项目招标文件的澄清、答复、修改、补充的内容（所有内容将</w:t>
      </w:r>
      <w:r>
        <w:rPr>
          <w:rFonts w:hint="eastAsia" w:ascii="宋体" w:hAnsi="宋体"/>
          <w:color w:val="000000" w:themeColor="text1"/>
          <w:szCs w:val="21"/>
          <w:highlight w:val="none"/>
          <w14:textFill>
            <w14:solidFill>
              <w14:schemeClr w14:val="tx1"/>
            </w14:solidFill>
          </w14:textFill>
        </w:rPr>
        <w:t>以邮件形式发送给已成功申领招标文件的有效投标人</w:t>
      </w:r>
      <w:r>
        <w:rPr>
          <w:rFonts w:ascii="宋体" w:hAnsi="宋体"/>
          <w:color w:val="000000" w:themeColor="text1"/>
          <w:szCs w:val="21"/>
          <w:highlight w:val="none"/>
          <w14:textFill>
            <w14:solidFill>
              <w14:schemeClr w14:val="tx1"/>
            </w14:solidFill>
          </w14:textFill>
        </w:rPr>
        <w:t>）。澄清、答复、修改、补充的内容均作为招标文件的组成部分，具有约束作用。）</w:t>
      </w:r>
      <w:bookmarkEnd w:id="139"/>
      <w:bookmarkEnd w:id="140"/>
      <w:bookmarkEnd w:id="141"/>
      <w:bookmarkEnd w:id="142"/>
    </w:p>
    <w:p>
      <w:pPr>
        <w:snapToGrid w:val="0"/>
        <w:spacing w:line="360" w:lineRule="auto"/>
        <w:ind w:firstLine="422" w:firstLineChars="200"/>
        <w:jc w:val="left"/>
        <w:outlineLvl w:val="1"/>
        <w:rPr>
          <w:rFonts w:ascii="宋体" w:hAnsi="宋体"/>
          <w:b/>
          <w:color w:val="000000" w:themeColor="text1"/>
          <w:szCs w:val="21"/>
          <w:highlight w:val="none"/>
          <w14:textFill>
            <w14:solidFill>
              <w14:schemeClr w14:val="tx1"/>
            </w14:solidFill>
          </w14:textFill>
        </w:rPr>
      </w:pPr>
      <w:bookmarkStart w:id="143" w:name="_Toc21770"/>
      <w:bookmarkStart w:id="144" w:name="_Toc493511622"/>
      <w:bookmarkStart w:id="145" w:name="_Toc50012853"/>
      <w:r>
        <w:rPr>
          <w:rFonts w:hint="eastAsia" w:ascii="宋体" w:hAnsi="宋体"/>
          <w:b/>
          <w:color w:val="000000" w:themeColor="text1"/>
          <w:szCs w:val="21"/>
          <w:highlight w:val="none"/>
          <w14:textFill>
            <w14:solidFill>
              <w14:schemeClr w14:val="tx1"/>
            </w14:solidFill>
          </w14:textFill>
        </w:rPr>
        <w:t>2、存在的风险</w:t>
      </w:r>
      <w:bookmarkEnd w:id="143"/>
      <w:bookmarkEnd w:id="144"/>
      <w:bookmarkEnd w:id="145"/>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146" w:name="_Toc32245"/>
      <w:bookmarkStart w:id="147" w:name="_Toc493511623"/>
      <w:bookmarkStart w:id="148" w:name="_Toc50012854"/>
      <w:r>
        <w:rPr>
          <w:rFonts w:hint="eastAsia" w:ascii="宋体" w:hAnsi="宋体"/>
          <w:color w:val="000000" w:themeColor="text1"/>
          <w:szCs w:val="21"/>
          <w:highlight w:val="none"/>
          <w14:textFill>
            <w14:solidFill>
              <w14:schemeClr w14:val="tx1"/>
            </w14:solidFill>
          </w14:textFill>
        </w:rPr>
        <w:t>投标人没有按照招标文件要求提供全部资料，或者投标人没有对招标文件在各方面作出实质性响应是投标人的风险，并可能导致其投标无效。</w:t>
      </w:r>
      <w:bookmarkEnd w:id="146"/>
      <w:bookmarkEnd w:id="147"/>
      <w:bookmarkEnd w:id="148"/>
    </w:p>
    <w:p>
      <w:pPr>
        <w:snapToGrid w:val="0"/>
        <w:spacing w:line="360" w:lineRule="auto"/>
        <w:ind w:firstLine="422" w:firstLineChars="200"/>
        <w:jc w:val="left"/>
        <w:outlineLvl w:val="1"/>
        <w:rPr>
          <w:rFonts w:ascii="宋体" w:hAnsi="宋体"/>
          <w:b/>
          <w:color w:val="000000" w:themeColor="text1"/>
          <w:szCs w:val="21"/>
          <w:highlight w:val="none"/>
          <w14:textFill>
            <w14:solidFill>
              <w14:schemeClr w14:val="tx1"/>
            </w14:solidFill>
          </w14:textFill>
        </w:rPr>
      </w:pPr>
      <w:bookmarkStart w:id="149" w:name="_Toc493511624"/>
      <w:bookmarkStart w:id="150" w:name="_Toc18736"/>
      <w:bookmarkStart w:id="151" w:name="_Toc50012855"/>
      <w:r>
        <w:rPr>
          <w:rFonts w:hint="eastAsia" w:ascii="宋体" w:hAnsi="宋体"/>
          <w:b/>
          <w:color w:val="000000" w:themeColor="text1"/>
          <w:szCs w:val="21"/>
          <w:highlight w:val="none"/>
          <w14:textFill>
            <w14:solidFill>
              <w14:schemeClr w14:val="tx1"/>
            </w14:solidFill>
          </w14:textFill>
        </w:rPr>
        <w:t>3、招标文件的澄清与修改</w:t>
      </w:r>
      <w:bookmarkEnd w:id="149"/>
      <w:bookmarkEnd w:id="150"/>
      <w:bookmarkEnd w:id="151"/>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152" w:name="_Toc50012856"/>
      <w:bookmarkStart w:id="153" w:name="_Toc493511625"/>
      <w:bookmarkStart w:id="154" w:name="_Toc4790"/>
      <w:r>
        <w:rPr>
          <w:rFonts w:hint="eastAsia" w:ascii="宋体" w:hAnsi="宋体"/>
          <w:color w:val="000000" w:themeColor="text1"/>
          <w:szCs w:val="21"/>
          <w:highlight w:val="none"/>
          <w14:textFill>
            <w14:solidFill>
              <w14:schemeClr w14:val="tx1"/>
            </w14:solidFill>
          </w14:textFill>
        </w:rPr>
        <w:t>3.1、投标人应认真阅读本招标文件，发现其中有误或有要求不合理的，投标人必须在知道或者应当知道之日起五日内以书面形式要求采购代理机构澄清，否则，由此产生的后果由投标人负责。</w:t>
      </w:r>
      <w:bookmarkEnd w:id="152"/>
      <w:bookmarkEnd w:id="153"/>
      <w:bookmarkEnd w:id="154"/>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155" w:name="_Toc50012857"/>
      <w:bookmarkStart w:id="156" w:name="_Toc493511626"/>
      <w:bookmarkStart w:id="157" w:name="_Toc31984"/>
      <w:r>
        <w:rPr>
          <w:rFonts w:hint="eastAsia" w:ascii="宋体" w:hAnsi="宋体"/>
          <w:color w:val="000000" w:themeColor="text1"/>
          <w:szCs w:val="21"/>
          <w:highlight w:val="none"/>
          <w14:textFill>
            <w14:solidFill>
              <w14:schemeClr w14:val="tx1"/>
            </w14:solidFill>
          </w14:textFill>
        </w:rPr>
        <w:t>3.2、采购代理机构必须以书面形式答复所有购买招标文件的投标人（答复中不包含问题的来源）要求澄清的问题，同时认定其他澄清方式为无效。</w:t>
      </w:r>
      <w:bookmarkEnd w:id="155"/>
      <w:bookmarkEnd w:id="156"/>
      <w:bookmarkEnd w:id="157"/>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158" w:name="_Toc50012858"/>
      <w:bookmarkStart w:id="159" w:name="_Toc493511627"/>
      <w:bookmarkStart w:id="160" w:name="_Toc20629"/>
      <w:r>
        <w:rPr>
          <w:rFonts w:hint="eastAsia" w:ascii="宋体" w:hAnsi="宋体"/>
          <w:color w:val="000000" w:themeColor="text1"/>
          <w:szCs w:val="21"/>
          <w:highlight w:val="none"/>
          <w14:textFill>
            <w14:solidFill>
              <w14:schemeClr w14:val="tx1"/>
            </w14:solidFill>
          </w14:textFill>
        </w:rPr>
        <w:t>3.3、采购代理机构对已发出的招标文件进行必要澄清或者修改的，应当在招标文件要求提交投标文件截止时间三日前，在采购信息发布媒体上发布更正公告或以邮件形式发送给已成功申领招标文件的有效投标人。该澄清或者修改的内容为招标文件的组成部分。</w:t>
      </w:r>
      <w:bookmarkEnd w:id="158"/>
      <w:bookmarkEnd w:id="159"/>
      <w:bookmarkEnd w:id="160"/>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161" w:name="_Toc50012859"/>
      <w:bookmarkStart w:id="162" w:name="_Toc493511628"/>
      <w:bookmarkStart w:id="163" w:name="_Toc10910"/>
      <w:r>
        <w:rPr>
          <w:rFonts w:hint="eastAsia" w:ascii="宋体" w:hAnsi="宋体"/>
          <w:color w:val="000000" w:themeColor="text1"/>
          <w:szCs w:val="21"/>
          <w:highlight w:val="none"/>
          <w14:textFill>
            <w14:solidFill>
              <w14:schemeClr w14:val="tx1"/>
            </w14:solidFill>
          </w14:textFill>
        </w:rPr>
        <w:t>3.4、采购代理机构和采购单位可以视采购具体情况，延长投标截止时间和开标时间，但至少应当在招标文件要求提交投标文件的截止时间三日前，将变更时间书面通知所有招标文件收受人，并在采购信息发布媒体上发布变更公告或以邮件形式发送给已成功申领招标文件的有效投标人。</w:t>
      </w:r>
      <w:bookmarkEnd w:id="161"/>
      <w:bookmarkEnd w:id="162"/>
      <w:bookmarkEnd w:id="163"/>
    </w:p>
    <w:p>
      <w:pPr>
        <w:snapToGrid w:val="0"/>
        <w:spacing w:line="360" w:lineRule="auto"/>
        <w:ind w:firstLine="420" w:firstLineChars="200"/>
        <w:jc w:val="left"/>
        <w:outlineLvl w:val="1"/>
        <w:rPr>
          <w:rFonts w:ascii="宋体" w:hAnsi="宋体"/>
          <w:color w:val="000000" w:themeColor="text1"/>
          <w:szCs w:val="21"/>
          <w:highlight w:val="none"/>
          <w14:textFill>
            <w14:solidFill>
              <w14:schemeClr w14:val="tx1"/>
            </w14:solidFill>
          </w14:textFill>
        </w:rPr>
      </w:pPr>
      <w:bookmarkStart w:id="164" w:name="_Toc50012860"/>
      <w:bookmarkStart w:id="165" w:name="_Toc493511629"/>
      <w:bookmarkStart w:id="166" w:name="_Toc14791"/>
      <w:r>
        <w:rPr>
          <w:rFonts w:hint="eastAsia" w:ascii="宋体" w:hAnsi="宋体"/>
          <w:color w:val="000000" w:themeColor="text1"/>
          <w:szCs w:val="21"/>
          <w:highlight w:val="none"/>
          <w14:textFill>
            <w14:solidFill>
              <w14:schemeClr w14:val="tx1"/>
            </w14:solidFill>
          </w14:textFill>
        </w:rPr>
        <w:t>3.5、招标文件的澄清或者修改都应该通过本代理机构以法定形式发布，采购人非通过本机构，不得擅自澄清或者修改招标文件。</w:t>
      </w:r>
      <w:bookmarkEnd w:id="164"/>
      <w:bookmarkEnd w:id="165"/>
      <w:bookmarkEnd w:id="166"/>
    </w:p>
    <w:p>
      <w:pPr>
        <w:snapToGrid w:val="0"/>
        <w:spacing w:line="360" w:lineRule="auto"/>
        <w:ind w:firstLine="422" w:firstLineChars="200"/>
        <w:jc w:val="left"/>
        <w:outlineLvl w:val="1"/>
        <w:rPr>
          <w:rFonts w:ascii="宋体" w:hAnsi="宋体"/>
          <w:b/>
          <w:color w:val="000000" w:themeColor="text1"/>
          <w:szCs w:val="21"/>
          <w:highlight w:val="none"/>
          <w14:textFill>
            <w14:solidFill>
              <w14:schemeClr w14:val="tx1"/>
            </w14:solidFill>
          </w14:textFill>
        </w:rPr>
      </w:pPr>
      <w:bookmarkStart w:id="167" w:name="_Toc8175"/>
      <w:bookmarkStart w:id="168" w:name="_Toc177870545"/>
      <w:bookmarkStart w:id="169" w:name="_Toc493511630"/>
      <w:bookmarkStart w:id="170" w:name="_Toc50012861"/>
      <w:r>
        <w:rPr>
          <w:rFonts w:hint="eastAsia" w:ascii="宋体" w:hAnsi="宋体"/>
          <w:b/>
          <w:color w:val="000000" w:themeColor="text1"/>
          <w:szCs w:val="21"/>
          <w:highlight w:val="none"/>
          <w14:textFill>
            <w14:solidFill>
              <w14:schemeClr w14:val="tx1"/>
            </w14:solidFill>
          </w14:textFill>
        </w:rPr>
        <w:t>三、 投标文件的编制</w:t>
      </w:r>
      <w:bookmarkEnd w:id="167"/>
      <w:bookmarkEnd w:id="168"/>
      <w:bookmarkEnd w:id="169"/>
      <w:bookmarkEnd w:id="170"/>
    </w:p>
    <w:p>
      <w:pPr>
        <w:pStyle w:val="25"/>
        <w:snapToGrid w:val="0"/>
        <w:spacing w:line="360" w:lineRule="auto"/>
        <w:ind w:firstLine="422" w:firstLineChars="200"/>
        <w:jc w:val="left"/>
        <w:outlineLvl w:val="1"/>
        <w:rPr>
          <w:rFonts w:hAnsi="宋体" w:cs="宋体"/>
          <w:b/>
          <w:color w:val="000000" w:themeColor="text1"/>
          <w:szCs w:val="21"/>
          <w:highlight w:val="none"/>
          <w14:textFill>
            <w14:solidFill>
              <w14:schemeClr w14:val="tx1"/>
            </w14:solidFill>
          </w14:textFill>
        </w:rPr>
      </w:pPr>
      <w:bookmarkStart w:id="171" w:name="_Toc33535356"/>
      <w:bookmarkStart w:id="172" w:name="_Toc12349"/>
      <w:bookmarkStart w:id="173" w:name="_Toc50012862"/>
      <w:bookmarkStart w:id="174" w:name="_Toc493511643"/>
      <w:bookmarkStart w:id="175" w:name="_Toc177824877"/>
      <w:bookmarkStart w:id="176" w:name="_Toc177825125"/>
      <w:bookmarkStart w:id="177" w:name="_Toc177870547"/>
      <w:bookmarkStart w:id="178" w:name="_Toc177824944"/>
      <w:r>
        <w:rPr>
          <w:rFonts w:hint="eastAsia" w:hAnsi="宋体" w:cs="宋体"/>
          <w:b/>
          <w:color w:val="000000" w:themeColor="text1"/>
          <w:szCs w:val="21"/>
          <w:highlight w:val="none"/>
          <w14:textFill>
            <w14:solidFill>
              <w14:schemeClr w14:val="tx1"/>
            </w14:solidFill>
          </w14:textFill>
        </w:rPr>
        <w:t>本项目所涉投标文件格式请详见第六章，未给出的格式请自拟。资信商务及技术文件中不得出现报价，否则投标文件将被视为无效。</w:t>
      </w:r>
      <w:bookmarkEnd w:id="171"/>
      <w:bookmarkEnd w:id="172"/>
      <w:bookmarkEnd w:id="173"/>
    </w:p>
    <w:p>
      <w:pPr>
        <w:snapToGrid w:val="0"/>
        <w:spacing w:line="360" w:lineRule="auto"/>
        <w:ind w:firstLine="422" w:firstLineChars="200"/>
        <w:jc w:val="left"/>
        <w:outlineLvl w:val="0"/>
        <w:rPr>
          <w:rFonts w:ascii="宋体" w:hAnsi="宋体"/>
          <w:b/>
          <w:color w:val="000000" w:themeColor="text1"/>
          <w:szCs w:val="21"/>
          <w:highlight w:val="none"/>
          <w14:textFill>
            <w14:solidFill>
              <w14:schemeClr w14:val="tx1"/>
            </w14:solidFill>
          </w14:textFill>
        </w:rPr>
      </w:pPr>
      <w:bookmarkStart w:id="179" w:name="_Toc406402988"/>
      <w:bookmarkStart w:id="180" w:name="_Toc33535358"/>
      <w:bookmarkStart w:id="181" w:name="_Toc1053"/>
      <w:bookmarkStart w:id="182" w:name="_Toc406402944"/>
      <w:bookmarkStart w:id="183" w:name="_Toc50012864"/>
      <w:r>
        <w:rPr>
          <w:rFonts w:hint="eastAsia" w:ascii="宋体" w:hAnsi="宋体"/>
          <w:b/>
          <w:color w:val="000000" w:themeColor="text1"/>
          <w:szCs w:val="21"/>
          <w:highlight w:val="none"/>
          <w14:textFill>
            <w14:solidFill>
              <w14:schemeClr w14:val="tx1"/>
            </w14:solidFill>
          </w14:textFill>
        </w:rPr>
        <w:t>（一）投标文件的组成</w:t>
      </w:r>
      <w:bookmarkEnd w:id="179"/>
      <w:bookmarkEnd w:id="180"/>
      <w:bookmarkEnd w:id="181"/>
      <w:bookmarkEnd w:id="182"/>
      <w:bookmarkEnd w:id="183"/>
    </w:p>
    <w:p>
      <w:pPr>
        <w:numPr>
          <w:ilvl w:val="0"/>
          <w:numId w:val="2"/>
        </w:numPr>
        <w:snapToGrid w:val="0"/>
        <w:spacing w:line="360" w:lineRule="auto"/>
        <w:ind w:left="0"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资信商务及技术文件</w:t>
      </w:r>
    </w:p>
    <w:p>
      <w:pPr>
        <w:snapToGrid w:val="0"/>
        <w:spacing w:line="360" w:lineRule="auto"/>
        <w:ind w:left="420" w:leftChars="200"/>
        <w:jc w:val="lef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1.1资信投标文件：</w:t>
      </w:r>
    </w:p>
    <w:p>
      <w:pPr>
        <w:numPr>
          <w:ilvl w:val="2"/>
          <w:numId w:val="3"/>
        </w:numPr>
        <w:snapToGrid w:val="0"/>
        <w:spacing w:line="360" w:lineRule="auto"/>
        <w:ind w:right="42" w:rightChars="20" w:firstLine="420" w:firstLineChars="200"/>
        <w:jc w:val="lef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承诺函：提供具有独立承担民事责任的能力、具有良好的商业信誉和健全的财务会计制度、具有履行合同所必需的设备和专业技术能力、有依法缴纳税收和社会保障资金的良好记录、参加政府采购活动前三年，在经营活动中没有重大违法记录、自招标公告发布之日起至投标截止日内任意时间的“信用中国”网站（www.creditchina.gov.cn）（未被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\t "_blank" </w:instrText>
      </w:r>
      <w:r>
        <w:rPr>
          <w:color w:val="000000" w:themeColor="text1"/>
          <w:highlight w:val="none"/>
          <w14:textFill>
            <w14:solidFill>
              <w14:schemeClr w14:val="tx1"/>
            </w14:solidFill>
          </w14:textFill>
        </w:rPr>
        <w:fldChar w:fldCharType="separate"/>
      </w:r>
      <w:r>
        <w:rPr>
          <w:rFonts w:hint="eastAsia" w:asciiTheme="minorEastAsia" w:hAnsiTheme="minorEastAsia" w:eastAsiaTheme="minorEastAsia"/>
          <w:color w:val="000000" w:themeColor="text1"/>
          <w:highlight w:val="none"/>
          <w14:textFill>
            <w14:solidFill>
              <w14:schemeClr w14:val="tx1"/>
            </w14:solidFill>
          </w14:textFill>
        </w:rPr>
        <w:t>列入失信被执行人、重大税收违法案件当事人名单</w:t>
      </w:r>
      <w:r>
        <w:rPr>
          <w:rFonts w:hint="eastAsia" w:asciiTheme="minorEastAsia" w:hAnsiTheme="minorEastAsia" w:eastAsiaTheme="minorEastAsia"/>
          <w:color w:val="000000" w:themeColor="text1"/>
          <w:highlight w:val="none"/>
          <w14:textFill>
            <w14:solidFill>
              <w14:schemeClr w14:val="tx1"/>
            </w14:solidFill>
          </w14:textFill>
        </w:rPr>
        <w:fldChar w:fldCharType="end"/>
      </w:r>
      <w:r>
        <w:rPr>
          <w:rFonts w:asciiTheme="minorEastAsia" w:hAnsiTheme="minorEastAsia" w:eastAsiaTheme="minorEastAsia"/>
          <w:color w:val="000000" w:themeColor="text1"/>
          <w:szCs w:val="21"/>
          <w:highlight w:val="none"/>
          <w14:textFill>
            <w14:solidFill>
              <w14:schemeClr w14:val="tx1"/>
            </w14:solidFill>
          </w14:textFill>
        </w:rPr>
        <w:t>的）</w:t>
      </w:r>
      <w:r>
        <w:rPr>
          <w:rFonts w:hint="eastAsia" w:asciiTheme="minorEastAsia" w:hAnsiTheme="minorEastAsia" w:eastAsiaTheme="minorEastAsia"/>
          <w:color w:val="000000" w:themeColor="text1"/>
          <w:szCs w:val="21"/>
          <w:highlight w:val="none"/>
          <w14:textFill>
            <w14:solidFill>
              <w14:schemeClr w14:val="tx1"/>
            </w14:solidFill>
          </w14:textFill>
        </w:rPr>
        <w:t>、中国政府采购网（www.ccgp.gov.cn）（未被中国政府采购网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\t "_blank" </w:instrText>
      </w:r>
      <w:r>
        <w:rPr>
          <w:color w:val="000000" w:themeColor="text1"/>
          <w:highlight w:val="none"/>
          <w14:textFill>
            <w14:solidFill>
              <w14:schemeClr w14:val="tx1"/>
            </w14:solidFill>
          </w14:textFill>
        </w:rPr>
        <w:fldChar w:fldCharType="separate"/>
      </w:r>
      <w:r>
        <w:rPr>
          <w:rFonts w:hint="eastAsia" w:asciiTheme="minorEastAsia" w:hAnsiTheme="minorEastAsia" w:eastAsiaTheme="minorEastAsia"/>
          <w:color w:val="000000" w:themeColor="text1"/>
          <w:highlight w:val="none"/>
          <w14:textFill>
            <w14:solidFill>
              <w14:schemeClr w14:val="tx1"/>
            </w14:solidFill>
          </w14:textFill>
        </w:rPr>
        <w:t>列入政府采购严重违法失信行为记录名单</w:t>
      </w:r>
      <w:r>
        <w:rPr>
          <w:rFonts w:hint="eastAsia" w:asciiTheme="minorEastAsia" w:hAnsiTheme="minorEastAsia" w:eastAsiaTheme="minorEastAsia"/>
          <w:color w:val="000000" w:themeColor="text1"/>
          <w:highlight w:val="none"/>
          <w14:textFill>
            <w14:solidFill>
              <w14:schemeClr w14:val="tx1"/>
            </w14:solidFill>
          </w14:textFill>
        </w:rPr>
        <w:fldChar w:fldCharType="end"/>
      </w:r>
      <w:r>
        <w:rPr>
          <w:rFonts w:asciiTheme="minorEastAsia" w:hAnsiTheme="minorEastAsia" w:eastAsiaTheme="minorEastAsia"/>
          <w:color w:val="000000" w:themeColor="text1"/>
          <w:szCs w:val="21"/>
          <w:highlight w:val="none"/>
          <w14:textFill>
            <w14:solidFill>
              <w14:schemeClr w14:val="tx1"/>
            </w14:solidFill>
          </w14:textFill>
        </w:rPr>
        <w:t>的</w:t>
      </w:r>
      <w:r>
        <w:rPr>
          <w:rFonts w:hint="eastAsia" w:asciiTheme="minorEastAsia" w:hAnsiTheme="minorEastAsia" w:eastAsiaTheme="minorEastAsia"/>
          <w:color w:val="000000" w:themeColor="text1"/>
          <w:szCs w:val="21"/>
          <w:highlight w:val="none"/>
          <w14:textFill>
            <w14:solidFill>
              <w14:schemeClr w14:val="tx1"/>
            </w14:solidFill>
          </w14:textFill>
        </w:rPr>
        <w:t>）也没有因违反《浙江省政府采购投标人注册及诚信管理暂行办法》被列入“黑名单”，正在处罚有效期（详见格式）的承诺函；</w:t>
      </w:r>
    </w:p>
    <w:p>
      <w:pPr>
        <w:numPr>
          <w:ilvl w:val="2"/>
          <w:numId w:val="3"/>
        </w:numPr>
        <w:snapToGrid w:val="0"/>
        <w:spacing w:line="360" w:lineRule="auto"/>
        <w:ind w:left="420" w:leftChars="200" w:right="42" w:rightChars="20"/>
        <w:jc w:val="lef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中小企业声明函或残疾人福利性单位声明函或其他符合政策性条件的承诺函；   1.1.3、联合协议（如有)；分包协议（如有)；</w:t>
      </w:r>
    </w:p>
    <w:p>
      <w:pPr>
        <w:snapToGrid w:val="0"/>
        <w:spacing w:line="360" w:lineRule="auto"/>
        <w:ind w:left="420" w:right="42" w:rightChars="20"/>
        <w:jc w:val="left"/>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w:t>
      </w:r>
      <w:r>
        <w:rPr>
          <w:rFonts w:hint="eastAsia" w:asciiTheme="minorEastAsia" w:hAnsiTheme="minorEastAsia" w:eastAsiaTheme="minorEastAsia"/>
          <w:color w:val="000000" w:themeColor="text1"/>
          <w:szCs w:val="21"/>
          <w:highlight w:val="none"/>
          <w14:textFill>
            <w14:solidFill>
              <w14:schemeClr w14:val="tx1"/>
            </w14:solidFill>
          </w14:textFill>
        </w:rPr>
        <w:t>1.4、法定代表人授权委托书。</w:t>
      </w:r>
    </w:p>
    <w:p>
      <w:pPr>
        <w:snapToGrid w:val="0"/>
        <w:spacing w:line="360" w:lineRule="auto"/>
        <w:ind w:left="420" w:right="42" w:rightChars="20"/>
        <w:jc w:val="left"/>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1.1.5</w:t>
      </w:r>
      <w:r>
        <w:rPr>
          <w:rFonts w:hint="eastAsia" w:asciiTheme="minorEastAsia" w:hAnsiTheme="minorEastAsia" w:eastAsiaTheme="minorEastAsia"/>
          <w:color w:val="000000" w:themeColor="text1"/>
          <w:szCs w:val="21"/>
          <w:highlight w:val="none"/>
          <w14:textFill>
            <w14:solidFill>
              <w14:schemeClr w14:val="tx1"/>
            </w14:solidFill>
          </w14:textFill>
        </w:rPr>
        <w:t>食品经营许可证（有效期内）（加盖公章）</w:t>
      </w:r>
    </w:p>
    <w:p>
      <w:pPr>
        <w:spacing w:line="360" w:lineRule="auto"/>
        <w:ind w:firstLine="422"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1.2、商务技术文件</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1.2.1、投标声明书；</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2、类似案例成功的业绩</w:t>
      </w:r>
      <w:r>
        <w:rPr>
          <w:rFonts w:hint="eastAsia" w:ascii="宋体" w:hAnsi="宋体"/>
          <w:b/>
          <w:color w:val="000000" w:themeColor="text1"/>
          <w:szCs w:val="21"/>
          <w:highlight w:val="none"/>
          <w14:textFill>
            <w14:solidFill>
              <w14:schemeClr w14:val="tx1"/>
            </w14:solidFill>
          </w14:textFill>
        </w:rPr>
        <w:t>（合同复印件并加盖投标人公章）</w:t>
      </w:r>
      <w:r>
        <w:rPr>
          <w:rFonts w:hint="eastAsia" w:ascii="宋体" w:hAnsi="宋体"/>
          <w:color w:val="000000" w:themeColor="text1"/>
          <w:szCs w:val="21"/>
          <w:highlight w:val="none"/>
          <w14:textFill>
            <w14:solidFill>
              <w14:schemeClr w14:val="tx1"/>
            </w14:solidFill>
          </w14:textFill>
        </w:rPr>
        <w:t>；</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3、与本项目实施相关的投标人各类资质证书、认证证书、许可证等（如信誉荣誉、本地化服务等。</w:t>
      </w:r>
      <w:r>
        <w:rPr>
          <w:rFonts w:hint="eastAsia" w:ascii="宋体" w:hAnsi="宋体"/>
          <w:b/>
          <w:color w:val="000000" w:themeColor="text1"/>
          <w:szCs w:val="21"/>
          <w:highlight w:val="none"/>
          <w14:textFill>
            <w14:solidFill>
              <w14:schemeClr w14:val="tx1"/>
            </w14:solidFill>
          </w14:textFill>
        </w:rPr>
        <w:t>提供复印件并加盖投标人公章）（如有）</w:t>
      </w:r>
      <w:r>
        <w:rPr>
          <w:rFonts w:hint="eastAsia" w:ascii="宋体" w:hAnsi="宋体"/>
          <w:color w:val="000000" w:themeColor="text1"/>
          <w:szCs w:val="21"/>
          <w:highlight w:val="none"/>
          <w14:textFill>
            <w14:solidFill>
              <w14:schemeClr w14:val="tx1"/>
            </w14:solidFill>
          </w14:textFill>
        </w:rPr>
        <w:t>；</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1.2.4、投标人情况介绍；</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1.2.5、商务、技术响应表；</w:t>
      </w:r>
    </w:p>
    <w:p>
      <w:pPr>
        <w:snapToGrid w:val="0"/>
        <w:spacing w:line="360" w:lineRule="auto"/>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1.2.6、</w:t>
      </w:r>
      <w:r>
        <w:rPr>
          <w:rFonts w:ascii="宋体" w:hAnsi="宋体"/>
          <w:color w:val="000000" w:themeColor="text1"/>
          <w:szCs w:val="21"/>
          <w:highlight w:val="none"/>
          <w14:textFill>
            <w14:solidFill>
              <w14:schemeClr w14:val="tx1"/>
            </w14:solidFill>
          </w14:textFill>
        </w:rPr>
        <w:t>项目实施人员</w:t>
      </w:r>
      <w:r>
        <w:rPr>
          <w:rFonts w:hint="eastAsia" w:ascii="宋体" w:hAnsi="宋体"/>
          <w:color w:val="000000" w:themeColor="text1"/>
          <w:szCs w:val="21"/>
          <w:highlight w:val="none"/>
          <w14:textFill>
            <w14:solidFill>
              <w14:schemeClr w14:val="tx1"/>
            </w14:solidFill>
          </w14:textFill>
        </w:rPr>
        <w:t>（格式见附件）</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1.2.7、</w:t>
      </w:r>
      <w:r>
        <w:rPr>
          <w:rFonts w:ascii="宋体" w:hAnsi="宋体"/>
          <w:color w:val="000000" w:themeColor="text1"/>
          <w:szCs w:val="21"/>
          <w:highlight w:val="none"/>
          <w14:textFill>
            <w14:solidFill>
              <w14:schemeClr w14:val="tx1"/>
            </w14:solidFill>
          </w14:textFill>
        </w:rPr>
        <w:t>对招标项目的理解</w:t>
      </w:r>
      <w:r>
        <w:rPr>
          <w:rFonts w:hint="eastAsia" w:ascii="宋体" w:hAnsi="宋体"/>
          <w:color w:val="000000" w:themeColor="text1"/>
          <w:szCs w:val="21"/>
          <w:highlight w:val="none"/>
          <w14:textFill>
            <w14:solidFill>
              <w14:schemeClr w14:val="tx1"/>
            </w14:solidFill>
          </w14:textFill>
        </w:rPr>
        <w:t>；（格式自拟）</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1.2.8、工作的实施方案；（格式自拟）</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1.2.9、质量</w:t>
      </w:r>
      <w:r>
        <w:rPr>
          <w:rFonts w:ascii="宋体" w:hAnsi="宋体"/>
          <w:color w:val="000000" w:themeColor="text1"/>
          <w:szCs w:val="21"/>
          <w:highlight w:val="none"/>
          <w14:textFill>
            <w14:solidFill>
              <w14:schemeClr w14:val="tx1"/>
            </w14:solidFill>
          </w14:textFill>
        </w:rPr>
        <w:t>保障</w:t>
      </w:r>
      <w:r>
        <w:rPr>
          <w:rFonts w:hint="eastAsia" w:ascii="宋体" w:hAnsi="宋体"/>
          <w:color w:val="000000" w:themeColor="text1"/>
          <w:szCs w:val="21"/>
          <w:highlight w:val="none"/>
          <w14:textFill>
            <w14:solidFill>
              <w14:schemeClr w14:val="tx1"/>
            </w14:solidFill>
          </w14:textFill>
        </w:rPr>
        <w:t>、服务保障；（格式自拟）</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1.2.10、拟提供产品的品牌；（格式自拟，包含品牌、产地等，如有）</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1.2.11、</w:t>
      </w:r>
      <w:r>
        <w:rPr>
          <w:rFonts w:ascii="宋体" w:hAnsi="宋体"/>
          <w:color w:val="000000" w:themeColor="text1"/>
          <w:szCs w:val="21"/>
          <w:highlight w:val="none"/>
          <w14:textFill>
            <w14:solidFill>
              <w14:schemeClr w14:val="tx1"/>
            </w14:solidFill>
          </w14:textFill>
        </w:rPr>
        <w:t>投标人承诺给予招标人的各种优惠条件，包括售后服务等方面的优惠；</w:t>
      </w:r>
      <w:r>
        <w:rPr>
          <w:rFonts w:hint="eastAsia" w:ascii="宋体" w:hAnsi="宋体"/>
          <w:color w:val="000000" w:themeColor="text1"/>
          <w:szCs w:val="21"/>
          <w:highlight w:val="none"/>
          <w14:textFill>
            <w14:solidFill>
              <w14:schemeClr w14:val="tx1"/>
            </w14:solidFill>
          </w14:textFill>
        </w:rPr>
        <w:t>（格式自拟）</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1.2.12、投标人截止投标时间前三年内的奖惩情况说明，格式自拟.</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1.2.13、投标单位对本项目的合理化建议和改进措施；</w:t>
      </w:r>
    </w:p>
    <w:p>
      <w:pPr>
        <w:snapToGrid w:val="0"/>
        <w:spacing w:line="360" w:lineRule="auto"/>
        <w:ind w:firstLine="420" w:firstLineChars="200"/>
        <w:jc w:val="left"/>
        <w:rPr>
          <w:rFonts w:ascii="宋体" w:hAnsi="宋体"/>
          <w:b/>
          <w:bCs/>
          <w:color w:val="000000" w:themeColor="text1"/>
          <w:szCs w:val="21"/>
          <w:highlight w:val="none"/>
          <w:shd w:val="pct10" w:color="auto" w:fill="FFFFFF"/>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1.2.14、</w:t>
      </w:r>
      <w:r>
        <w:rPr>
          <w:rFonts w:hint="eastAsia" w:ascii="宋体" w:hAnsi="宋体"/>
          <w:b/>
          <w:bCs/>
          <w:color w:val="000000" w:themeColor="text1"/>
          <w:szCs w:val="21"/>
          <w:highlight w:val="none"/>
          <w:shd w:val="pct10" w:color="auto" w:fill="FFFFFF"/>
          <w14:textFill>
            <w14:solidFill>
              <w14:schemeClr w14:val="tx1"/>
            </w14:solidFill>
          </w14:textFill>
        </w:rPr>
        <w:t>未尽事宜请各投标人按评分细则制作。</w:t>
      </w:r>
    </w:p>
    <w:p>
      <w:pPr>
        <w:spacing w:line="360" w:lineRule="auto"/>
        <w:ind w:firstLine="422" w:firstLineChars="200"/>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2、投标报价文件：</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2.1、投标函； </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2.2、开标一览表；</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2.3、投标人针对报价需要说明的其他文件和说明。</w:t>
      </w:r>
    </w:p>
    <w:bookmarkEnd w:id="174"/>
    <w:p>
      <w:pPr>
        <w:snapToGrid w:val="0"/>
        <w:spacing w:line="360" w:lineRule="auto"/>
        <w:ind w:firstLine="420" w:firstLineChars="200"/>
        <w:contextualSpacing/>
        <w:jc w:val="left"/>
        <w:outlineLvl w:val="1"/>
        <w:rPr>
          <w:rFonts w:ascii="宋体" w:hAnsi="宋体"/>
          <w:color w:val="000000" w:themeColor="text1"/>
          <w:szCs w:val="21"/>
          <w:highlight w:val="none"/>
          <w14:textFill>
            <w14:solidFill>
              <w14:schemeClr w14:val="tx1"/>
            </w14:solidFill>
          </w14:textFill>
        </w:rPr>
      </w:pPr>
      <w:bookmarkStart w:id="184" w:name="_Toc8745"/>
      <w:bookmarkStart w:id="185" w:name="_Toc493511656"/>
      <w:bookmarkStart w:id="186" w:name="_Toc50012865"/>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注：法定代表人授权委托书、投标声明书、投标函、开标一览表必须由法定代表人</w:t>
      </w:r>
      <w:r>
        <w:rPr>
          <w:rFonts w:hint="eastAsia" w:ascii="宋体" w:hAnsi="宋体"/>
          <w:color w:val="000000" w:themeColor="text1"/>
          <w:szCs w:val="21"/>
          <w:highlight w:val="none"/>
          <w14:textFill>
            <w14:solidFill>
              <w14:schemeClr w14:val="tx1"/>
            </w14:solidFill>
          </w14:textFill>
        </w:rPr>
        <w:t>或负责人或授权代表</w:t>
      </w:r>
      <w:r>
        <w:rPr>
          <w:rFonts w:ascii="宋体" w:hAnsi="宋体"/>
          <w:color w:val="000000" w:themeColor="text1"/>
          <w:szCs w:val="21"/>
          <w:highlight w:val="none"/>
          <w14:textFill>
            <w14:solidFill>
              <w14:schemeClr w14:val="tx1"/>
            </w14:solidFill>
          </w14:textFill>
        </w:rPr>
        <w:t>签名并加盖单位公章。</w:t>
      </w:r>
      <w:bookmarkEnd w:id="184"/>
      <w:bookmarkEnd w:id="185"/>
      <w:bookmarkEnd w:id="186"/>
    </w:p>
    <w:bookmarkEnd w:id="175"/>
    <w:bookmarkEnd w:id="176"/>
    <w:bookmarkEnd w:id="177"/>
    <w:bookmarkEnd w:id="178"/>
    <w:p>
      <w:pPr>
        <w:snapToGrid w:val="0"/>
        <w:spacing w:line="360" w:lineRule="auto"/>
        <w:ind w:firstLine="422" w:firstLineChars="200"/>
        <w:jc w:val="left"/>
        <w:outlineLvl w:val="0"/>
        <w:rPr>
          <w:rFonts w:ascii="宋体" w:hAnsi="宋体"/>
          <w:b/>
          <w:color w:val="000000" w:themeColor="text1"/>
          <w:szCs w:val="21"/>
          <w:highlight w:val="none"/>
          <w14:textFill>
            <w14:solidFill>
              <w14:schemeClr w14:val="tx1"/>
            </w14:solidFill>
          </w14:textFill>
        </w:rPr>
      </w:pPr>
      <w:bookmarkStart w:id="187" w:name="_Toc406402946"/>
      <w:bookmarkStart w:id="188" w:name="_Toc385854100"/>
      <w:bookmarkStart w:id="189" w:name="_Toc402963084"/>
      <w:bookmarkStart w:id="190" w:name="_Toc31513"/>
      <w:bookmarkStart w:id="191" w:name="_Toc33535360"/>
      <w:bookmarkStart w:id="192" w:name="_Toc406402990"/>
      <w:bookmarkStart w:id="193" w:name="_Toc385854146"/>
      <w:bookmarkStart w:id="194" w:name="_Toc50012866"/>
      <w:bookmarkStart w:id="195" w:name="_Toc402963117"/>
      <w:bookmarkStart w:id="196" w:name="_Toc493511751"/>
      <w:r>
        <w:rPr>
          <w:rFonts w:hint="eastAsia" w:ascii="宋体" w:hAnsi="宋体"/>
          <w:b/>
          <w:color w:val="000000" w:themeColor="text1"/>
          <w:szCs w:val="21"/>
          <w:highlight w:val="none"/>
          <w14:textFill>
            <w14:solidFill>
              <w14:schemeClr w14:val="tx1"/>
            </w14:solidFill>
          </w14:textFill>
        </w:rPr>
        <w:t>（二）投标文件的语言及计量</w:t>
      </w:r>
      <w:bookmarkEnd w:id="187"/>
      <w:bookmarkEnd w:id="188"/>
      <w:bookmarkEnd w:id="189"/>
      <w:bookmarkEnd w:id="190"/>
      <w:bookmarkEnd w:id="191"/>
      <w:bookmarkEnd w:id="192"/>
      <w:bookmarkEnd w:id="193"/>
      <w:bookmarkEnd w:id="194"/>
      <w:bookmarkEnd w:id="195"/>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422" w:firstLineChars="200"/>
        <w:jc w:val="left"/>
        <w:outlineLvl w:val="0"/>
        <w:rPr>
          <w:rFonts w:ascii="宋体" w:hAnsi="宋体"/>
          <w:b/>
          <w:color w:val="000000" w:themeColor="text1"/>
          <w:szCs w:val="21"/>
          <w:highlight w:val="none"/>
          <w14:textFill>
            <w14:solidFill>
              <w14:schemeClr w14:val="tx1"/>
            </w14:solidFill>
          </w14:textFill>
        </w:rPr>
      </w:pPr>
      <w:bookmarkStart w:id="197" w:name="_Toc385854101"/>
      <w:bookmarkStart w:id="198" w:name="_Toc385854147"/>
      <w:bookmarkStart w:id="199" w:name="_Toc33535361"/>
      <w:bookmarkStart w:id="200" w:name="_Toc402963118"/>
      <w:bookmarkStart w:id="201" w:name="_Toc50012867"/>
      <w:bookmarkStart w:id="202" w:name="_Toc18686"/>
      <w:bookmarkStart w:id="203" w:name="_Toc406402947"/>
      <w:bookmarkStart w:id="204" w:name="_Toc406402991"/>
      <w:bookmarkStart w:id="205" w:name="_Toc402963085"/>
      <w:r>
        <w:rPr>
          <w:rFonts w:hint="eastAsia" w:ascii="宋体" w:hAnsi="宋体"/>
          <w:b/>
          <w:color w:val="000000" w:themeColor="text1"/>
          <w:szCs w:val="21"/>
          <w:highlight w:val="none"/>
          <w14:textFill>
            <w14:solidFill>
              <w14:schemeClr w14:val="tx1"/>
            </w14:solidFill>
          </w14:textFill>
        </w:rPr>
        <w:t>（三）投标报价</w:t>
      </w:r>
      <w:bookmarkEnd w:id="197"/>
      <w:bookmarkEnd w:id="198"/>
      <w:bookmarkEnd w:id="199"/>
      <w:bookmarkEnd w:id="200"/>
      <w:bookmarkEnd w:id="201"/>
      <w:bookmarkEnd w:id="202"/>
      <w:bookmarkEnd w:id="203"/>
      <w:bookmarkEnd w:id="204"/>
      <w:bookmarkEnd w:id="205"/>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1</w:t>
      </w:r>
      <w:r>
        <w:rPr>
          <w:rFonts w:hint="eastAsia" w:hAnsi="宋体"/>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投标报价应按招标文件中相关附表格式填写。</w:t>
      </w: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2</w:t>
      </w:r>
      <w:r>
        <w:rPr>
          <w:rFonts w:hint="eastAsia" w:hAnsi="宋体"/>
          <w:color w:val="000000" w:themeColor="text1"/>
          <w:szCs w:val="21"/>
          <w:highlight w:val="none"/>
          <w14:textFill>
            <w14:solidFill>
              <w14:schemeClr w14:val="tx1"/>
            </w14:solidFill>
          </w14:textFill>
        </w:rPr>
        <w:t>、</w:t>
      </w:r>
      <w:r>
        <w:rPr>
          <w:rFonts w:hint="eastAsia" w:hAnsi="宋体"/>
          <w:b/>
          <w:color w:val="000000" w:themeColor="text1"/>
          <w:szCs w:val="21"/>
          <w:highlight w:val="none"/>
          <w14:textFill>
            <w14:solidFill>
              <w14:schemeClr w14:val="tx1"/>
            </w14:solidFill>
          </w14:textFill>
        </w:rPr>
        <w:t>投标报价是必须包括提供项目服务所需的一切人员费用（人员工资、奖金、各种加班费、各种社会保险（基本养老保险、基本医疗保险、工伤保险、失业保险、公积金等）、食宿与交通、高温补偿费）、货款、管理费用（意外保险、车辆、培训、税费、利润等完成合同所需的一切本身和不可或缺的所有工作开支、政策性文件规定及合同包含的所有风险、责任等各项全部费用并承担一切风险责任。</w:t>
      </w: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3</w:t>
      </w:r>
      <w:r>
        <w:rPr>
          <w:rFonts w:hint="eastAsia" w:hAnsi="宋体"/>
          <w:color w:val="000000" w:themeColor="text1"/>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投标文件只允许有一个报价，有选择的</w:t>
      </w:r>
      <w:r>
        <w:rPr>
          <w:rFonts w:hint="eastAsia" w:hAnsi="宋体"/>
          <w:color w:val="000000" w:themeColor="text1"/>
          <w:szCs w:val="21"/>
          <w:highlight w:val="none"/>
          <w14:textFill>
            <w14:solidFill>
              <w14:schemeClr w14:val="tx1"/>
            </w14:solidFill>
          </w14:textFill>
        </w:rPr>
        <w:t>或有条件的</w:t>
      </w:r>
      <w:r>
        <w:rPr>
          <w:rFonts w:hAnsi="宋体"/>
          <w:color w:val="000000" w:themeColor="text1"/>
          <w:szCs w:val="21"/>
          <w:highlight w:val="none"/>
          <w14:textFill>
            <w14:solidFill>
              <w14:schemeClr w14:val="tx1"/>
            </w14:solidFill>
          </w14:textFill>
        </w:rPr>
        <w:t>报价将不予接受。</w:t>
      </w:r>
    </w:p>
    <w:p>
      <w:pPr>
        <w:pStyle w:val="14"/>
        <w:widowControl w:val="0"/>
        <w:tabs>
          <w:tab w:val="clear" w:pos="454"/>
        </w:tabs>
        <w:snapToGrid w:val="0"/>
        <w:spacing w:afterLines="0" w:line="360" w:lineRule="auto"/>
        <w:ind w:left="0"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（四）投标文件的有效期</w:t>
      </w:r>
    </w:p>
    <w:p>
      <w:pPr>
        <w:pStyle w:val="14"/>
        <w:widowControl w:val="0"/>
        <w:tabs>
          <w:tab w:val="left" w:pos="4500"/>
          <w:tab w:val="clear" w:pos="454"/>
        </w:tabs>
        <w:snapToGrid w:val="0"/>
        <w:spacing w:afterLines="0" w:line="360" w:lineRule="auto"/>
        <w:ind w:left="0" w:firstLine="420" w:firstLine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自投标截止日起</w:t>
      </w:r>
      <w:r>
        <w:rPr>
          <w:rFonts w:hint="eastAsia" w:ascii="宋体" w:hAnsi="宋体"/>
          <w:color w:val="000000" w:themeColor="text1"/>
          <w:sz w:val="21"/>
          <w:szCs w:val="21"/>
          <w:highlight w:val="none"/>
          <w:u w:val="single"/>
          <w14:textFill>
            <w14:solidFill>
              <w14:schemeClr w14:val="tx1"/>
            </w14:solidFill>
          </w14:textFill>
        </w:rPr>
        <w:t>90</w:t>
      </w:r>
      <w:r>
        <w:rPr>
          <w:rFonts w:ascii="宋体" w:hAnsi="宋体"/>
          <w:color w:val="000000" w:themeColor="text1"/>
          <w:sz w:val="21"/>
          <w:szCs w:val="21"/>
          <w:highlight w:val="none"/>
          <w14:textFill>
            <w14:solidFill>
              <w14:schemeClr w14:val="tx1"/>
            </w14:solidFill>
          </w14:textFill>
        </w:rPr>
        <w:t>天投标</w:t>
      </w:r>
      <w:r>
        <w:rPr>
          <w:rFonts w:hint="eastAsia" w:ascii="宋体" w:hAnsi="宋体"/>
          <w:color w:val="000000" w:themeColor="text1"/>
          <w:sz w:val="21"/>
          <w:szCs w:val="21"/>
          <w:highlight w:val="none"/>
          <w14:textFill>
            <w14:solidFill>
              <w14:schemeClr w14:val="tx1"/>
            </w14:solidFill>
          </w14:textFill>
        </w:rPr>
        <w:t>文件</w:t>
      </w:r>
      <w:r>
        <w:rPr>
          <w:rFonts w:ascii="宋体" w:hAnsi="宋体"/>
          <w:color w:val="000000" w:themeColor="text1"/>
          <w:sz w:val="21"/>
          <w:szCs w:val="21"/>
          <w:highlight w:val="none"/>
          <w14:textFill>
            <w14:solidFill>
              <w14:schemeClr w14:val="tx1"/>
            </w14:solidFill>
          </w14:textFill>
        </w:rPr>
        <w:t>应保持有效。有效期</w:t>
      </w:r>
      <w:r>
        <w:rPr>
          <w:rFonts w:hint="eastAsia" w:ascii="宋体" w:hAnsi="宋体"/>
          <w:color w:val="000000" w:themeColor="text1"/>
          <w:sz w:val="21"/>
          <w:szCs w:val="21"/>
          <w:highlight w:val="none"/>
          <w14:textFill>
            <w14:solidFill>
              <w14:schemeClr w14:val="tx1"/>
            </w14:solidFill>
          </w14:textFill>
        </w:rPr>
        <w:t>不足</w:t>
      </w:r>
      <w:r>
        <w:rPr>
          <w:rFonts w:ascii="宋体" w:hAnsi="宋体"/>
          <w:color w:val="000000" w:themeColor="text1"/>
          <w:sz w:val="21"/>
          <w:szCs w:val="21"/>
          <w:highlight w:val="none"/>
          <w14:textFill>
            <w14:solidFill>
              <w14:schemeClr w14:val="tx1"/>
            </w14:solidFill>
          </w14:textFill>
        </w:rPr>
        <w:t>的投标</w:t>
      </w:r>
      <w:r>
        <w:rPr>
          <w:rFonts w:hint="eastAsia" w:ascii="宋体" w:hAnsi="宋体"/>
          <w:color w:val="000000" w:themeColor="text1"/>
          <w:sz w:val="21"/>
          <w:szCs w:val="21"/>
          <w:highlight w:val="none"/>
          <w14:textFill>
            <w14:solidFill>
              <w14:schemeClr w14:val="tx1"/>
            </w14:solidFill>
          </w14:textFill>
        </w:rPr>
        <w:t>文件</w:t>
      </w:r>
      <w:r>
        <w:rPr>
          <w:rFonts w:ascii="宋体" w:hAnsi="宋体"/>
          <w:color w:val="000000" w:themeColor="text1"/>
          <w:sz w:val="21"/>
          <w:szCs w:val="21"/>
          <w:highlight w:val="none"/>
          <w14:textFill>
            <w14:solidFill>
              <w14:schemeClr w14:val="tx1"/>
            </w14:solidFill>
          </w14:textFill>
        </w:rPr>
        <w:t>将被拒绝。</w:t>
      </w:r>
    </w:p>
    <w:p>
      <w:pPr>
        <w:pStyle w:val="14"/>
        <w:widowControl w:val="0"/>
        <w:tabs>
          <w:tab w:val="clear" w:pos="454"/>
        </w:tabs>
        <w:snapToGrid w:val="0"/>
        <w:spacing w:afterLines="0" w:line="360" w:lineRule="auto"/>
        <w:ind w:left="0" w:firstLine="420" w:firstLineChars="2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在特殊情况下，</w:t>
      </w:r>
      <w:r>
        <w:rPr>
          <w:rFonts w:hint="eastAsia" w:ascii="宋体" w:hAnsi="宋体"/>
          <w:color w:val="000000" w:themeColor="text1"/>
          <w:sz w:val="21"/>
          <w:szCs w:val="21"/>
          <w:highlight w:val="none"/>
          <w14:textFill>
            <w14:solidFill>
              <w14:schemeClr w14:val="tx1"/>
            </w14:solidFill>
          </w14:textFill>
        </w:rPr>
        <w:t>采购人</w:t>
      </w:r>
      <w:r>
        <w:rPr>
          <w:rFonts w:ascii="宋体" w:hAnsi="宋体"/>
          <w:color w:val="000000" w:themeColor="text1"/>
          <w:sz w:val="21"/>
          <w:szCs w:val="21"/>
          <w:highlight w:val="none"/>
          <w14:textFill>
            <w14:solidFill>
              <w14:schemeClr w14:val="tx1"/>
            </w14:solidFill>
          </w14:textFill>
        </w:rPr>
        <w:t>可与投标人协商延长投标书的有效期，这种要求和答复均以书面形式进行。</w:t>
      </w:r>
    </w:p>
    <w:p>
      <w:pPr>
        <w:pStyle w:val="14"/>
        <w:widowControl w:val="0"/>
        <w:tabs>
          <w:tab w:val="left" w:pos="4500"/>
          <w:tab w:val="clear" w:pos="454"/>
        </w:tabs>
        <w:snapToGrid w:val="0"/>
        <w:spacing w:afterLines="0" w:line="360" w:lineRule="auto"/>
        <w:ind w:left="0" w:firstLine="420" w:firstLineChars="200"/>
        <w:rPr>
          <w:rFonts w:ascii="宋体" w:hAnsi="宋体"/>
          <w:color w:val="000000" w:themeColor="text1"/>
          <w:sz w:val="21"/>
          <w:szCs w:val="21"/>
          <w:highlight w:val="none"/>
          <w14:textFill>
            <w14:solidFill>
              <w14:schemeClr w14:val="tx1"/>
            </w14:solidFill>
          </w14:textFill>
        </w:rPr>
      </w:pPr>
      <w:bookmarkStart w:id="206" w:name="_Toc402963086"/>
      <w:bookmarkStart w:id="207" w:name="_Toc33535362"/>
      <w:bookmarkStart w:id="208" w:name="_Toc406402948"/>
      <w:bookmarkStart w:id="209" w:name="_Toc402963119"/>
      <w:bookmarkStart w:id="210" w:name="_Toc50012868"/>
      <w:bookmarkStart w:id="211" w:name="_Toc385854102"/>
      <w:bookmarkStart w:id="212" w:name="_Toc406402992"/>
      <w:bookmarkStart w:id="213" w:name="_Toc385854148"/>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投标人可拒绝接受延期要求。同意延长有效期的投标人不能修改投标文件。</w:t>
      </w:r>
      <w:bookmarkEnd w:id="206"/>
      <w:bookmarkEnd w:id="207"/>
      <w:bookmarkEnd w:id="208"/>
      <w:bookmarkEnd w:id="209"/>
      <w:bookmarkEnd w:id="210"/>
      <w:bookmarkEnd w:id="211"/>
      <w:bookmarkEnd w:id="212"/>
      <w:bookmarkEnd w:id="213"/>
    </w:p>
    <w:p>
      <w:pPr>
        <w:pStyle w:val="14"/>
        <w:widowControl w:val="0"/>
        <w:tabs>
          <w:tab w:val="left" w:pos="4500"/>
          <w:tab w:val="clear" w:pos="454"/>
        </w:tabs>
        <w:snapToGrid w:val="0"/>
        <w:spacing w:afterLines="0" w:line="360" w:lineRule="auto"/>
        <w:ind w:left="0" w:firstLine="420" w:firstLineChars="200"/>
        <w:rPr>
          <w:rFonts w:ascii="宋体" w:hAnsi="宋体"/>
          <w:color w:val="000000" w:themeColor="text1"/>
          <w:sz w:val="21"/>
          <w:szCs w:val="21"/>
          <w:highlight w:val="none"/>
          <w14:textFill>
            <w14:solidFill>
              <w14:schemeClr w14:val="tx1"/>
            </w14:solidFill>
          </w14:textFill>
        </w:rPr>
      </w:pPr>
      <w:bookmarkStart w:id="214" w:name="_Toc385854149"/>
      <w:bookmarkStart w:id="215" w:name="_Toc385854103"/>
      <w:bookmarkStart w:id="216" w:name="_Toc406402949"/>
      <w:bookmarkStart w:id="217" w:name="_Toc402963120"/>
      <w:bookmarkStart w:id="218" w:name="_Toc402963087"/>
      <w:bookmarkStart w:id="219" w:name="_Toc50012869"/>
      <w:bookmarkStart w:id="220" w:name="_Toc33535363"/>
      <w:bookmarkStart w:id="221" w:name="_Toc406402993"/>
      <w:r>
        <w:rPr>
          <w:rFonts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中标人的投标文件自开标之日起至合同履行完毕止均应保持有效。</w:t>
      </w:r>
      <w:bookmarkEnd w:id="214"/>
      <w:bookmarkEnd w:id="215"/>
      <w:bookmarkEnd w:id="216"/>
      <w:bookmarkEnd w:id="217"/>
      <w:bookmarkEnd w:id="218"/>
      <w:bookmarkEnd w:id="219"/>
      <w:bookmarkEnd w:id="220"/>
      <w:bookmarkEnd w:id="221"/>
    </w:p>
    <w:p>
      <w:pPr>
        <w:snapToGrid w:val="0"/>
        <w:spacing w:line="360" w:lineRule="auto"/>
        <w:ind w:firstLine="422" w:firstLineChars="200"/>
        <w:jc w:val="left"/>
        <w:outlineLvl w:val="0"/>
        <w:rPr>
          <w:rFonts w:ascii="宋体" w:hAnsi="宋体"/>
          <w:b/>
          <w:color w:val="000000" w:themeColor="text1"/>
          <w:szCs w:val="21"/>
          <w:highlight w:val="none"/>
          <w14:textFill>
            <w14:solidFill>
              <w14:schemeClr w14:val="tx1"/>
            </w14:solidFill>
          </w14:textFill>
        </w:rPr>
      </w:pPr>
      <w:bookmarkStart w:id="222" w:name="_Toc402963122"/>
      <w:bookmarkStart w:id="223" w:name="_Toc16226"/>
      <w:bookmarkStart w:id="224" w:name="_Toc406402995"/>
      <w:bookmarkStart w:id="225" w:name="_Toc385854105"/>
      <w:bookmarkStart w:id="226" w:name="_Toc50012870"/>
      <w:bookmarkStart w:id="227" w:name="_Toc406402951"/>
      <w:bookmarkStart w:id="228" w:name="_Toc33535364"/>
      <w:bookmarkStart w:id="229" w:name="_Toc402963089"/>
      <w:bookmarkStart w:id="230" w:name="_Toc385854151"/>
      <w:r>
        <w:rPr>
          <w:rFonts w:hint="eastAsia" w:ascii="宋体" w:hAnsi="宋体"/>
          <w:b/>
          <w:color w:val="000000" w:themeColor="text1"/>
          <w:szCs w:val="21"/>
          <w:highlight w:val="none"/>
          <w14:textFill>
            <w14:solidFill>
              <w14:schemeClr w14:val="tx1"/>
            </w14:solidFill>
          </w14:textFill>
        </w:rPr>
        <w:t>（五）投标文件的签署和份数</w:t>
      </w:r>
      <w:bookmarkEnd w:id="222"/>
      <w:bookmarkEnd w:id="223"/>
      <w:bookmarkEnd w:id="224"/>
      <w:bookmarkEnd w:id="225"/>
      <w:bookmarkEnd w:id="226"/>
      <w:bookmarkEnd w:id="227"/>
      <w:bookmarkEnd w:id="228"/>
      <w:bookmarkEnd w:id="229"/>
      <w:bookmarkEnd w:id="230"/>
    </w:p>
    <w:p>
      <w:pPr>
        <w:wordWrap w:val="0"/>
        <w:snapToGrid w:val="0"/>
        <w:spacing w:line="360" w:lineRule="auto"/>
        <w:ind w:firstLine="420" w:firstLineChars="200"/>
        <w:jc w:val="left"/>
        <w:rPr>
          <w:rFonts w:ascii="宋体" w:hAnsi="宋体"/>
          <w:color w:val="000000" w:themeColor="text1"/>
          <w:highlight w:val="none"/>
          <w14:textFill>
            <w14:solidFill>
              <w14:schemeClr w14:val="tx1"/>
            </w14:solidFill>
          </w14:textFill>
        </w:rPr>
      </w:pPr>
      <w:bookmarkStart w:id="231" w:name="_Toc33535368"/>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投标人应</w:t>
      </w:r>
      <w:r>
        <w:rPr>
          <w:rFonts w:hint="eastAsia" w:ascii="宋体" w:hAnsi="宋体"/>
          <w:color w:val="000000" w:themeColor="text1"/>
          <w:highlight w:val="none"/>
          <w14:textFill>
            <w14:solidFill>
              <w14:schemeClr w14:val="tx1"/>
            </w14:solidFill>
          </w14:textFill>
        </w:rPr>
        <w:t>按</w:t>
      </w:r>
      <w:r>
        <w:rPr>
          <w:rFonts w:ascii="宋体" w:hAnsi="宋体"/>
          <w:color w:val="000000" w:themeColor="text1"/>
          <w:highlight w:val="none"/>
          <w14:textFill>
            <w14:solidFill>
              <w14:schemeClr w14:val="tx1"/>
            </w14:solidFill>
          </w14:textFill>
        </w:rPr>
        <w:t>本招标文件规定的格式和顺序编制、装订投标文件</w:t>
      </w:r>
      <w:r>
        <w:rPr>
          <w:rFonts w:hint="eastAsia" w:ascii="宋体" w:hAnsi="宋体"/>
          <w:color w:val="000000" w:themeColor="text1"/>
          <w:highlight w:val="none"/>
          <w14:textFill>
            <w14:solidFill>
              <w14:schemeClr w14:val="tx1"/>
            </w14:solidFill>
          </w14:textFill>
        </w:rPr>
        <w:t>并标注页码</w:t>
      </w:r>
      <w:r>
        <w:rPr>
          <w:rFonts w:ascii="宋体" w:hAnsi="宋体"/>
          <w:color w:val="000000" w:themeColor="text1"/>
          <w:highlight w:val="none"/>
          <w14:textFill>
            <w14:solidFill>
              <w14:schemeClr w14:val="tx1"/>
            </w14:solidFill>
          </w14:textFill>
        </w:rPr>
        <w:t>，投标文件内容不完整、编排混乱导致投标文件被误读、漏读或者查找不到相关内容的，是投标人的责任。</w:t>
      </w:r>
    </w:p>
    <w:p>
      <w:pPr>
        <w:tabs>
          <w:tab w:val="left" w:pos="4820"/>
        </w:tabs>
        <w:wordWrap w:val="0"/>
        <w:snapToGrid w:val="0"/>
        <w:spacing w:line="360" w:lineRule="auto"/>
        <w:ind w:firstLine="420" w:firstLineChars="200"/>
        <w:jc w:val="lef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w:t>
      </w:r>
      <w:r>
        <w:rPr>
          <w:rFonts w:hint="eastAsia" w:ascii="Calibri" w:hAnsi="Calibri"/>
          <w:color w:val="000000" w:themeColor="text1"/>
          <w:sz w:val="22"/>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投标人应按</w:t>
      </w:r>
      <w:r>
        <w:rPr>
          <w:rFonts w:hint="eastAsia" w:ascii="宋体" w:hAnsi="宋体"/>
          <w:color w:val="000000" w:themeColor="text1"/>
          <w:highlight w:val="none"/>
          <w14:textFill>
            <w14:solidFill>
              <w14:schemeClr w14:val="tx1"/>
            </w14:solidFill>
          </w14:textFill>
        </w:rPr>
        <w:t>报价文件、资信商务及技术文件的顺序</w:t>
      </w:r>
      <w:r>
        <w:rPr>
          <w:rFonts w:hint="eastAsia" w:ascii="宋体" w:hAnsi="宋体"/>
          <w:b/>
          <w:bCs/>
          <w:color w:val="000000" w:themeColor="text1"/>
          <w:highlight w:val="none"/>
          <w:u w:val="single"/>
          <w14:textFill>
            <w14:solidFill>
              <w14:schemeClr w14:val="tx1"/>
            </w14:solidFill>
          </w14:textFill>
        </w:rPr>
        <w:t>分别单独</w:t>
      </w:r>
      <w:r>
        <w:rPr>
          <w:rFonts w:hint="eastAsia" w:ascii="宋体" w:hAnsi="宋体"/>
          <w:color w:val="000000" w:themeColor="text1"/>
          <w:highlight w:val="none"/>
          <w14:textFill>
            <w14:solidFill>
              <w14:schemeClr w14:val="tx1"/>
            </w14:solidFill>
          </w14:textFill>
        </w:rPr>
        <w:t>装订成册，资信商务文件、技术文件可装订在一起），</w:t>
      </w:r>
      <w:r>
        <w:rPr>
          <w:rFonts w:hint="eastAsia" w:ascii="宋体" w:hAnsi="宋体"/>
          <w:b/>
          <w:color w:val="000000" w:themeColor="text1"/>
          <w:highlight w:val="none"/>
          <w:u w:val="single"/>
          <w14:textFill>
            <w14:solidFill>
              <w14:schemeClr w14:val="tx1"/>
            </w14:solidFill>
          </w14:textFill>
        </w:rPr>
        <w:t>投标报价文件单独装订成册</w:t>
      </w:r>
      <w:r>
        <w:rPr>
          <w:rFonts w:hint="eastAsia" w:ascii="宋体" w:hAnsi="宋体"/>
          <w:b/>
          <w:bCs/>
          <w:color w:val="000000" w:themeColor="text1"/>
          <w:szCs w:val="21"/>
          <w:highlight w:val="none"/>
          <w:u w:val="single"/>
          <w14:textFill>
            <w14:solidFill>
              <w14:schemeClr w14:val="tx1"/>
            </w14:solidFill>
          </w14:textFill>
        </w:rPr>
        <w:t>（电子文件密封在报价文件内）</w:t>
      </w:r>
      <w:r>
        <w:rPr>
          <w:rFonts w:hint="eastAsia" w:ascii="宋体" w:hAnsi="宋体"/>
          <w:color w:val="000000" w:themeColor="text1"/>
          <w:highlight w:val="none"/>
          <w14:textFill>
            <w14:solidFill>
              <w14:schemeClr w14:val="tx1"/>
            </w14:solidFill>
          </w14:textFill>
        </w:rPr>
        <w:t>。所有投标文件正本各</w:t>
      </w:r>
      <w:r>
        <w:rPr>
          <w:rFonts w:hint="eastAsia" w:ascii="宋体" w:hAnsi="宋体"/>
          <w:color w:val="000000" w:themeColor="text1"/>
          <w:highlight w:val="none"/>
          <w:u w:val="single"/>
          <w14:textFill>
            <w14:solidFill>
              <w14:schemeClr w14:val="tx1"/>
            </w14:solidFill>
          </w14:textFill>
        </w:rPr>
        <w:t xml:space="preserve"> 1</w:t>
      </w:r>
      <w:r>
        <w:rPr>
          <w:rFonts w:hint="eastAsia" w:ascii="宋体" w:hAnsi="宋体"/>
          <w:color w:val="000000" w:themeColor="text1"/>
          <w:highlight w:val="none"/>
          <w14:textFill>
            <w14:solidFill>
              <w14:schemeClr w14:val="tx1"/>
            </w14:solidFill>
          </w14:textFill>
        </w:rPr>
        <w:t>份，副本各</w:t>
      </w:r>
      <w:r>
        <w:rPr>
          <w:rFonts w:hint="eastAsia" w:ascii="宋体" w:hAnsi="宋体"/>
          <w:color w:val="000000" w:themeColor="text1"/>
          <w:highlight w:val="none"/>
          <w:u w:val="singl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份。提供电子文档一份（光盘/u盘），电子文件密封在资信商务及技术文件中。投标文件的封面应注明“正本”、“副本”字样。未装订的投标文件将被拒绝。</w:t>
      </w:r>
    </w:p>
    <w:p>
      <w:pPr>
        <w:wordWrap w:val="0"/>
        <w:snapToGrid w:val="0"/>
        <w:spacing w:line="360" w:lineRule="auto"/>
        <w:ind w:firstLine="420" w:firstLineChars="200"/>
        <w:jc w:val="lef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投标文件的正本需打印或用不褪色的墨水填写，投标文件正本除本</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投标人须知</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中规定的可提供复印件外均须提供原件。副本为正本的复印件。</w:t>
      </w:r>
    </w:p>
    <w:p>
      <w:pPr>
        <w:wordWrap w:val="0"/>
        <w:snapToGrid w:val="0"/>
        <w:spacing w:line="360" w:lineRule="auto"/>
        <w:ind w:firstLine="420" w:firstLineChars="200"/>
        <w:jc w:val="lef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w:t>
      </w:r>
      <w:r>
        <w:rPr>
          <w:rFonts w:hint="eastAsia" w:ascii="Calibri" w:hAnsi="Calibri"/>
          <w:color w:val="000000" w:themeColor="text1"/>
          <w:sz w:val="22"/>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投标文件须由投标人在规定位置盖章并由法定代表人或法定代表</w:t>
      </w:r>
      <w:r>
        <w:rPr>
          <w:rFonts w:hint="eastAsia" w:ascii="宋体" w:hAnsi="宋体"/>
          <w:color w:val="000000" w:themeColor="text1"/>
          <w:highlight w:val="none"/>
          <w14:textFill>
            <w14:solidFill>
              <w14:schemeClr w14:val="tx1"/>
            </w14:solidFill>
          </w14:textFill>
        </w:rPr>
        <w:t>人的</w:t>
      </w:r>
      <w:r>
        <w:rPr>
          <w:rFonts w:ascii="宋体" w:hAnsi="宋体"/>
          <w:color w:val="000000" w:themeColor="text1"/>
          <w:highlight w:val="none"/>
          <w14:textFill>
            <w14:solidFill>
              <w14:schemeClr w14:val="tx1"/>
            </w14:solidFill>
          </w14:textFill>
        </w:rPr>
        <w:t>授权</w:t>
      </w:r>
      <w:r>
        <w:rPr>
          <w:rFonts w:hint="eastAsia" w:ascii="宋体" w:hAnsi="宋体"/>
          <w:color w:val="000000" w:themeColor="text1"/>
          <w:highlight w:val="none"/>
          <w14:textFill>
            <w14:solidFill>
              <w14:schemeClr w14:val="tx1"/>
            </w14:solidFill>
          </w14:textFill>
        </w:rPr>
        <w:t>委托</w:t>
      </w:r>
      <w:r>
        <w:rPr>
          <w:rFonts w:ascii="宋体" w:hAnsi="宋体"/>
          <w:color w:val="000000" w:themeColor="text1"/>
          <w:highlight w:val="none"/>
          <w14:textFill>
            <w14:solidFill>
              <w14:schemeClr w14:val="tx1"/>
            </w14:solidFill>
          </w14:textFill>
        </w:rPr>
        <w:t>人签署，投标人应写全称。</w:t>
      </w:r>
    </w:p>
    <w:p>
      <w:pPr>
        <w:snapToGrid w:val="0"/>
        <w:spacing w:line="360" w:lineRule="auto"/>
        <w:ind w:firstLine="420" w:firstLineChars="200"/>
        <w:jc w:val="left"/>
        <w:outlineLvl w:val="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14:textFill>
            <w14:solidFill>
              <w14:schemeClr w14:val="tx1"/>
            </w14:solidFill>
          </w14:textFill>
        </w:rPr>
        <w:t>、</w:t>
      </w:r>
      <w:r>
        <w:rPr>
          <w:rFonts w:hint="eastAsia" w:ascii="Calibri" w:hAnsi="Calibri"/>
          <w:color w:val="000000" w:themeColor="text1"/>
          <w:sz w:val="22"/>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投标文件不得涂改，若有修改错漏处，须加盖单位公章或者法定代表人或法定代表</w:t>
      </w:r>
      <w:r>
        <w:rPr>
          <w:rFonts w:hint="eastAsia" w:ascii="宋体" w:hAnsi="宋体"/>
          <w:color w:val="000000" w:themeColor="text1"/>
          <w:highlight w:val="none"/>
          <w14:textFill>
            <w14:solidFill>
              <w14:schemeClr w14:val="tx1"/>
            </w14:solidFill>
          </w14:textFill>
        </w:rPr>
        <w:t>人的</w:t>
      </w:r>
      <w:r>
        <w:rPr>
          <w:rFonts w:ascii="宋体" w:hAnsi="宋体"/>
          <w:color w:val="000000" w:themeColor="text1"/>
          <w:highlight w:val="none"/>
          <w14:textFill>
            <w14:solidFill>
              <w14:schemeClr w14:val="tx1"/>
            </w14:solidFill>
          </w14:textFill>
        </w:rPr>
        <w:t>授权委托人签字或盖章。投标文件因字迹潦草或表达不清所引起的后果由投标人负责。</w:t>
      </w:r>
    </w:p>
    <w:p>
      <w:pPr>
        <w:wordWrap w:val="0"/>
        <w:spacing w:line="360" w:lineRule="auto"/>
        <w:ind w:firstLine="413"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（六）投标文件的包装、递交、修改和撤回</w:t>
      </w:r>
    </w:p>
    <w:p>
      <w:pPr>
        <w:wordWrap w:val="0"/>
        <w:snapToGrid w:val="0"/>
        <w:spacing w:line="360" w:lineRule="auto"/>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1、投标人应按报价文件、资信商务及技术文件二部分</w:t>
      </w:r>
      <w:r>
        <w:rPr>
          <w:rFonts w:hint="eastAsia" w:ascii="宋体" w:hAnsi="宋体"/>
          <w:b/>
          <w:bCs/>
          <w:color w:val="000000" w:themeColor="text1"/>
          <w:sz w:val="24"/>
          <w:highlight w:val="none"/>
          <w:u w:val="single"/>
          <w14:textFill>
            <w14:solidFill>
              <w14:schemeClr w14:val="tx1"/>
            </w14:solidFill>
          </w14:textFill>
        </w:rPr>
        <w:t>分别</w:t>
      </w:r>
      <w:r>
        <w:rPr>
          <w:rFonts w:hint="eastAsia" w:ascii="宋体" w:hAnsi="宋体"/>
          <w:color w:val="000000" w:themeColor="text1"/>
          <w:highlight w:val="none"/>
          <w14:textFill>
            <w14:solidFill>
              <w14:schemeClr w14:val="tx1"/>
            </w14:solidFill>
          </w14:textFill>
        </w:rPr>
        <w:t>密封封装投标文件。投标文件的包装封面上应注明投标人名称、投标人地址、投标文件名称（报价文件、资信商务及技术文件等）、投标项目名称、项目编号、标项及“开标时启封”字样，并加投标人公章。</w:t>
      </w:r>
    </w:p>
    <w:p>
      <w:pPr>
        <w:wordWrap w:val="0"/>
        <w:snapToGrid w:val="0"/>
        <w:spacing w:line="360" w:lineRule="auto"/>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2、未按规定密封或标记的投标文件将被拒绝，由此造成投标文件被误投或提前拆封的风险由投标人承担。</w:t>
      </w:r>
    </w:p>
    <w:p>
      <w:pPr>
        <w:wordWrap w:val="0"/>
        <w:snapToGrid w:val="0"/>
        <w:spacing w:line="360" w:lineRule="auto"/>
        <w:ind w:firstLine="420" w:firstLineChars="200"/>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napToGrid w:val="0"/>
        <w:spacing w:line="360" w:lineRule="auto"/>
        <w:ind w:firstLine="422" w:firstLineChars="200"/>
        <w:jc w:val="left"/>
        <w:outlineLvl w:val="0"/>
        <w:rPr>
          <w:rFonts w:ascii="宋体" w:hAnsi="宋体"/>
          <w:b/>
          <w:color w:val="000000" w:themeColor="text1"/>
          <w:szCs w:val="21"/>
          <w:highlight w:val="none"/>
          <w14:textFill>
            <w14:solidFill>
              <w14:schemeClr w14:val="tx1"/>
            </w14:solidFill>
          </w14:textFill>
        </w:rPr>
      </w:pPr>
      <w:bookmarkStart w:id="232" w:name="_Toc7277"/>
      <w:bookmarkStart w:id="233" w:name="_Toc50012882"/>
      <w:r>
        <w:rPr>
          <w:rFonts w:hint="eastAsia" w:ascii="宋体" w:hAnsi="宋体"/>
          <w:b/>
          <w:color w:val="000000" w:themeColor="text1"/>
          <w:szCs w:val="21"/>
          <w:highlight w:val="none"/>
          <w14:textFill>
            <w14:solidFill>
              <w14:schemeClr w14:val="tx1"/>
            </w14:solidFill>
          </w14:textFill>
        </w:rPr>
        <w:t>（七）投标无效的情形</w:t>
      </w:r>
      <w:bookmarkEnd w:id="231"/>
      <w:bookmarkEnd w:id="232"/>
      <w:bookmarkEnd w:id="233"/>
    </w:p>
    <w:p>
      <w:pPr>
        <w:wordWrap w:val="0"/>
        <w:snapToGrid w:val="0"/>
        <w:spacing w:line="360"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之前查核原件。限期内不补正或经补正后仍不符合招标文件要求的，应认定其投标无效。投标人修改、补正投标文件后，不影响评标委员会对其投标文件所作的评价和评分结果。</w:t>
      </w:r>
    </w:p>
    <w:p>
      <w:pPr>
        <w:adjustRightInd w:val="0"/>
        <w:snapToGrid w:val="0"/>
        <w:spacing w:line="400" w:lineRule="exact"/>
        <w:ind w:firstLine="422" w:firstLineChars="20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1、投标人资格审查</w:t>
      </w:r>
    </w:p>
    <w:p>
      <w:pPr>
        <w:adjustRightInd w:val="0"/>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采购代理机构</w:t>
      </w:r>
      <w:r>
        <w:rPr>
          <w:rFonts w:hint="eastAsia" w:ascii="宋体" w:hAnsi="宋体" w:cs="宋体"/>
          <w:color w:val="000000" w:themeColor="text1"/>
          <w:szCs w:val="21"/>
          <w:highlight w:val="none"/>
          <w14:textFill>
            <w14:solidFill>
              <w14:schemeClr w14:val="tx1"/>
            </w14:solidFill>
          </w14:textFill>
        </w:rPr>
        <w:t>首先对投标人进行资格审查，投标人通过资格审查必须符合本项目对投标人的资格要求。</w:t>
      </w:r>
      <w:r>
        <w:rPr>
          <w:rFonts w:hint="eastAsia" w:ascii="宋体" w:hAnsi="宋体" w:cs="宋体"/>
          <w:b/>
          <w:bCs/>
          <w:color w:val="000000" w:themeColor="text1"/>
          <w:szCs w:val="21"/>
          <w:highlight w:val="none"/>
          <w14:textFill>
            <w14:solidFill>
              <w14:schemeClr w14:val="tx1"/>
            </w14:solidFill>
          </w14:textFill>
        </w:rPr>
        <w:t>资格审查未通过的投标人，其投标文件将不再评审。</w:t>
      </w:r>
    </w:p>
    <w:p>
      <w:pPr>
        <w:adjustRightInd w:val="0"/>
        <w:snapToGrid w:val="0"/>
        <w:spacing w:line="400" w:lineRule="exact"/>
        <w:ind w:firstLine="422" w:firstLineChars="200"/>
        <w:jc w:val="lef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2、投标文件符合性审查</w:t>
      </w:r>
    </w:p>
    <w:p>
      <w:pPr>
        <w:adjustRightInd w:val="0"/>
        <w:snapToGrid w:val="0"/>
        <w:spacing w:line="40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评标委员会对已通过资格审查的投标人进行符合性审查，如发现下列情形之一的，投标文件应当被视为无效：</w:t>
      </w:r>
    </w:p>
    <w:p>
      <w:pPr>
        <w:spacing w:line="400" w:lineRule="exact"/>
        <w:ind w:firstLine="455" w:firstLineChars="21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（1）未按招标文件规定密封、签字、盖章的；</w:t>
      </w:r>
    </w:p>
    <w:p>
      <w:pPr>
        <w:spacing w:line="400" w:lineRule="exact"/>
        <w:ind w:firstLine="455" w:firstLineChars="21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（2）投标文件规定应有法定代表人签字的，无法定代表人签字，或未提供法定代表人授权委托书、投标声明书或者填写项目不齐全的；</w:t>
      </w:r>
    </w:p>
    <w:p>
      <w:pPr>
        <w:spacing w:line="400" w:lineRule="exact"/>
        <w:ind w:firstLine="455" w:firstLineChars="21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（3）投标文件格式不规范、项目不齐全或者内容虚假的；</w:t>
      </w:r>
    </w:p>
    <w:p>
      <w:pPr>
        <w:spacing w:line="400" w:lineRule="exact"/>
        <w:ind w:firstLine="455" w:firstLineChars="21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（4）投标文件的实质性内容未使用中文表述、意思表述不明确、前后矛盾或者使用计量单位不符合招标文件要求的（经评标委员会认定允许其当场更正的笔误除外）；</w:t>
      </w:r>
    </w:p>
    <w:p>
      <w:pPr>
        <w:spacing w:line="400" w:lineRule="exact"/>
        <w:ind w:firstLine="455" w:firstLineChars="21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（5）投标文件的关键内容字迹模糊、无法辨认的，或者投标文件中经修正的内容字迹模糊难以辨认或者修改处未按规定签名盖章的；</w:t>
      </w:r>
    </w:p>
    <w:p>
      <w:pPr>
        <w:spacing w:line="400" w:lineRule="exact"/>
        <w:ind w:firstLine="455" w:firstLineChars="21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（6）投标有效期不能满足招标文件要求的；</w:t>
      </w:r>
    </w:p>
    <w:p>
      <w:pPr>
        <w:spacing w:line="400" w:lineRule="exact"/>
        <w:ind w:firstLine="455" w:firstLineChars="21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（7）明显不符合招标文件要求的或者与招标文件中标“▲”的招标要求发生实质性偏离的；</w:t>
      </w:r>
    </w:p>
    <w:p>
      <w:pPr>
        <w:spacing w:line="400" w:lineRule="exact"/>
        <w:ind w:firstLine="455" w:firstLineChars="21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（8）投标文件含有采购人不能接受的附加条件的；</w:t>
      </w:r>
    </w:p>
    <w:p>
      <w:pPr>
        <w:spacing w:line="400" w:lineRule="exact"/>
        <w:ind w:firstLine="455" w:firstLineChars="21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（9）法律、法规和招标文件规定的其他无效情形。</w:t>
      </w:r>
    </w:p>
    <w:p>
      <w:pPr>
        <w:spacing w:line="400" w:lineRule="exact"/>
        <w:ind w:firstLine="457" w:firstLineChars="217"/>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投标文件符合性审查未通过的投标人，其投标文件将不再评审。</w:t>
      </w:r>
    </w:p>
    <w:p>
      <w:pPr>
        <w:spacing w:line="400" w:lineRule="exact"/>
        <w:ind w:firstLine="457" w:firstLineChars="217"/>
        <w:rPr>
          <w:rFonts w:hAnsi="宋体"/>
          <w:b/>
          <w:bCs/>
          <w:color w:val="000000" w:themeColor="text1"/>
          <w:szCs w:val="21"/>
          <w:highlight w:val="none"/>
          <w14:textFill>
            <w14:solidFill>
              <w14:schemeClr w14:val="tx1"/>
            </w14:solidFill>
          </w14:textFill>
        </w:rPr>
      </w:pPr>
      <w:r>
        <w:rPr>
          <w:rFonts w:hAnsi="宋体"/>
          <w:b/>
          <w:bCs/>
          <w:color w:val="000000" w:themeColor="text1"/>
          <w:szCs w:val="21"/>
          <w:highlight w:val="none"/>
          <w14:textFill>
            <w14:solidFill>
              <w14:schemeClr w14:val="tx1"/>
            </w14:solidFill>
          </w14:textFill>
        </w:rPr>
        <w:t>3</w:t>
      </w:r>
      <w:r>
        <w:rPr>
          <w:rFonts w:hint="eastAsia" w:hAnsi="宋体"/>
          <w:b/>
          <w:bCs/>
          <w:color w:val="000000" w:themeColor="text1"/>
          <w:szCs w:val="21"/>
          <w:highlight w:val="none"/>
          <w14:textFill>
            <w14:solidFill>
              <w14:schemeClr w14:val="tx1"/>
            </w14:solidFill>
          </w14:textFill>
        </w:rPr>
        <w:t>、</w:t>
      </w:r>
      <w:r>
        <w:rPr>
          <w:rFonts w:hAnsi="宋体"/>
          <w:b/>
          <w:bCs/>
          <w:color w:val="000000" w:themeColor="text1"/>
          <w:szCs w:val="21"/>
          <w:highlight w:val="none"/>
          <w14:textFill>
            <w14:solidFill>
              <w14:schemeClr w14:val="tx1"/>
            </w14:solidFill>
          </w14:textFill>
        </w:rPr>
        <w:t>在报价评审时，如发现下列情形之一的，投标文件将被视为无效：</w:t>
      </w:r>
    </w:p>
    <w:p>
      <w:pPr>
        <w:pStyle w:val="25"/>
        <w:adjustRightInd w:val="0"/>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（1）未按招标文件规定密封、签字、盖章的；</w:t>
      </w:r>
    </w:p>
    <w:p>
      <w:pPr>
        <w:pStyle w:val="25"/>
        <w:adjustRightInd w:val="0"/>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（2）投标文件格式不规范、项目不齐全或者内容虚假的；</w:t>
      </w:r>
    </w:p>
    <w:p>
      <w:pPr>
        <w:pStyle w:val="25"/>
        <w:adjustRightInd w:val="0"/>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（3）投标文件的关键内容字迹模糊、无法辨认的，或者投标文件中经修正的内容字迹模糊难以辨认或者修改处未按规定签名盖章的；</w:t>
      </w:r>
    </w:p>
    <w:p>
      <w:pPr>
        <w:pStyle w:val="25"/>
        <w:adjustRightInd w:val="0"/>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w:t>
      </w:r>
      <w:r>
        <w:rPr>
          <w:rFonts w:hint="eastAsia" w:hAnsi="宋体" w:cs="宋体"/>
          <w:b/>
          <w:bCs/>
          <w:color w:val="000000" w:themeColor="text1"/>
          <w:szCs w:val="21"/>
          <w:highlight w:val="none"/>
          <w14:textFill>
            <w14:solidFill>
              <w14:schemeClr w14:val="tx1"/>
            </w14:solidFill>
          </w14:textFill>
        </w:rPr>
        <w:t>报价折扣率超过100%的；</w:t>
      </w:r>
    </w:p>
    <w:p>
      <w:pPr>
        <w:pStyle w:val="25"/>
        <w:adjustRightInd w:val="0"/>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（5）未实质性响应招标文件要求或者投标文件有招标方不能接受的附加条件的；</w:t>
      </w:r>
    </w:p>
    <w:p>
      <w:pPr>
        <w:pStyle w:val="25"/>
        <w:adjustRightInd w:val="0"/>
        <w:snapToGrid w:val="0"/>
        <w:spacing w:line="40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（6）法律、法规和招标文件规定的其他无效情形。</w:t>
      </w:r>
    </w:p>
    <w:p>
      <w:pPr>
        <w:pStyle w:val="6"/>
        <w:snapToGrid w:val="0"/>
        <w:spacing w:line="360" w:lineRule="auto"/>
        <w:ind w:firstLine="406" w:firstLineChars="200"/>
        <w:jc w:val="left"/>
        <w:outlineLvl w:val="1"/>
        <w:rPr>
          <w:rFonts w:hAnsi="宋体"/>
          <w:b/>
          <w:snapToGrid w:val="0"/>
          <w:color w:val="000000" w:themeColor="text1"/>
          <w:sz w:val="21"/>
          <w:szCs w:val="21"/>
          <w:highlight w:val="none"/>
          <w14:textFill>
            <w14:solidFill>
              <w14:schemeClr w14:val="tx1"/>
            </w14:solidFill>
          </w14:textFill>
        </w:rPr>
      </w:pPr>
      <w:bookmarkStart w:id="234" w:name="_Toc33535369"/>
      <w:bookmarkStart w:id="235" w:name="_Toc50012885"/>
      <w:bookmarkStart w:id="236" w:name="_Toc9286"/>
      <w:r>
        <w:rPr>
          <w:rFonts w:hint="eastAsia" w:hAnsi="宋体"/>
          <w:b/>
          <w:color w:val="000000" w:themeColor="text1"/>
          <w:sz w:val="21"/>
          <w:szCs w:val="21"/>
          <w:highlight w:val="none"/>
          <w14:textFill>
            <w14:solidFill>
              <w14:schemeClr w14:val="tx1"/>
            </w14:solidFill>
          </w14:textFill>
        </w:rPr>
        <w:t>四、开标</w:t>
      </w:r>
      <w:bookmarkEnd w:id="234"/>
      <w:bookmarkEnd w:id="235"/>
      <w:bookmarkEnd w:id="236"/>
    </w:p>
    <w:p>
      <w:pPr>
        <w:wordWrap w:val="0"/>
        <w:spacing w:line="360" w:lineRule="auto"/>
        <w:ind w:firstLine="413"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1、开标准备</w:t>
      </w:r>
    </w:p>
    <w:p>
      <w:pPr>
        <w:pStyle w:val="25"/>
        <w:wordWrap w:val="0"/>
        <w:spacing w:line="360" w:lineRule="auto"/>
        <w:ind w:firstLine="480"/>
        <w:rPr>
          <w:rFonts w:hAnsi="宋体"/>
          <w:b/>
          <w:bCs/>
          <w:color w:val="000000" w:themeColor="text1"/>
          <w:szCs w:val="2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1.1、采购代理机构将在规定的时间和地点进行开标。</w:t>
      </w:r>
    </w:p>
    <w:p>
      <w:pPr>
        <w:wordWrap w:val="0"/>
        <w:spacing w:line="360" w:lineRule="auto"/>
        <w:ind w:firstLine="413"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2、开标程序</w:t>
      </w:r>
    </w:p>
    <w:p>
      <w:pPr>
        <w:pStyle w:val="25"/>
        <w:wordWrap w:val="0"/>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2.1、开标会由采购代理机构主持，主持人宣布开标会议开始；</w:t>
      </w:r>
    </w:p>
    <w:p>
      <w:pPr>
        <w:pStyle w:val="25"/>
        <w:wordWrap w:val="0"/>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2.2、介绍参加开标会的人员名单；</w:t>
      </w:r>
    </w:p>
    <w:p>
      <w:pPr>
        <w:pStyle w:val="25"/>
        <w:wordWrap w:val="0"/>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2.3、主持人宣布评标期间的有关事项；告知应当回避的情形,提请有关人员回避；</w:t>
      </w:r>
    </w:p>
    <w:p>
      <w:pPr>
        <w:pStyle w:val="25"/>
        <w:wordWrap w:val="0"/>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2.4、唱标及勘误：工作人员先拆封资信商务文件及技术文件，后拆封报价文件。按递交投标文件先后顺序拆封，打开各投标人提交的资信商务文件及技术文件外包装，清点投标文件正本、副本数量，送评标地点评审，其中密封的报价文件现场集中封存保管等候拆封，待评标委员会对资信商务文件及技术文件评审结束后开启报价文件；</w:t>
      </w:r>
    </w:p>
    <w:p>
      <w:pPr>
        <w:pStyle w:val="25"/>
        <w:wordWrap w:val="0"/>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2.5、宣布评标期间的有关事项；</w:t>
      </w:r>
    </w:p>
    <w:p>
      <w:pPr>
        <w:pStyle w:val="25"/>
        <w:wordWrap w:val="0"/>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2.6、开标会议结束。</w:t>
      </w:r>
    </w:p>
    <w:p>
      <w:pPr>
        <w:wordWrap w:val="0"/>
        <w:spacing w:line="360" w:lineRule="auto"/>
        <w:ind w:firstLine="413"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3、开标记录</w:t>
      </w:r>
    </w:p>
    <w:p>
      <w:pPr>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采购代理机构做开标记录,并由记录人签字确认。</w:t>
      </w:r>
    </w:p>
    <w:p>
      <w:pPr>
        <w:wordWrap w:val="0"/>
        <w:spacing w:line="360" w:lineRule="auto"/>
        <w:ind w:firstLine="413" w:firstLineChars="196"/>
        <w:rPr>
          <w:rFonts w:ascii="宋体" w:hAnsi="宋体"/>
          <w:b/>
          <w:color w:val="000000" w:themeColor="text1"/>
          <w:szCs w:val="21"/>
          <w:highlight w:val="none"/>
          <w14:textFill>
            <w14:solidFill>
              <w14:schemeClr w14:val="tx1"/>
            </w14:solidFill>
          </w14:textFill>
        </w:rPr>
      </w:pPr>
      <w:bookmarkStart w:id="237" w:name="_Toc33194393"/>
      <w:bookmarkStart w:id="238" w:name="_Toc24550037"/>
      <w:r>
        <w:rPr>
          <w:rFonts w:hint="eastAsia" w:ascii="宋体" w:hAnsi="宋体"/>
          <w:b/>
          <w:color w:val="000000" w:themeColor="text1"/>
          <w:szCs w:val="21"/>
          <w:highlight w:val="none"/>
          <w14:textFill>
            <w14:solidFill>
              <w14:schemeClr w14:val="tx1"/>
            </w14:solidFill>
          </w14:textFill>
        </w:rPr>
        <w:t>（四）</w:t>
      </w:r>
      <w:bookmarkEnd w:id="237"/>
      <w:bookmarkEnd w:id="238"/>
      <w:r>
        <w:rPr>
          <w:rFonts w:hint="eastAsia" w:ascii="宋体" w:hAnsi="宋体"/>
          <w:b/>
          <w:color w:val="000000" w:themeColor="text1"/>
          <w:szCs w:val="21"/>
          <w:highlight w:val="none"/>
          <w14:textFill>
            <w14:solidFill>
              <w14:schemeClr w14:val="tx1"/>
            </w14:solidFill>
          </w14:textFill>
        </w:rPr>
        <w:t>评标</w:t>
      </w:r>
    </w:p>
    <w:p>
      <w:pPr>
        <w:wordWrap w:val="0"/>
        <w:spacing w:line="360" w:lineRule="auto"/>
        <w:ind w:firstLine="413"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1、评标组织</w:t>
      </w:r>
    </w:p>
    <w:p>
      <w:pPr>
        <w:pStyle w:val="25"/>
        <w:wordWrap w:val="0"/>
        <w:spacing w:line="360" w:lineRule="auto"/>
        <w:ind w:left="630" w:leftChars="200" w:hanging="210" w:hangingChars="1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1.1、按照《中华人民共和国政府采购法》相关要求，本项目评标委员会成员由业主专家1名，以及在专家库中随机抽取的4人，共5人（含）组成。</w:t>
      </w:r>
    </w:p>
    <w:p>
      <w:pPr>
        <w:pStyle w:val="25"/>
        <w:wordWrap w:val="0"/>
        <w:spacing w:line="360" w:lineRule="auto"/>
        <w:ind w:left="630" w:leftChars="200" w:hanging="210" w:hangingChars="1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1.2、评标、决标全过程录音录像。</w:t>
      </w:r>
    </w:p>
    <w:p>
      <w:pPr>
        <w:wordWrap w:val="0"/>
        <w:spacing w:line="360" w:lineRule="auto"/>
        <w:ind w:firstLine="413"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2、评标的方式</w:t>
      </w:r>
    </w:p>
    <w:p>
      <w:pPr>
        <w:pStyle w:val="25"/>
        <w:wordWrap w:val="0"/>
        <w:spacing w:line="360" w:lineRule="auto"/>
        <w:ind w:left="630" w:leftChars="200" w:hanging="210" w:hangingChars="1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2.1、本采购项目采用不公开方式评标，评标的依据为招标文件和投标文件。</w:t>
      </w:r>
    </w:p>
    <w:p>
      <w:pPr>
        <w:wordWrap w:val="0"/>
        <w:spacing w:line="360" w:lineRule="auto"/>
        <w:ind w:firstLine="413"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3、评标程序</w:t>
      </w:r>
    </w:p>
    <w:p>
      <w:pPr>
        <w:pStyle w:val="25"/>
        <w:wordWrap w:val="0"/>
        <w:spacing w:line="360" w:lineRule="auto"/>
        <w:ind w:firstLine="48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3.1、形式审查:评标委员会将审查投标文件是否真实、完整,总体编排是否有序,文件签署是否正确等。</w:t>
      </w:r>
    </w:p>
    <w:p>
      <w:pPr>
        <w:pStyle w:val="25"/>
        <w:wordWrap w:val="0"/>
        <w:spacing w:line="360" w:lineRule="auto"/>
        <w:ind w:firstLine="48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3.2、实质审查与比较</w:t>
      </w:r>
    </w:p>
    <w:p>
      <w:pPr>
        <w:pStyle w:val="25"/>
        <w:wordWrap w:val="0"/>
        <w:spacing w:line="360" w:lineRule="auto"/>
        <w:ind w:firstLine="48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3.2.1、评标委员会审查投标文件的实质性内容是否符合招标文件的实质性要求。</w:t>
      </w:r>
    </w:p>
    <w:p>
      <w:pPr>
        <w:pStyle w:val="25"/>
        <w:wordWrap w:val="0"/>
        <w:spacing w:line="360" w:lineRule="auto"/>
        <w:ind w:firstLine="48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3.2.2、评标委员会将根据投标人的资信技术标书进行审查、核对,如有疑问,将对投标人进行询标,投标人要向评标委员会澄清有关问题,并最终以书面形式进行答复。</w:t>
      </w:r>
      <w:r>
        <w:rPr>
          <w:rFonts w:hAnsi="宋体"/>
          <w:color w:val="000000" w:themeColor="text1"/>
          <w:szCs w:val="21"/>
          <w:highlight w:val="none"/>
          <w14:textFill>
            <w14:solidFill>
              <w14:schemeClr w14:val="tx1"/>
            </w14:solidFill>
          </w14:textFill>
        </w:rPr>
        <w:t>询标</w:t>
      </w:r>
      <w:r>
        <w:rPr>
          <w:rFonts w:hint="eastAsia" w:hAnsi="宋体"/>
          <w:color w:val="000000" w:themeColor="text1"/>
          <w:szCs w:val="21"/>
          <w:highlight w:val="none"/>
          <w14:textFill>
            <w14:solidFill>
              <w14:schemeClr w14:val="tx1"/>
            </w14:solidFill>
          </w14:textFill>
        </w:rPr>
        <w:t>时，投标人代表未到场或者拒绝澄清或者澄清的内容改变了投标文件的实质性内容的，评标委员会有权对该投标文件作出不利于投标人的评判。</w:t>
      </w:r>
    </w:p>
    <w:p>
      <w:pPr>
        <w:pStyle w:val="25"/>
        <w:wordWrap w:val="0"/>
        <w:spacing w:line="360" w:lineRule="auto"/>
        <w:ind w:firstLine="48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3.2.3、</w:t>
      </w:r>
      <w:r>
        <w:rPr>
          <w:rFonts w:hAnsi="宋体"/>
          <w:color w:val="000000" w:themeColor="text1"/>
          <w:szCs w:val="21"/>
          <w:highlight w:val="none"/>
          <w14:textFill>
            <w14:solidFill>
              <w14:schemeClr w14:val="tx1"/>
            </w14:solidFill>
          </w14:textFill>
        </w:rPr>
        <w:t>各投标人的</w:t>
      </w:r>
      <w:r>
        <w:rPr>
          <w:rFonts w:hint="eastAsia" w:hAnsi="宋体"/>
          <w:color w:val="000000" w:themeColor="text1"/>
          <w:szCs w:val="21"/>
          <w:highlight w:val="none"/>
          <w14:textFill>
            <w14:solidFill>
              <w14:schemeClr w14:val="tx1"/>
            </w14:solidFill>
          </w14:textFill>
        </w:rPr>
        <w:t>资信技术分按照评标委员会成员的独立评分结果汇总后的算术平均分计算。</w:t>
      </w:r>
    </w:p>
    <w:p>
      <w:pPr>
        <w:pStyle w:val="25"/>
        <w:wordWrap w:val="0"/>
        <w:spacing w:line="360" w:lineRule="auto"/>
        <w:ind w:firstLine="48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3.2.4、评标委员会将根据投标人的报价文件进行审查、核对,如有疑问,将对投标人进行询标,投标人要向评标委员会澄清有关问题,并最终以书面形式进行答复。</w:t>
      </w:r>
    </w:p>
    <w:p>
      <w:pPr>
        <w:pStyle w:val="25"/>
        <w:wordWrap w:val="0"/>
        <w:spacing w:line="360" w:lineRule="auto"/>
        <w:ind w:firstLine="48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3.2.5、代理公司工作人员协助评标委员会根据本项目的评分标准计算各投标人的报价得分。对明显畸高、畸低的评分（其总评分偏离平均分30%以上的），评标委员会组长应提醒相关评审人员进行复核或书面说明理由，评审人员拒绝说明的，由招标代理机构人员据实记录；评审人员的评审、修改记录应保留原件，随项目其他资料一并存档。</w:t>
      </w:r>
    </w:p>
    <w:p>
      <w:pPr>
        <w:pStyle w:val="25"/>
        <w:wordWrap w:val="0"/>
        <w:spacing w:line="360" w:lineRule="auto"/>
        <w:ind w:firstLine="48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3.2.6、</w:t>
      </w:r>
      <w:r>
        <w:rPr>
          <w:rFonts w:hAnsi="宋体"/>
          <w:color w:val="000000" w:themeColor="text1"/>
          <w:szCs w:val="21"/>
          <w:highlight w:val="none"/>
          <w14:textFill>
            <w14:solidFill>
              <w14:schemeClr w14:val="tx1"/>
            </w14:solidFill>
          </w14:textFill>
        </w:rPr>
        <w:t>评标委员会完成评标后,评委对各部分得分汇总,</w:t>
      </w:r>
      <w:r>
        <w:rPr>
          <w:rFonts w:hint="eastAsia" w:hAnsi="宋体"/>
          <w:color w:val="000000" w:themeColor="text1"/>
          <w:szCs w:val="21"/>
          <w:highlight w:val="none"/>
          <w14:textFill>
            <w14:solidFill>
              <w14:schemeClr w14:val="tx1"/>
            </w14:solidFill>
          </w14:textFill>
        </w:rPr>
        <w:t>计算</w:t>
      </w:r>
      <w:r>
        <w:rPr>
          <w:rFonts w:hAnsi="宋体"/>
          <w:color w:val="000000" w:themeColor="text1"/>
          <w:szCs w:val="21"/>
          <w:highlight w:val="none"/>
          <w14:textFill>
            <w14:solidFill>
              <w14:schemeClr w14:val="tx1"/>
            </w14:solidFill>
          </w14:textFill>
        </w:rPr>
        <w:t>出本项目</w:t>
      </w:r>
      <w:r>
        <w:rPr>
          <w:rFonts w:hint="eastAsia" w:hAnsi="宋体"/>
          <w:color w:val="000000" w:themeColor="text1"/>
          <w:szCs w:val="21"/>
          <w:highlight w:val="none"/>
          <w14:textFill>
            <w14:solidFill>
              <w14:schemeClr w14:val="tx1"/>
            </w14:solidFill>
          </w14:textFill>
        </w:rPr>
        <w:t>最终得分、性价比、评标价等</w:t>
      </w:r>
      <w:r>
        <w:rPr>
          <w:rFonts w:hAnsi="宋体"/>
          <w:color w:val="000000" w:themeColor="text1"/>
          <w:szCs w:val="21"/>
          <w:highlight w:val="none"/>
          <w14:textFill>
            <w14:solidFill>
              <w14:schemeClr w14:val="tx1"/>
            </w14:solidFill>
          </w14:textFill>
        </w:rPr>
        <w:t>。评标委员会按评标原则推荐中标候选人同时起草评标报告。</w:t>
      </w:r>
    </w:p>
    <w:p>
      <w:pPr>
        <w:wordWrap w:val="0"/>
        <w:spacing w:line="360" w:lineRule="auto"/>
        <w:ind w:firstLine="413"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4、澄清问题的形式</w:t>
      </w:r>
    </w:p>
    <w:p>
      <w:pPr>
        <w:pStyle w:val="25"/>
        <w:wordWrap w:val="0"/>
        <w:spacing w:line="360" w:lineRule="auto"/>
        <w:ind w:firstLine="48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4.1、对投标文件中含义不明确、同类问题表述不一致或者有明显文字和计算错误的内容，评标委员会可以书面形式要求投标人作出必要的澄清、说明或者纠正。投标人的澄清、说明或者补正应当采用书面形式，由其法定代表人或委托代理人签字或盖章确认，并不得超出投标文件的范围或者改变投标文件的实质性内容。</w:t>
      </w:r>
    </w:p>
    <w:p>
      <w:pPr>
        <w:wordWrap w:val="0"/>
        <w:spacing w:line="360" w:lineRule="auto"/>
        <w:ind w:firstLine="413"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5、 错误修正</w:t>
      </w:r>
    </w:p>
    <w:p>
      <w:pPr>
        <w:pStyle w:val="25"/>
        <w:wordWrap w:val="0"/>
        <w:spacing w:line="360" w:lineRule="auto"/>
        <w:ind w:firstLine="48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投标文件如果出现计算或表达上的错误，修正错误的原则如下：</w:t>
      </w:r>
    </w:p>
    <w:p>
      <w:pPr>
        <w:pStyle w:val="25"/>
        <w:wordWrap w:val="0"/>
        <w:spacing w:line="360" w:lineRule="auto"/>
        <w:ind w:firstLine="48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5.1、开标时，投标文件中开标报价一览表</w:t>
      </w:r>
      <w:r>
        <w:rPr>
          <w:rFonts w:hAnsi="宋体"/>
          <w:color w:val="000000" w:themeColor="text1"/>
          <w:szCs w:val="21"/>
          <w:highlight w:val="none"/>
          <w14:textFill>
            <w14:solidFill>
              <w14:schemeClr w14:val="tx1"/>
            </w14:solidFill>
          </w14:textFill>
        </w:rPr>
        <w:t>内容与投标报价表中明细表内容不一致的，以</w:t>
      </w:r>
      <w:r>
        <w:rPr>
          <w:rFonts w:hint="eastAsia" w:hAnsi="宋体"/>
          <w:color w:val="000000" w:themeColor="text1"/>
          <w:szCs w:val="21"/>
          <w:highlight w:val="none"/>
          <w14:textFill>
            <w14:solidFill>
              <w14:schemeClr w14:val="tx1"/>
            </w14:solidFill>
          </w14:textFill>
        </w:rPr>
        <w:t>开标报价一览表</w:t>
      </w:r>
      <w:r>
        <w:rPr>
          <w:rFonts w:hAnsi="宋体"/>
          <w:color w:val="000000" w:themeColor="text1"/>
          <w:szCs w:val="21"/>
          <w:highlight w:val="none"/>
          <w14:textFill>
            <w14:solidFill>
              <w14:schemeClr w14:val="tx1"/>
            </w14:solidFill>
          </w14:textFill>
        </w:rPr>
        <w:t>为准。</w:t>
      </w:r>
    </w:p>
    <w:p>
      <w:pPr>
        <w:pStyle w:val="25"/>
        <w:wordWrap w:val="0"/>
        <w:spacing w:line="360" w:lineRule="auto"/>
        <w:ind w:firstLine="48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5.2、投标文件的大写金额和小写金额不一致的，以大写金额为准；</w:t>
      </w:r>
    </w:p>
    <w:p>
      <w:pPr>
        <w:pStyle w:val="25"/>
        <w:wordWrap w:val="0"/>
        <w:spacing w:line="360" w:lineRule="auto"/>
        <w:ind w:firstLine="48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5.3、总价金额与按单价汇总金额不一致的，以单价金额计算结果为准；</w:t>
      </w:r>
    </w:p>
    <w:p>
      <w:pPr>
        <w:pStyle w:val="25"/>
        <w:wordWrap w:val="0"/>
        <w:spacing w:line="360" w:lineRule="auto"/>
        <w:ind w:firstLine="48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5.4、对不同文字文本投标文件的解释发生异议的，以中文文本为准。</w:t>
      </w:r>
    </w:p>
    <w:p>
      <w:pPr>
        <w:pStyle w:val="25"/>
        <w:wordWrap w:val="0"/>
        <w:spacing w:line="360" w:lineRule="auto"/>
        <w:ind w:firstLine="48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5.5、按上述修正错误的原则及方法调整或修正投标文件的投标报价，投标人同意后，调整后的投标报价对投标人起约束作用。如果投标人不接受修正后的报价，则其投标将被拒绝。</w:t>
      </w:r>
    </w:p>
    <w:p>
      <w:pPr>
        <w:wordWrap w:val="0"/>
        <w:spacing w:line="360" w:lineRule="auto"/>
        <w:ind w:firstLine="413"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6、评标过程的保密性</w:t>
      </w:r>
    </w:p>
    <w:p>
      <w:pPr>
        <w:pStyle w:val="25"/>
        <w:wordWrap w:val="0"/>
        <w:spacing w:line="360" w:lineRule="auto"/>
        <w:ind w:firstLine="48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6.1、凡是属于审查、澄清、评审和比较的有关资料以及授标建议，任何人均不得向投标人或其他无关的人员透露。投标人在评标过程中，所进行的力图影响评标结果的不公正活动，可能导致其投标被拒绝。</w:t>
      </w:r>
    </w:p>
    <w:p>
      <w:pPr>
        <w:wordWrap w:val="0"/>
        <w:spacing w:line="360" w:lineRule="auto"/>
        <w:ind w:firstLine="413"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7、评标原则和评标办法</w:t>
      </w:r>
    </w:p>
    <w:p>
      <w:pPr>
        <w:pStyle w:val="25"/>
        <w:wordWrap w:val="0"/>
        <w:spacing w:line="360" w:lineRule="auto"/>
        <w:ind w:firstLine="48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7.1、评标原则。评标委员会必须做到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7.2、评标办法。本项目的具体评标办法详</w:t>
      </w:r>
      <w:r>
        <w:rPr>
          <w:rFonts w:hint="eastAsia" w:hAnsi="宋体"/>
          <w:color w:val="000000" w:themeColor="text1"/>
          <w:szCs w:val="21"/>
          <w:highlight w:val="none"/>
          <w14:textFill>
            <w14:solidFill>
              <w14:schemeClr w14:val="tx1"/>
            </w14:solidFill>
          </w14:textFill>
        </w:rPr>
        <w:t>见《评标办法》。</w:t>
      </w:r>
    </w:p>
    <w:p>
      <w:pPr>
        <w:pStyle w:val="25"/>
        <w:snapToGrid w:val="0"/>
        <w:spacing w:line="360" w:lineRule="auto"/>
        <w:ind w:firstLine="422" w:firstLineChars="200"/>
        <w:jc w:val="left"/>
        <w:outlineLvl w:val="1"/>
        <w:rPr>
          <w:rFonts w:hAnsi="宋体"/>
          <w:b/>
          <w:color w:val="000000" w:themeColor="text1"/>
          <w:szCs w:val="21"/>
          <w:highlight w:val="none"/>
          <w14:textFill>
            <w14:solidFill>
              <w14:schemeClr w14:val="tx1"/>
            </w14:solidFill>
          </w14:textFill>
        </w:rPr>
      </w:pPr>
      <w:bookmarkStart w:id="239" w:name="_Toc50012887"/>
      <w:bookmarkStart w:id="240" w:name="_Toc33535371"/>
      <w:bookmarkStart w:id="241" w:name="_Toc19997"/>
      <w:r>
        <w:rPr>
          <w:rFonts w:hint="eastAsia" w:hAnsi="宋体"/>
          <w:b/>
          <w:color w:val="000000" w:themeColor="text1"/>
          <w:szCs w:val="21"/>
          <w:highlight w:val="none"/>
          <w14:textFill>
            <w14:solidFill>
              <w14:schemeClr w14:val="tx1"/>
            </w14:solidFill>
          </w14:textFill>
        </w:rPr>
        <w:t>六、定标</w:t>
      </w:r>
      <w:bookmarkEnd w:id="239"/>
      <w:bookmarkEnd w:id="240"/>
      <w:bookmarkEnd w:id="241"/>
    </w:p>
    <w:p>
      <w:pPr>
        <w:pStyle w:val="25"/>
        <w:snapToGrid w:val="0"/>
        <w:spacing w:line="360" w:lineRule="auto"/>
        <w:ind w:firstLine="422" w:firstLineChars="200"/>
        <w:jc w:val="left"/>
        <w:rPr>
          <w:rFonts w:hAnsi="宋体"/>
          <w:b/>
          <w:bCs/>
          <w:color w:val="000000" w:themeColor="text1"/>
          <w:szCs w:val="21"/>
          <w:highlight w:val="none"/>
          <w14:textFill>
            <w14:solidFill>
              <w14:schemeClr w14:val="tx1"/>
            </w14:solidFill>
          </w14:textFill>
        </w:rPr>
      </w:pPr>
      <w:r>
        <w:rPr>
          <w:rFonts w:hint="eastAsia" w:hAnsi="宋体"/>
          <w:b/>
          <w:bCs/>
          <w:color w:val="000000" w:themeColor="text1"/>
          <w:szCs w:val="21"/>
          <w:highlight w:val="none"/>
          <w14:textFill>
            <w14:solidFill>
              <w14:schemeClr w14:val="tx1"/>
            </w14:solidFill>
          </w14:textFill>
        </w:rPr>
        <w:t>（一）确定中标人。</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、采购代理机构</w:t>
      </w:r>
      <w:r>
        <w:rPr>
          <w:rFonts w:ascii="宋体" w:hAnsi="宋体"/>
          <w:color w:val="000000" w:themeColor="text1"/>
          <w:szCs w:val="21"/>
          <w:highlight w:val="none"/>
          <w14:textFill>
            <w14:solidFill>
              <w14:schemeClr w14:val="tx1"/>
            </w14:solidFill>
          </w14:textFill>
        </w:rPr>
        <w:t>在评标结束后2个工作日内将评标报告交采购人确认。</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投标人对评标结果无异议的，采购人应在收到评标报告后5个工作日内对评标结果进行确认。如有投标人对评标结果提出质疑的，采购人可在质疑处理完毕后确定中标人。</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采购代理机构应当自中标人确定之日起2个工作日内</w:t>
      </w:r>
      <w:r>
        <w:rPr>
          <w:rFonts w:hint="eastAsia" w:ascii="宋体" w:hAnsi="宋体"/>
          <w:color w:val="000000" w:themeColor="text1"/>
          <w:szCs w:val="21"/>
          <w:highlight w:val="none"/>
          <w14:textFill>
            <w14:solidFill>
              <w14:schemeClr w14:val="tx1"/>
            </w14:solidFill>
          </w14:textFill>
        </w:rPr>
        <w:t>发布中标结果公告，同时采购代理机构向中标人发出中标通知书。</w:t>
      </w:r>
    </w:p>
    <w:p>
      <w:pPr>
        <w:pStyle w:val="25"/>
        <w:snapToGrid w:val="0"/>
        <w:spacing w:line="360" w:lineRule="auto"/>
        <w:ind w:firstLine="422" w:firstLineChars="200"/>
        <w:jc w:val="left"/>
        <w:outlineLvl w:val="1"/>
        <w:rPr>
          <w:rFonts w:hAnsi="宋体"/>
          <w:b/>
          <w:color w:val="000000" w:themeColor="text1"/>
          <w:szCs w:val="21"/>
          <w:highlight w:val="none"/>
          <w14:textFill>
            <w14:solidFill>
              <w14:schemeClr w14:val="tx1"/>
            </w14:solidFill>
          </w14:textFill>
        </w:rPr>
      </w:pPr>
      <w:bookmarkStart w:id="242" w:name="_Toc50012888"/>
      <w:bookmarkStart w:id="243" w:name="_Toc33535372"/>
      <w:bookmarkStart w:id="244" w:name="_Toc5136"/>
      <w:r>
        <w:rPr>
          <w:rFonts w:hint="eastAsia" w:hAnsi="宋体"/>
          <w:b/>
          <w:color w:val="000000" w:themeColor="text1"/>
          <w:szCs w:val="21"/>
          <w:highlight w:val="none"/>
          <w14:textFill>
            <w14:solidFill>
              <w14:schemeClr w14:val="tx1"/>
            </w14:solidFill>
          </w14:textFill>
        </w:rPr>
        <w:t>七、合同授予</w:t>
      </w:r>
      <w:bookmarkEnd w:id="242"/>
      <w:bookmarkEnd w:id="243"/>
      <w:bookmarkEnd w:id="244"/>
    </w:p>
    <w:p>
      <w:pPr>
        <w:snapToGrid w:val="0"/>
        <w:spacing w:line="360" w:lineRule="auto"/>
        <w:ind w:firstLine="422"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（一）签订合同</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、采购人与</w:t>
      </w:r>
      <w:r>
        <w:rPr>
          <w:rFonts w:ascii="宋体" w:hAnsi="宋体"/>
          <w:color w:val="000000" w:themeColor="text1"/>
          <w:szCs w:val="21"/>
          <w:highlight w:val="none"/>
          <w14:textFill>
            <w14:solidFill>
              <w14:schemeClr w14:val="tx1"/>
            </w14:solidFill>
          </w14:textFill>
        </w:rPr>
        <w:t>中标人应</w:t>
      </w:r>
      <w:r>
        <w:rPr>
          <w:rFonts w:hint="eastAsia" w:ascii="宋体" w:hAnsi="宋体"/>
          <w:color w:val="000000" w:themeColor="text1"/>
          <w:szCs w:val="21"/>
          <w:highlight w:val="none"/>
          <w14:textFill>
            <w14:solidFill>
              <w14:schemeClr w14:val="tx1"/>
            </w14:solidFill>
          </w14:textFill>
        </w:rPr>
        <w:t>当在中标公示发出之日起30日内签订政府采购合同。同时，采购机构对合同内容进行审查，如发现与采购结果和投标承诺内容不一致的，将予以纠正。</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中标人拖延、拒签合同的,将被取消中标资格</w:t>
      </w:r>
      <w:r>
        <w:rPr>
          <w:rFonts w:hint="eastAsia" w:ascii="宋体" w:hAnsi="宋体"/>
          <w:color w:val="000000" w:themeColor="text1"/>
          <w:szCs w:val="21"/>
          <w:highlight w:val="none"/>
          <w14:textFill>
            <w14:solidFill>
              <w14:schemeClr w14:val="tx1"/>
            </w14:solidFill>
          </w14:textFill>
        </w:rPr>
        <w:t>，并报</w:t>
      </w:r>
      <w:r>
        <w:rPr>
          <w:rFonts w:hint="eastAsia" w:cs="宋体"/>
          <w:color w:val="000000" w:themeColor="text1"/>
          <w:szCs w:val="21"/>
          <w:highlight w:val="none"/>
          <w14:textFill>
            <w14:solidFill>
              <w14:schemeClr w14:val="tx1"/>
            </w14:solidFill>
          </w14:textFill>
        </w:rPr>
        <w:t>嘉兴市消防救援支队采购办公室</w:t>
      </w:r>
      <w:r>
        <w:rPr>
          <w:rFonts w:ascii="宋体" w:hAnsi="宋体"/>
          <w:color w:val="000000" w:themeColor="text1"/>
          <w:szCs w:val="21"/>
          <w:highlight w:val="none"/>
          <w14:textFill>
            <w14:solidFill>
              <w14:schemeClr w14:val="tx1"/>
            </w14:solidFill>
          </w14:textFill>
        </w:rPr>
        <w:t>。</w:t>
      </w:r>
    </w:p>
    <w:p>
      <w:pPr>
        <w:pStyle w:val="25"/>
        <w:snapToGrid w:val="0"/>
        <w:spacing w:line="360" w:lineRule="auto"/>
        <w:ind w:firstLine="422" w:firstLineChars="200"/>
        <w:jc w:val="left"/>
        <w:rPr>
          <w:rFonts w:hAnsi="宋体"/>
          <w:b/>
          <w:color w:val="000000" w:themeColor="text1"/>
          <w:szCs w:val="21"/>
          <w:highlight w:val="none"/>
          <w14:textFill>
            <w14:solidFill>
              <w14:schemeClr w14:val="tx1"/>
            </w14:solidFill>
          </w14:textFill>
        </w:rPr>
      </w:pPr>
      <w:r>
        <w:rPr>
          <w:rFonts w:hAnsi="宋体"/>
          <w:b/>
          <w:color w:val="000000" w:themeColor="text1"/>
          <w:szCs w:val="21"/>
          <w:highlight w:val="none"/>
          <w14:textFill>
            <w14:solidFill>
              <w14:schemeClr w14:val="tx1"/>
            </w14:solidFill>
          </w14:textFill>
        </w:rPr>
        <w:t>（二）履约保证金</w:t>
      </w:r>
    </w:p>
    <w:bookmarkEnd w:id="196"/>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bookmarkStart w:id="245" w:name="_Toc27157"/>
      <w:bookmarkStart w:id="246" w:name="_Toc493511776"/>
      <w:bookmarkStart w:id="247" w:name="_Toc177870559"/>
      <w:bookmarkStart w:id="248" w:name="_Toc170792807"/>
      <w:r>
        <w:rPr>
          <w:rFonts w:hint="eastAsia" w:hAnsi="宋体"/>
          <w:color w:val="000000" w:themeColor="text1"/>
          <w:szCs w:val="21"/>
          <w:highlight w:val="none"/>
          <w14:textFill>
            <w14:solidFill>
              <w14:schemeClr w14:val="tx1"/>
            </w14:solidFill>
          </w14:textFill>
        </w:rPr>
        <w:t xml:space="preserve">  合同签订后5个工作日内，供应商向采购人缴纳</w:t>
      </w:r>
      <w:r>
        <w:rPr>
          <w:rFonts w:hint="eastAsia" w:hAnsi="宋体"/>
          <w:color w:val="000000" w:themeColor="text1"/>
          <w:szCs w:val="21"/>
          <w:highlight w:val="none"/>
          <w:lang w:eastAsia="zh-CN"/>
          <w14:textFill>
            <w14:solidFill>
              <w14:schemeClr w14:val="tx1"/>
            </w14:solidFill>
          </w14:textFill>
        </w:rPr>
        <w:t>柒仟元</w:t>
      </w:r>
      <w:r>
        <w:rPr>
          <w:rFonts w:hint="eastAsia" w:hAnsi="宋体"/>
          <w:color w:val="000000" w:themeColor="text1"/>
          <w:szCs w:val="21"/>
          <w:highlight w:val="none"/>
          <w14:textFill>
            <w14:solidFill>
              <w14:schemeClr w14:val="tx1"/>
            </w14:solidFill>
          </w14:textFill>
        </w:rPr>
        <w:t>履约保证金，供应商应当以支票、汇票、本票或者金融机构、担保机构出具的保函等非现金形式提交，采购单位不得拒收，政府采购货物和服务项目不得收取质量保证金政府采购工程以及与工程建设有关的货物、服务，采用招标方式采购的，按国家和省有关规定执行。履约保证金的在合同履行完毕后及时退还，延迟退还的，应当按照合同约定和法律规定承担相应的赔偿责任。</w:t>
      </w:r>
    </w:p>
    <w:p>
      <w:pPr>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br w:type="page"/>
      </w:r>
    </w:p>
    <w:p>
      <w:pPr>
        <w:pStyle w:val="79"/>
        <w:rPr>
          <w:rFonts w:ascii="宋体" w:eastAsia="宋体"/>
          <w:b w:val="0"/>
          <w:color w:val="000000" w:themeColor="text1"/>
          <w:highlight w:val="none"/>
          <w14:textFill>
            <w14:solidFill>
              <w14:schemeClr w14:val="tx1"/>
            </w14:solidFill>
          </w14:textFill>
        </w:rPr>
      </w:pPr>
      <w:r>
        <w:rPr>
          <w:rStyle w:val="132"/>
          <w:rFonts w:hint="eastAsia" w:ascii="宋体" w:eastAsia="宋体" w:cs="微软雅黑"/>
          <w:b/>
          <w:color w:val="000000" w:themeColor="text1"/>
          <w:highlight w:val="none"/>
          <w14:textFill>
            <w14:solidFill>
              <w14:schemeClr w14:val="tx1"/>
            </w14:solidFill>
          </w14:textFill>
        </w:rPr>
        <w:t>第四章  评标办法及评分标准</w:t>
      </w:r>
      <w:bookmarkEnd w:id="245"/>
      <w:bookmarkEnd w:id="246"/>
    </w:p>
    <w:bookmarkEnd w:id="247"/>
    <w:bookmarkEnd w:id="248"/>
    <w:p>
      <w:pPr>
        <w:spacing w:line="360" w:lineRule="auto"/>
        <w:ind w:firstLine="472" w:firstLineChars="225"/>
        <w:rPr>
          <w:rFonts w:ascii="宋体" w:hAnsi="宋体"/>
          <w:color w:val="000000" w:themeColor="text1"/>
          <w:szCs w:val="21"/>
          <w:highlight w:val="none"/>
          <w14:textFill>
            <w14:solidFill>
              <w14:schemeClr w14:val="tx1"/>
            </w14:solidFill>
          </w14:textFill>
        </w:rPr>
      </w:pPr>
      <w:bookmarkStart w:id="249" w:name="_Toc170792802"/>
      <w:r>
        <w:rPr>
          <w:rFonts w:hint="eastAsia" w:ascii="宋体" w:hAnsi="宋体"/>
          <w:color w:val="000000" w:themeColor="text1"/>
          <w:szCs w:val="21"/>
          <w:highlight w:val="none"/>
          <w14:textFill>
            <w14:solidFill>
              <w14:schemeClr w14:val="tx1"/>
            </w14:solidFill>
          </w14:textFill>
        </w:rPr>
        <w:t>为公正、公平、科学地选择成交投标人，根据《中华人民共和国政府采购法》等有关法律法规的规定，并结合本项目的实际，制定本办法。</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本次评标采用综合评分法，总分为100分，其中价格分20分、技术资信分80分。</w:t>
      </w:r>
      <w:r>
        <w:rPr>
          <w:rFonts w:hint="eastAsia" w:ascii="宋体" w:hAnsi="宋体" w:cs="宋体"/>
          <w:color w:val="000000" w:themeColor="text1"/>
          <w:szCs w:val="21"/>
          <w:highlight w:val="none"/>
          <w14:textFill>
            <w14:solidFill>
              <w14:schemeClr w14:val="tx1"/>
            </w14:solidFill>
          </w14:textFill>
        </w:rPr>
        <w:t>评标小组按综合得分排名由高到低顺序推荐成交投标人，最终推荐排名第一的为本项目成交投标人。</w:t>
      </w:r>
    </w:p>
    <w:p>
      <w:pPr>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投标人评标综合得分=价格分+技术资信</w:t>
      </w:r>
    </w:p>
    <w:p>
      <w:pPr>
        <w:numPr>
          <w:ilvl w:val="0"/>
          <w:numId w:val="4"/>
        </w:numPr>
        <w:spacing w:line="360" w:lineRule="auto"/>
        <w:rPr>
          <w:rFonts w:ascii="宋体" w:hAnsi="Courier New"/>
          <w:b/>
          <w:bCs/>
          <w:color w:val="000000" w:themeColor="text1"/>
          <w:spacing w:val="-4"/>
          <w:kern w:val="0"/>
          <w:szCs w:val="21"/>
          <w:highlight w:val="none"/>
          <w14:textFill>
            <w14:solidFill>
              <w14:schemeClr w14:val="tx1"/>
            </w14:solidFill>
          </w14:textFill>
        </w:rPr>
      </w:pPr>
      <w:r>
        <w:rPr>
          <w:rFonts w:ascii="宋体" w:hAnsi="Courier New"/>
          <w:b/>
          <w:bCs/>
          <w:color w:val="000000" w:themeColor="text1"/>
          <w:spacing w:val="-4"/>
          <w:kern w:val="0"/>
          <w:szCs w:val="21"/>
          <w:highlight w:val="none"/>
          <w14:textFill>
            <w14:solidFill>
              <w14:schemeClr w14:val="tx1"/>
            </w14:solidFill>
          </w14:textFill>
        </w:rPr>
        <w:t>价格分（</w:t>
      </w:r>
      <w:r>
        <w:rPr>
          <w:rFonts w:hint="eastAsia" w:ascii="宋体" w:hAnsi="Courier New"/>
          <w:b/>
          <w:bCs/>
          <w:color w:val="000000" w:themeColor="text1"/>
          <w:spacing w:val="-4"/>
          <w:kern w:val="0"/>
          <w:szCs w:val="21"/>
          <w:highlight w:val="none"/>
          <w14:textFill>
            <w14:solidFill>
              <w14:schemeClr w14:val="tx1"/>
            </w14:solidFill>
          </w14:textFill>
        </w:rPr>
        <w:t>20</w:t>
      </w:r>
      <w:r>
        <w:rPr>
          <w:rFonts w:ascii="宋体" w:hAnsi="Courier New"/>
          <w:b/>
          <w:bCs/>
          <w:color w:val="000000" w:themeColor="text1"/>
          <w:spacing w:val="-4"/>
          <w:kern w:val="0"/>
          <w:szCs w:val="21"/>
          <w:highlight w:val="none"/>
          <w14:textFill>
            <w14:solidFill>
              <w14:schemeClr w14:val="tx1"/>
            </w14:solidFill>
          </w14:textFill>
        </w:rPr>
        <w:t>分）</w:t>
      </w:r>
    </w:p>
    <w:p>
      <w:pPr>
        <w:pStyle w:val="25"/>
        <w:tabs>
          <w:tab w:val="left" w:pos="630"/>
        </w:tabs>
        <w:spacing w:line="360" w:lineRule="auto"/>
        <w:ind w:right="42" w:rightChars="20" w:firstLine="420" w:firstLineChars="200"/>
        <w:jc w:val="left"/>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1、采用低价优先法计算，即满足招标文件要求且投标价格最低的投标报价为评标基准价，其价格分为满分。其他满足招标文件要求的投标人的价格分统一按照下列公式计算：</w:t>
      </w:r>
    </w:p>
    <w:p>
      <w:pPr>
        <w:pStyle w:val="25"/>
        <w:tabs>
          <w:tab w:val="left" w:pos="630"/>
        </w:tabs>
        <w:spacing w:line="360" w:lineRule="auto"/>
        <w:ind w:right="42" w:rightChars="20" w:firstLine="420" w:firstLineChars="200"/>
        <w:jc w:val="left"/>
        <w:rPr>
          <w:rFonts w:hAnsi="宋体" w:cs="宋体"/>
          <w:color w:val="000000" w:themeColor="text1"/>
          <w:highlight w:val="none"/>
          <w:lang w:val="zh-CN"/>
          <w14:textFill>
            <w14:solidFill>
              <w14:schemeClr w14:val="tx1"/>
            </w14:solidFill>
          </w14:textFill>
        </w:rPr>
      </w:pPr>
      <w:r>
        <w:rPr>
          <w:rFonts w:hint="eastAsia" w:asciiTheme="minorEastAsia" w:hAnsiTheme="minorEastAsia" w:eastAsiaTheme="minorEastAsia"/>
          <w:bCs/>
          <w:color w:val="000000" w:themeColor="text1"/>
          <w:szCs w:val="21"/>
          <w:highlight w:val="none"/>
          <w14:textFill>
            <w14:solidFill>
              <w14:schemeClr w14:val="tx1"/>
            </w14:solidFill>
          </w14:textFill>
        </w:rPr>
        <w:t>投标报价得分=(评标基准价／评标价格)×20（保留2位小数）</w:t>
      </w:r>
      <w:r>
        <w:rPr>
          <w:rFonts w:hint="eastAsia" w:hAnsi="宋体" w:cs="宋体"/>
          <w:color w:val="000000" w:themeColor="text1"/>
          <w:highlight w:val="none"/>
          <w:lang w:val="zh-CN"/>
          <w14:textFill>
            <w14:solidFill>
              <w14:schemeClr w14:val="tx1"/>
            </w14:solidFill>
          </w14:textFill>
        </w:rPr>
        <w:t>。</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4545"/>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188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4545"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类别</w:t>
            </w:r>
          </w:p>
        </w:tc>
        <w:tc>
          <w:tcPr>
            <w:tcW w:w="2555"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8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4545"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蔬菜类</w:t>
            </w:r>
          </w:p>
        </w:tc>
        <w:tc>
          <w:tcPr>
            <w:tcW w:w="2555"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8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4545"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肉类</w:t>
            </w:r>
          </w:p>
        </w:tc>
        <w:tc>
          <w:tcPr>
            <w:tcW w:w="2555"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8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4545"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冷冻食品类</w:t>
            </w:r>
          </w:p>
        </w:tc>
        <w:tc>
          <w:tcPr>
            <w:tcW w:w="2555"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8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4545"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干货类</w:t>
            </w:r>
          </w:p>
        </w:tc>
        <w:tc>
          <w:tcPr>
            <w:tcW w:w="2555" w:type="dxa"/>
            <w:vAlign w:val="center"/>
          </w:tcPr>
          <w:p>
            <w:pPr>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8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4545"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豆制品类</w:t>
            </w:r>
          </w:p>
        </w:tc>
        <w:tc>
          <w:tcPr>
            <w:tcW w:w="2555"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8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4545" w:type="dxa"/>
            <w:vAlign w:val="center"/>
          </w:tcPr>
          <w:p>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水产品类</w:t>
            </w:r>
          </w:p>
        </w:tc>
        <w:tc>
          <w:tcPr>
            <w:tcW w:w="2555" w:type="dxa"/>
            <w:vAlign w:val="center"/>
          </w:tcPr>
          <w:p>
            <w:pPr>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8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4545" w:type="dxa"/>
            <w:vAlign w:val="center"/>
          </w:tcPr>
          <w:p>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禽蛋类</w:t>
            </w:r>
          </w:p>
        </w:tc>
        <w:tc>
          <w:tcPr>
            <w:tcW w:w="2555"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87"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4545" w:type="dxa"/>
            <w:vAlign w:val="center"/>
          </w:tcPr>
          <w:p>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其他类</w:t>
            </w:r>
          </w:p>
        </w:tc>
        <w:tc>
          <w:tcPr>
            <w:tcW w:w="2555"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r>
    </w:tbl>
    <w:p>
      <w:pPr>
        <w:pStyle w:val="25"/>
        <w:tabs>
          <w:tab w:val="left" w:pos="630"/>
        </w:tabs>
        <w:spacing w:line="360" w:lineRule="auto"/>
        <w:ind w:right="42" w:rightChars="20" w:firstLine="420" w:firstLineChars="200"/>
        <w:jc w:val="lef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2、投标人的投标报价超过采购人设定的最高限价（总价及单价），将作为无效标。</w:t>
      </w:r>
    </w:p>
    <w:p>
      <w:pPr>
        <w:pStyle w:val="25"/>
        <w:tabs>
          <w:tab w:val="left" w:pos="630"/>
        </w:tabs>
        <w:spacing w:line="360" w:lineRule="auto"/>
        <w:ind w:right="42" w:rightChars="20" w:firstLine="420" w:firstLineChars="200"/>
        <w:jc w:val="left"/>
        <w:rPr>
          <w:rFonts w:asciiTheme="minorEastAsia" w:hAnsiTheme="minorEastAsia" w:eastAsia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评标委员会认为投标人的报价明显低于其他通过符合性审查投标人的报价，有可能影响产品质量或者不能诚信履约的，应当要求其在评标现场合理的时间内提供书面说明，必要时提交相关证明材料;投标人不能证明</w:t>
      </w:r>
      <w:r>
        <w:rPr>
          <w:rFonts w:hint="eastAsia" w:asciiTheme="minorEastAsia" w:hAnsiTheme="minorEastAsia" w:eastAsiaTheme="minorEastAsia"/>
          <w:bCs/>
          <w:color w:val="000000" w:themeColor="text1"/>
          <w:szCs w:val="21"/>
          <w:highlight w:val="none"/>
          <w14:textFill>
            <w14:solidFill>
              <w14:schemeClr w14:val="tx1"/>
            </w14:solidFill>
          </w14:textFill>
        </w:rPr>
        <w:t>其报价合理性的，评标委员会应当将其作为无效投标处理。</w:t>
      </w:r>
    </w:p>
    <w:p>
      <w:pPr>
        <w:pStyle w:val="25"/>
        <w:tabs>
          <w:tab w:val="left" w:pos="630"/>
        </w:tabs>
        <w:spacing w:line="360" w:lineRule="auto"/>
        <w:ind w:right="42" w:rightChars="20" w:firstLine="420" w:firstLineChars="200"/>
        <w:jc w:val="lef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4、扶持政策说明：</w:t>
      </w:r>
    </w:p>
    <w:p>
      <w:pPr>
        <w:pStyle w:val="25"/>
        <w:tabs>
          <w:tab w:val="left" w:pos="630"/>
        </w:tabs>
        <w:spacing w:line="360" w:lineRule="auto"/>
        <w:ind w:right="42" w:rightChars="20" w:firstLine="420" w:firstLineChars="200"/>
        <w:jc w:val="lef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（1）本次采购为专门面向中小企业预留采购份额的采购项目。</w:t>
      </w:r>
    </w:p>
    <w:p>
      <w:pPr>
        <w:pStyle w:val="25"/>
        <w:tabs>
          <w:tab w:val="left" w:pos="630"/>
        </w:tabs>
        <w:spacing w:line="360" w:lineRule="auto"/>
        <w:ind w:right="42" w:rightChars="20" w:firstLine="420" w:firstLineChars="200"/>
        <w:jc w:val="lef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（2）本项目对应的中小企业划分标准所属行业：批发业。</w:t>
      </w:r>
    </w:p>
    <w:p>
      <w:pPr>
        <w:pStyle w:val="25"/>
        <w:tabs>
          <w:tab w:val="left" w:pos="630"/>
        </w:tabs>
        <w:spacing w:line="360" w:lineRule="auto"/>
        <w:ind w:right="42" w:rightChars="20" w:firstLine="420" w:firstLineChars="200"/>
        <w:jc w:val="lef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5"/>
        <w:tabs>
          <w:tab w:val="left" w:pos="630"/>
        </w:tabs>
        <w:spacing w:line="360" w:lineRule="auto"/>
        <w:ind w:right="42" w:rightChars="20" w:firstLine="420" w:firstLineChars="200"/>
        <w:jc w:val="left"/>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（4）监狱企业和残疾人福利性单位视同小型、微型企业，按《财政部司法部关于政府采购支持监狱企业发展有关问题的通知》(财库〔2014〕68 号)、《财政部  民政部  中国残疾人联合会关于促进残疾人就业政府采购政策的通知》（财库〔2017〕141 号）的规定执行。</w:t>
      </w:r>
    </w:p>
    <w:p>
      <w:pPr>
        <w:pStyle w:val="25"/>
        <w:tabs>
          <w:tab w:val="left" w:pos="630"/>
        </w:tabs>
        <w:spacing w:line="360" w:lineRule="auto"/>
        <w:ind w:right="42" w:rightChars="20" w:firstLine="422" w:firstLineChars="200"/>
        <w:jc w:val="left"/>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pPr>
        <w:numPr>
          <w:ilvl w:val="0"/>
          <w:numId w:val="4"/>
        </w:numPr>
        <w:spacing w:line="360" w:lineRule="auto"/>
        <w:jc w:val="left"/>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技术资信分：</w:t>
      </w:r>
      <w:bookmarkStart w:id="250" w:name="_Toc28829"/>
      <w:bookmarkStart w:id="251" w:name="_Toc493511826"/>
      <w:bookmarkStart w:id="252" w:name="_Toc417992896"/>
      <w:bookmarkStart w:id="253" w:name="_Toc416422800"/>
      <w:r>
        <w:rPr>
          <w:rFonts w:hint="eastAsia" w:ascii="宋体" w:hAnsi="宋体"/>
          <w:b/>
          <w:bCs/>
          <w:color w:val="000000" w:themeColor="text1"/>
          <w:szCs w:val="21"/>
          <w:highlight w:val="none"/>
          <w14:textFill>
            <w14:solidFill>
              <w14:schemeClr w14:val="tx1"/>
            </w14:solidFill>
          </w14:textFill>
        </w:rPr>
        <w:t>（80分）</w:t>
      </w:r>
    </w:p>
    <w:tbl>
      <w:tblPr>
        <w:tblStyle w:val="48"/>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714"/>
        <w:gridCol w:w="5245"/>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Pr>
          <w:p>
            <w:pPr>
              <w:pStyle w:val="58"/>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714" w:type="dxa"/>
          </w:tcPr>
          <w:p>
            <w:pPr>
              <w:pStyle w:val="58"/>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评审项目</w:t>
            </w:r>
          </w:p>
        </w:tc>
        <w:tc>
          <w:tcPr>
            <w:tcW w:w="5245" w:type="dxa"/>
          </w:tcPr>
          <w:p>
            <w:pPr>
              <w:pStyle w:val="58"/>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评分内容</w:t>
            </w:r>
          </w:p>
        </w:tc>
        <w:tc>
          <w:tcPr>
            <w:tcW w:w="907" w:type="dxa"/>
          </w:tcPr>
          <w:p>
            <w:pPr>
              <w:pStyle w:val="58"/>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62" w:type="dxa"/>
          </w:tcPr>
          <w:p>
            <w:pPr>
              <w:pStyle w:val="58"/>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714" w:type="dxa"/>
            <w:vAlign w:val="center"/>
          </w:tcPr>
          <w:p>
            <w:pPr>
              <w:pStyle w:val="86"/>
              <w:jc w:val="both"/>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投标人配送周转和仓储能力</w:t>
            </w:r>
            <w:r>
              <w:rPr>
                <w:rFonts w:hint="default" w:ascii="宋体" w:hAnsi="宋体" w:eastAsia="宋体" w:cs="宋体"/>
                <w:color w:val="000000" w:themeColor="text1"/>
                <w:sz w:val="21"/>
                <w:szCs w:val="21"/>
                <w:highlight w:val="none"/>
                <w14:textFill>
                  <w14:solidFill>
                    <w14:schemeClr w14:val="tx1"/>
                  </w14:solidFill>
                </w14:textFill>
              </w:rPr>
              <w:t xml:space="preserve"> </w:t>
            </w:r>
          </w:p>
          <w:p>
            <w:pPr>
              <w:pStyle w:val="58"/>
              <w:spacing w:line="360" w:lineRule="auto"/>
              <w:jc w:val="center"/>
              <w:rPr>
                <w:rFonts w:ascii="宋体" w:hAnsi="宋体" w:cs="宋体"/>
                <w:color w:val="000000" w:themeColor="text1"/>
                <w:szCs w:val="21"/>
                <w:highlight w:val="none"/>
                <w14:textFill>
                  <w14:solidFill>
                    <w14:schemeClr w14:val="tx1"/>
                  </w14:solidFill>
                </w14:textFill>
              </w:rPr>
            </w:pPr>
          </w:p>
        </w:tc>
        <w:tc>
          <w:tcPr>
            <w:tcW w:w="5245" w:type="dxa"/>
          </w:tcPr>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根据投标人拟投入本项目的配送场地、仓库的面积、配套设备设施进行综合评价：</w:t>
            </w:r>
          </w:p>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①配送场地充裕、仓储空间、合理；</w:t>
            </w:r>
          </w:p>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②配套设备设施先进；</w:t>
            </w:r>
          </w:p>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③完全满足所供货物储存保鲜要求；</w:t>
            </w:r>
          </w:p>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④完全满足项目周转和货物分拣配送要求的，得满分</w:t>
            </w:r>
            <w:r>
              <w:rPr>
                <w:rFonts w:ascii="宋体" w:hAnsi="宋体" w:cs="宋体"/>
                <w:bCs/>
                <w:color w:val="000000" w:themeColor="text1"/>
                <w:kern w:val="0"/>
                <w:szCs w:val="21"/>
                <w:highlight w:val="none"/>
                <w14:textFill>
                  <w14:solidFill>
                    <w14:schemeClr w14:val="tx1"/>
                  </w14:solidFill>
                </w14:textFill>
              </w:rPr>
              <w:t>8分；</w:t>
            </w:r>
          </w:p>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每有</w:t>
            </w:r>
            <w:r>
              <w:rPr>
                <w:rFonts w:ascii="宋体" w:hAnsi="宋体" w:cs="宋体"/>
                <w:bCs/>
                <w:color w:val="000000" w:themeColor="text1"/>
                <w:kern w:val="0"/>
                <w:szCs w:val="21"/>
                <w:highlight w:val="none"/>
                <w14:textFill>
                  <w14:solidFill>
                    <w14:schemeClr w14:val="tx1"/>
                  </w14:solidFill>
                </w14:textFill>
              </w:rPr>
              <w:t>1项存在细微偏差的，该项扣0.5分；</w:t>
            </w:r>
          </w:p>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每有</w:t>
            </w:r>
            <w:r>
              <w:rPr>
                <w:rFonts w:ascii="宋体" w:hAnsi="宋体" w:cs="宋体"/>
                <w:bCs/>
                <w:color w:val="000000" w:themeColor="text1"/>
                <w:kern w:val="0"/>
                <w:szCs w:val="21"/>
                <w:highlight w:val="none"/>
                <w14:textFill>
                  <w14:solidFill>
                    <w14:schemeClr w14:val="tx1"/>
                  </w14:solidFill>
                </w14:textFill>
              </w:rPr>
              <w:t>1项存在一定欠缺的，该项扣1分；</w:t>
            </w:r>
          </w:p>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每有</w:t>
            </w:r>
            <w:r>
              <w:rPr>
                <w:rFonts w:ascii="宋体" w:hAnsi="宋体" w:cs="宋体"/>
                <w:bCs/>
                <w:color w:val="000000" w:themeColor="text1"/>
                <w:kern w:val="0"/>
                <w:szCs w:val="21"/>
                <w:highlight w:val="none"/>
                <w14:textFill>
                  <w14:solidFill>
                    <w14:schemeClr w14:val="tx1"/>
                  </w14:solidFill>
                </w14:textFill>
              </w:rPr>
              <w:t>1项完全不满足要求或证明材料缺失的，该项扣2分；</w:t>
            </w:r>
          </w:p>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最低</w:t>
            </w:r>
            <w:r>
              <w:rPr>
                <w:rFonts w:ascii="宋体" w:hAnsi="宋体" w:cs="宋体"/>
                <w:bCs/>
                <w:color w:val="000000" w:themeColor="text1"/>
                <w:kern w:val="0"/>
                <w:szCs w:val="21"/>
                <w:highlight w:val="none"/>
                <w14:textFill>
                  <w14:solidFill>
                    <w14:schemeClr w14:val="tx1"/>
                  </w14:solidFill>
                </w14:textFill>
              </w:rPr>
              <w:t>0分。</w:t>
            </w:r>
          </w:p>
          <w:p>
            <w:pPr>
              <w:pStyle w:val="58"/>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须同时提供①房产证明或租赁合同，复印件加盖公章；②场所和配套设备设施实景照片。</w:t>
            </w:r>
          </w:p>
        </w:tc>
        <w:tc>
          <w:tcPr>
            <w:tcW w:w="907" w:type="dxa"/>
            <w:vAlign w:val="center"/>
          </w:tcPr>
          <w:p>
            <w:pPr>
              <w:pStyle w:val="58"/>
              <w:spacing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Pr>
          <w:p>
            <w:pPr>
              <w:pStyle w:val="58"/>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714" w:type="dxa"/>
          </w:tcPr>
          <w:p>
            <w:pPr>
              <w:pStyle w:val="58"/>
              <w:tabs>
                <w:tab w:val="left" w:pos="483"/>
              </w:tabs>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投标人配送能力</w:t>
            </w:r>
          </w:p>
        </w:tc>
        <w:tc>
          <w:tcPr>
            <w:tcW w:w="5245" w:type="dxa"/>
          </w:tcPr>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供应商具有运货车辆的每个得</w:t>
            </w:r>
            <w:r>
              <w:rPr>
                <w:rFonts w:ascii="宋体" w:hAnsi="宋体" w:cs="宋体"/>
                <w:bCs/>
                <w:color w:val="000000" w:themeColor="text1"/>
                <w:kern w:val="0"/>
                <w:szCs w:val="21"/>
                <w:highlight w:val="none"/>
                <w14:textFill>
                  <w14:solidFill>
                    <w14:schemeClr w14:val="tx1"/>
                  </w14:solidFill>
                </w14:textFill>
              </w:rPr>
              <w:t>2</w:t>
            </w:r>
            <w:r>
              <w:rPr>
                <w:rFonts w:hint="eastAsia" w:ascii="宋体" w:hAnsi="宋体" w:cs="宋体"/>
                <w:bCs/>
                <w:color w:val="000000" w:themeColor="text1"/>
                <w:kern w:val="0"/>
                <w:szCs w:val="21"/>
                <w:highlight w:val="none"/>
                <w14:textFill>
                  <w14:solidFill>
                    <w14:schemeClr w14:val="tx1"/>
                  </w14:solidFill>
                </w14:textFill>
              </w:rPr>
              <w:t>分，最高得</w:t>
            </w:r>
            <w:r>
              <w:rPr>
                <w:rFonts w:ascii="宋体" w:hAnsi="宋体" w:cs="宋体"/>
                <w:bCs/>
                <w:color w:val="000000" w:themeColor="text1"/>
                <w:kern w:val="0"/>
                <w:szCs w:val="21"/>
                <w:highlight w:val="none"/>
                <w14:textFill>
                  <w14:solidFill>
                    <w14:schemeClr w14:val="tx1"/>
                  </w14:solidFill>
                </w14:textFill>
              </w:rPr>
              <w:t>4</w:t>
            </w:r>
            <w:r>
              <w:rPr>
                <w:rFonts w:hint="eastAsia" w:ascii="宋体" w:hAnsi="宋体" w:cs="宋体"/>
                <w:bCs/>
                <w:color w:val="000000" w:themeColor="text1"/>
                <w:kern w:val="0"/>
                <w:szCs w:val="21"/>
                <w:highlight w:val="none"/>
                <w14:textFill>
                  <w14:solidFill>
                    <w14:schemeClr w14:val="tx1"/>
                  </w14:solidFill>
                </w14:textFill>
              </w:rPr>
              <w:t>分；具有冷链车辆的每个得</w:t>
            </w:r>
            <w:r>
              <w:rPr>
                <w:rFonts w:ascii="宋体" w:hAnsi="宋体" w:cs="宋体"/>
                <w:bCs/>
                <w:color w:val="000000" w:themeColor="text1"/>
                <w:kern w:val="0"/>
                <w:szCs w:val="21"/>
                <w:highlight w:val="none"/>
                <w14:textFill>
                  <w14:solidFill>
                    <w14:schemeClr w14:val="tx1"/>
                  </w14:solidFill>
                </w14:textFill>
              </w:rPr>
              <w:t>2分，最高得2分。本项最高得6</w:t>
            </w:r>
            <w:r>
              <w:rPr>
                <w:rFonts w:hint="eastAsia" w:ascii="宋体" w:hAnsi="宋体" w:cs="宋体"/>
                <w:bCs/>
                <w:color w:val="000000" w:themeColor="text1"/>
                <w:kern w:val="0"/>
                <w:szCs w:val="21"/>
                <w:highlight w:val="none"/>
                <w14:textFill>
                  <w14:solidFill>
                    <w14:schemeClr w14:val="tx1"/>
                  </w14:solidFill>
                </w14:textFill>
              </w:rPr>
              <w:t>分。</w:t>
            </w:r>
          </w:p>
          <w:p>
            <w:pPr>
              <w:widowControl/>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须同时提供①有效的《机动车行驶证》复印件加盖公章、②车辆照片、③自有或租赁证明，不提供不得分</w:t>
            </w:r>
          </w:p>
        </w:tc>
        <w:tc>
          <w:tcPr>
            <w:tcW w:w="907" w:type="dxa"/>
            <w:vAlign w:val="center"/>
          </w:tcPr>
          <w:p>
            <w:pPr>
              <w:pStyle w:val="58"/>
              <w:spacing w:line="360" w:lineRule="auto"/>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Pr>
          <w:p>
            <w:pPr>
              <w:pStyle w:val="58"/>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714" w:type="dxa"/>
          </w:tcPr>
          <w:p>
            <w:pPr>
              <w:pStyle w:val="58"/>
              <w:tabs>
                <w:tab w:val="left" w:pos="483"/>
              </w:tabs>
              <w:spacing w:line="360" w:lineRule="auto"/>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投标人食品配送服务经验</w:t>
            </w:r>
          </w:p>
        </w:tc>
        <w:tc>
          <w:tcPr>
            <w:tcW w:w="5245" w:type="dxa"/>
          </w:tcPr>
          <w:p>
            <w:pPr>
              <w:widowControl/>
              <w:spacing w:line="360" w:lineRule="auto"/>
              <w:contextualSpacing/>
              <w:rPr>
                <w:rFonts w:ascii="宋体" w:hAnsi="宋体" w:cs="宋体"/>
                <w:bCs/>
                <w:color w:val="000000" w:themeColor="text1"/>
                <w:kern w:val="0"/>
                <w:szCs w:val="21"/>
                <w:highlight w:val="none"/>
                <w14:textFill>
                  <w14:solidFill>
                    <w14:schemeClr w14:val="tx1"/>
                  </w14:solidFill>
                </w14:textFill>
              </w:rPr>
            </w:pPr>
            <w:r>
              <w:rPr>
                <w:rFonts w:ascii="宋体" w:hAnsi="宋体" w:cs="宋体"/>
                <w:bCs/>
                <w:color w:val="000000" w:themeColor="text1"/>
                <w:kern w:val="0"/>
                <w:szCs w:val="21"/>
                <w:highlight w:val="none"/>
                <w14:textFill>
                  <w14:solidFill>
                    <w14:schemeClr w14:val="tx1"/>
                  </w14:solidFill>
                </w14:textFill>
              </w:rPr>
              <w:t>2020年1月1日（以合同签订日期为准）至今投标人承担的类似食品配送服务业绩。</w:t>
            </w:r>
          </w:p>
          <w:p>
            <w:pPr>
              <w:widowControl/>
              <w:spacing w:line="360" w:lineRule="auto"/>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每提供</w:t>
            </w:r>
            <w:r>
              <w:rPr>
                <w:rFonts w:ascii="宋体" w:hAnsi="宋体" w:cs="宋体"/>
                <w:bCs/>
                <w:color w:val="000000" w:themeColor="text1"/>
                <w:kern w:val="0"/>
                <w:szCs w:val="21"/>
                <w:highlight w:val="none"/>
                <w14:textFill>
                  <w14:solidFill>
                    <w14:schemeClr w14:val="tx1"/>
                  </w14:solidFill>
                </w14:textFill>
              </w:rPr>
              <w:t>1个业绩得1分，本项满分2分。</w:t>
            </w:r>
          </w:p>
          <w:p>
            <w:pPr>
              <w:widowControl/>
              <w:spacing w:line="360" w:lineRule="auto"/>
              <w:jc w:val="lef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投标文件中提供合同复印件并加盖投标人公章</w:t>
            </w:r>
          </w:p>
        </w:tc>
        <w:tc>
          <w:tcPr>
            <w:tcW w:w="907" w:type="dxa"/>
            <w:vAlign w:val="center"/>
          </w:tcPr>
          <w:p>
            <w:pPr>
              <w:pStyle w:val="58"/>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Pr>
          <w:p>
            <w:pPr>
              <w:pStyle w:val="58"/>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714" w:type="dxa"/>
          </w:tcPr>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需求分析</w:t>
            </w:r>
          </w:p>
        </w:tc>
        <w:tc>
          <w:tcPr>
            <w:tcW w:w="5245" w:type="dxa"/>
          </w:tcPr>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考察投标人对需求的理解，包括但不限于仓储、配送、运输、食品来源、重难点分析等。</w:t>
            </w:r>
          </w:p>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1）需求理解全面准确、层级分明，调研充分，服务措施具体较强的针对性，完全满足实际需</w:t>
            </w:r>
          </w:p>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求，得12分；</w:t>
            </w:r>
          </w:p>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2）需求理解较全面、层级较分明，调研较充分，服务措施具有一定的针对性，满足实际需求，得9分；</w:t>
            </w:r>
          </w:p>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3）需求理解相对欠缺，调研充分性欠缺，服务措施针对性较弱，基本满足实际需求，得6分；</w:t>
            </w:r>
          </w:p>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4）提供需求分析，但不全面不充分，不具备针对性，得3分；</w:t>
            </w:r>
          </w:p>
          <w:p>
            <w:pPr>
              <w:widowControl/>
              <w:jc w:val="lef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5）未提供需求分析的，得0分。</w:t>
            </w:r>
          </w:p>
        </w:tc>
        <w:tc>
          <w:tcPr>
            <w:tcW w:w="907" w:type="dxa"/>
            <w:vAlign w:val="center"/>
          </w:tcPr>
          <w:p>
            <w:pPr>
              <w:pStyle w:val="58"/>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Pr>
          <w:p>
            <w:pPr>
              <w:pStyle w:val="58"/>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714" w:type="dxa"/>
          </w:tcPr>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食品配送方案</w:t>
            </w:r>
          </w:p>
        </w:tc>
        <w:tc>
          <w:tcPr>
            <w:tcW w:w="5245" w:type="dxa"/>
          </w:tcPr>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包括各类食材的具体配送措施、运输方案等</w:t>
            </w:r>
          </w:p>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1）配送措施完整合理、具有较强的针对性，运输方案合理可行，完全满足招标文件要求，得12分；</w:t>
            </w:r>
          </w:p>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2）配送措施较完整、方案较合理、具有一定的针对性，运输方案具有一定的可行性，满足招标文件要求，得9分；</w:t>
            </w:r>
          </w:p>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3）配送措施相对完整、方案相对合理，运输方案相对合理，符合招标文件要求，得6分；</w:t>
            </w:r>
          </w:p>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4）配送措施和方案完整性略有欠缺，运输方案针对性不强，基本符合招标文件要求，得3分；</w:t>
            </w:r>
          </w:p>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5）提供食品配送方案，但方案不完整，不具备针对性，得1分；</w:t>
            </w:r>
          </w:p>
          <w:p>
            <w:pPr>
              <w:widowControl/>
              <w:jc w:val="lef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6）未提供食品配送方案的，得0分。</w:t>
            </w:r>
          </w:p>
        </w:tc>
        <w:tc>
          <w:tcPr>
            <w:tcW w:w="907" w:type="dxa"/>
            <w:vAlign w:val="center"/>
          </w:tcPr>
          <w:p>
            <w:pPr>
              <w:pStyle w:val="58"/>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Pr>
          <w:p>
            <w:pPr>
              <w:pStyle w:val="58"/>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1714" w:type="dxa"/>
          </w:tcPr>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食品质量和安全保证措施</w:t>
            </w:r>
          </w:p>
        </w:tc>
        <w:tc>
          <w:tcPr>
            <w:tcW w:w="5245" w:type="dxa"/>
          </w:tcPr>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投标人①具有严格的进货渠道，来源可追溯、质量可控，②食品安全和质量管理制度健全，③检验检疫证明齐全，食品安全和质量要求满足国家或行业标准，④配送过程食品安全和保险措施可行性强，得12分；</w:t>
            </w:r>
          </w:p>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每有1项细微偏差，该项扣1分；</w:t>
            </w:r>
          </w:p>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每有1项存在一定欠缺的，该项扣2分；</w:t>
            </w:r>
          </w:p>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每有1项内容缺失或完全不满足要求的，该项扣3分；</w:t>
            </w:r>
          </w:p>
          <w:p>
            <w:pPr>
              <w:widowControl/>
              <w:jc w:val="lef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最低0分。提供相关证明材料。</w:t>
            </w:r>
          </w:p>
        </w:tc>
        <w:tc>
          <w:tcPr>
            <w:tcW w:w="907" w:type="dxa"/>
            <w:vAlign w:val="center"/>
          </w:tcPr>
          <w:p>
            <w:pPr>
              <w:pStyle w:val="58"/>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Pr>
          <w:p>
            <w:pPr>
              <w:pStyle w:val="58"/>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1714" w:type="dxa"/>
          </w:tcPr>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 xml:space="preserve">供货基地选择 </w:t>
            </w:r>
          </w:p>
        </w:tc>
        <w:tc>
          <w:tcPr>
            <w:tcW w:w="5245" w:type="dxa"/>
          </w:tcPr>
          <w:p>
            <w:pPr>
              <w:widowControl/>
              <w:jc w:val="lef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投标人应具有稳定合作的供货基地或生产基地，合作基地经营规范、食品安全和质量管理制度健全，每提供1个得1分，最高得6分。须同时提供①合作协议或其他合作证明材料、②合作基地情况介绍。</w:t>
            </w:r>
          </w:p>
        </w:tc>
        <w:tc>
          <w:tcPr>
            <w:tcW w:w="907" w:type="dxa"/>
            <w:vAlign w:val="center"/>
          </w:tcPr>
          <w:p>
            <w:pPr>
              <w:pStyle w:val="58"/>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Pr>
          <w:p>
            <w:pPr>
              <w:pStyle w:val="58"/>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1714" w:type="dxa"/>
          </w:tcPr>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 xml:space="preserve">服务团队 </w:t>
            </w:r>
          </w:p>
        </w:tc>
        <w:tc>
          <w:tcPr>
            <w:tcW w:w="5245" w:type="dxa"/>
          </w:tcPr>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1）团队配置方案完整合理、人员固定，完全满足招标文件要求，得5分；</w:t>
            </w:r>
          </w:p>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2）团队配置方案较合理、人员相对固定，符合招标文件要求，得3分；</w:t>
            </w:r>
          </w:p>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3）团队配置方案不合理、人员不固定，或未提供方案的，得0分。</w:t>
            </w:r>
          </w:p>
          <w:p>
            <w:pPr>
              <w:widowControl/>
              <w:spacing w:line="400" w:lineRule="exact"/>
              <w:contextualSpacing/>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服务团队人员具有从业人员健康证。每提供</w:t>
            </w:r>
            <w:r>
              <w:rPr>
                <w:rFonts w:ascii="宋体" w:hAnsi="宋体" w:cs="宋体"/>
                <w:b/>
                <w:bCs/>
                <w:color w:val="000000" w:themeColor="text1"/>
                <w:kern w:val="0"/>
                <w:szCs w:val="21"/>
                <w:highlight w:val="none"/>
                <w14:textFill>
                  <w14:solidFill>
                    <w14:schemeClr w14:val="tx1"/>
                  </w14:solidFill>
                </w14:textFill>
              </w:rPr>
              <w:t>1人得1分，最高得5分。</w:t>
            </w:r>
          </w:p>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本项满分10分。</w:t>
            </w:r>
          </w:p>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服务团队配置不足2人或具有健康证人员不足2人的，其投标无效。</w:t>
            </w:r>
          </w:p>
          <w:p>
            <w:pPr>
              <w:widowControl/>
              <w:jc w:val="lef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须同时提供①服务人员社保、②有效的从业人员健康证复印件或电子健康证截图，加盖公章，不提供不得分</w:t>
            </w:r>
          </w:p>
        </w:tc>
        <w:tc>
          <w:tcPr>
            <w:tcW w:w="907" w:type="dxa"/>
            <w:vAlign w:val="center"/>
          </w:tcPr>
          <w:p>
            <w:pPr>
              <w:pStyle w:val="58"/>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tcPr>
          <w:p>
            <w:pPr>
              <w:pStyle w:val="58"/>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1714" w:type="dxa"/>
          </w:tcPr>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应急方案及防疫保障</w:t>
            </w:r>
          </w:p>
        </w:tc>
        <w:tc>
          <w:tcPr>
            <w:tcW w:w="5245" w:type="dxa"/>
          </w:tcPr>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包括采购人要求的应急配送及疫情期间的防疫保障措施</w:t>
            </w:r>
          </w:p>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1）应急配送方案完整、内容详细、设计合理，防疫保障措施合理可行，完全满足实际需求，得12分；</w:t>
            </w:r>
          </w:p>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2）应急配送方案较完整、内容较详细、设计较合理，防疫保障措施具有可行性，满足实际需求，得9分；</w:t>
            </w:r>
          </w:p>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3）应急配送方案相对完整、设计简单，防疫保障措施单一，基本符合实际需求，得6分；</w:t>
            </w:r>
          </w:p>
          <w:p>
            <w:pPr>
              <w:widowControl/>
              <w:spacing w:line="400" w:lineRule="exact"/>
              <w:contextualSpacing/>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4）提供应急方案及防疫保障，但内容存在明显缺陷，不符合实际需求，得3分；</w:t>
            </w:r>
          </w:p>
          <w:p>
            <w:pPr>
              <w:widowControl/>
              <w:jc w:val="lef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5）未提供应急方案及防疫保障的，得0分。</w:t>
            </w:r>
          </w:p>
        </w:tc>
        <w:tc>
          <w:tcPr>
            <w:tcW w:w="907" w:type="dxa"/>
            <w:vAlign w:val="center"/>
          </w:tcPr>
          <w:p>
            <w:pPr>
              <w:pStyle w:val="58"/>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r>
    </w:tbl>
    <w:p>
      <w:pPr>
        <w:pStyle w:val="58"/>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注：评标委员会独立打分，保留小数点后2位小数，所有有效评分的平均分作为对应投标人的技术资信得分。</w:t>
      </w:r>
    </w:p>
    <w:p>
      <w:pPr>
        <w:pStyle w:val="58"/>
        <w:spacing w:line="360" w:lineRule="auto"/>
        <w:rPr>
          <w:color w:val="000000" w:themeColor="text1"/>
          <w:highlight w:val="none"/>
          <w14:textFill>
            <w14:solidFill>
              <w14:schemeClr w14:val="tx1"/>
            </w14:solidFill>
          </w14:textFill>
        </w:rPr>
      </w:pPr>
    </w:p>
    <w:p>
      <w:pPr>
        <w:pStyle w:val="58"/>
        <w:spacing w:line="360" w:lineRule="auto"/>
        <w:rPr>
          <w:color w:val="000000" w:themeColor="text1"/>
          <w:highlight w:val="none"/>
          <w14:textFill>
            <w14:solidFill>
              <w14:schemeClr w14:val="tx1"/>
            </w14:solidFill>
          </w14:textFill>
        </w:rPr>
      </w:pPr>
    </w:p>
    <w:p>
      <w:pPr>
        <w:widowControl/>
        <w:jc w:val="left"/>
        <w:rPr>
          <w:rStyle w:val="132"/>
          <w:rFonts w:ascii="宋体" w:hAnsi="宋体" w:eastAsia="宋体" w:cs="微软雅黑"/>
          <w:b w:val="0"/>
          <w:bCs/>
          <w:color w:val="000000" w:themeColor="text1"/>
          <w:szCs w:val="52"/>
          <w:highlight w:val="none"/>
          <w14:textFill>
            <w14:solidFill>
              <w14:schemeClr w14:val="tx1"/>
            </w14:solidFill>
          </w14:textFill>
        </w:rPr>
      </w:pPr>
      <w:r>
        <w:rPr>
          <w:rStyle w:val="132"/>
          <w:rFonts w:ascii="宋体" w:eastAsia="宋体" w:cs="微软雅黑"/>
          <w:color w:val="000000" w:themeColor="text1"/>
          <w:highlight w:val="none"/>
          <w14:textFill>
            <w14:solidFill>
              <w14:schemeClr w14:val="tx1"/>
            </w14:solidFill>
          </w14:textFill>
        </w:rPr>
        <w:br w:type="page"/>
      </w:r>
    </w:p>
    <w:p>
      <w:pPr>
        <w:pStyle w:val="79"/>
        <w:rPr>
          <w:rFonts w:ascii="宋体" w:eastAsia="宋体"/>
          <w:color w:val="000000" w:themeColor="text1"/>
          <w:highlight w:val="none"/>
          <w14:textFill>
            <w14:solidFill>
              <w14:schemeClr w14:val="tx1"/>
            </w14:solidFill>
          </w14:textFill>
        </w:rPr>
      </w:pPr>
      <w:r>
        <w:rPr>
          <w:rStyle w:val="132"/>
          <w:rFonts w:hint="eastAsia" w:ascii="宋体" w:eastAsia="宋体" w:cs="微软雅黑"/>
          <w:b w:val="0"/>
          <w:color w:val="000000" w:themeColor="text1"/>
          <w:highlight w:val="none"/>
          <w14:textFill>
            <w14:solidFill>
              <w14:schemeClr w14:val="tx1"/>
            </w14:solidFill>
          </w14:textFill>
        </w:rPr>
        <w:t>第五章  政府采购合同</w:t>
      </w:r>
      <w:bookmarkEnd w:id="250"/>
      <w:bookmarkEnd w:id="251"/>
      <w:bookmarkEnd w:id="252"/>
      <w:bookmarkEnd w:id="253"/>
      <w:r>
        <w:rPr>
          <w:rStyle w:val="132"/>
          <w:rFonts w:hint="eastAsia" w:ascii="宋体" w:eastAsia="宋体" w:cs="微软雅黑"/>
          <w:b w:val="0"/>
          <w:color w:val="000000" w:themeColor="text1"/>
          <w:highlight w:val="none"/>
          <w14:textFill>
            <w14:solidFill>
              <w14:schemeClr w14:val="tx1"/>
            </w14:solidFill>
          </w14:textFill>
        </w:rPr>
        <w:t>（参考）</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项目名称：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20" w:firstLineChars="20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项目编号：</w:t>
      </w:r>
      <w:r>
        <w:rPr>
          <w:rFonts w:hint="eastAsia" w:ascii="宋体" w:hAnsi="宋体" w:cs="宋体"/>
          <w:color w:val="000000" w:themeColor="text1"/>
          <w:kern w:val="0"/>
          <w:szCs w:val="21"/>
          <w:highlight w:val="none"/>
          <w:lang w:eastAsia="zh-CN"/>
          <w14:textFill>
            <w14:solidFill>
              <w14:schemeClr w14:val="tx1"/>
            </w14:solidFill>
          </w14:textFill>
        </w:rPr>
        <w:t>嘉消采-GK2023017</w:t>
      </w:r>
    </w:p>
    <w:p>
      <w:pPr>
        <w:pStyle w:val="5"/>
        <w:shd w:val="clear" w:color="auto" w:fill="FFFFFF"/>
        <w:spacing w:line="400" w:lineRule="exact"/>
        <w:ind w:firstLineChars="200"/>
        <w:jc w:val="left"/>
        <w:rPr>
          <w:rFonts w:ascii="宋体" w:hAnsi="宋体" w:cs="宋体"/>
          <w:color w:val="000000" w:themeColor="text1"/>
          <w:kern w:val="0"/>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合同编号：</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20" w:firstLineChars="20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采购人（以下称甲方）：</w:t>
      </w:r>
      <w:r>
        <w:rPr>
          <w:rFonts w:hint="eastAsia" w:ascii="宋体" w:hAnsi="宋体" w:cs="宋体"/>
          <w:color w:val="000000" w:themeColor="text1"/>
          <w:kern w:val="0"/>
          <w:szCs w:val="21"/>
          <w:highlight w:val="none"/>
          <w:lang w:val="en-US" w:eastAsia="zh-CN"/>
          <w14:textFill>
            <w14:solidFill>
              <w14:schemeClr w14:val="tx1"/>
            </w14:solidFill>
          </w14:textFill>
        </w:rPr>
        <w:t>嘉兴市消防救援支队乌镇大队</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供应商（以下称乙方）：</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预算金额：   万元</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采购代理机构：</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采购方式：公开招标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根据《中华人民共和国政府采购法》、《中华人民共和国民法典》等法律法规的规定，甲乙双方按照</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lang w:eastAsia="zh-CN"/>
          <w14:textFill>
            <w14:solidFill>
              <w14:schemeClr w14:val="tx1"/>
            </w14:solidFill>
          </w14:textFill>
        </w:rPr>
        <w:t>浙江省嘉兴支队乌镇消防救援大队2023年度伙食集中配送采购项目</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结果签订本合同。</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2" w:firstLineChars="200"/>
        <w:jc w:val="lef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第一条 合同组成</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本次政府采购活动的相关文件为本合同的组成部分，这些文件包括但不限于：</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（1）本合同文本；</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（2）采购文件与采购响应文件；</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（3）中标或成交通知书；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组成本合同的所有文件必须为书面形式。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2" w:firstLineChars="200"/>
        <w:jc w:val="lef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第二条 合同标的与相关属性</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1、本次采购的是</w:t>
      </w:r>
      <w:r>
        <w:rPr>
          <w:rFonts w:hint="eastAsia" w:ascii="宋体" w:hAnsi="宋体" w:cs="宋体"/>
          <w:color w:val="000000" w:themeColor="text1"/>
          <w:kern w:val="0"/>
          <w:szCs w:val="21"/>
          <w:highlight w:val="none"/>
          <w:u w:val="single"/>
          <w:lang w:eastAsia="zh-CN"/>
          <w14:textFill>
            <w14:solidFill>
              <w14:schemeClr w14:val="tx1"/>
            </w14:solidFill>
          </w14:textFill>
        </w:rPr>
        <w:t>浙江省嘉兴支队乌镇消防救援大队2023年度伙食集中配送采购项目</w:t>
      </w:r>
      <w:r>
        <w:rPr>
          <w:rFonts w:hint="eastAsia" w:ascii="宋体" w:hAnsi="宋体" w:cs="宋体"/>
          <w:color w:val="000000" w:themeColor="text1"/>
          <w:szCs w:val="21"/>
          <w:highlight w:val="none"/>
          <w:u w:val="single"/>
          <w14:textFill>
            <w14:solidFill>
              <w14:schemeClr w14:val="tx1"/>
            </w14:solidFill>
          </w14:textFill>
        </w:rPr>
        <w:t>。</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2、乙方是否属于小微企业：□是  □否</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2" w:firstLineChars="200"/>
        <w:jc w:val="lef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第三条 合同价款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1、本合同项下报价，分项价款见“价格清单”。</w:t>
      </w:r>
    </w:p>
    <w:tbl>
      <w:tblPr>
        <w:tblStyle w:val="222"/>
        <w:tblW w:w="85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9"/>
        <w:gridCol w:w="2600"/>
        <w:gridCol w:w="45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jc w:val="center"/>
        </w:trPr>
        <w:tc>
          <w:tcPr>
            <w:tcW w:w="1409" w:type="dxa"/>
          </w:tcPr>
          <w:p>
            <w:pPr>
              <w:widowControl/>
              <w:kinsoku w:val="0"/>
              <w:autoSpaceDE w:val="0"/>
              <w:autoSpaceDN w:val="0"/>
              <w:adjustRightInd w:val="0"/>
              <w:snapToGrid w:val="0"/>
              <w:spacing w:before="120" w:beforeLines="50" w:after="120" w:afterLines="50" w:line="560" w:lineRule="exact"/>
              <w:jc w:val="center"/>
              <w:textAlignment w:val="baseline"/>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序号</w:t>
            </w:r>
          </w:p>
        </w:tc>
        <w:tc>
          <w:tcPr>
            <w:tcW w:w="2600" w:type="dxa"/>
          </w:tcPr>
          <w:p>
            <w:pPr>
              <w:widowControl/>
              <w:kinsoku w:val="0"/>
              <w:autoSpaceDE w:val="0"/>
              <w:autoSpaceDN w:val="0"/>
              <w:adjustRightInd w:val="0"/>
              <w:snapToGrid w:val="0"/>
              <w:spacing w:before="120" w:beforeLines="50" w:after="120" w:afterLines="50" w:line="560" w:lineRule="exact"/>
              <w:jc w:val="center"/>
              <w:textAlignment w:val="baseline"/>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品类</w:t>
            </w:r>
          </w:p>
        </w:tc>
        <w:tc>
          <w:tcPr>
            <w:tcW w:w="4520" w:type="dxa"/>
          </w:tcPr>
          <w:p>
            <w:pPr>
              <w:widowControl/>
              <w:kinsoku w:val="0"/>
              <w:autoSpaceDE w:val="0"/>
              <w:autoSpaceDN w:val="0"/>
              <w:adjustRightInd w:val="0"/>
              <w:snapToGrid w:val="0"/>
              <w:spacing w:before="120" w:beforeLines="50" w:after="120" w:afterLines="50" w:line="560" w:lineRule="exact"/>
              <w:ind w:firstLine="420" w:firstLineChars="200"/>
              <w:jc w:val="center"/>
              <w:textAlignment w:val="baseline"/>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费率（%）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409" w:type="dxa"/>
          </w:tcPr>
          <w:p>
            <w:pPr>
              <w:widowControl/>
              <w:kinsoku w:val="0"/>
              <w:autoSpaceDE w:val="0"/>
              <w:autoSpaceDN w:val="0"/>
              <w:adjustRightInd w:val="0"/>
              <w:snapToGrid w:val="0"/>
              <w:spacing w:before="120" w:beforeLines="50" w:after="120" w:afterLines="50" w:line="560" w:lineRule="exact"/>
              <w:jc w:val="center"/>
              <w:textAlignment w:val="baseline"/>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1</w:t>
            </w:r>
          </w:p>
        </w:tc>
        <w:tc>
          <w:tcPr>
            <w:tcW w:w="2600"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蔬菜类</w:t>
            </w:r>
          </w:p>
        </w:tc>
        <w:tc>
          <w:tcPr>
            <w:tcW w:w="4520" w:type="dxa"/>
          </w:tcPr>
          <w:p>
            <w:pPr>
              <w:widowControl/>
              <w:kinsoku w:val="0"/>
              <w:autoSpaceDE w:val="0"/>
              <w:autoSpaceDN w:val="0"/>
              <w:adjustRightInd w:val="0"/>
              <w:snapToGrid w:val="0"/>
              <w:spacing w:before="120" w:beforeLines="50" w:after="120" w:afterLines="50" w:line="560" w:lineRule="exact"/>
              <w:ind w:firstLine="218" w:firstLineChars="104"/>
              <w:jc w:val="left"/>
              <w:textAlignment w:val="baseline"/>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409" w:type="dxa"/>
          </w:tcPr>
          <w:p>
            <w:pPr>
              <w:widowControl/>
              <w:kinsoku w:val="0"/>
              <w:autoSpaceDE w:val="0"/>
              <w:autoSpaceDN w:val="0"/>
              <w:adjustRightInd w:val="0"/>
              <w:snapToGrid w:val="0"/>
              <w:spacing w:before="120" w:beforeLines="50" w:after="120" w:afterLines="50" w:line="560" w:lineRule="exact"/>
              <w:jc w:val="center"/>
              <w:textAlignment w:val="baseline"/>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w:t>
            </w:r>
          </w:p>
        </w:tc>
        <w:tc>
          <w:tcPr>
            <w:tcW w:w="2600"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肉类</w:t>
            </w:r>
          </w:p>
        </w:tc>
        <w:tc>
          <w:tcPr>
            <w:tcW w:w="4520" w:type="dxa"/>
          </w:tcPr>
          <w:p>
            <w:pPr>
              <w:widowControl/>
              <w:kinsoku w:val="0"/>
              <w:autoSpaceDE w:val="0"/>
              <w:autoSpaceDN w:val="0"/>
              <w:adjustRightInd w:val="0"/>
              <w:snapToGrid w:val="0"/>
              <w:spacing w:before="120" w:beforeLines="50" w:after="120" w:afterLines="50" w:line="560" w:lineRule="exact"/>
              <w:ind w:firstLine="218" w:firstLineChars="104"/>
              <w:jc w:val="left"/>
              <w:textAlignment w:val="baseline"/>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409" w:type="dxa"/>
          </w:tcPr>
          <w:p>
            <w:pPr>
              <w:widowControl/>
              <w:kinsoku w:val="0"/>
              <w:autoSpaceDE w:val="0"/>
              <w:autoSpaceDN w:val="0"/>
              <w:adjustRightInd w:val="0"/>
              <w:snapToGrid w:val="0"/>
              <w:spacing w:before="120" w:beforeLines="50" w:after="120" w:afterLines="50" w:line="560" w:lineRule="exact"/>
              <w:jc w:val="center"/>
              <w:textAlignment w:val="baseline"/>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w:t>
            </w:r>
          </w:p>
        </w:tc>
        <w:tc>
          <w:tcPr>
            <w:tcW w:w="2600"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冷冻食品类</w:t>
            </w:r>
          </w:p>
        </w:tc>
        <w:tc>
          <w:tcPr>
            <w:tcW w:w="4520" w:type="dxa"/>
          </w:tcPr>
          <w:p>
            <w:pPr>
              <w:widowControl/>
              <w:kinsoku w:val="0"/>
              <w:autoSpaceDE w:val="0"/>
              <w:autoSpaceDN w:val="0"/>
              <w:adjustRightInd w:val="0"/>
              <w:snapToGrid w:val="0"/>
              <w:spacing w:before="120" w:beforeLines="50" w:after="120" w:afterLines="50" w:line="560" w:lineRule="exact"/>
              <w:ind w:firstLine="218" w:firstLineChars="104"/>
              <w:jc w:val="left"/>
              <w:textAlignment w:val="baseline"/>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409" w:type="dxa"/>
          </w:tcPr>
          <w:p>
            <w:pPr>
              <w:widowControl/>
              <w:kinsoku w:val="0"/>
              <w:autoSpaceDE w:val="0"/>
              <w:autoSpaceDN w:val="0"/>
              <w:adjustRightInd w:val="0"/>
              <w:snapToGrid w:val="0"/>
              <w:spacing w:before="120" w:beforeLines="50" w:after="120" w:afterLines="50" w:line="560" w:lineRule="exact"/>
              <w:jc w:val="center"/>
              <w:textAlignment w:val="baseline"/>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4</w:t>
            </w:r>
          </w:p>
        </w:tc>
        <w:tc>
          <w:tcPr>
            <w:tcW w:w="2600"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干货类</w:t>
            </w:r>
          </w:p>
        </w:tc>
        <w:tc>
          <w:tcPr>
            <w:tcW w:w="4520" w:type="dxa"/>
          </w:tcPr>
          <w:p>
            <w:pPr>
              <w:widowControl/>
              <w:kinsoku w:val="0"/>
              <w:autoSpaceDE w:val="0"/>
              <w:autoSpaceDN w:val="0"/>
              <w:adjustRightInd w:val="0"/>
              <w:snapToGrid w:val="0"/>
              <w:spacing w:before="120" w:beforeLines="50" w:after="120" w:afterLines="50" w:line="560" w:lineRule="exact"/>
              <w:ind w:firstLine="218" w:firstLineChars="104"/>
              <w:jc w:val="left"/>
              <w:textAlignment w:val="baseline"/>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1409" w:type="dxa"/>
          </w:tcPr>
          <w:p>
            <w:pPr>
              <w:widowControl/>
              <w:kinsoku w:val="0"/>
              <w:autoSpaceDE w:val="0"/>
              <w:autoSpaceDN w:val="0"/>
              <w:adjustRightInd w:val="0"/>
              <w:snapToGrid w:val="0"/>
              <w:spacing w:before="120" w:beforeLines="50" w:after="120" w:afterLines="50" w:line="560" w:lineRule="exact"/>
              <w:jc w:val="center"/>
              <w:textAlignment w:val="baseline"/>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5</w:t>
            </w:r>
          </w:p>
        </w:tc>
        <w:tc>
          <w:tcPr>
            <w:tcW w:w="2600"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豆制品类</w:t>
            </w:r>
          </w:p>
        </w:tc>
        <w:tc>
          <w:tcPr>
            <w:tcW w:w="4520" w:type="dxa"/>
          </w:tcPr>
          <w:p>
            <w:pPr>
              <w:widowControl/>
              <w:kinsoku w:val="0"/>
              <w:autoSpaceDE w:val="0"/>
              <w:autoSpaceDN w:val="0"/>
              <w:adjustRightInd w:val="0"/>
              <w:snapToGrid w:val="0"/>
              <w:spacing w:before="120" w:beforeLines="50" w:after="120" w:afterLines="50" w:line="560" w:lineRule="exact"/>
              <w:ind w:firstLine="218" w:firstLineChars="104"/>
              <w:jc w:val="left"/>
              <w:textAlignment w:val="baseline"/>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1409" w:type="dxa"/>
          </w:tcPr>
          <w:p>
            <w:pPr>
              <w:widowControl/>
              <w:kinsoku w:val="0"/>
              <w:autoSpaceDE w:val="0"/>
              <w:autoSpaceDN w:val="0"/>
              <w:adjustRightInd w:val="0"/>
              <w:snapToGrid w:val="0"/>
              <w:spacing w:before="120" w:beforeLines="50" w:after="120" w:afterLines="50" w:line="560" w:lineRule="exact"/>
              <w:jc w:val="center"/>
              <w:textAlignment w:val="baseline"/>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6</w:t>
            </w:r>
          </w:p>
        </w:tc>
        <w:tc>
          <w:tcPr>
            <w:tcW w:w="2600" w:type="dxa"/>
            <w:vAlign w:val="center"/>
          </w:tcPr>
          <w:p>
            <w:pPr>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水产品类</w:t>
            </w:r>
          </w:p>
        </w:tc>
        <w:tc>
          <w:tcPr>
            <w:tcW w:w="4520" w:type="dxa"/>
          </w:tcPr>
          <w:p>
            <w:pPr>
              <w:widowControl/>
              <w:kinsoku w:val="0"/>
              <w:autoSpaceDE w:val="0"/>
              <w:autoSpaceDN w:val="0"/>
              <w:adjustRightInd w:val="0"/>
              <w:snapToGrid w:val="0"/>
              <w:spacing w:before="120" w:beforeLines="50" w:after="120" w:afterLines="50" w:line="560" w:lineRule="exact"/>
              <w:ind w:firstLine="218" w:firstLineChars="104"/>
              <w:jc w:val="left"/>
              <w:textAlignment w:val="baseline"/>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1409" w:type="dxa"/>
          </w:tcPr>
          <w:p>
            <w:pPr>
              <w:widowControl/>
              <w:kinsoku w:val="0"/>
              <w:autoSpaceDE w:val="0"/>
              <w:autoSpaceDN w:val="0"/>
              <w:adjustRightInd w:val="0"/>
              <w:snapToGrid w:val="0"/>
              <w:spacing w:before="120" w:beforeLines="50" w:after="120" w:afterLines="50" w:line="560" w:lineRule="exact"/>
              <w:jc w:val="center"/>
              <w:textAlignment w:val="baseline"/>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7</w:t>
            </w:r>
          </w:p>
        </w:tc>
        <w:tc>
          <w:tcPr>
            <w:tcW w:w="2600" w:type="dxa"/>
            <w:vAlign w:val="center"/>
          </w:tcPr>
          <w:p>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禽蛋类</w:t>
            </w:r>
          </w:p>
        </w:tc>
        <w:tc>
          <w:tcPr>
            <w:tcW w:w="4520" w:type="dxa"/>
          </w:tcPr>
          <w:p>
            <w:pPr>
              <w:widowControl/>
              <w:kinsoku w:val="0"/>
              <w:autoSpaceDE w:val="0"/>
              <w:autoSpaceDN w:val="0"/>
              <w:adjustRightInd w:val="0"/>
              <w:snapToGrid w:val="0"/>
              <w:spacing w:before="120" w:beforeLines="50" w:after="120" w:afterLines="50" w:line="560" w:lineRule="exact"/>
              <w:ind w:firstLine="218" w:firstLineChars="104"/>
              <w:jc w:val="left"/>
              <w:textAlignment w:val="baseline"/>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1409" w:type="dxa"/>
          </w:tcPr>
          <w:p>
            <w:pPr>
              <w:widowControl/>
              <w:kinsoku w:val="0"/>
              <w:autoSpaceDE w:val="0"/>
              <w:autoSpaceDN w:val="0"/>
              <w:adjustRightInd w:val="0"/>
              <w:snapToGrid w:val="0"/>
              <w:spacing w:before="120" w:beforeLines="50" w:after="120" w:afterLines="50" w:line="560" w:lineRule="exact"/>
              <w:jc w:val="center"/>
              <w:textAlignment w:val="baseline"/>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8</w:t>
            </w:r>
          </w:p>
        </w:tc>
        <w:tc>
          <w:tcPr>
            <w:tcW w:w="2600" w:type="dxa"/>
            <w:vAlign w:val="center"/>
          </w:tcPr>
          <w:p>
            <w:p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其他类</w:t>
            </w:r>
          </w:p>
        </w:tc>
        <w:tc>
          <w:tcPr>
            <w:tcW w:w="4520" w:type="dxa"/>
          </w:tcPr>
          <w:p>
            <w:pPr>
              <w:widowControl/>
              <w:kinsoku w:val="0"/>
              <w:autoSpaceDE w:val="0"/>
              <w:autoSpaceDN w:val="0"/>
              <w:adjustRightInd w:val="0"/>
              <w:snapToGrid w:val="0"/>
              <w:spacing w:before="120" w:beforeLines="50" w:after="120" w:afterLines="50" w:line="560" w:lineRule="exact"/>
              <w:ind w:firstLine="218" w:firstLineChars="104"/>
              <w:jc w:val="left"/>
              <w:textAlignment w:val="baseline"/>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tc>
      </w:tr>
    </w:tbl>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p>
    <w:p>
      <w:pPr>
        <w:pStyle w:val="25"/>
        <w:snapToGrid w:val="0"/>
        <w:spacing w:line="360" w:lineRule="auto"/>
        <w:ind w:firstLine="420" w:firstLineChars="200"/>
        <w:jc w:val="left"/>
        <w:rPr>
          <w:rFonts w:hAnsi="宋体" w:cs="宋体"/>
          <w:b/>
          <w:bCs/>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2、本合同总价款含所有税费。</w:t>
      </w:r>
      <w:r>
        <w:rPr>
          <w:rFonts w:hint="eastAsia" w:hAnsi="宋体" w:cs="宋体"/>
          <w:b/>
          <w:bCs/>
          <w:color w:val="000000" w:themeColor="text1"/>
          <w:szCs w:val="21"/>
          <w:highlight w:val="none"/>
          <w14:textFill>
            <w14:solidFill>
              <w14:schemeClr w14:val="tx1"/>
            </w14:solidFill>
          </w14:textFill>
        </w:rPr>
        <w:t>(必须包括提供项目服务所需的一切人员费用（人员工资、奖金、各种加班费、各种社会保险（基本养老保险、基本医疗保险、工伤保险、失业保险、公积金等）、食宿与交通、高温补偿费）、货款、管理费用（意外保险、车辆、培训、税费、利润等完成合同所需的一切本身和不可或缺的所有工作开支、政策性文件规定及合同包含的所有风险、责任等各项全部费用并承担一切风险责任。)</w:t>
      </w:r>
    </w:p>
    <w:p>
      <w:pPr>
        <w:widowControl/>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3、本合同付款方式为：</w:t>
      </w:r>
    </w:p>
    <w:p>
      <w:pPr>
        <w:widowControl/>
        <w:spacing w:line="360" w:lineRule="auto"/>
        <w:ind w:firstLine="422" w:firstLineChars="200"/>
        <w:jc w:val="left"/>
        <w:rPr>
          <w:rFonts w:hint="eastAsia" w:ascii="宋体" w:hAnsi="宋体" w:cs="宋体"/>
          <w:b/>
          <w:color w:val="000000" w:themeColor="text1"/>
          <w:kern w:val="0"/>
          <w:szCs w:val="21"/>
          <w:highlight w:val="none"/>
          <w:lang w:val="en-US" w:eastAsia="zh-CN"/>
          <w14:textFill>
            <w14:solidFill>
              <w14:schemeClr w14:val="tx1"/>
            </w14:solidFill>
          </w14:textFill>
        </w:rPr>
      </w:pPr>
      <w:r>
        <w:rPr>
          <w:rFonts w:hint="eastAsia" w:ascii="宋体" w:hAnsi="宋体" w:cs="宋体"/>
          <w:b/>
          <w:color w:val="000000" w:themeColor="text1"/>
          <w:kern w:val="0"/>
          <w:szCs w:val="21"/>
          <w:highlight w:val="none"/>
          <w:lang w:val="en-US" w:eastAsia="zh-CN"/>
          <w14:textFill>
            <w14:solidFill>
              <w14:schemeClr w14:val="tx1"/>
            </w14:solidFill>
          </w14:textFill>
        </w:rPr>
        <w:t>1）乙方每天根据甲方需求配送食堂大宗物品（甲方提前一天（每日17:00时前）告知乙方第二天需求配送食堂大宗物品）。甲方每天由食堂管理人员验收数量、质量和品种。</w:t>
      </w:r>
    </w:p>
    <w:p>
      <w:pPr>
        <w:widowControl/>
        <w:spacing w:line="360" w:lineRule="auto"/>
        <w:ind w:firstLine="422" w:firstLineChars="200"/>
        <w:jc w:val="left"/>
        <w:rPr>
          <w:rFonts w:hint="eastAsia" w:ascii="宋体" w:hAnsi="宋体" w:cs="宋体"/>
          <w:b/>
          <w:color w:val="000000" w:themeColor="text1"/>
          <w:kern w:val="0"/>
          <w:szCs w:val="21"/>
          <w:highlight w:val="none"/>
          <w:lang w:val="en-US" w:eastAsia="zh-CN"/>
          <w14:textFill>
            <w14:solidFill>
              <w14:schemeClr w14:val="tx1"/>
            </w14:solidFill>
          </w14:textFill>
        </w:rPr>
      </w:pPr>
      <w:r>
        <w:rPr>
          <w:rFonts w:hint="eastAsia" w:ascii="宋体" w:hAnsi="宋体" w:cs="宋体"/>
          <w:b/>
          <w:color w:val="000000" w:themeColor="text1"/>
          <w:kern w:val="0"/>
          <w:szCs w:val="21"/>
          <w:highlight w:val="none"/>
          <w:lang w:val="en-US" w:eastAsia="zh-CN"/>
          <w14:textFill>
            <w14:solidFill>
              <w14:schemeClr w14:val="tx1"/>
            </w14:solidFill>
          </w14:textFill>
        </w:rPr>
        <w:t>2）甲方食堂管理人员每天依据结算价统计食堂大宗物品的配送金额，上报财务结算。</w:t>
      </w:r>
    </w:p>
    <w:p>
      <w:pPr>
        <w:widowControl/>
        <w:spacing w:line="360" w:lineRule="auto"/>
        <w:ind w:firstLine="422" w:firstLineChars="200"/>
        <w:jc w:val="left"/>
        <w:rPr>
          <w:rFonts w:hint="eastAsia" w:ascii="宋体" w:hAnsi="宋体" w:cs="宋体"/>
          <w:b/>
          <w:color w:val="000000" w:themeColor="text1"/>
          <w:kern w:val="0"/>
          <w:szCs w:val="21"/>
          <w:highlight w:val="none"/>
          <w:lang w:val="en-US" w:eastAsia="zh-CN"/>
          <w14:textFill>
            <w14:solidFill>
              <w14:schemeClr w14:val="tx1"/>
            </w14:solidFill>
          </w14:textFill>
        </w:rPr>
      </w:pPr>
      <w:r>
        <w:rPr>
          <w:rFonts w:hint="eastAsia" w:ascii="宋体" w:hAnsi="宋体" w:cs="宋体"/>
          <w:b/>
          <w:color w:val="000000" w:themeColor="text1"/>
          <w:kern w:val="0"/>
          <w:szCs w:val="21"/>
          <w:highlight w:val="none"/>
          <w:lang w:val="en-US" w:eastAsia="zh-CN"/>
          <w14:textFill>
            <w14:solidFill>
              <w14:schemeClr w14:val="tx1"/>
            </w14:solidFill>
          </w14:textFill>
        </w:rPr>
        <w:t>3）每周由甲方食堂管理人员统计上周的发生额与配送企业相关人员确认，须乙方提供正式税务发票后付款，收到发票后付款结算周期不超过15个工作日，因乙方延迟提供发票，导致甲方逾期付款的，甲方不因此承担违约责任。</w:t>
      </w:r>
    </w:p>
    <w:p>
      <w:pPr>
        <w:widowControl/>
        <w:spacing w:line="360" w:lineRule="auto"/>
        <w:ind w:firstLine="422" w:firstLineChars="200"/>
        <w:jc w:val="left"/>
        <w:rPr>
          <w:rFonts w:hint="eastAsia" w:ascii="宋体" w:hAnsi="宋体" w:cs="宋体"/>
          <w:b/>
          <w:color w:val="000000" w:themeColor="text1"/>
          <w:kern w:val="0"/>
          <w:szCs w:val="21"/>
          <w:highlight w:val="none"/>
          <w:lang w:val="en-US" w:eastAsia="zh-CN"/>
          <w14:textFill>
            <w14:solidFill>
              <w14:schemeClr w14:val="tx1"/>
            </w14:solidFill>
          </w14:textFill>
        </w:rPr>
      </w:pPr>
      <w:r>
        <w:rPr>
          <w:rFonts w:hint="eastAsia" w:ascii="宋体" w:hAnsi="宋体" w:cs="宋体"/>
          <w:b/>
          <w:color w:val="000000" w:themeColor="text1"/>
          <w:kern w:val="0"/>
          <w:szCs w:val="21"/>
          <w:highlight w:val="none"/>
          <w:lang w:val="en-US" w:eastAsia="zh-CN"/>
          <w14:textFill>
            <w14:solidFill>
              <w14:schemeClr w14:val="tx1"/>
            </w14:solidFill>
          </w14:textFill>
        </w:rPr>
        <w:t>4）结算价=基准价*乙方所报的各大类的统一折扣率。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2" w:firstLineChars="200"/>
        <w:jc w:val="lef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第四条 履约保证金</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合同签订后5个工作日内，</w:t>
      </w:r>
      <w:r>
        <w:rPr>
          <w:rFonts w:hint="eastAsia" w:ascii="宋体" w:hAnsi="宋体" w:cs="宋体"/>
          <w:color w:val="000000" w:themeColor="text1"/>
          <w:kern w:val="0"/>
          <w:szCs w:val="21"/>
          <w:highlight w:val="none"/>
          <w:lang w:val="en-US" w:eastAsia="zh-CN"/>
          <w14:textFill>
            <w14:solidFill>
              <w14:schemeClr w14:val="tx1"/>
            </w14:solidFill>
          </w14:textFill>
        </w:rPr>
        <w:t>乙方</w:t>
      </w:r>
      <w:r>
        <w:rPr>
          <w:rFonts w:hint="eastAsia" w:ascii="宋体" w:hAnsi="宋体" w:cs="宋体"/>
          <w:color w:val="000000" w:themeColor="text1"/>
          <w:kern w:val="0"/>
          <w:szCs w:val="21"/>
          <w:highlight w:val="none"/>
          <w14:textFill>
            <w14:solidFill>
              <w14:schemeClr w14:val="tx1"/>
            </w14:solidFill>
          </w14:textFill>
        </w:rPr>
        <w:t>向</w:t>
      </w:r>
      <w:r>
        <w:rPr>
          <w:rFonts w:hint="eastAsia" w:ascii="宋体" w:hAnsi="宋体" w:cs="宋体"/>
          <w:color w:val="000000" w:themeColor="text1"/>
          <w:kern w:val="0"/>
          <w:szCs w:val="21"/>
          <w:highlight w:val="none"/>
          <w:lang w:val="en-US" w:eastAsia="zh-CN"/>
          <w14:textFill>
            <w14:solidFill>
              <w14:schemeClr w14:val="tx1"/>
            </w14:solidFill>
          </w14:textFill>
        </w:rPr>
        <w:t>甲方</w:t>
      </w:r>
      <w:r>
        <w:rPr>
          <w:rFonts w:hint="eastAsia" w:ascii="宋体" w:hAnsi="宋体" w:cs="宋体"/>
          <w:color w:val="000000" w:themeColor="text1"/>
          <w:kern w:val="0"/>
          <w:szCs w:val="21"/>
          <w:highlight w:val="none"/>
          <w14:textFill>
            <w14:solidFill>
              <w14:schemeClr w14:val="tx1"/>
            </w14:solidFill>
          </w14:textFill>
        </w:rPr>
        <w:t>缴纳</w:t>
      </w:r>
      <w:r>
        <w:rPr>
          <w:rFonts w:hint="eastAsia" w:ascii="宋体" w:hAnsi="宋体" w:cs="宋体"/>
          <w:b/>
          <w:color w:val="000000" w:themeColor="text1"/>
          <w:kern w:val="0"/>
          <w:szCs w:val="21"/>
          <w:highlight w:val="none"/>
          <w:lang w:eastAsia="zh-CN"/>
          <w14:textFill>
            <w14:solidFill>
              <w14:schemeClr w14:val="tx1"/>
            </w14:solidFill>
          </w14:textFill>
        </w:rPr>
        <w:t>柒仟元</w:t>
      </w:r>
      <w:r>
        <w:rPr>
          <w:rFonts w:hint="eastAsia" w:ascii="宋体" w:hAnsi="宋体" w:cs="宋体"/>
          <w:color w:val="000000" w:themeColor="text1"/>
          <w:kern w:val="0"/>
          <w:szCs w:val="21"/>
          <w:highlight w:val="none"/>
          <w14:textFill>
            <w14:solidFill>
              <w14:schemeClr w14:val="tx1"/>
            </w14:solidFill>
          </w14:textFill>
        </w:rPr>
        <w:t>履约保证金，</w:t>
      </w:r>
      <w:r>
        <w:rPr>
          <w:rFonts w:hint="eastAsia" w:ascii="宋体" w:hAnsi="宋体" w:cs="宋体"/>
          <w:color w:val="000000" w:themeColor="text1"/>
          <w:kern w:val="0"/>
          <w:szCs w:val="21"/>
          <w:highlight w:val="none"/>
          <w:lang w:val="en-US" w:eastAsia="zh-CN"/>
          <w14:textFill>
            <w14:solidFill>
              <w14:schemeClr w14:val="tx1"/>
            </w14:solidFill>
          </w14:textFill>
        </w:rPr>
        <w:t>乙方</w:t>
      </w:r>
      <w:r>
        <w:rPr>
          <w:rFonts w:hint="eastAsia" w:ascii="宋体" w:hAnsi="宋体" w:cs="宋体"/>
          <w:color w:val="000000" w:themeColor="text1"/>
          <w:kern w:val="0"/>
          <w:szCs w:val="21"/>
          <w:highlight w:val="none"/>
          <w14:textFill>
            <w14:solidFill>
              <w14:schemeClr w14:val="tx1"/>
            </w14:solidFill>
          </w14:textFill>
        </w:rPr>
        <w:t>应当以支票、汇票、本票或者金融机构、担保机构出具的保函等非现金形式提交，采购单位不得拒收，政府采购货物和服务项目不得收取质量保证金政府采购工程以及与工程建设有关的货物、服务，采用招标方式采购的，按国家和省有关规定执行。履约保证金的在合同履行完毕后及时退还，延迟退还的，应当按照合同约定和法律规定承担相应的赔偿责任。</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2" w:firstLineChars="200"/>
        <w:jc w:val="lef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第五条 合同的变更和终止</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除《政府采购法》第49条、第50条第二款规定的情形外，本合同一经签订，甲乙双方不得擅自终止合同或对合同实质性条款进行变更。确有特殊情况的，须经同级财政部门备案同意。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2" w:firstLineChars="200"/>
        <w:jc w:val="left"/>
        <w:rPr>
          <w:rFonts w:hint="eastAsia" w:ascii="宋体" w:hAnsi="宋体" w:cs="宋体"/>
          <w:b/>
          <w:color w:val="000000" w:themeColor="text1"/>
          <w:kern w:val="0"/>
          <w:szCs w:val="21"/>
          <w:highlight w:val="none"/>
          <w14:textFill>
            <w14:solidFill>
              <w14:schemeClr w14:val="tx1"/>
            </w14:solidFill>
          </w14:textFill>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2" w:firstLineChars="200"/>
        <w:jc w:val="lef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第六条 合同的转让与分包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乙方不得擅自部分或全部转让其应履行的合同义务。乙方分包的，应经过甲方书面同意。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2" w:firstLineChars="200"/>
        <w:jc w:val="lef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第七条 争议的解决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bookmarkStart w:id="254" w:name="OLE_LINK3"/>
      <w:r>
        <w:rPr>
          <w:rFonts w:hint="eastAsia" w:ascii="宋体" w:hAnsi="宋体" w:cs="宋体"/>
          <w:color w:val="000000" w:themeColor="text1"/>
          <w:kern w:val="0"/>
          <w:szCs w:val="21"/>
          <w:highlight w:val="none"/>
          <w14:textFill>
            <w14:solidFill>
              <w14:schemeClr w14:val="tx1"/>
            </w14:solidFill>
          </w14:textFill>
        </w:rPr>
        <w:t>1、因履行本合同引起的或与本合同有关的争议，甲、乙双方应首先通过友好协商解决，如果协商不能解决争议，则采取以下第</w:t>
      </w:r>
      <w:r>
        <w:rPr>
          <w:rFonts w:hint="eastAsia" w:ascii="宋体" w:hAnsi="宋体" w:cs="宋体"/>
          <w:color w:val="000000" w:themeColor="text1"/>
          <w:kern w:val="0"/>
          <w:szCs w:val="21"/>
          <w:highlight w:val="none"/>
          <w:u w:val="single"/>
          <w14:textFill>
            <w14:solidFill>
              <w14:schemeClr w14:val="tx1"/>
            </w14:solidFill>
          </w14:textFill>
        </w:rPr>
        <w:t xml:space="preserve">  （1）  </w:t>
      </w:r>
      <w:r>
        <w:rPr>
          <w:rFonts w:hint="eastAsia" w:ascii="宋体" w:hAnsi="宋体" w:cs="宋体"/>
          <w:color w:val="000000" w:themeColor="text1"/>
          <w:kern w:val="0"/>
          <w:szCs w:val="21"/>
          <w:highlight w:val="none"/>
          <w14:textFill>
            <w14:solidFill>
              <w14:schemeClr w14:val="tx1"/>
            </w14:solidFill>
          </w14:textFill>
        </w:rPr>
        <w:t>种方式解决争议：</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（1）向甲方所在地有管辖权的人民法院提起诉讼；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（2）向</w:t>
      </w:r>
      <w:r>
        <w:rPr>
          <w:rFonts w:hint="eastAsia" w:ascii="宋体" w:hAnsi="宋体" w:cs="宋体"/>
          <w:color w:val="000000" w:themeColor="text1"/>
          <w:kern w:val="0"/>
          <w:szCs w:val="21"/>
          <w:highlight w:val="none"/>
          <w:u w:val="single"/>
          <w14:textFill>
            <w14:solidFill>
              <w14:schemeClr w14:val="tx1"/>
            </w14:solidFill>
          </w14:textFill>
        </w:rPr>
        <w:t xml:space="preserve">  嘉兴 </w:t>
      </w:r>
      <w:r>
        <w:rPr>
          <w:rFonts w:hint="eastAsia" w:ascii="宋体" w:hAnsi="宋体" w:cs="宋体"/>
          <w:color w:val="000000" w:themeColor="text1"/>
          <w:kern w:val="0"/>
          <w:szCs w:val="21"/>
          <w:highlight w:val="none"/>
          <w14:textFill>
            <w14:solidFill>
              <w14:schemeClr w14:val="tx1"/>
            </w14:solidFill>
          </w14:textFill>
        </w:rPr>
        <w:t>仲裁委员申请仲裁。</w:t>
      </w:r>
    </w:p>
    <w:bookmarkEnd w:id="254"/>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2" w:firstLineChars="200"/>
        <w:jc w:val="lef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第八条 合同备案及其他</w:t>
      </w:r>
    </w:p>
    <w:p>
      <w:pPr>
        <w:widowControl/>
        <w:spacing w:line="440" w:lineRule="exact"/>
        <w:ind w:firstLine="420" w:firstLineChars="200"/>
        <w:jc w:val="left"/>
        <w:rPr>
          <w:rFonts w:ascii="宋体" w:hAnsi="宋体" w:cs="宋体"/>
          <w:b/>
          <w:bCs/>
          <w:color w:val="000000" w:themeColor="text1"/>
          <w:kern w:val="0"/>
          <w:sz w:val="30"/>
          <w:szCs w:val="30"/>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本合同一式</w:t>
      </w:r>
      <w:r>
        <w:rPr>
          <w:rFonts w:hint="eastAsia" w:ascii="宋体" w:hAnsi="宋体" w:cs="宋体"/>
          <w:color w:val="000000" w:themeColor="text1"/>
          <w:kern w:val="0"/>
          <w:szCs w:val="21"/>
          <w:highlight w:val="none"/>
          <w:u w:val="single"/>
          <w14:textFill>
            <w14:solidFill>
              <w14:schemeClr w14:val="tx1"/>
            </w14:solidFill>
          </w14:textFill>
        </w:rPr>
        <w:t xml:space="preserve"> 五 </w:t>
      </w:r>
      <w:r>
        <w:rPr>
          <w:rFonts w:hint="eastAsia" w:ascii="宋体" w:hAnsi="宋体" w:cs="宋体"/>
          <w:color w:val="000000" w:themeColor="text1"/>
          <w:kern w:val="0"/>
          <w:szCs w:val="21"/>
          <w:highlight w:val="none"/>
          <w14:textFill>
            <w14:solidFill>
              <w14:schemeClr w14:val="tx1"/>
            </w14:solidFill>
          </w14:textFill>
        </w:rPr>
        <w:t>份，甲乙双方各执</w:t>
      </w:r>
      <w:r>
        <w:rPr>
          <w:rFonts w:hint="eastAsia" w:ascii="宋体" w:hAnsi="宋体" w:cs="宋体"/>
          <w:color w:val="000000" w:themeColor="text1"/>
          <w:kern w:val="0"/>
          <w:szCs w:val="21"/>
          <w:highlight w:val="none"/>
          <w:u w:val="single"/>
          <w14:textFill>
            <w14:solidFill>
              <w14:schemeClr w14:val="tx1"/>
            </w14:solidFill>
          </w14:textFill>
        </w:rPr>
        <w:t xml:space="preserve"> 二 </w:t>
      </w:r>
      <w:r>
        <w:rPr>
          <w:rFonts w:hint="eastAsia" w:ascii="宋体" w:hAnsi="宋体" w:cs="宋体"/>
          <w:color w:val="000000" w:themeColor="text1"/>
          <w:kern w:val="0"/>
          <w:szCs w:val="21"/>
          <w:highlight w:val="none"/>
          <w14:textFill>
            <w14:solidFill>
              <w14:schemeClr w14:val="tx1"/>
            </w14:solidFill>
          </w14:textFill>
        </w:rPr>
        <w:t>份，</w:t>
      </w:r>
      <w:r>
        <w:rPr>
          <w:rFonts w:hint="eastAsia" w:ascii="宋体" w:hAnsi="宋体" w:cs="宋体"/>
          <w:color w:val="000000" w:themeColor="text1"/>
          <w:kern w:val="0"/>
          <w:szCs w:val="21"/>
          <w:highlight w:val="none"/>
          <w:u w:val="single"/>
          <w14:textFill>
            <w14:solidFill>
              <w14:schemeClr w14:val="tx1"/>
            </w14:solidFill>
          </w14:textFill>
        </w:rPr>
        <w:t xml:space="preserve"> 一 </w:t>
      </w:r>
      <w:r>
        <w:rPr>
          <w:rFonts w:hint="eastAsia" w:ascii="宋体" w:hAnsi="宋体" w:cs="宋体"/>
          <w:color w:val="000000" w:themeColor="text1"/>
          <w:kern w:val="0"/>
          <w:szCs w:val="21"/>
          <w:highlight w:val="none"/>
          <w14:textFill>
            <w14:solidFill>
              <w14:schemeClr w14:val="tx1"/>
            </w14:solidFill>
          </w14:textFill>
        </w:rPr>
        <w:t>份留采购代理单位存档备查。</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562" w:firstLineChars="200"/>
        <w:jc w:val="center"/>
        <w:rPr>
          <w:rFonts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二、专用条款部分</w:t>
      </w:r>
    </w:p>
    <w:p>
      <w:pPr>
        <w:pStyle w:val="43"/>
        <w:spacing w:before="0" w:beforeAutospacing="0" w:after="0" w:afterAutospacing="0" w:line="440" w:lineRule="exact"/>
        <w:ind w:firstLine="422" w:firstLineChars="200"/>
        <w:rPr>
          <w:rFonts w:cs="宋体"/>
          <w:color w:val="000000" w:themeColor="text1"/>
          <w:sz w:val="21"/>
          <w:szCs w:val="21"/>
          <w:highlight w:val="none"/>
          <w14:textFill>
            <w14:solidFill>
              <w14:schemeClr w14:val="tx1"/>
            </w14:solidFill>
          </w14:textFill>
        </w:rPr>
      </w:pPr>
      <w:r>
        <w:rPr>
          <w:rFonts w:hint="eastAsia" w:cs="宋体"/>
          <w:b/>
          <w:bCs/>
          <w:color w:val="000000" w:themeColor="text1"/>
          <w:sz w:val="21"/>
          <w:szCs w:val="21"/>
          <w:highlight w:val="none"/>
          <w14:textFill>
            <w14:solidFill>
              <w14:schemeClr w14:val="tx1"/>
            </w14:solidFill>
          </w14:textFill>
        </w:rPr>
        <w:t>一、服务内容</w:t>
      </w:r>
    </w:p>
    <w:p>
      <w:pPr>
        <w:pStyle w:val="6"/>
        <w:tabs>
          <w:tab w:val="left" w:pos="297"/>
          <w:tab w:val="left" w:pos="900"/>
        </w:tabs>
        <w:spacing w:line="440" w:lineRule="exact"/>
        <w:ind w:firstLine="406" w:firstLineChars="200"/>
        <w:rPr>
          <w:rFonts w:hint="eastAsia" w:hAnsi="宋体" w:eastAsia="宋体" w:cs="宋体"/>
          <w:b/>
          <w:bCs/>
          <w:color w:val="000000" w:themeColor="text1"/>
          <w:kern w:val="0"/>
          <w:sz w:val="21"/>
          <w:szCs w:val="21"/>
          <w:highlight w:val="none"/>
          <w:lang w:eastAsia="zh-CN"/>
          <w14:textFill>
            <w14:solidFill>
              <w14:schemeClr w14:val="tx1"/>
            </w14:solidFill>
          </w14:textFill>
        </w:rPr>
      </w:pPr>
      <w:r>
        <w:rPr>
          <w:rFonts w:hint="eastAsia" w:hAnsi="宋体" w:cs="宋体"/>
          <w:b/>
          <w:bCs/>
          <w:color w:val="000000" w:themeColor="text1"/>
          <w:kern w:val="0"/>
          <w:sz w:val="21"/>
          <w:szCs w:val="21"/>
          <w:highlight w:val="none"/>
          <w:lang w:eastAsia="zh-CN"/>
          <w14:textFill>
            <w14:solidFill>
              <w14:schemeClr w14:val="tx1"/>
            </w14:solidFill>
          </w14:textFill>
        </w:rPr>
        <w:t>浙江省嘉兴支队乌镇消防救援大队2023年度伙食集中配送采购</w:t>
      </w:r>
    </w:p>
    <w:p>
      <w:pPr>
        <w:pStyle w:val="6"/>
        <w:tabs>
          <w:tab w:val="left" w:pos="297"/>
          <w:tab w:val="left" w:pos="900"/>
        </w:tabs>
        <w:spacing w:line="440" w:lineRule="exact"/>
        <w:ind w:firstLine="406" w:firstLineChars="200"/>
        <w:jc w:val="center"/>
        <w:rPr>
          <w:rFonts w:hint="eastAsia" w:hAnsi="宋体" w:cs="宋体"/>
          <w:b/>
          <w:bCs/>
          <w:color w:val="000000" w:themeColor="text1"/>
          <w:kern w:val="0"/>
          <w:sz w:val="21"/>
          <w:szCs w:val="21"/>
          <w:highlight w:val="none"/>
          <w:lang w:val="zh-CN"/>
          <w14:textFill>
            <w14:solidFill>
              <w14:schemeClr w14:val="tx1"/>
            </w14:solidFill>
          </w14:textFill>
        </w:rPr>
      </w:pPr>
      <w:r>
        <w:rPr>
          <w:rFonts w:hint="eastAsia" w:hAnsi="宋体" w:cs="宋体"/>
          <w:b/>
          <w:bCs/>
          <w:color w:val="000000" w:themeColor="text1"/>
          <w:kern w:val="0"/>
          <w:sz w:val="21"/>
          <w:szCs w:val="21"/>
          <w:highlight w:val="none"/>
          <w14:textFill>
            <w14:solidFill>
              <w14:schemeClr w14:val="tx1"/>
            </w14:solidFill>
          </w14:textFill>
        </w:rPr>
        <w:t>各类食材</w:t>
      </w:r>
      <w:r>
        <w:rPr>
          <w:rFonts w:hint="eastAsia" w:hAnsi="宋体" w:cs="宋体"/>
          <w:b/>
          <w:bCs/>
          <w:color w:val="000000" w:themeColor="text1"/>
          <w:kern w:val="0"/>
          <w:sz w:val="21"/>
          <w:szCs w:val="21"/>
          <w:highlight w:val="none"/>
          <w:lang w:val="zh-CN"/>
          <w14:textFill>
            <w14:solidFill>
              <w14:schemeClr w14:val="tx1"/>
            </w14:solidFill>
          </w14:textFill>
        </w:rPr>
        <w:t>清单</w:t>
      </w:r>
    </w:p>
    <w:tbl>
      <w:tblPr>
        <w:tblStyle w:val="47"/>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821"/>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1370" w:type="dxa"/>
            <w:vAlign w:val="center"/>
          </w:tcPr>
          <w:p>
            <w:pPr>
              <w:pStyle w:val="6"/>
              <w:tabs>
                <w:tab w:val="left" w:pos="297"/>
                <w:tab w:val="left" w:pos="900"/>
              </w:tabs>
              <w:spacing w:line="440" w:lineRule="exact"/>
              <w:ind w:firstLine="404" w:firstLineChars="200"/>
              <w:rPr>
                <w:rFonts w:hint="eastAsia" w:hAnsi="宋体" w:cs="宋体"/>
                <w:b w:val="0"/>
                <w:bCs w:val="0"/>
                <w:color w:val="000000" w:themeColor="text1"/>
                <w:kern w:val="0"/>
                <w:sz w:val="21"/>
                <w:szCs w:val="21"/>
                <w:highlight w:val="none"/>
                <w14:textFill>
                  <w14:solidFill>
                    <w14:schemeClr w14:val="tx1"/>
                  </w14:solidFill>
                </w14:textFill>
              </w:rPr>
            </w:pPr>
            <w:r>
              <w:rPr>
                <w:rFonts w:hint="eastAsia" w:hAnsi="宋体" w:cs="宋体"/>
                <w:b w:val="0"/>
                <w:bCs w:val="0"/>
                <w:color w:val="000000" w:themeColor="text1"/>
                <w:kern w:val="0"/>
                <w:sz w:val="21"/>
                <w:szCs w:val="21"/>
                <w:highlight w:val="none"/>
                <w14:textFill>
                  <w14:solidFill>
                    <w14:schemeClr w14:val="tx1"/>
                  </w14:solidFill>
                </w14:textFill>
              </w:rPr>
              <w:t>序号</w:t>
            </w:r>
          </w:p>
        </w:tc>
        <w:tc>
          <w:tcPr>
            <w:tcW w:w="1821" w:type="dxa"/>
            <w:vAlign w:val="center"/>
          </w:tcPr>
          <w:p>
            <w:pPr>
              <w:pStyle w:val="6"/>
              <w:tabs>
                <w:tab w:val="left" w:pos="297"/>
                <w:tab w:val="left" w:pos="900"/>
              </w:tabs>
              <w:spacing w:line="440" w:lineRule="exact"/>
              <w:ind w:firstLine="404" w:firstLineChars="200"/>
              <w:rPr>
                <w:rFonts w:hint="eastAsia" w:hAnsi="宋体" w:cs="宋体"/>
                <w:b w:val="0"/>
                <w:bCs w:val="0"/>
                <w:color w:val="000000" w:themeColor="text1"/>
                <w:kern w:val="0"/>
                <w:sz w:val="21"/>
                <w:szCs w:val="21"/>
                <w:highlight w:val="none"/>
                <w14:textFill>
                  <w14:solidFill>
                    <w14:schemeClr w14:val="tx1"/>
                  </w14:solidFill>
                </w14:textFill>
              </w:rPr>
            </w:pPr>
            <w:r>
              <w:rPr>
                <w:rFonts w:hint="eastAsia" w:hAnsi="宋体" w:cs="宋体"/>
                <w:b w:val="0"/>
                <w:bCs w:val="0"/>
                <w:color w:val="000000" w:themeColor="text1"/>
                <w:kern w:val="0"/>
                <w:sz w:val="21"/>
                <w:szCs w:val="21"/>
                <w:highlight w:val="none"/>
                <w14:textFill>
                  <w14:solidFill>
                    <w14:schemeClr w14:val="tx1"/>
                  </w14:solidFill>
                </w14:textFill>
              </w:rPr>
              <w:t>类别</w:t>
            </w:r>
          </w:p>
        </w:tc>
        <w:tc>
          <w:tcPr>
            <w:tcW w:w="5766" w:type="dxa"/>
            <w:vAlign w:val="center"/>
          </w:tcPr>
          <w:p>
            <w:pPr>
              <w:pStyle w:val="6"/>
              <w:tabs>
                <w:tab w:val="left" w:pos="297"/>
                <w:tab w:val="left" w:pos="900"/>
              </w:tabs>
              <w:spacing w:line="440" w:lineRule="exact"/>
              <w:ind w:firstLine="404" w:firstLineChars="200"/>
              <w:rPr>
                <w:rFonts w:hint="eastAsia" w:hAnsi="宋体" w:cs="宋体"/>
                <w:b w:val="0"/>
                <w:bCs w:val="0"/>
                <w:color w:val="000000" w:themeColor="text1"/>
                <w:kern w:val="0"/>
                <w:sz w:val="21"/>
                <w:szCs w:val="21"/>
                <w:highlight w:val="none"/>
                <w14:textFill>
                  <w14:solidFill>
                    <w14:schemeClr w14:val="tx1"/>
                  </w14:solidFill>
                </w14:textFill>
              </w:rPr>
            </w:pPr>
            <w:r>
              <w:rPr>
                <w:rFonts w:hint="eastAsia" w:hAnsi="宋体" w:cs="宋体"/>
                <w:b w:val="0"/>
                <w:bCs w:val="0"/>
                <w:color w:val="000000" w:themeColor="text1"/>
                <w:kern w:val="0"/>
                <w:sz w:val="21"/>
                <w:szCs w:val="21"/>
                <w:highlight w:val="none"/>
                <w14:textFill>
                  <w14:solidFill>
                    <w14:schemeClr w14:val="tx1"/>
                  </w14:solidFill>
                </w14:textFill>
              </w:rPr>
              <w:t>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70" w:type="dxa"/>
            <w:vAlign w:val="center"/>
          </w:tcPr>
          <w:p>
            <w:pPr>
              <w:pStyle w:val="6"/>
              <w:tabs>
                <w:tab w:val="left" w:pos="297"/>
                <w:tab w:val="left" w:pos="900"/>
              </w:tabs>
              <w:spacing w:line="440" w:lineRule="exact"/>
              <w:ind w:firstLine="404" w:firstLineChars="200"/>
              <w:rPr>
                <w:rFonts w:hint="eastAsia" w:hAnsi="宋体" w:cs="宋体"/>
                <w:b w:val="0"/>
                <w:bCs w:val="0"/>
                <w:color w:val="000000" w:themeColor="text1"/>
                <w:kern w:val="0"/>
                <w:sz w:val="21"/>
                <w:szCs w:val="21"/>
                <w:highlight w:val="none"/>
                <w14:textFill>
                  <w14:solidFill>
                    <w14:schemeClr w14:val="tx1"/>
                  </w14:solidFill>
                </w14:textFill>
              </w:rPr>
            </w:pPr>
            <w:r>
              <w:rPr>
                <w:rFonts w:hint="eastAsia" w:hAnsi="宋体" w:cs="宋体"/>
                <w:b w:val="0"/>
                <w:bCs w:val="0"/>
                <w:color w:val="000000" w:themeColor="text1"/>
                <w:kern w:val="0"/>
                <w:sz w:val="21"/>
                <w:szCs w:val="21"/>
                <w:highlight w:val="none"/>
                <w14:textFill>
                  <w14:solidFill>
                    <w14:schemeClr w14:val="tx1"/>
                  </w14:solidFill>
                </w14:textFill>
              </w:rPr>
              <w:t>1</w:t>
            </w:r>
          </w:p>
        </w:tc>
        <w:tc>
          <w:tcPr>
            <w:tcW w:w="1821" w:type="dxa"/>
            <w:vAlign w:val="center"/>
          </w:tcPr>
          <w:p>
            <w:pPr>
              <w:pStyle w:val="6"/>
              <w:tabs>
                <w:tab w:val="left" w:pos="297"/>
                <w:tab w:val="left" w:pos="900"/>
              </w:tabs>
              <w:spacing w:line="440" w:lineRule="exact"/>
              <w:ind w:firstLine="404" w:firstLineChars="200"/>
              <w:rPr>
                <w:rFonts w:hint="eastAsia" w:hAnsi="宋体" w:cs="宋体"/>
                <w:b w:val="0"/>
                <w:bCs w:val="0"/>
                <w:color w:val="000000" w:themeColor="text1"/>
                <w:kern w:val="0"/>
                <w:sz w:val="21"/>
                <w:szCs w:val="21"/>
                <w:highlight w:val="none"/>
                <w14:textFill>
                  <w14:solidFill>
                    <w14:schemeClr w14:val="tx1"/>
                  </w14:solidFill>
                </w14:textFill>
              </w:rPr>
            </w:pPr>
            <w:r>
              <w:rPr>
                <w:rFonts w:hint="eastAsia" w:hAnsi="宋体" w:cs="宋体"/>
                <w:b w:val="0"/>
                <w:bCs w:val="0"/>
                <w:color w:val="000000" w:themeColor="text1"/>
                <w:kern w:val="0"/>
                <w:sz w:val="21"/>
                <w:szCs w:val="21"/>
                <w:highlight w:val="none"/>
                <w14:textFill>
                  <w14:solidFill>
                    <w14:schemeClr w14:val="tx1"/>
                  </w14:solidFill>
                </w14:textFill>
              </w:rPr>
              <w:t>蔬菜类</w:t>
            </w:r>
          </w:p>
        </w:tc>
        <w:tc>
          <w:tcPr>
            <w:tcW w:w="5766" w:type="dxa"/>
            <w:vAlign w:val="center"/>
          </w:tcPr>
          <w:p>
            <w:pPr>
              <w:pStyle w:val="6"/>
              <w:tabs>
                <w:tab w:val="left" w:pos="297"/>
                <w:tab w:val="left" w:pos="900"/>
              </w:tabs>
              <w:spacing w:line="440" w:lineRule="exact"/>
              <w:ind w:left="0" w:leftChars="0" w:firstLine="0" w:firstLineChars="0"/>
              <w:rPr>
                <w:rFonts w:hint="eastAsia" w:hAnsi="宋体" w:cs="宋体"/>
                <w:b w:val="0"/>
                <w:bCs w:val="0"/>
                <w:color w:val="000000" w:themeColor="text1"/>
                <w:kern w:val="0"/>
                <w:sz w:val="21"/>
                <w:szCs w:val="21"/>
                <w:highlight w:val="none"/>
                <w14:textFill>
                  <w14:solidFill>
                    <w14:schemeClr w14:val="tx1"/>
                  </w14:solidFill>
                </w14:textFill>
              </w:rPr>
            </w:pPr>
            <w:r>
              <w:rPr>
                <w:rFonts w:hint="eastAsia" w:hAnsi="宋体" w:cs="宋体"/>
                <w:b w:val="0"/>
                <w:bCs w:val="0"/>
                <w:color w:val="000000" w:themeColor="text1"/>
                <w:kern w:val="0"/>
                <w:sz w:val="21"/>
                <w:szCs w:val="21"/>
                <w:highlight w:val="none"/>
                <w14:textFill>
                  <w14:solidFill>
                    <w14:schemeClr w14:val="tx1"/>
                  </w14:solidFill>
                </w14:textFill>
              </w:rPr>
              <w:t>叶菜类、茎菜类、花菜类、根菜类、果菜类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1370" w:type="dxa"/>
            <w:vAlign w:val="center"/>
          </w:tcPr>
          <w:p>
            <w:pPr>
              <w:pStyle w:val="6"/>
              <w:tabs>
                <w:tab w:val="left" w:pos="297"/>
                <w:tab w:val="left" w:pos="900"/>
              </w:tabs>
              <w:spacing w:line="440" w:lineRule="exact"/>
              <w:ind w:firstLine="404" w:firstLineChars="200"/>
              <w:rPr>
                <w:rFonts w:hint="eastAsia" w:hAnsi="宋体" w:cs="宋体"/>
                <w:b w:val="0"/>
                <w:bCs w:val="0"/>
                <w:color w:val="000000" w:themeColor="text1"/>
                <w:kern w:val="0"/>
                <w:sz w:val="21"/>
                <w:szCs w:val="21"/>
                <w:highlight w:val="none"/>
                <w14:textFill>
                  <w14:solidFill>
                    <w14:schemeClr w14:val="tx1"/>
                  </w14:solidFill>
                </w14:textFill>
              </w:rPr>
            </w:pPr>
            <w:r>
              <w:rPr>
                <w:rFonts w:hint="eastAsia" w:hAnsi="宋体" w:cs="宋体"/>
                <w:b w:val="0"/>
                <w:bCs w:val="0"/>
                <w:color w:val="000000" w:themeColor="text1"/>
                <w:kern w:val="0"/>
                <w:sz w:val="21"/>
                <w:szCs w:val="21"/>
                <w:highlight w:val="none"/>
                <w14:textFill>
                  <w14:solidFill>
                    <w14:schemeClr w14:val="tx1"/>
                  </w14:solidFill>
                </w14:textFill>
              </w:rPr>
              <w:t>2</w:t>
            </w:r>
          </w:p>
        </w:tc>
        <w:tc>
          <w:tcPr>
            <w:tcW w:w="1821" w:type="dxa"/>
            <w:vAlign w:val="center"/>
          </w:tcPr>
          <w:p>
            <w:pPr>
              <w:pStyle w:val="6"/>
              <w:tabs>
                <w:tab w:val="left" w:pos="297"/>
                <w:tab w:val="left" w:pos="900"/>
              </w:tabs>
              <w:spacing w:line="440" w:lineRule="exact"/>
              <w:ind w:firstLine="404" w:firstLineChars="200"/>
              <w:rPr>
                <w:rFonts w:hint="eastAsia" w:hAnsi="宋体" w:cs="宋体"/>
                <w:b w:val="0"/>
                <w:bCs w:val="0"/>
                <w:color w:val="000000" w:themeColor="text1"/>
                <w:kern w:val="0"/>
                <w:sz w:val="21"/>
                <w:szCs w:val="21"/>
                <w:highlight w:val="none"/>
                <w14:textFill>
                  <w14:solidFill>
                    <w14:schemeClr w14:val="tx1"/>
                  </w14:solidFill>
                </w14:textFill>
              </w:rPr>
            </w:pPr>
            <w:r>
              <w:rPr>
                <w:rFonts w:hint="eastAsia" w:hAnsi="宋体" w:cs="宋体"/>
                <w:b w:val="0"/>
                <w:bCs w:val="0"/>
                <w:color w:val="000000" w:themeColor="text1"/>
                <w:kern w:val="0"/>
                <w:sz w:val="21"/>
                <w:szCs w:val="21"/>
                <w:highlight w:val="none"/>
                <w14:textFill>
                  <w14:solidFill>
                    <w14:schemeClr w14:val="tx1"/>
                  </w14:solidFill>
                </w14:textFill>
              </w:rPr>
              <w:t>肉类</w:t>
            </w:r>
          </w:p>
        </w:tc>
        <w:tc>
          <w:tcPr>
            <w:tcW w:w="5766" w:type="dxa"/>
            <w:vAlign w:val="center"/>
          </w:tcPr>
          <w:p>
            <w:pPr>
              <w:pStyle w:val="6"/>
              <w:tabs>
                <w:tab w:val="left" w:pos="297"/>
                <w:tab w:val="left" w:pos="900"/>
              </w:tabs>
              <w:spacing w:line="440" w:lineRule="exact"/>
              <w:ind w:left="0" w:leftChars="0" w:firstLine="0" w:firstLineChars="0"/>
              <w:rPr>
                <w:rFonts w:hint="eastAsia" w:hAnsi="宋体" w:cs="宋体"/>
                <w:b w:val="0"/>
                <w:bCs w:val="0"/>
                <w:color w:val="000000" w:themeColor="text1"/>
                <w:kern w:val="0"/>
                <w:sz w:val="21"/>
                <w:szCs w:val="21"/>
                <w:highlight w:val="none"/>
                <w14:textFill>
                  <w14:solidFill>
                    <w14:schemeClr w14:val="tx1"/>
                  </w14:solidFill>
                </w14:textFill>
              </w:rPr>
            </w:pPr>
            <w:r>
              <w:rPr>
                <w:rFonts w:hint="eastAsia" w:hAnsi="宋体" w:cs="宋体"/>
                <w:b w:val="0"/>
                <w:bCs w:val="0"/>
                <w:color w:val="000000" w:themeColor="text1"/>
                <w:kern w:val="0"/>
                <w:sz w:val="21"/>
                <w:szCs w:val="21"/>
                <w:highlight w:val="none"/>
                <w14:textFill>
                  <w14:solidFill>
                    <w14:schemeClr w14:val="tx1"/>
                  </w14:solidFill>
                </w14:textFill>
              </w:rPr>
              <w:t>新鲜牛肉、羊肉、猪肉、驴肉、兔肉、鸡肉、鸭肉、鹅肉等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jc w:val="center"/>
        </w:trPr>
        <w:tc>
          <w:tcPr>
            <w:tcW w:w="1370" w:type="dxa"/>
            <w:vAlign w:val="center"/>
          </w:tcPr>
          <w:p>
            <w:pPr>
              <w:pStyle w:val="6"/>
              <w:tabs>
                <w:tab w:val="left" w:pos="297"/>
                <w:tab w:val="left" w:pos="900"/>
              </w:tabs>
              <w:spacing w:line="440" w:lineRule="exact"/>
              <w:ind w:firstLine="404" w:firstLineChars="200"/>
              <w:rPr>
                <w:rFonts w:hint="eastAsia" w:hAnsi="宋体" w:cs="宋体"/>
                <w:b w:val="0"/>
                <w:bCs w:val="0"/>
                <w:color w:val="000000" w:themeColor="text1"/>
                <w:kern w:val="0"/>
                <w:sz w:val="21"/>
                <w:szCs w:val="21"/>
                <w:highlight w:val="none"/>
                <w14:textFill>
                  <w14:solidFill>
                    <w14:schemeClr w14:val="tx1"/>
                  </w14:solidFill>
                </w14:textFill>
              </w:rPr>
            </w:pPr>
            <w:r>
              <w:rPr>
                <w:rFonts w:hint="eastAsia" w:hAnsi="宋体" w:cs="宋体"/>
                <w:b w:val="0"/>
                <w:bCs w:val="0"/>
                <w:color w:val="000000" w:themeColor="text1"/>
                <w:kern w:val="0"/>
                <w:sz w:val="21"/>
                <w:szCs w:val="21"/>
                <w:highlight w:val="none"/>
                <w14:textFill>
                  <w14:solidFill>
                    <w14:schemeClr w14:val="tx1"/>
                  </w14:solidFill>
                </w14:textFill>
              </w:rPr>
              <w:t>3</w:t>
            </w:r>
          </w:p>
        </w:tc>
        <w:tc>
          <w:tcPr>
            <w:tcW w:w="1821" w:type="dxa"/>
            <w:vAlign w:val="center"/>
          </w:tcPr>
          <w:p>
            <w:pPr>
              <w:pStyle w:val="6"/>
              <w:tabs>
                <w:tab w:val="left" w:pos="297"/>
                <w:tab w:val="left" w:pos="900"/>
              </w:tabs>
              <w:spacing w:line="440" w:lineRule="exact"/>
              <w:ind w:firstLine="404" w:firstLineChars="200"/>
              <w:rPr>
                <w:rFonts w:hint="eastAsia" w:hAnsi="宋体" w:cs="宋体"/>
                <w:b w:val="0"/>
                <w:bCs w:val="0"/>
                <w:color w:val="000000" w:themeColor="text1"/>
                <w:kern w:val="0"/>
                <w:sz w:val="21"/>
                <w:szCs w:val="21"/>
                <w:highlight w:val="none"/>
                <w14:textFill>
                  <w14:solidFill>
                    <w14:schemeClr w14:val="tx1"/>
                  </w14:solidFill>
                </w14:textFill>
              </w:rPr>
            </w:pPr>
            <w:r>
              <w:rPr>
                <w:rFonts w:hint="eastAsia" w:hAnsi="宋体" w:cs="宋体"/>
                <w:b w:val="0"/>
                <w:bCs w:val="0"/>
                <w:color w:val="000000" w:themeColor="text1"/>
                <w:kern w:val="0"/>
                <w:sz w:val="21"/>
                <w:szCs w:val="21"/>
                <w:highlight w:val="none"/>
                <w14:textFill>
                  <w14:solidFill>
                    <w14:schemeClr w14:val="tx1"/>
                  </w14:solidFill>
                </w14:textFill>
              </w:rPr>
              <w:t>冷冻食品类</w:t>
            </w:r>
          </w:p>
        </w:tc>
        <w:tc>
          <w:tcPr>
            <w:tcW w:w="5766" w:type="dxa"/>
            <w:vAlign w:val="center"/>
          </w:tcPr>
          <w:p>
            <w:pPr>
              <w:pStyle w:val="6"/>
              <w:tabs>
                <w:tab w:val="left" w:pos="297"/>
                <w:tab w:val="left" w:pos="900"/>
              </w:tabs>
              <w:spacing w:line="440" w:lineRule="exact"/>
              <w:ind w:left="0" w:leftChars="0" w:firstLine="0" w:firstLineChars="0"/>
              <w:rPr>
                <w:rFonts w:hint="eastAsia" w:hAnsi="宋体" w:cs="宋体"/>
                <w:b w:val="0"/>
                <w:bCs w:val="0"/>
                <w:color w:val="000000" w:themeColor="text1"/>
                <w:kern w:val="0"/>
                <w:sz w:val="21"/>
                <w:szCs w:val="21"/>
                <w:highlight w:val="none"/>
                <w14:textFill>
                  <w14:solidFill>
                    <w14:schemeClr w14:val="tx1"/>
                  </w14:solidFill>
                </w14:textFill>
              </w:rPr>
            </w:pPr>
            <w:r>
              <w:rPr>
                <w:rFonts w:hint="eastAsia" w:hAnsi="宋体" w:cs="宋体"/>
                <w:b w:val="0"/>
                <w:bCs w:val="0"/>
                <w:color w:val="000000" w:themeColor="text1"/>
                <w:kern w:val="0"/>
                <w:sz w:val="21"/>
                <w:szCs w:val="21"/>
                <w:highlight w:val="none"/>
                <w14:textFill>
                  <w14:solidFill>
                    <w14:schemeClr w14:val="tx1"/>
                  </w14:solidFill>
                </w14:textFill>
              </w:rPr>
              <w:t>水产冷冻类（鲜活水产品除外）、畜产冷冻类（新鲜肉类除 外）、其他冷冻食品（半成品甜点等）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70" w:type="dxa"/>
            <w:vAlign w:val="center"/>
          </w:tcPr>
          <w:p>
            <w:pPr>
              <w:pStyle w:val="6"/>
              <w:tabs>
                <w:tab w:val="left" w:pos="297"/>
                <w:tab w:val="left" w:pos="900"/>
              </w:tabs>
              <w:spacing w:line="440" w:lineRule="exact"/>
              <w:ind w:firstLine="404" w:firstLineChars="200"/>
              <w:rPr>
                <w:rFonts w:hint="eastAsia" w:hAnsi="宋体" w:cs="宋体"/>
                <w:b w:val="0"/>
                <w:bCs w:val="0"/>
                <w:color w:val="000000" w:themeColor="text1"/>
                <w:kern w:val="0"/>
                <w:sz w:val="21"/>
                <w:szCs w:val="21"/>
                <w:highlight w:val="none"/>
                <w14:textFill>
                  <w14:solidFill>
                    <w14:schemeClr w14:val="tx1"/>
                  </w14:solidFill>
                </w14:textFill>
              </w:rPr>
            </w:pPr>
            <w:r>
              <w:rPr>
                <w:rFonts w:hint="eastAsia" w:hAnsi="宋体" w:cs="宋体"/>
                <w:b w:val="0"/>
                <w:bCs w:val="0"/>
                <w:color w:val="000000" w:themeColor="text1"/>
                <w:kern w:val="0"/>
                <w:sz w:val="21"/>
                <w:szCs w:val="21"/>
                <w:highlight w:val="none"/>
                <w14:textFill>
                  <w14:solidFill>
                    <w14:schemeClr w14:val="tx1"/>
                  </w14:solidFill>
                </w14:textFill>
              </w:rPr>
              <w:t>4</w:t>
            </w:r>
          </w:p>
        </w:tc>
        <w:tc>
          <w:tcPr>
            <w:tcW w:w="1821" w:type="dxa"/>
            <w:vAlign w:val="center"/>
          </w:tcPr>
          <w:p>
            <w:pPr>
              <w:pStyle w:val="6"/>
              <w:tabs>
                <w:tab w:val="left" w:pos="297"/>
                <w:tab w:val="left" w:pos="900"/>
              </w:tabs>
              <w:spacing w:line="440" w:lineRule="exact"/>
              <w:ind w:firstLine="404" w:firstLineChars="200"/>
              <w:rPr>
                <w:rFonts w:hint="eastAsia" w:hAnsi="宋体" w:cs="宋体"/>
                <w:b w:val="0"/>
                <w:bCs w:val="0"/>
                <w:color w:val="000000" w:themeColor="text1"/>
                <w:kern w:val="0"/>
                <w:sz w:val="21"/>
                <w:szCs w:val="21"/>
                <w:highlight w:val="none"/>
                <w14:textFill>
                  <w14:solidFill>
                    <w14:schemeClr w14:val="tx1"/>
                  </w14:solidFill>
                </w14:textFill>
              </w:rPr>
            </w:pPr>
            <w:r>
              <w:rPr>
                <w:rFonts w:hint="eastAsia" w:hAnsi="宋体" w:cs="宋体"/>
                <w:b w:val="0"/>
                <w:bCs w:val="0"/>
                <w:color w:val="000000" w:themeColor="text1"/>
                <w:kern w:val="0"/>
                <w:sz w:val="21"/>
                <w:szCs w:val="21"/>
                <w:highlight w:val="none"/>
                <w14:textFill>
                  <w14:solidFill>
                    <w14:schemeClr w14:val="tx1"/>
                  </w14:solidFill>
                </w14:textFill>
              </w:rPr>
              <w:t>干货类</w:t>
            </w:r>
          </w:p>
        </w:tc>
        <w:tc>
          <w:tcPr>
            <w:tcW w:w="5766" w:type="dxa"/>
            <w:vAlign w:val="center"/>
          </w:tcPr>
          <w:p>
            <w:pPr>
              <w:pStyle w:val="6"/>
              <w:tabs>
                <w:tab w:val="left" w:pos="297"/>
                <w:tab w:val="left" w:pos="900"/>
              </w:tabs>
              <w:spacing w:line="440" w:lineRule="exact"/>
              <w:ind w:left="0" w:leftChars="0" w:firstLine="0" w:firstLineChars="0"/>
              <w:rPr>
                <w:rFonts w:hint="eastAsia" w:hAnsi="宋体" w:cs="宋体"/>
                <w:b w:val="0"/>
                <w:bCs w:val="0"/>
                <w:color w:val="000000" w:themeColor="text1"/>
                <w:kern w:val="0"/>
                <w:sz w:val="21"/>
                <w:szCs w:val="21"/>
                <w:highlight w:val="none"/>
                <w14:textFill>
                  <w14:solidFill>
                    <w14:schemeClr w14:val="tx1"/>
                  </w14:solidFill>
                </w14:textFill>
              </w:rPr>
            </w:pPr>
            <w:r>
              <w:rPr>
                <w:rFonts w:hint="eastAsia" w:hAnsi="宋体" w:cs="宋体"/>
                <w:b w:val="0"/>
                <w:bCs w:val="0"/>
                <w:color w:val="000000" w:themeColor="text1"/>
                <w:kern w:val="0"/>
                <w:sz w:val="21"/>
                <w:szCs w:val="21"/>
                <w:highlight w:val="none"/>
                <w14:textFill>
                  <w14:solidFill>
                    <w14:schemeClr w14:val="tx1"/>
                  </w14:solidFill>
                </w14:textFill>
              </w:rPr>
              <w:t>板栗、锥栗、霹雳果、榛子、腰果等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70" w:type="dxa"/>
            <w:vAlign w:val="center"/>
          </w:tcPr>
          <w:p>
            <w:pPr>
              <w:pStyle w:val="6"/>
              <w:tabs>
                <w:tab w:val="left" w:pos="297"/>
                <w:tab w:val="left" w:pos="900"/>
              </w:tabs>
              <w:spacing w:line="440" w:lineRule="exact"/>
              <w:ind w:firstLine="404" w:firstLineChars="200"/>
              <w:rPr>
                <w:rFonts w:hint="eastAsia" w:hAnsi="宋体" w:cs="宋体"/>
                <w:b w:val="0"/>
                <w:bCs w:val="0"/>
                <w:color w:val="000000" w:themeColor="text1"/>
                <w:kern w:val="0"/>
                <w:sz w:val="21"/>
                <w:szCs w:val="21"/>
                <w:highlight w:val="none"/>
                <w14:textFill>
                  <w14:solidFill>
                    <w14:schemeClr w14:val="tx1"/>
                  </w14:solidFill>
                </w14:textFill>
              </w:rPr>
            </w:pPr>
            <w:r>
              <w:rPr>
                <w:rFonts w:hint="eastAsia" w:hAnsi="宋体" w:cs="宋体"/>
                <w:b w:val="0"/>
                <w:bCs w:val="0"/>
                <w:color w:val="000000" w:themeColor="text1"/>
                <w:kern w:val="0"/>
                <w:sz w:val="21"/>
                <w:szCs w:val="21"/>
                <w:highlight w:val="none"/>
                <w14:textFill>
                  <w14:solidFill>
                    <w14:schemeClr w14:val="tx1"/>
                  </w14:solidFill>
                </w14:textFill>
              </w:rPr>
              <w:t>5</w:t>
            </w:r>
          </w:p>
        </w:tc>
        <w:tc>
          <w:tcPr>
            <w:tcW w:w="1821" w:type="dxa"/>
            <w:vAlign w:val="center"/>
          </w:tcPr>
          <w:p>
            <w:pPr>
              <w:pStyle w:val="6"/>
              <w:tabs>
                <w:tab w:val="left" w:pos="297"/>
                <w:tab w:val="left" w:pos="900"/>
              </w:tabs>
              <w:spacing w:line="440" w:lineRule="exact"/>
              <w:ind w:firstLine="404" w:firstLineChars="200"/>
              <w:rPr>
                <w:rFonts w:hint="eastAsia" w:hAnsi="宋体" w:cs="宋体"/>
                <w:b w:val="0"/>
                <w:bCs w:val="0"/>
                <w:color w:val="000000" w:themeColor="text1"/>
                <w:kern w:val="0"/>
                <w:sz w:val="21"/>
                <w:szCs w:val="21"/>
                <w:highlight w:val="none"/>
                <w14:textFill>
                  <w14:solidFill>
                    <w14:schemeClr w14:val="tx1"/>
                  </w14:solidFill>
                </w14:textFill>
              </w:rPr>
            </w:pPr>
            <w:r>
              <w:rPr>
                <w:rFonts w:hint="eastAsia" w:hAnsi="宋体" w:cs="宋体"/>
                <w:b w:val="0"/>
                <w:bCs w:val="0"/>
                <w:color w:val="000000" w:themeColor="text1"/>
                <w:kern w:val="0"/>
                <w:sz w:val="21"/>
                <w:szCs w:val="21"/>
                <w:highlight w:val="none"/>
                <w14:textFill>
                  <w14:solidFill>
                    <w14:schemeClr w14:val="tx1"/>
                  </w14:solidFill>
                </w14:textFill>
              </w:rPr>
              <w:t>豆制品类</w:t>
            </w:r>
          </w:p>
        </w:tc>
        <w:tc>
          <w:tcPr>
            <w:tcW w:w="5766" w:type="dxa"/>
            <w:vAlign w:val="center"/>
          </w:tcPr>
          <w:p>
            <w:pPr>
              <w:pStyle w:val="6"/>
              <w:tabs>
                <w:tab w:val="left" w:pos="297"/>
                <w:tab w:val="left" w:pos="900"/>
              </w:tabs>
              <w:spacing w:line="440" w:lineRule="exact"/>
              <w:ind w:left="0" w:leftChars="0" w:firstLine="0" w:firstLineChars="0"/>
              <w:rPr>
                <w:rFonts w:hint="eastAsia" w:hAnsi="宋体" w:cs="宋体"/>
                <w:b w:val="0"/>
                <w:bCs w:val="0"/>
                <w:color w:val="000000" w:themeColor="text1"/>
                <w:kern w:val="0"/>
                <w:sz w:val="21"/>
                <w:szCs w:val="21"/>
                <w:highlight w:val="none"/>
                <w14:textFill>
                  <w14:solidFill>
                    <w14:schemeClr w14:val="tx1"/>
                  </w14:solidFill>
                </w14:textFill>
              </w:rPr>
            </w:pPr>
            <w:r>
              <w:rPr>
                <w:rFonts w:hint="eastAsia" w:hAnsi="宋体" w:cs="宋体"/>
                <w:b w:val="0"/>
                <w:bCs w:val="0"/>
                <w:color w:val="000000" w:themeColor="text1"/>
                <w:kern w:val="0"/>
                <w:sz w:val="21"/>
                <w:szCs w:val="21"/>
                <w:highlight w:val="none"/>
                <w14:textFill>
                  <w14:solidFill>
                    <w14:schemeClr w14:val="tx1"/>
                  </w14:solidFill>
                </w14:textFill>
              </w:rPr>
              <w:t>黄豆、绿豆、黑豆、红豆、豆腐等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70" w:type="dxa"/>
            <w:vAlign w:val="center"/>
          </w:tcPr>
          <w:p>
            <w:pPr>
              <w:pStyle w:val="6"/>
              <w:tabs>
                <w:tab w:val="left" w:pos="297"/>
                <w:tab w:val="left" w:pos="900"/>
              </w:tabs>
              <w:spacing w:line="440" w:lineRule="exact"/>
              <w:ind w:firstLine="404" w:firstLineChars="200"/>
              <w:rPr>
                <w:rFonts w:hint="eastAsia" w:hAnsi="宋体" w:cs="宋体"/>
                <w:b w:val="0"/>
                <w:bCs w:val="0"/>
                <w:color w:val="000000" w:themeColor="text1"/>
                <w:kern w:val="0"/>
                <w:sz w:val="21"/>
                <w:szCs w:val="21"/>
                <w:highlight w:val="none"/>
                <w14:textFill>
                  <w14:solidFill>
                    <w14:schemeClr w14:val="tx1"/>
                  </w14:solidFill>
                </w14:textFill>
              </w:rPr>
            </w:pPr>
            <w:r>
              <w:rPr>
                <w:rFonts w:hint="eastAsia" w:hAnsi="宋体" w:cs="宋体"/>
                <w:b w:val="0"/>
                <w:bCs w:val="0"/>
                <w:color w:val="000000" w:themeColor="text1"/>
                <w:kern w:val="0"/>
                <w:sz w:val="21"/>
                <w:szCs w:val="21"/>
                <w:highlight w:val="none"/>
                <w14:textFill>
                  <w14:solidFill>
                    <w14:schemeClr w14:val="tx1"/>
                  </w14:solidFill>
                </w14:textFill>
              </w:rPr>
              <w:t>6</w:t>
            </w:r>
          </w:p>
        </w:tc>
        <w:tc>
          <w:tcPr>
            <w:tcW w:w="1821" w:type="dxa"/>
            <w:vAlign w:val="center"/>
          </w:tcPr>
          <w:p>
            <w:pPr>
              <w:pStyle w:val="6"/>
              <w:tabs>
                <w:tab w:val="left" w:pos="297"/>
                <w:tab w:val="left" w:pos="900"/>
              </w:tabs>
              <w:spacing w:line="440" w:lineRule="exact"/>
              <w:ind w:firstLine="404" w:firstLineChars="200"/>
              <w:rPr>
                <w:rFonts w:hint="eastAsia" w:hAnsi="宋体" w:cs="宋体"/>
                <w:b w:val="0"/>
                <w:bCs w:val="0"/>
                <w:color w:val="000000" w:themeColor="text1"/>
                <w:kern w:val="0"/>
                <w:sz w:val="21"/>
                <w:szCs w:val="21"/>
                <w:highlight w:val="none"/>
                <w14:textFill>
                  <w14:solidFill>
                    <w14:schemeClr w14:val="tx1"/>
                  </w14:solidFill>
                </w14:textFill>
              </w:rPr>
            </w:pPr>
            <w:r>
              <w:rPr>
                <w:rFonts w:hint="eastAsia" w:hAnsi="宋体" w:cs="宋体"/>
                <w:b w:val="0"/>
                <w:bCs w:val="0"/>
                <w:color w:val="000000" w:themeColor="text1"/>
                <w:kern w:val="0"/>
                <w:sz w:val="21"/>
                <w:szCs w:val="21"/>
                <w:highlight w:val="none"/>
                <w14:textFill>
                  <w14:solidFill>
                    <w14:schemeClr w14:val="tx1"/>
                  </w14:solidFill>
                </w14:textFill>
              </w:rPr>
              <w:t>水产品类</w:t>
            </w:r>
          </w:p>
        </w:tc>
        <w:tc>
          <w:tcPr>
            <w:tcW w:w="5766" w:type="dxa"/>
            <w:vAlign w:val="center"/>
          </w:tcPr>
          <w:p>
            <w:pPr>
              <w:pStyle w:val="6"/>
              <w:tabs>
                <w:tab w:val="left" w:pos="297"/>
                <w:tab w:val="left" w:pos="900"/>
              </w:tabs>
              <w:spacing w:line="440" w:lineRule="exact"/>
              <w:ind w:left="0" w:leftChars="0" w:firstLine="0" w:firstLineChars="0"/>
              <w:rPr>
                <w:rFonts w:hint="eastAsia" w:hAnsi="宋体" w:cs="宋体"/>
                <w:b w:val="0"/>
                <w:bCs w:val="0"/>
                <w:color w:val="000000" w:themeColor="text1"/>
                <w:kern w:val="0"/>
                <w:sz w:val="21"/>
                <w:szCs w:val="21"/>
                <w:highlight w:val="none"/>
                <w14:textFill>
                  <w14:solidFill>
                    <w14:schemeClr w14:val="tx1"/>
                  </w14:solidFill>
                </w14:textFill>
              </w:rPr>
            </w:pPr>
            <w:r>
              <w:rPr>
                <w:rFonts w:hint="eastAsia" w:hAnsi="宋体" w:cs="宋体"/>
                <w:b w:val="0"/>
                <w:bCs w:val="0"/>
                <w:color w:val="000000" w:themeColor="text1"/>
                <w:kern w:val="0"/>
                <w:sz w:val="21"/>
                <w:szCs w:val="21"/>
                <w:highlight w:val="none"/>
                <w14:textFill>
                  <w14:solidFill>
                    <w14:schemeClr w14:val="tx1"/>
                  </w14:solidFill>
                </w14:textFill>
              </w:rPr>
              <w:t>鲜活草鱼、淡水鲈鱼、虾等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70" w:type="dxa"/>
            <w:vAlign w:val="center"/>
          </w:tcPr>
          <w:p>
            <w:pPr>
              <w:pStyle w:val="6"/>
              <w:tabs>
                <w:tab w:val="left" w:pos="297"/>
                <w:tab w:val="left" w:pos="900"/>
              </w:tabs>
              <w:spacing w:line="440" w:lineRule="exact"/>
              <w:ind w:firstLine="404" w:firstLineChars="200"/>
              <w:rPr>
                <w:rFonts w:hint="eastAsia" w:hAnsi="宋体" w:cs="宋体"/>
                <w:b w:val="0"/>
                <w:bCs w:val="0"/>
                <w:color w:val="000000" w:themeColor="text1"/>
                <w:kern w:val="0"/>
                <w:sz w:val="21"/>
                <w:szCs w:val="21"/>
                <w:highlight w:val="none"/>
                <w14:textFill>
                  <w14:solidFill>
                    <w14:schemeClr w14:val="tx1"/>
                  </w14:solidFill>
                </w14:textFill>
              </w:rPr>
            </w:pPr>
            <w:r>
              <w:rPr>
                <w:rFonts w:hint="eastAsia" w:hAnsi="宋体" w:cs="宋体"/>
                <w:b w:val="0"/>
                <w:bCs w:val="0"/>
                <w:color w:val="000000" w:themeColor="text1"/>
                <w:kern w:val="0"/>
                <w:sz w:val="21"/>
                <w:szCs w:val="21"/>
                <w:highlight w:val="none"/>
                <w14:textFill>
                  <w14:solidFill>
                    <w14:schemeClr w14:val="tx1"/>
                  </w14:solidFill>
                </w14:textFill>
              </w:rPr>
              <w:t>7</w:t>
            </w:r>
          </w:p>
        </w:tc>
        <w:tc>
          <w:tcPr>
            <w:tcW w:w="1821" w:type="dxa"/>
            <w:vAlign w:val="center"/>
          </w:tcPr>
          <w:p>
            <w:pPr>
              <w:pStyle w:val="6"/>
              <w:tabs>
                <w:tab w:val="left" w:pos="297"/>
                <w:tab w:val="left" w:pos="900"/>
              </w:tabs>
              <w:spacing w:line="440" w:lineRule="exact"/>
              <w:ind w:firstLine="404" w:firstLineChars="200"/>
              <w:rPr>
                <w:rFonts w:hint="eastAsia" w:hAnsi="宋体" w:cs="宋体"/>
                <w:b w:val="0"/>
                <w:bCs w:val="0"/>
                <w:color w:val="000000" w:themeColor="text1"/>
                <w:kern w:val="0"/>
                <w:sz w:val="21"/>
                <w:szCs w:val="21"/>
                <w:highlight w:val="none"/>
                <w14:textFill>
                  <w14:solidFill>
                    <w14:schemeClr w14:val="tx1"/>
                  </w14:solidFill>
                </w14:textFill>
              </w:rPr>
            </w:pPr>
            <w:r>
              <w:rPr>
                <w:rFonts w:hint="eastAsia" w:hAnsi="宋体" w:cs="宋体"/>
                <w:b w:val="0"/>
                <w:bCs w:val="0"/>
                <w:color w:val="000000" w:themeColor="text1"/>
                <w:kern w:val="0"/>
                <w:sz w:val="21"/>
                <w:szCs w:val="21"/>
                <w:highlight w:val="none"/>
                <w14:textFill>
                  <w14:solidFill>
                    <w14:schemeClr w14:val="tx1"/>
                  </w14:solidFill>
                </w14:textFill>
              </w:rPr>
              <w:t>禽蛋类</w:t>
            </w:r>
          </w:p>
        </w:tc>
        <w:tc>
          <w:tcPr>
            <w:tcW w:w="5766" w:type="dxa"/>
            <w:vAlign w:val="center"/>
          </w:tcPr>
          <w:p>
            <w:pPr>
              <w:pStyle w:val="6"/>
              <w:tabs>
                <w:tab w:val="left" w:pos="297"/>
                <w:tab w:val="left" w:pos="900"/>
              </w:tabs>
              <w:spacing w:line="440" w:lineRule="exact"/>
              <w:ind w:left="0" w:leftChars="0" w:firstLine="0" w:firstLineChars="0"/>
              <w:rPr>
                <w:rFonts w:hint="eastAsia" w:hAnsi="宋体" w:cs="宋体"/>
                <w:b w:val="0"/>
                <w:bCs w:val="0"/>
                <w:color w:val="000000" w:themeColor="text1"/>
                <w:kern w:val="0"/>
                <w:sz w:val="21"/>
                <w:szCs w:val="21"/>
                <w:highlight w:val="none"/>
                <w14:textFill>
                  <w14:solidFill>
                    <w14:schemeClr w14:val="tx1"/>
                  </w14:solidFill>
                </w14:textFill>
              </w:rPr>
            </w:pPr>
            <w:r>
              <w:rPr>
                <w:rFonts w:hint="eastAsia" w:hAnsi="宋体" w:cs="宋体"/>
                <w:b w:val="0"/>
                <w:bCs w:val="0"/>
                <w:color w:val="000000" w:themeColor="text1"/>
                <w:kern w:val="0"/>
                <w:sz w:val="21"/>
                <w:szCs w:val="21"/>
                <w:highlight w:val="none"/>
                <w14:textFill>
                  <w14:solidFill>
                    <w14:schemeClr w14:val="tx1"/>
                  </w14:solidFill>
                </w14:textFill>
              </w:rPr>
              <w:t>鸡蛋、鸭蛋、咸鸭蛋、鹌鹑蛋、皮蛋等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70" w:type="dxa"/>
            <w:vAlign w:val="center"/>
          </w:tcPr>
          <w:p>
            <w:pPr>
              <w:pStyle w:val="6"/>
              <w:tabs>
                <w:tab w:val="left" w:pos="297"/>
                <w:tab w:val="left" w:pos="900"/>
              </w:tabs>
              <w:spacing w:line="440" w:lineRule="exact"/>
              <w:ind w:firstLine="404" w:firstLineChars="200"/>
              <w:rPr>
                <w:rFonts w:hint="eastAsia" w:hAnsi="宋体" w:cs="宋体"/>
                <w:b w:val="0"/>
                <w:bCs w:val="0"/>
                <w:color w:val="000000" w:themeColor="text1"/>
                <w:kern w:val="0"/>
                <w:sz w:val="21"/>
                <w:szCs w:val="21"/>
                <w:highlight w:val="none"/>
                <w14:textFill>
                  <w14:solidFill>
                    <w14:schemeClr w14:val="tx1"/>
                  </w14:solidFill>
                </w14:textFill>
              </w:rPr>
            </w:pPr>
            <w:r>
              <w:rPr>
                <w:rFonts w:hint="eastAsia" w:hAnsi="宋体" w:cs="宋体"/>
                <w:b w:val="0"/>
                <w:bCs w:val="0"/>
                <w:color w:val="000000" w:themeColor="text1"/>
                <w:kern w:val="0"/>
                <w:sz w:val="21"/>
                <w:szCs w:val="21"/>
                <w:highlight w:val="none"/>
                <w14:textFill>
                  <w14:solidFill>
                    <w14:schemeClr w14:val="tx1"/>
                  </w14:solidFill>
                </w14:textFill>
              </w:rPr>
              <w:t>8</w:t>
            </w:r>
          </w:p>
        </w:tc>
        <w:tc>
          <w:tcPr>
            <w:tcW w:w="1821" w:type="dxa"/>
            <w:vAlign w:val="center"/>
          </w:tcPr>
          <w:p>
            <w:pPr>
              <w:pStyle w:val="6"/>
              <w:tabs>
                <w:tab w:val="left" w:pos="297"/>
                <w:tab w:val="left" w:pos="900"/>
              </w:tabs>
              <w:spacing w:line="440" w:lineRule="exact"/>
              <w:ind w:firstLine="404" w:firstLineChars="200"/>
              <w:rPr>
                <w:rFonts w:hint="eastAsia" w:hAnsi="宋体" w:cs="宋体"/>
                <w:b w:val="0"/>
                <w:bCs w:val="0"/>
                <w:color w:val="000000" w:themeColor="text1"/>
                <w:kern w:val="0"/>
                <w:sz w:val="21"/>
                <w:szCs w:val="21"/>
                <w:highlight w:val="none"/>
                <w14:textFill>
                  <w14:solidFill>
                    <w14:schemeClr w14:val="tx1"/>
                  </w14:solidFill>
                </w14:textFill>
              </w:rPr>
            </w:pPr>
            <w:r>
              <w:rPr>
                <w:rFonts w:hint="eastAsia" w:hAnsi="宋体" w:cs="宋体"/>
                <w:b w:val="0"/>
                <w:bCs w:val="0"/>
                <w:color w:val="000000" w:themeColor="text1"/>
                <w:kern w:val="0"/>
                <w:sz w:val="21"/>
                <w:szCs w:val="21"/>
                <w:highlight w:val="none"/>
                <w14:textFill>
                  <w14:solidFill>
                    <w14:schemeClr w14:val="tx1"/>
                  </w14:solidFill>
                </w14:textFill>
              </w:rPr>
              <w:t>其他类</w:t>
            </w:r>
          </w:p>
        </w:tc>
        <w:tc>
          <w:tcPr>
            <w:tcW w:w="5766" w:type="dxa"/>
            <w:vAlign w:val="center"/>
          </w:tcPr>
          <w:p>
            <w:pPr>
              <w:pStyle w:val="6"/>
              <w:tabs>
                <w:tab w:val="left" w:pos="297"/>
                <w:tab w:val="left" w:pos="900"/>
              </w:tabs>
              <w:spacing w:line="440" w:lineRule="exact"/>
              <w:ind w:left="0" w:leftChars="0" w:firstLine="0" w:firstLineChars="0"/>
              <w:rPr>
                <w:rFonts w:hint="eastAsia" w:hAnsi="宋体" w:cs="宋体"/>
                <w:b w:val="0"/>
                <w:bCs w:val="0"/>
                <w:color w:val="000000" w:themeColor="text1"/>
                <w:kern w:val="0"/>
                <w:sz w:val="21"/>
                <w:szCs w:val="21"/>
                <w:highlight w:val="none"/>
                <w14:textFill>
                  <w14:solidFill>
                    <w14:schemeClr w14:val="tx1"/>
                  </w14:solidFill>
                </w14:textFill>
              </w:rPr>
            </w:pPr>
            <w:r>
              <w:rPr>
                <w:rFonts w:hint="eastAsia" w:hAnsi="宋体" w:cs="宋体"/>
                <w:b w:val="0"/>
                <w:bCs w:val="0"/>
                <w:color w:val="000000" w:themeColor="text1"/>
                <w:kern w:val="0"/>
                <w:sz w:val="21"/>
                <w:szCs w:val="21"/>
                <w:highlight w:val="none"/>
                <w14:textFill>
                  <w14:solidFill>
                    <w14:schemeClr w14:val="tx1"/>
                  </w14:solidFill>
                </w14:textFill>
              </w:rPr>
              <w:t>凉茶、果汁、汽水、椰汁、盐、酱、醋、调味料等</w:t>
            </w:r>
          </w:p>
        </w:tc>
      </w:tr>
    </w:tbl>
    <w:p>
      <w:pPr>
        <w:pStyle w:val="6"/>
        <w:tabs>
          <w:tab w:val="left" w:pos="297"/>
          <w:tab w:val="left" w:pos="900"/>
        </w:tabs>
        <w:spacing w:line="440" w:lineRule="exact"/>
        <w:ind w:firstLine="406" w:firstLineChars="200"/>
        <w:rPr>
          <w:rFonts w:hint="eastAsia" w:hAnsi="宋体" w:cs="宋体"/>
          <w:b/>
          <w:bCs/>
          <w:color w:val="000000" w:themeColor="text1"/>
          <w:kern w:val="0"/>
          <w:sz w:val="21"/>
          <w:szCs w:val="21"/>
          <w:highlight w:val="none"/>
          <w14:textFill>
            <w14:solidFill>
              <w14:schemeClr w14:val="tx1"/>
            </w14:solidFill>
          </w14:textFill>
        </w:rPr>
      </w:pPr>
      <w:r>
        <w:rPr>
          <w:rFonts w:hint="eastAsia" w:hAnsi="宋体" w:cs="宋体"/>
          <w:b/>
          <w:bCs/>
          <w:color w:val="000000" w:themeColor="text1"/>
          <w:kern w:val="0"/>
          <w:sz w:val="21"/>
          <w:szCs w:val="21"/>
          <w:highlight w:val="none"/>
          <w14:textFill>
            <w14:solidFill>
              <w14:schemeClr w14:val="tx1"/>
            </w14:solidFill>
          </w14:textFill>
        </w:rPr>
        <w:t>包含但不限于以上产品， 以合同执行时实际配送产品清单为准。</w:t>
      </w:r>
    </w:p>
    <w:p>
      <w:pPr>
        <w:pStyle w:val="6"/>
        <w:tabs>
          <w:tab w:val="left" w:pos="297"/>
          <w:tab w:val="left" w:pos="900"/>
        </w:tabs>
        <w:spacing w:line="440" w:lineRule="exact"/>
        <w:ind w:firstLine="406" w:firstLineChars="200"/>
        <w:rPr>
          <w:rFonts w:hAnsi="宋体" w:cs="宋体"/>
          <w:b/>
          <w:bCs/>
          <w:color w:val="000000" w:themeColor="text1"/>
          <w:kern w:val="0"/>
          <w:sz w:val="21"/>
          <w:szCs w:val="21"/>
          <w:highlight w:val="none"/>
          <w14:textFill>
            <w14:solidFill>
              <w14:schemeClr w14:val="tx1"/>
            </w14:solidFill>
          </w14:textFill>
        </w:rPr>
      </w:pPr>
      <w:r>
        <w:rPr>
          <w:rFonts w:hint="eastAsia" w:hAnsi="宋体" w:cs="宋体"/>
          <w:b/>
          <w:bCs/>
          <w:color w:val="000000" w:themeColor="text1"/>
          <w:kern w:val="0"/>
          <w:sz w:val="21"/>
          <w:szCs w:val="21"/>
          <w:highlight w:val="none"/>
          <w14:textFill>
            <w14:solidFill>
              <w14:schemeClr w14:val="tx1"/>
            </w14:solidFill>
          </w14:textFill>
        </w:rPr>
        <w:t>二、服务期限、服务地点</w:t>
      </w:r>
    </w:p>
    <w:p>
      <w:pPr>
        <w:widowControl/>
        <w:spacing w:line="44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1、服务</w:t>
      </w:r>
      <w:r>
        <w:rPr>
          <w:rFonts w:hint="eastAsia" w:ascii="宋体" w:hAnsi="宋体" w:cs="宋体"/>
          <w:color w:val="000000" w:themeColor="text1"/>
          <w:kern w:val="0"/>
          <w:szCs w:val="21"/>
          <w:highlight w:val="none"/>
          <w14:textFill>
            <w14:solidFill>
              <w14:schemeClr w14:val="tx1"/>
            </w14:solidFill>
          </w14:textFill>
        </w:rPr>
        <w:t>期限</w:t>
      </w:r>
      <w:r>
        <w:rPr>
          <w:rFonts w:hint="eastAsia" w:ascii="宋体" w:hAnsi="宋体" w:cs="宋体"/>
          <w:color w:val="000000" w:themeColor="text1"/>
          <w:kern w:val="0"/>
          <w:szCs w:val="21"/>
          <w:highlight w:val="none"/>
          <w:lang w:val="zh-CN"/>
          <w14:textFill>
            <w14:solidFill>
              <w14:schemeClr w14:val="tx1"/>
            </w14:solidFill>
          </w14:textFill>
        </w:rPr>
        <w:t>： 合同签订后一年或配送金额达到合同金额（以先到为准），配送时间为2023年9月30日至2024年9月29日</w:t>
      </w:r>
      <w:r>
        <w:rPr>
          <w:rFonts w:hint="eastAsia" w:ascii="宋体" w:hAnsi="宋体" w:cs="宋体"/>
          <w:color w:val="000000" w:themeColor="text1"/>
          <w:kern w:val="0"/>
          <w:szCs w:val="21"/>
          <w:highlight w:val="none"/>
          <w14:textFill>
            <w14:solidFill>
              <w14:schemeClr w14:val="tx1"/>
            </w14:solidFill>
          </w14:textFill>
        </w:rPr>
        <w:t xml:space="preserve">                          </w:t>
      </w:r>
    </w:p>
    <w:p>
      <w:pPr>
        <w:widowControl/>
        <w:spacing w:line="440" w:lineRule="exact"/>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2、服务地点：实行每日供货制，特殊情况除外；</w:t>
      </w:r>
      <w:r>
        <w:rPr>
          <w:rFonts w:hint="eastAsia" w:ascii="宋体" w:hAnsi="宋体" w:cs="宋体"/>
          <w:color w:val="000000" w:themeColor="text1"/>
          <w:kern w:val="0"/>
          <w:szCs w:val="21"/>
          <w:highlight w:val="none"/>
          <w:lang w:val="en-US" w:eastAsia="zh-CN"/>
          <w14:textFill>
            <w14:solidFill>
              <w14:schemeClr w14:val="tx1"/>
            </w14:solidFill>
          </w14:textFill>
        </w:rPr>
        <w:t>乙方</w:t>
      </w:r>
      <w:r>
        <w:rPr>
          <w:rFonts w:hint="eastAsia" w:ascii="宋体" w:hAnsi="宋体" w:cs="宋体"/>
          <w:color w:val="000000" w:themeColor="text1"/>
          <w:kern w:val="0"/>
          <w:szCs w:val="21"/>
          <w:highlight w:val="none"/>
          <w:lang w:val="zh-CN"/>
          <w14:textFill>
            <w14:solidFill>
              <w14:schemeClr w14:val="tx1"/>
            </w14:solidFill>
          </w14:textFill>
        </w:rPr>
        <w:t>需在每日早 7 时前将当日所需原材料配送至</w:t>
      </w:r>
      <w:r>
        <w:rPr>
          <w:rFonts w:hint="eastAsia" w:ascii="宋体" w:hAnsi="宋体" w:cs="宋体"/>
          <w:color w:val="000000" w:themeColor="text1"/>
          <w:kern w:val="0"/>
          <w:szCs w:val="21"/>
          <w:highlight w:val="none"/>
          <w:lang w:val="zh-CN" w:eastAsia="zh-CN"/>
          <w14:textFill>
            <w14:solidFill>
              <w14:schemeClr w14:val="tx1"/>
            </w14:solidFill>
          </w14:textFill>
        </w:rPr>
        <w:t>甲方</w:t>
      </w:r>
      <w:r>
        <w:rPr>
          <w:rFonts w:hint="eastAsia" w:ascii="宋体" w:hAnsi="宋体" w:cs="宋体"/>
          <w:color w:val="000000" w:themeColor="text1"/>
          <w:kern w:val="0"/>
          <w:szCs w:val="21"/>
          <w:highlight w:val="none"/>
          <w:lang w:val="zh-CN"/>
          <w14:textFill>
            <w14:solidFill>
              <w14:schemeClr w14:val="tx1"/>
            </w14:solidFill>
          </w14:textFill>
        </w:rPr>
        <w:t>指定位置：嘉兴市桐乡市乌镇镇嘉兴市消防救援支队乌镇大队（合同服务期内增加配送地点，</w:t>
      </w:r>
      <w:r>
        <w:rPr>
          <w:rFonts w:hint="eastAsia" w:ascii="宋体" w:hAnsi="宋体" w:cs="宋体"/>
          <w:color w:val="000000" w:themeColor="text1"/>
          <w:kern w:val="0"/>
          <w:szCs w:val="21"/>
          <w:highlight w:val="none"/>
          <w:lang w:val="en-US" w:eastAsia="zh-CN"/>
          <w14:textFill>
            <w14:solidFill>
              <w14:schemeClr w14:val="tx1"/>
            </w14:solidFill>
          </w14:textFill>
        </w:rPr>
        <w:t>乙方</w:t>
      </w:r>
      <w:r>
        <w:rPr>
          <w:rFonts w:hint="eastAsia" w:ascii="宋体" w:hAnsi="宋体" w:cs="宋体"/>
          <w:color w:val="000000" w:themeColor="text1"/>
          <w:kern w:val="0"/>
          <w:szCs w:val="21"/>
          <w:highlight w:val="none"/>
          <w:lang w:val="zh-CN"/>
          <w14:textFill>
            <w14:solidFill>
              <w14:schemeClr w14:val="tx1"/>
            </w14:solidFill>
          </w14:textFill>
        </w:rPr>
        <w:t>需保证分别配送。）如遇</w:t>
      </w:r>
      <w:r>
        <w:rPr>
          <w:rFonts w:hint="eastAsia" w:ascii="宋体" w:hAnsi="宋体" w:cs="宋体"/>
          <w:color w:val="000000" w:themeColor="text1"/>
          <w:kern w:val="0"/>
          <w:szCs w:val="21"/>
          <w:highlight w:val="none"/>
          <w:lang w:val="en-US" w:eastAsia="zh-CN"/>
          <w14:textFill>
            <w14:solidFill>
              <w14:schemeClr w14:val="tx1"/>
            </w14:solidFill>
          </w14:textFill>
        </w:rPr>
        <w:t>甲方</w:t>
      </w:r>
      <w:r>
        <w:rPr>
          <w:rFonts w:hint="eastAsia" w:ascii="宋体" w:hAnsi="宋体" w:cs="宋体"/>
          <w:color w:val="000000" w:themeColor="text1"/>
          <w:kern w:val="0"/>
          <w:szCs w:val="21"/>
          <w:highlight w:val="none"/>
          <w:lang w:val="zh-CN"/>
          <w14:textFill>
            <w14:solidFill>
              <w14:schemeClr w14:val="tx1"/>
            </w14:solidFill>
          </w14:textFill>
        </w:rPr>
        <w:t>要求需要紧急临时增加配送食材时，按照</w:t>
      </w:r>
      <w:r>
        <w:rPr>
          <w:rFonts w:hint="eastAsia" w:ascii="宋体" w:hAnsi="宋体" w:cs="宋体"/>
          <w:color w:val="000000" w:themeColor="text1"/>
          <w:kern w:val="0"/>
          <w:szCs w:val="21"/>
          <w:highlight w:val="none"/>
          <w:lang w:val="zh-CN" w:eastAsia="zh-CN"/>
          <w14:textFill>
            <w14:solidFill>
              <w14:schemeClr w14:val="tx1"/>
            </w14:solidFill>
          </w14:textFill>
        </w:rPr>
        <w:t>甲方</w:t>
      </w:r>
      <w:r>
        <w:rPr>
          <w:rFonts w:hint="eastAsia" w:ascii="宋体" w:hAnsi="宋体" w:cs="宋体"/>
          <w:color w:val="000000" w:themeColor="text1"/>
          <w:kern w:val="0"/>
          <w:szCs w:val="21"/>
          <w:highlight w:val="none"/>
          <w:lang w:val="zh-CN"/>
          <w14:textFill>
            <w14:solidFill>
              <w14:schemeClr w14:val="tx1"/>
            </w14:solidFill>
          </w14:textFill>
        </w:rPr>
        <w:t>要求时限提供配送。</w:t>
      </w:r>
    </w:p>
    <w:p>
      <w:pPr>
        <w:widowControl/>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3、服务标准：</w:t>
      </w:r>
    </w:p>
    <w:p>
      <w:pPr>
        <w:widowControl/>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1.禽蛋、肉、冷冻食品 、蔬菜等必须提供所供物资检验检疫报告，定型包装的，必须有“QS”食品质量认证标志；</w:t>
      </w:r>
    </w:p>
    <w:p>
      <w:pPr>
        <w:widowControl/>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2.豆制品、半成品必须具有“QS”食品质量安全认证；</w:t>
      </w:r>
    </w:p>
    <w:p>
      <w:pPr>
        <w:widowControl/>
        <w:spacing w:line="440" w:lineRule="exact"/>
        <w:ind w:firstLine="420" w:firstLineChars="200"/>
        <w:jc w:val="left"/>
        <w:rPr>
          <w:rFonts w:ascii="宋体" w:hAnsi="宋体" w:cs="宋体"/>
          <w:b/>
          <w:bCs/>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 xml:space="preserve">3.禽蛋、蔬菜、水产品必须保证新鲜，且符合《食品安全法》要求。        </w:t>
      </w:r>
    </w:p>
    <w:p>
      <w:pPr>
        <w:spacing w:line="44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三、</w:t>
      </w:r>
      <w:r>
        <w:rPr>
          <w:rFonts w:hint="eastAsia" w:ascii="宋体" w:hAnsi="宋体" w:cs="宋体"/>
          <w:b/>
          <w:color w:val="000000" w:themeColor="text1"/>
          <w:szCs w:val="21"/>
          <w:highlight w:val="none"/>
          <w14:textFill>
            <w14:solidFill>
              <w14:schemeClr w14:val="tx1"/>
            </w14:solidFill>
          </w14:textFill>
        </w:rPr>
        <w:t>双方权利和义务：</w:t>
      </w:r>
    </w:p>
    <w:p>
      <w:pPr>
        <w:widowControl/>
        <w:spacing w:line="440" w:lineRule="exact"/>
        <w:ind w:firstLine="422"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w:t>
      </w:r>
      <w:r>
        <w:rPr>
          <w:rFonts w:hint="eastAsia" w:ascii="宋体" w:hAnsi="宋体" w:cs="宋体"/>
          <w:b/>
          <w:bCs/>
          <w:color w:val="000000" w:themeColor="text1"/>
          <w:kern w:val="0"/>
          <w:szCs w:val="21"/>
          <w:highlight w:val="none"/>
          <w:lang w:val="en-US" w:eastAsia="zh-CN"/>
          <w14:textFill>
            <w14:solidFill>
              <w14:schemeClr w14:val="tx1"/>
            </w14:solidFill>
          </w14:textFill>
        </w:rPr>
        <w:t>一</w:t>
      </w:r>
      <w:r>
        <w:rPr>
          <w:rFonts w:hint="eastAsia" w:ascii="宋体" w:hAnsi="宋体" w:cs="宋体"/>
          <w:b/>
          <w:bCs/>
          <w:color w:val="000000" w:themeColor="text1"/>
          <w:kern w:val="0"/>
          <w:szCs w:val="21"/>
          <w:highlight w:val="none"/>
          <w14:textFill>
            <w14:solidFill>
              <w14:schemeClr w14:val="tx1"/>
            </w14:solidFill>
          </w14:textFill>
        </w:rPr>
        <w:t>） 甲方权利</w:t>
      </w:r>
    </w:p>
    <w:p>
      <w:pPr>
        <w:widowControl/>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 甲方有权按照乙方提供食品的数量、质量、卫生、新鲜程度及相关检验文件（动物检疫证明 、农产品农药残留证明）等进行验收。</w:t>
      </w:r>
    </w:p>
    <w:p>
      <w:pPr>
        <w:widowControl/>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 甲方有权指定乙方在规定时间、地点将配送品种送达，乙方没有按照甲方提出的要求落实，甲方有权拒收、退货且不承担任何责任。</w:t>
      </w:r>
    </w:p>
    <w:p>
      <w:pPr>
        <w:widowControl/>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 甲方有权对不符合标准要求的农副产品作退货处理， 乙方在规定时限内补货。</w:t>
      </w:r>
    </w:p>
    <w:p>
      <w:pPr>
        <w:widowControl/>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 乙方在送货过程中出现错送、漏送、少送、多送，甲方有权要求乙方按照甲方提出的要求，立即整改，造成的损失由乙方承担。</w:t>
      </w:r>
    </w:p>
    <w:p>
      <w:pPr>
        <w:widowControl/>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 甲方对乙方提供的发票有权进行真伪检验，如果发现乙方提供假发票， 甲方将立即终止与乙方的合作， 扣除全部履约保证金， 由此造成的经济损失由乙方全部负责，甲方不承担任何法律责任。</w:t>
      </w:r>
    </w:p>
    <w:p>
      <w:pPr>
        <w:widowControl/>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 甲方有权对乙方配送的农副产品进行农残和质量检测。</w:t>
      </w:r>
    </w:p>
    <w:p>
      <w:pPr>
        <w:widowControl/>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7．遇疫情等突发情况，甲方紧急制订相关防控要求，乙方须无条件执行， 拒不执行的， 甲方有权扣除全部履约保证金， 由于乙方不执行相关要求对甲方造成的损失，全部由乙方承担。</w:t>
      </w:r>
    </w:p>
    <w:p>
      <w:pPr>
        <w:widowControl/>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 ．如乙方因疫情封控等因素或所配送的农副产品多次不符合甲方需求，</w:t>
      </w:r>
    </w:p>
    <w:p>
      <w:pPr>
        <w:widowControl/>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以及甲方有应急保障需要乙方不能满足，甲方有权改用签订合同的其他配送公司紧急保障农副产品需求。</w:t>
      </w:r>
    </w:p>
    <w:p>
      <w:pPr>
        <w:widowControl/>
        <w:spacing w:line="440" w:lineRule="exact"/>
        <w:ind w:firstLine="422" w:firstLineChars="200"/>
        <w:jc w:val="left"/>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w:t>
      </w:r>
      <w:r>
        <w:rPr>
          <w:rFonts w:hint="eastAsia" w:ascii="宋体" w:hAnsi="宋体" w:cs="宋体"/>
          <w:b/>
          <w:bCs/>
          <w:color w:val="000000" w:themeColor="text1"/>
          <w:kern w:val="0"/>
          <w:szCs w:val="21"/>
          <w:highlight w:val="none"/>
          <w:lang w:val="en-US" w:eastAsia="zh-CN"/>
          <w14:textFill>
            <w14:solidFill>
              <w14:schemeClr w14:val="tx1"/>
            </w14:solidFill>
          </w14:textFill>
        </w:rPr>
        <w:t>二</w:t>
      </w:r>
      <w:r>
        <w:rPr>
          <w:rFonts w:hint="eastAsia" w:ascii="宋体" w:hAnsi="宋体" w:cs="宋体"/>
          <w:b/>
          <w:bCs/>
          <w:color w:val="000000" w:themeColor="text1"/>
          <w:kern w:val="0"/>
          <w:szCs w:val="21"/>
          <w:highlight w:val="none"/>
          <w14:textFill>
            <w14:solidFill>
              <w14:schemeClr w14:val="tx1"/>
            </w14:solidFill>
          </w14:textFill>
        </w:rPr>
        <w:t>） 甲方义务</w:t>
      </w:r>
    </w:p>
    <w:p>
      <w:pPr>
        <w:widowControl/>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1．采购品种发生变化时， 甲方应第一时间告知乙方，乙方根据通知进行调整和配送。</w:t>
      </w:r>
    </w:p>
    <w:p>
      <w:pPr>
        <w:widowControl/>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 甲方每天应记录当日乙方所提供货物的数量、种类及当日供货价格，并 在接收货物后， 出具包含货物数量、种类及当日价格的送货单， 由乙方确认、签字。</w:t>
      </w:r>
    </w:p>
    <w:p>
      <w:pPr>
        <w:widowControl/>
        <w:spacing w:line="440" w:lineRule="exact"/>
        <w:ind w:firstLine="422" w:firstLineChars="200"/>
        <w:jc w:val="left"/>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w:t>
      </w:r>
      <w:r>
        <w:rPr>
          <w:rFonts w:hint="eastAsia" w:ascii="宋体" w:hAnsi="宋体" w:cs="宋体"/>
          <w:b/>
          <w:bCs/>
          <w:color w:val="000000" w:themeColor="text1"/>
          <w:kern w:val="0"/>
          <w:szCs w:val="21"/>
          <w:highlight w:val="none"/>
          <w:lang w:val="en-US" w:eastAsia="zh-CN"/>
          <w14:textFill>
            <w14:solidFill>
              <w14:schemeClr w14:val="tx1"/>
            </w14:solidFill>
          </w14:textFill>
        </w:rPr>
        <w:t>三</w:t>
      </w:r>
      <w:r>
        <w:rPr>
          <w:rFonts w:hint="eastAsia" w:ascii="宋体" w:hAnsi="宋体" w:cs="宋体"/>
          <w:b/>
          <w:bCs/>
          <w:color w:val="000000" w:themeColor="text1"/>
          <w:kern w:val="0"/>
          <w:szCs w:val="21"/>
          <w:highlight w:val="none"/>
          <w14:textFill>
            <w14:solidFill>
              <w14:schemeClr w14:val="tx1"/>
            </w14:solidFill>
          </w14:textFill>
        </w:rPr>
        <w:t>）乙方权利</w:t>
      </w:r>
    </w:p>
    <w:p>
      <w:pPr>
        <w:widowControl/>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 乙方有权要求甲方在规定时间内结算和支付经费。</w:t>
      </w:r>
    </w:p>
    <w:p>
      <w:pPr>
        <w:widowControl/>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 ．如果甲方提出的配送项目不符合合同文本要求的内容，乙方有权利拒绝配送。</w:t>
      </w:r>
    </w:p>
    <w:p>
      <w:pPr>
        <w:widowControl/>
        <w:spacing w:line="440" w:lineRule="exact"/>
        <w:ind w:firstLine="422" w:firstLineChars="200"/>
        <w:jc w:val="left"/>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w:t>
      </w:r>
      <w:r>
        <w:rPr>
          <w:rFonts w:hint="eastAsia" w:ascii="宋体" w:hAnsi="宋体" w:cs="宋体"/>
          <w:b/>
          <w:bCs/>
          <w:color w:val="000000" w:themeColor="text1"/>
          <w:kern w:val="0"/>
          <w:szCs w:val="21"/>
          <w:highlight w:val="none"/>
          <w:lang w:val="en-US" w:eastAsia="zh-CN"/>
          <w14:textFill>
            <w14:solidFill>
              <w14:schemeClr w14:val="tx1"/>
            </w14:solidFill>
          </w14:textFill>
        </w:rPr>
        <w:t>四</w:t>
      </w:r>
      <w:r>
        <w:rPr>
          <w:rFonts w:hint="eastAsia" w:ascii="宋体" w:hAnsi="宋体" w:cs="宋体"/>
          <w:b/>
          <w:bCs/>
          <w:color w:val="000000" w:themeColor="text1"/>
          <w:kern w:val="0"/>
          <w:szCs w:val="21"/>
          <w:highlight w:val="none"/>
          <w14:textFill>
            <w14:solidFill>
              <w14:schemeClr w14:val="tx1"/>
            </w14:solidFill>
          </w14:textFill>
        </w:rPr>
        <w:t>）乙方义务</w:t>
      </w:r>
    </w:p>
    <w:p>
      <w:pPr>
        <w:widowControl/>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 乙方要按照甲方规定时间、地点， 准时将食材配送到位，不能影响甲方开餐前的准备工作。</w:t>
      </w:r>
    </w:p>
    <w:p>
      <w:pPr>
        <w:widowControl/>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 乙方要按照甲方要求， 在食品卫生、质量、防疫等方面严把质量关，从源头杜绝危害食品。</w:t>
      </w:r>
    </w:p>
    <w:p>
      <w:pPr>
        <w:widowControl/>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 乙方提供食品符合国家食品卫生检疫，符合国家农产品质量法，食品药品监督管理法， 食品包装上有清楚的食品标识、 质检标识、质量标识和生产日期。</w:t>
      </w:r>
    </w:p>
    <w:p>
      <w:pPr>
        <w:widowControl/>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 乙方不能提供腐烂、病变等对人体有害的食品， 一经发现，乙方将承担所有经济损失， 若甲方在验收时货品质量规格无误，但因甲方在储存过程中操作不当造成的上述货品质量问题，不归属乙方责任。</w:t>
      </w:r>
    </w:p>
    <w:p>
      <w:pPr>
        <w:widowControl/>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 乙方每周提供一次农副产品目录， 为甲方了解掌握市场行情和农副产品上新情况提供参考。</w:t>
      </w:r>
    </w:p>
    <w:p>
      <w:pPr>
        <w:widowControl/>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 乙方配送的肉类、禽类必须出具动物防疫检疫部门的相关证明。</w:t>
      </w:r>
    </w:p>
    <w:p>
      <w:pPr>
        <w:widowControl/>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 乙方在供货中严禁出现缺斤少两、以次充好或掺假等现象， 一旦发现弄 虚作假，情节较轻的， 扣除一定比例的履约保证金，情节较重的，扣除全部履约保证金或者终止合同。</w:t>
      </w:r>
    </w:p>
    <w:p>
      <w:pPr>
        <w:widowControl/>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 乙方提供的发票必须是由国家税务部门领取的正规票据，并且发票单位名称和乙方公司名称要一致。</w:t>
      </w:r>
    </w:p>
    <w:p>
      <w:pPr>
        <w:widowControl/>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 乙方须自行解决配送交通工具，不能延误配送时间。</w:t>
      </w:r>
    </w:p>
    <w:p>
      <w:pPr>
        <w:widowControl/>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 乙方与甲方工作人员不能有任何非正常经济来往， 一旦发现立即终止合同。</w:t>
      </w:r>
    </w:p>
    <w:p>
      <w:pPr>
        <w:widowControl/>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 乙方提供的冷链装置要达到冻品的标准温度和冷藏保鲜温度。</w:t>
      </w:r>
    </w:p>
    <w:p>
      <w:pPr>
        <w:widowControl/>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12．遇疫情等特殊情况， 乙方有义务服从甲方紧急制订的相关防控要求。</w:t>
      </w:r>
    </w:p>
    <w:p>
      <w:pPr>
        <w:widowControl/>
        <w:spacing w:line="44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 乙方根据甲方要求，提供固定车辆牌号及配送人员名单（车辆牌号及配送人员名单附后）。</w:t>
      </w:r>
    </w:p>
    <w:p>
      <w:pPr>
        <w:pStyle w:val="6"/>
        <w:tabs>
          <w:tab w:val="left" w:pos="297"/>
          <w:tab w:val="left" w:pos="900"/>
        </w:tabs>
        <w:spacing w:line="440" w:lineRule="exact"/>
        <w:ind w:left="0" w:leftChars="0" w:firstLine="406" w:firstLineChars="200"/>
        <w:outlineLvl w:val="0"/>
        <w:rPr>
          <w:rFonts w:hAnsi="宋体" w:cs="宋体"/>
          <w:b/>
          <w:bCs/>
          <w:color w:val="000000" w:themeColor="text1"/>
          <w:sz w:val="21"/>
          <w:szCs w:val="21"/>
          <w:highlight w:val="none"/>
          <w14:textFill>
            <w14:solidFill>
              <w14:schemeClr w14:val="tx1"/>
            </w14:solidFill>
          </w14:textFill>
        </w:rPr>
      </w:pPr>
      <w:r>
        <w:rPr>
          <w:rFonts w:hint="eastAsia" w:hAnsi="宋体" w:cs="宋体"/>
          <w:b/>
          <w:bCs/>
          <w:color w:val="000000" w:themeColor="text1"/>
          <w:sz w:val="21"/>
          <w:szCs w:val="21"/>
          <w:highlight w:val="none"/>
          <w14:textFill>
            <w14:solidFill>
              <w14:schemeClr w14:val="tx1"/>
            </w14:solidFill>
          </w14:textFill>
        </w:rPr>
        <w:t>四、违约责任</w:t>
      </w:r>
    </w:p>
    <w:p>
      <w:pPr>
        <w:pStyle w:val="25"/>
        <w:snapToGrid w:val="0"/>
        <w:spacing w:line="44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1、乙方工作失职造成安全责任事故、产生恶劣社会影响，或致甲方受到上级部门批评的，甲方有权单方面解除合同，造成甲方经济损失的，乙方应给予甲方经济赔偿，</w:t>
      </w:r>
      <w:r>
        <w:rPr>
          <w:rFonts w:hint="eastAsia"/>
          <w:color w:val="000000" w:themeColor="text1"/>
          <w:highlight w:val="none"/>
          <w14:textFill>
            <w14:solidFill>
              <w14:schemeClr w14:val="tx1"/>
            </w14:solidFill>
          </w14:textFill>
        </w:rPr>
        <w:t>并有权要求乙方承担10万元的违约金。</w:t>
      </w:r>
    </w:p>
    <w:p>
      <w:pPr>
        <w:pStyle w:val="25"/>
        <w:snapToGrid w:val="0"/>
        <w:spacing w:line="44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2、乙方未能达到约定的管理目标，或配备的人员未达到要求，经在甲方规定的合理期限内整改仍不符合合同约定的，</w:t>
      </w:r>
      <w:r>
        <w:rPr>
          <w:rFonts w:hint="eastAsia"/>
          <w:color w:val="000000" w:themeColor="text1"/>
          <w:highlight w:val="none"/>
          <w14:textFill>
            <w14:solidFill>
              <w14:schemeClr w14:val="tx1"/>
            </w14:solidFill>
          </w14:textFill>
        </w:rPr>
        <w:t>甲方有权解除合同，并有权要求乙方承担10万元的违约金，如违约金不能弥补甲方的损失的，甲方有权要求乙方继续承担赔偿责任。</w:t>
      </w:r>
    </w:p>
    <w:p>
      <w:pPr>
        <w:pStyle w:val="25"/>
        <w:snapToGrid w:val="0"/>
        <w:spacing w:line="44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3、在乙方无违约情况下，如甲方迟延支付乙方费用，则以应付未付金额为基数，按全国银行间同业拆借中心公布的贷款市场报价利率计算逾期付款违约金，逾期违约金累计不超过1000元。</w:t>
      </w:r>
    </w:p>
    <w:p>
      <w:pPr>
        <w:pStyle w:val="25"/>
        <w:snapToGrid w:val="0"/>
        <w:spacing w:line="44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4、本合同任意一方违反合同约定，经守约方催告在 </w:t>
      </w:r>
      <w:r>
        <w:rPr>
          <w:rFonts w:hint="eastAsia" w:hAnsi="宋体" w:cs="宋体"/>
          <w:color w:val="000000" w:themeColor="text1"/>
          <w:szCs w:val="21"/>
          <w:highlight w:val="none"/>
          <w:u w:val="single"/>
          <w14:textFill>
            <w14:solidFill>
              <w14:schemeClr w14:val="tx1"/>
            </w14:solidFill>
          </w14:textFill>
        </w:rPr>
        <w:t xml:space="preserve">5 </w:t>
      </w:r>
      <w:r>
        <w:rPr>
          <w:rFonts w:hint="eastAsia" w:hAnsi="宋体" w:cs="宋体"/>
          <w:color w:val="000000" w:themeColor="text1"/>
          <w:szCs w:val="21"/>
          <w:highlight w:val="none"/>
          <w14:textFill>
            <w14:solidFill>
              <w14:schemeClr w14:val="tx1"/>
            </w14:solidFill>
          </w14:textFill>
        </w:rPr>
        <w:t>个工作日内仍未改正的，守约方有权解除本合同，并有权要求违约方承担10万元的违约金，如无法弥补对方的经济损失的，应继续承担赔偿责任。</w:t>
      </w:r>
    </w:p>
    <w:p>
      <w:pPr>
        <w:pStyle w:val="25"/>
        <w:snapToGrid w:val="0"/>
        <w:spacing w:line="440" w:lineRule="exact"/>
        <w:ind w:firstLine="420" w:firstLineChars="200"/>
        <w:rPr>
          <w:rFonts w:hAnsi="宋体" w:cs="宋体"/>
          <w:color w:val="000000" w:themeColor="text1"/>
          <w:szCs w:val="21"/>
          <w:highlight w:val="none"/>
          <w:lang w:val="zh-CN"/>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5、</w:t>
      </w:r>
      <w:r>
        <w:rPr>
          <w:rFonts w:hint="eastAsia" w:hAnsi="宋体" w:cs="宋体"/>
          <w:color w:val="000000" w:themeColor="text1"/>
          <w:szCs w:val="21"/>
          <w:highlight w:val="none"/>
          <w:lang w:val="zh-CN"/>
          <w14:textFill>
            <w14:solidFill>
              <w14:schemeClr w14:val="tx1"/>
            </w14:solidFill>
          </w14:textFill>
        </w:rPr>
        <w:t>在合同履行过程中，乙方如发生以下情况的，甲方有权提出告诫或终止合同，并要求乙方承担可能发生的一切法律责任和费用。</w:t>
      </w:r>
    </w:p>
    <w:p>
      <w:pPr>
        <w:pStyle w:val="25"/>
        <w:snapToGrid w:val="0"/>
        <w:spacing w:line="44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lang w:val="zh-CN"/>
          <w14:textFill>
            <w14:solidFill>
              <w14:schemeClr w14:val="tx1"/>
            </w14:solidFill>
          </w14:textFill>
        </w:rPr>
        <w:t>1）乙方无正当理由未按甲方需求配送物品的；</w:t>
      </w:r>
    </w:p>
    <w:p>
      <w:pPr>
        <w:pStyle w:val="25"/>
        <w:snapToGrid w:val="0"/>
        <w:spacing w:line="44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2）乙方未能按照投标书承诺提供质量保证，所送物品不新鲜或存在食品安全隐患的；</w:t>
      </w:r>
    </w:p>
    <w:p>
      <w:pPr>
        <w:pStyle w:val="25"/>
        <w:snapToGrid w:val="0"/>
        <w:spacing w:line="440" w:lineRule="exact"/>
        <w:ind w:firstLine="420" w:firstLineChars="200"/>
        <w:rPr>
          <w:rFonts w:hAnsi="宋体" w:cs="宋体"/>
          <w:color w:val="000000" w:themeColor="text1"/>
          <w:szCs w:val="21"/>
          <w:highlight w:val="none"/>
          <w:lang w:val="zh-CN"/>
          <w14:textFill>
            <w14:solidFill>
              <w14:schemeClr w14:val="tx1"/>
            </w14:solidFill>
          </w14:textFill>
        </w:rPr>
      </w:pPr>
      <w:r>
        <w:rPr>
          <w:rFonts w:hint="eastAsia" w:hAnsi="宋体" w:cs="宋体"/>
          <w:color w:val="000000" w:themeColor="text1"/>
          <w:szCs w:val="21"/>
          <w:highlight w:val="none"/>
          <w:lang w:val="zh-CN"/>
          <w14:textFill>
            <w14:solidFill>
              <w14:schemeClr w14:val="tx1"/>
            </w14:solidFill>
          </w14:textFill>
        </w:rPr>
        <w:t>3）考评较差的（未达到</w:t>
      </w:r>
      <w:r>
        <w:rPr>
          <w:rFonts w:hint="eastAsia" w:hAnsi="宋体" w:cs="宋体"/>
          <w:color w:val="000000" w:themeColor="text1"/>
          <w:szCs w:val="21"/>
          <w:highlight w:val="none"/>
          <w14:textFill>
            <w14:solidFill>
              <w14:schemeClr w14:val="tx1"/>
            </w14:solidFill>
          </w14:textFill>
        </w:rPr>
        <w:t>75分</w:t>
      </w:r>
      <w:r>
        <w:rPr>
          <w:rFonts w:hint="eastAsia" w:hAnsi="宋体" w:cs="宋体"/>
          <w:color w:val="000000" w:themeColor="text1"/>
          <w:szCs w:val="21"/>
          <w:highlight w:val="none"/>
          <w:lang w:val="zh-CN"/>
          <w14:textFill>
            <w14:solidFill>
              <w14:schemeClr w14:val="tx1"/>
            </w14:solidFill>
          </w14:textFill>
        </w:rPr>
        <w:t>）；（具体考评办法</w:t>
      </w:r>
      <w:r>
        <w:rPr>
          <w:rFonts w:hint="eastAsia" w:hAnsi="宋体" w:cs="宋体"/>
          <w:color w:val="000000" w:themeColor="text1"/>
          <w:szCs w:val="21"/>
          <w:highlight w:val="none"/>
          <w14:textFill>
            <w14:solidFill>
              <w14:schemeClr w14:val="tx1"/>
            </w14:solidFill>
          </w14:textFill>
        </w:rPr>
        <w:t>详见附件1</w:t>
      </w:r>
      <w:r>
        <w:rPr>
          <w:rFonts w:hint="eastAsia" w:hAnsi="宋体" w:cs="宋体"/>
          <w:color w:val="000000" w:themeColor="text1"/>
          <w:szCs w:val="21"/>
          <w:highlight w:val="none"/>
          <w:lang w:val="zh-CN"/>
          <w14:textFill>
            <w14:solidFill>
              <w14:schemeClr w14:val="tx1"/>
            </w14:solidFill>
          </w14:textFill>
        </w:rPr>
        <w:t>）</w:t>
      </w:r>
    </w:p>
    <w:p>
      <w:pPr>
        <w:pStyle w:val="25"/>
        <w:snapToGrid w:val="0"/>
        <w:spacing w:line="440" w:lineRule="exact"/>
        <w:ind w:firstLine="420" w:firstLineChars="200"/>
        <w:rPr>
          <w:rFonts w:hAnsi="宋体" w:cs="宋体"/>
          <w:color w:val="000000" w:themeColor="text1"/>
          <w:szCs w:val="21"/>
          <w:highlight w:val="none"/>
          <w:lang w:val="zh-CN"/>
          <w14:textFill>
            <w14:solidFill>
              <w14:schemeClr w14:val="tx1"/>
            </w14:solidFill>
          </w14:textFill>
        </w:rPr>
      </w:pPr>
      <w:r>
        <w:rPr>
          <w:rFonts w:hint="eastAsia" w:hAnsi="宋体" w:cs="宋体"/>
          <w:color w:val="000000" w:themeColor="text1"/>
          <w:szCs w:val="21"/>
          <w:highlight w:val="none"/>
          <w:lang w:val="zh-CN"/>
          <w14:textFill>
            <w14:solidFill>
              <w14:schemeClr w14:val="tx1"/>
            </w14:solidFill>
          </w14:textFill>
        </w:rPr>
        <w:t>4）因乙方未及时配送造成甲方食堂无法按时提供就餐的</w:t>
      </w:r>
      <w:r>
        <w:rPr>
          <w:rFonts w:hint="eastAsia" w:hAnsi="宋体" w:cs="宋体"/>
          <w:color w:val="000000" w:themeColor="text1"/>
          <w:szCs w:val="21"/>
          <w:highlight w:val="none"/>
          <w14:textFill>
            <w14:solidFill>
              <w14:schemeClr w14:val="tx1"/>
            </w14:solidFill>
          </w14:textFill>
        </w:rPr>
        <w:t>（一个月内超过3次的）</w:t>
      </w:r>
      <w:r>
        <w:rPr>
          <w:rFonts w:hint="eastAsia" w:hAnsi="宋体" w:cs="宋体"/>
          <w:color w:val="000000" w:themeColor="text1"/>
          <w:szCs w:val="21"/>
          <w:highlight w:val="none"/>
          <w:lang w:val="zh-CN"/>
          <w14:textFill>
            <w14:solidFill>
              <w14:schemeClr w14:val="tx1"/>
            </w14:solidFill>
          </w14:textFill>
        </w:rPr>
        <w:t>；</w:t>
      </w:r>
    </w:p>
    <w:p>
      <w:pPr>
        <w:pStyle w:val="25"/>
        <w:snapToGrid w:val="0"/>
        <w:spacing w:line="440" w:lineRule="exact"/>
        <w:ind w:firstLine="420" w:firstLineChars="200"/>
        <w:rPr>
          <w:rFonts w:hAnsi="宋体" w:cs="宋体"/>
          <w:color w:val="000000" w:themeColor="text1"/>
          <w:szCs w:val="21"/>
          <w:highlight w:val="none"/>
          <w:lang w:val="zh-CN"/>
          <w14:textFill>
            <w14:solidFill>
              <w14:schemeClr w14:val="tx1"/>
            </w14:solidFill>
          </w14:textFill>
        </w:rPr>
      </w:pPr>
      <w:r>
        <w:rPr>
          <w:rFonts w:hint="eastAsia" w:hAnsi="宋体" w:cs="宋体"/>
          <w:color w:val="000000" w:themeColor="text1"/>
          <w:szCs w:val="21"/>
          <w:highlight w:val="none"/>
          <w:lang w:val="zh-CN"/>
          <w14:textFill>
            <w14:solidFill>
              <w14:schemeClr w14:val="tx1"/>
            </w14:solidFill>
          </w14:textFill>
        </w:rPr>
        <w:t>5）履行合同的过程中，确因乙方在现有水平和条件下难以克服原因，无法继续提供配送服务的；</w:t>
      </w:r>
    </w:p>
    <w:p>
      <w:pPr>
        <w:pStyle w:val="25"/>
        <w:snapToGrid w:val="0"/>
        <w:spacing w:line="440" w:lineRule="exact"/>
        <w:ind w:firstLine="420" w:firstLineChars="200"/>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6</w:t>
      </w:r>
      <w:r>
        <w:rPr>
          <w:rFonts w:hint="eastAsia" w:hAnsi="宋体" w:cs="宋体"/>
          <w:color w:val="000000" w:themeColor="text1"/>
          <w:szCs w:val="21"/>
          <w:highlight w:val="none"/>
          <w:lang w:val="zh-CN"/>
          <w14:textFill>
            <w14:solidFill>
              <w14:schemeClr w14:val="tx1"/>
            </w14:solidFill>
          </w14:textFill>
        </w:rPr>
        <w:t>）若乙方随意更换人员，造成配送服务质量下降的</w:t>
      </w:r>
      <w:r>
        <w:rPr>
          <w:rFonts w:hint="eastAsia" w:hAnsi="宋体" w:cs="宋体"/>
          <w:color w:val="000000" w:themeColor="text1"/>
          <w:szCs w:val="21"/>
          <w:highlight w:val="none"/>
          <w14:textFill>
            <w14:solidFill>
              <w14:schemeClr w14:val="tx1"/>
            </w14:solidFill>
          </w14:textFill>
        </w:rPr>
        <w:t>。</w:t>
      </w:r>
    </w:p>
    <w:p>
      <w:pPr>
        <w:spacing w:before="223" w:line="312" w:lineRule="auto"/>
        <w:ind w:right="225" w:firstLine="420" w:firstLineChars="20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6、</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乙方未按合同规定的服务条款提供服务时，甲方有权给予警告，并要求乙方限期整改</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限期整改3天内，乙方未作出相应整改的，甲方有权视情节轻重，要求配送单位支付 500- 10000 元违约金；给甲方造成损失的，还须承担当期货款的10%经济赔偿责任。</w:t>
      </w:r>
    </w:p>
    <w:p>
      <w:pPr>
        <w:pStyle w:val="25"/>
        <w:snapToGrid w:val="0"/>
        <w:spacing w:line="440" w:lineRule="exact"/>
        <w:ind w:firstLine="420" w:firstLineChars="200"/>
        <w:rPr>
          <w:rFonts w:hAnsi="宋体" w:cs="宋体"/>
          <w:color w:val="000000" w:themeColor="text1"/>
          <w:szCs w:val="21"/>
          <w:highlight w:val="none"/>
          <w:lang w:val="zh-CN"/>
          <w14:textFill>
            <w14:solidFill>
              <w14:schemeClr w14:val="tx1"/>
            </w14:solidFill>
          </w14:textFill>
        </w:rPr>
      </w:pPr>
      <w:r>
        <w:rPr>
          <w:rFonts w:hint="eastAsia" w:hAnsi="宋体" w:cs="宋体"/>
          <w:color w:val="000000" w:themeColor="text1"/>
          <w:szCs w:val="21"/>
          <w:highlight w:val="none"/>
          <w:lang w:val="zh-CN"/>
          <w14:textFill>
            <w14:solidFill>
              <w14:schemeClr w14:val="tx1"/>
            </w14:solidFill>
          </w14:textFill>
        </w:rPr>
        <w:t>若合同有效期内甲方与乙方终止合同，甲方可选择本次招标中第二候选人与其签订合同直至服务期结束，也可重新组织招标。</w:t>
      </w:r>
    </w:p>
    <w:p>
      <w:pPr>
        <w:pStyle w:val="6"/>
        <w:tabs>
          <w:tab w:val="left" w:pos="297"/>
          <w:tab w:val="left" w:pos="900"/>
        </w:tabs>
        <w:spacing w:line="440" w:lineRule="exact"/>
        <w:ind w:firstLine="406" w:firstLineChars="200"/>
        <w:outlineLvl w:val="0"/>
        <w:rPr>
          <w:rFonts w:hAnsi="宋体" w:cs="宋体"/>
          <w:b/>
          <w:bCs/>
          <w:color w:val="000000" w:themeColor="text1"/>
          <w:sz w:val="21"/>
          <w:szCs w:val="21"/>
          <w:highlight w:val="none"/>
          <w14:textFill>
            <w14:solidFill>
              <w14:schemeClr w14:val="tx1"/>
            </w14:solidFill>
          </w14:textFill>
        </w:rPr>
      </w:pPr>
      <w:r>
        <w:rPr>
          <w:rFonts w:hint="eastAsia" w:hAnsi="宋体" w:cs="宋体"/>
          <w:b/>
          <w:bCs/>
          <w:color w:val="000000" w:themeColor="text1"/>
          <w:sz w:val="21"/>
          <w:szCs w:val="21"/>
          <w:highlight w:val="none"/>
          <w14:textFill>
            <w14:solidFill>
              <w14:schemeClr w14:val="tx1"/>
            </w14:solidFill>
          </w14:textFill>
        </w:rPr>
        <w:t>五、不可抗力事件处理</w:t>
      </w:r>
    </w:p>
    <w:p>
      <w:pPr>
        <w:pStyle w:val="43"/>
        <w:spacing w:before="0" w:beforeAutospacing="0" w:after="0" w:afterAutospacing="0" w:line="440" w:lineRule="exact"/>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1、在执行合同期限内，任何一方因不可抗力事件所致不能履行合同，则合同履行期可延长，延长期与不可抗力影响期相同。</w:t>
      </w:r>
    </w:p>
    <w:p>
      <w:pPr>
        <w:pStyle w:val="43"/>
        <w:spacing w:before="0" w:beforeAutospacing="0" w:after="0" w:afterAutospacing="0" w:line="440" w:lineRule="exact"/>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2、不可抗力事件发生后，应立即通知对方，并出具有关权威机构的证明。</w:t>
      </w:r>
    </w:p>
    <w:p>
      <w:pPr>
        <w:pStyle w:val="43"/>
        <w:spacing w:before="0" w:beforeAutospacing="0" w:after="0" w:afterAutospacing="0" w:line="440" w:lineRule="exact"/>
        <w:ind w:firstLine="420" w:firstLineChars="20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3、不可抗力事件延续15天以上，双方应通过友好协商，确定是否继续履行合同。</w:t>
      </w:r>
    </w:p>
    <w:p>
      <w:pPr>
        <w:pStyle w:val="6"/>
        <w:tabs>
          <w:tab w:val="left" w:pos="297"/>
          <w:tab w:val="left" w:pos="900"/>
        </w:tabs>
        <w:spacing w:line="440" w:lineRule="exact"/>
        <w:ind w:firstLine="406" w:firstLineChars="200"/>
        <w:outlineLvl w:val="0"/>
        <w:rPr>
          <w:rFonts w:hAnsi="宋体" w:cs="宋体"/>
          <w:b/>
          <w:bCs/>
          <w:color w:val="000000" w:themeColor="text1"/>
          <w:sz w:val="21"/>
          <w:szCs w:val="21"/>
          <w:highlight w:val="none"/>
          <w14:textFill>
            <w14:solidFill>
              <w14:schemeClr w14:val="tx1"/>
            </w14:solidFill>
          </w14:textFill>
        </w:rPr>
      </w:pPr>
      <w:r>
        <w:rPr>
          <w:rFonts w:hint="eastAsia" w:hAnsi="宋体" w:cs="宋体"/>
          <w:b/>
          <w:bCs/>
          <w:color w:val="000000" w:themeColor="text1"/>
          <w:sz w:val="21"/>
          <w:szCs w:val="21"/>
          <w:highlight w:val="none"/>
          <w14:textFill>
            <w14:solidFill>
              <w14:schemeClr w14:val="tx1"/>
            </w14:solidFill>
          </w14:textFill>
        </w:rPr>
        <w:t>六、合同的生效</w:t>
      </w:r>
    </w:p>
    <w:p>
      <w:pPr>
        <w:pStyle w:val="25"/>
        <w:snapToGrid w:val="0"/>
        <w:spacing w:line="44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本合同经甲方、乙方法定代表人或其委托人签字并加盖双方公章后生效。</w:t>
      </w:r>
    </w:p>
    <w:p>
      <w:pPr>
        <w:pStyle w:val="225"/>
        <w:spacing w:line="380" w:lineRule="exact"/>
        <w:rPr>
          <w:rFonts w:ascii="宋体" w:hAnsi="宋体" w:cs="宋体"/>
          <w:color w:val="000000" w:themeColor="text1"/>
          <w:sz w:val="21"/>
          <w:szCs w:val="21"/>
          <w:highlight w:val="none"/>
          <w14:textFill>
            <w14:solidFill>
              <w14:schemeClr w14:val="tx1"/>
            </w14:solidFill>
          </w14:textFill>
        </w:rPr>
      </w:pPr>
    </w:p>
    <w:p>
      <w:pPr>
        <w:autoSpaceDE w:val="0"/>
        <w:autoSpaceDN w:val="0"/>
        <w:adjustRightIn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甲方：                               乙方： </w:t>
      </w:r>
    </w:p>
    <w:p>
      <w:pPr>
        <w:autoSpaceDE w:val="0"/>
        <w:autoSpaceDN w:val="0"/>
        <w:adjustRightIn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地址：                               地址： </w:t>
      </w:r>
    </w:p>
    <w:p>
      <w:pPr>
        <w:autoSpaceDE w:val="0"/>
        <w:autoSpaceDN w:val="0"/>
        <w:adjustRightIn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                         法定代表人：</w:t>
      </w:r>
    </w:p>
    <w:p>
      <w:pPr>
        <w:autoSpaceDE w:val="0"/>
        <w:autoSpaceDN w:val="0"/>
        <w:adjustRightInd w:val="0"/>
        <w:spacing w:line="360" w:lineRule="auto"/>
        <w:ind w:firstLine="420" w:firstLineChars="2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或授权委托代理人：（签字）           或授权委托代理人：（签字）</w:t>
      </w:r>
    </w:p>
    <w:p>
      <w:pPr>
        <w:spacing w:line="360" w:lineRule="auto"/>
        <w:ind w:firstLine="4410" w:firstLineChars="2100"/>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开户银行：</w:t>
      </w:r>
    </w:p>
    <w:p>
      <w:pPr>
        <w:pStyle w:val="2"/>
        <w:spacing w:line="360" w:lineRule="auto"/>
        <w:ind w:firstLine="4410" w:firstLineChars="2100"/>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银行帐号</w:t>
      </w: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w:t>
      </w:r>
    </w:p>
    <w:p>
      <w:pPr>
        <w:spacing w:line="360" w:lineRule="auto"/>
        <w:jc w:val="center"/>
        <w:rPr>
          <w:rFonts w:hint="eastAsia"/>
          <w:color w:val="000000" w:themeColor="text1"/>
          <w:highlight w:val="none"/>
          <w:lang w:val="en-US" w:eastAsia="zh-CN"/>
          <w14:textFill>
            <w14:solidFill>
              <w14:schemeClr w14:val="tx1"/>
            </w14:solidFill>
          </w14:textFill>
        </w:rPr>
      </w:pPr>
      <w:r>
        <w:rPr>
          <w:rFonts w:hint="eastAsia" w:ascii="宋体" w:hAnsi="宋体" w:cs="宋体"/>
          <w:b w:val="0"/>
          <w:bCs w:val="0"/>
          <w:color w:val="000000" w:themeColor="text1"/>
          <w:kern w:val="2"/>
          <w:sz w:val="21"/>
          <w:szCs w:val="21"/>
          <w:highlight w:val="none"/>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电话：</w:t>
      </w:r>
    </w:p>
    <w:p>
      <w:pPr>
        <w:autoSpaceDE w:val="0"/>
        <w:autoSpaceDN w:val="0"/>
        <w:adjustRightInd w:val="0"/>
        <w:spacing w:line="380" w:lineRule="exact"/>
        <w:ind w:right="48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pPr>
        <w:autoSpaceDE w:val="0"/>
        <w:autoSpaceDN w:val="0"/>
        <w:adjustRightInd w:val="0"/>
        <w:spacing w:line="380" w:lineRule="exact"/>
        <w:ind w:right="48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签订地点：</w:t>
      </w:r>
    </w:p>
    <w:p>
      <w:pPr>
        <w:autoSpaceDE w:val="0"/>
        <w:autoSpaceDN w:val="0"/>
        <w:adjustRightInd w:val="0"/>
        <w:spacing w:line="380" w:lineRule="exact"/>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签订日期：      年   月   日</w:t>
      </w:r>
    </w:p>
    <w:p>
      <w:pPr>
        <w:pStyle w:val="58"/>
        <w:rPr>
          <w:color w:val="000000" w:themeColor="text1"/>
          <w:highlight w:val="none"/>
          <w14:textFill>
            <w14:solidFill>
              <w14:schemeClr w14:val="tx1"/>
            </w14:solidFill>
          </w14:textFill>
        </w:rPr>
      </w:pPr>
    </w:p>
    <w:p>
      <w:pPr>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br w:type="page"/>
      </w:r>
    </w:p>
    <w:p>
      <w:pPr>
        <w:pStyle w:val="25"/>
        <w:snapToGrid w:val="0"/>
        <w:spacing w:line="360" w:lineRule="auto"/>
        <w:ind w:firstLine="422" w:firstLineChars="200"/>
        <w:rPr>
          <w:rFonts w:hAnsi="宋体"/>
          <w:color w:val="000000" w:themeColor="text1"/>
          <w:szCs w:val="21"/>
          <w:highlight w:val="none"/>
          <w14:textFill>
            <w14:solidFill>
              <w14:schemeClr w14:val="tx1"/>
            </w14:solidFill>
          </w14:textFill>
        </w:rPr>
      </w:pPr>
      <w:r>
        <w:rPr>
          <w:rFonts w:hint="eastAsia" w:hAnsi="宋体"/>
          <w:b/>
          <w:bCs/>
          <w:color w:val="000000" w:themeColor="text1"/>
          <w:szCs w:val="21"/>
          <w:highlight w:val="none"/>
          <w14:textFill>
            <w14:solidFill>
              <w14:schemeClr w14:val="tx1"/>
            </w14:solidFill>
          </w14:textFill>
        </w:rPr>
        <w:t>附件1：</w:t>
      </w:r>
      <w:r>
        <w:rPr>
          <w:rFonts w:hint="eastAsia" w:hAnsi="宋体"/>
          <w:b/>
          <w:bCs/>
          <w:color w:val="000000" w:themeColor="text1"/>
          <w:szCs w:val="21"/>
          <w:highlight w:val="none"/>
          <w:lang w:eastAsia="zh-CN"/>
          <w14:textFill>
            <w14:solidFill>
              <w14:schemeClr w14:val="tx1"/>
            </w14:solidFill>
          </w14:textFill>
        </w:rPr>
        <w:t>浙江省嘉兴支队乌镇消防救援大队2023年度伙食集中配送采购项目</w:t>
      </w:r>
      <w:r>
        <w:rPr>
          <w:rFonts w:hint="eastAsia" w:hAnsi="宋体"/>
          <w:b/>
          <w:bCs/>
          <w:color w:val="000000" w:themeColor="text1"/>
          <w:szCs w:val="21"/>
          <w:highlight w:val="none"/>
          <w14:textFill>
            <w14:solidFill>
              <w14:schemeClr w14:val="tx1"/>
            </w14:solidFill>
          </w14:textFill>
        </w:rPr>
        <w:t>考评管理办法</w:t>
      </w: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一、考核依据</w:t>
      </w: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lang w:eastAsia="zh-CN"/>
          <w14:textFill>
            <w14:solidFill>
              <w14:schemeClr w14:val="tx1"/>
            </w14:solidFill>
          </w14:textFill>
        </w:rPr>
        <w:t>浙江省嘉兴支队乌镇消防救援大队2023年度伙食集中配送采购项目</w:t>
      </w:r>
      <w:r>
        <w:rPr>
          <w:rFonts w:hint="eastAsia" w:hAnsi="宋体"/>
          <w:color w:val="000000" w:themeColor="text1"/>
          <w:szCs w:val="21"/>
          <w:highlight w:val="none"/>
          <w14:textFill>
            <w14:solidFill>
              <w14:schemeClr w14:val="tx1"/>
            </w14:solidFill>
          </w14:textFill>
        </w:rPr>
        <w:t>招标文件。</w:t>
      </w: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二、考核对象</w:t>
      </w: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lang w:eastAsia="zh-CN"/>
          <w14:textFill>
            <w14:solidFill>
              <w14:schemeClr w14:val="tx1"/>
            </w14:solidFill>
          </w14:textFill>
        </w:rPr>
        <w:t>浙江省嘉兴支队乌镇消防救援大队2023年度伙食集中配送采购项目</w:t>
      </w:r>
      <w:r>
        <w:rPr>
          <w:rFonts w:hint="eastAsia" w:hAnsi="宋体"/>
          <w:color w:val="000000" w:themeColor="text1"/>
          <w:szCs w:val="21"/>
          <w:highlight w:val="none"/>
          <w14:textFill>
            <w14:solidFill>
              <w14:schemeClr w14:val="tx1"/>
            </w14:solidFill>
          </w14:textFill>
        </w:rPr>
        <w:t>中标供应商</w:t>
      </w: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三、考核指标及分值</w:t>
      </w: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1.流程管理考核，占40%。主要从配送准时送货、足斤足两、服务态度、工作细致、单据清晰等方面进行量化评价，汇总各考核数据。</w:t>
      </w: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2.质量管理考核，占30%。每季度随机检查不少于3次，检查当天配送食材的质量、数量等，由每次得分汇总取平均分得出季度分，食材验收标准见合同。</w:t>
      </w: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3.科学管理考核，占30%。每月由</w:t>
      </w:r>
      <w:r>
        <w:rPr>
          <w:rFonts w:hint="eastAsia" w:hAnsi="宋体"/>
          <w:color w:val="000000" w:themeColor="text1"/>
          <w:szCs w:val="21"/>
          <w:highlight w:val="none"/>
          <w:lang w:val="en-US" w:eastAsia="zh-CN"/>
          <w14:textFill>
            <w14:solidFill>
              <w14:schemeClr w14:val="tx1"/>
            </w14:solidFill>
          </w14:textFill>
        </w:rPr>
        <w:t>嘉兴市消防救援支队乌镇大队</w:t>
      </w:r>
      <w:r>
        <w:rPr>
          <w:rFonts w:hint="eastAsia" w:hAnsi="宋体"/>
          <w:color w:val="000000" w:themeColor="text1"/>
          <w:szCs w:val="21"/>
          <w:highlight w:val="none"/>
          <w14:textFill>
            <w14:solidFill>
              <w14:schemeClr w14:val="tx1"/>
            </w14:solidFill>
          </w14:textFill>
        </w:rPr>
        <w:t>组织相关人员从随机抽取配送公司的10个货品，进行价格比较，若发现以下情况的：</w:t>
      </w: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（1）对有明确市场参考价的货品，而配送商未完全执行投标下浮率的，一个品种扣1分；</w:t>
      </w: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（2）对未有明确市场参考价的货品，根据该货品配送公司月平均价格与各配送公司平均价进行比较，价格高于平均价0-3%,扣0. 2分，价格高于平均价3-6%的，扣0.5分，价格高于平均价6-10%的，扣1 分，价格高于平均价10%以上的，扣1.5分，等于或低于平 均价不扣分；</w:t>
      </w: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（3）对投诉、月价格比较中等发现有问题而没有及时整改反馈的，每次扣1分。</w:t>
      </w: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4.配送公司出现下列情况：</w:t>
      </w: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(1)配送食品出现食品安全问题的；</w:t>
      </w: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(2)配送公司虚开发票等违规行为；</w:t>
      </w: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(3)配送公司对相关人员存在利益输送等违纪行为；</w:t>
      </w: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上述情况一经发现并查实，一票否决。</w:t>
      </w: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综合评定及结果运用</w:t>
      </w: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（1）以季为单位进行考核，考核基准分为100分，90分（含90分）以上为“合格”等级（小数点后数字四舍五入,下同）；</w:t>
      </w: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（2）达到85分（含85分）以上且低于90分的为“基本合格”等级，可以参与下一年度食堂大宗物品采购配送项目供应商招标活动。</w:t>
      </w: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（3）低于75分，为“较差”等级，按照合同规定终止合同，并禁止参与下一年度食堂大宗物品采购配送项目供应商招标活动。</w:t>
      </w: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p>
    <w:p>
      <w:pPr>
        <w:pStyle w:val="25"/>
        <w:snapToGrid w:val="0"/>
        <w:spacing w:line="360" w:lineRule="auto"/>
        <w:ind w:firstLine="422" w:firstLineChars="200"/>
        <w:jc w:val="center"/>
        <w:rPr>
          <w:rFonts w:hAnsi="宋体"/>
          <w:b/>
          <w:bCs/>
          <w:color w:val="000000" w:themeColor="text1"/>
          <w:szCs w:val="21"/>
          <w:highlight w:val="none"/>
          <w14:textFill>
            <w14:solidFill>
              <w14:schemeClr w14:val="tx1"/>
            </w14:solidFill>
          </w14:textFill>
        </w:rPr>
      </w:pPr>
      <w:r>
        <w:rPr>
          <w:rFonts w:hint="eastAsia" w:hAnsi="宋体"/>
          <w:b/>
          <w:bCs/>
          <w:color w:val="000000" w:themeColor="text1"/>
          <w:szCs w:val="21"/>
          <w:highlight w:val="none"/>
          <w14:textFill>
            <w14:solidFill>
              <w14:schemeClr w14:val="tx1"/>
            </w14:solidFill>
          </w14:textFill>
        </w:rPr>
        <w:t>食材配送单位月度考核表</w:t>
      </w: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考核年月： _____________年 __________月</w:t>
      </w: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 xml:space="preserve">被考核单位：                                                       </w:t>
      </w:r>
    </w:p>
    <w:tbl>
      <w:tblPr>
        <w:tblStyle w:val="47"/>
        <w:tblW w:w="1026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057"/>
        <w:gridCol w:w="1174"/>
        <w:gridCol w:w="1288"/>
        <w:gridCol w:w="5402"/>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19" w:type="dxa"/>
            <w:vMerge w:val="restart"/>
            <w:vAlign w:val="center"/>
          </w:tcPr>
          <w:p>
            <w:pPr>
              <w:pStyle w:val="25"/>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一级</w:t>
            </w:r>
          </w:p>
          <w:p>
            <w:pPr>
              <w:pStyle w:val="25"/>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指标</w:t>
            </w:r>
          </w:p>
        </w:tc>
        <w:tc>
          <w:tcPr>
            <w:tcW w:w="1057" w:type="dxa"/>
            <w:vMerge w:val="restart"/>
            <w:vAlign w:val="center"/>
          </w:tcPr>
          <w:p>
            <w:pPr>
              <w:pStyle w:val="25"/>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分值</w:t>
            </w:r>
          </w:p>
        </w:tc>
        <w:tc>
          <w:tcPr>
            <w:tcW w:w="1174" w:type="dxa"/>
            <w:vMerge w:val="restart"/>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二级</w:t>
            </w:r>
          </w:p>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指标</w:t>
            </w:r>
          </w:p>
        </w:tc>
        <w:tc>
          <w:tcPr>
            <w:tcW w:w="1288" w:type="dxa"/>
            <w:vMerge w:val="restart"/>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分值</w:t>
            </w:r>
          </w:p>
        </w:tc>
        <w:tc>
          <w:tcPr>
            <w:tcW w:w="5402" w:type="dxa"/>
            <w:vMerge w:val="restart"/>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考核要素和评估内容及其标准</w:t>
            </w:r>
          </w:p>
        </w:tc>
        <w:tc>
          <w:tcPr>
            <w:tcW w:w="720" w:type="dxa"/>
            <w:vMerge w:val="restart"/>
            <w:vAlign w:val="center"/>
          </w:tcPr>
          <w:p>
            <w:pPr>
              <w:pStyle w:val="25"/>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19" w:type="dxa"/>
            <w:vMerge w:val="continue"/>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c>
          <w:tcPr>
            <w:tcW w:w="1057" w:type="dxa"/>
            <w:vMerge w:val="continue"/>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c>
          <w:tcPr>
            <w:tcW w:w="1174" w:type="dxa"/>
            <w:vMerge w:val="continue"/>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c>
          <w:tcPr>
            <w:tcW w:w="1288" w:type="dxa"/>
            <w:vMerge w:val="continue"/>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c>
          <w:tcPr>
            <w:tcW w:w="5402" w:type="dxa"/>
            <w:vMerge w:val="continue"/>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c>
          <w:tcPr>
            <w:tcW w:w="720" w:type="dxa"/>
            <w:vMerge w:val="continue"/>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19" w:type="dxa"/>
            <w:vMerge w:val="restart"/>
            <w:textDirection w:val="tbRlV"/>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流程管理</w:t>
            </w:r>
          </w:p>
        </w:tc>
        <w:tc>
          <w:tcPr>
            <w:tcW w:w="1057" w:type="dxa"/>
            <w:vMerge w:val="restart"/>
            <w:vAlign w:val="center"/>
          </w:tcPr>
          <w:p>
            <w:pPr>
              <w:pStyle w:val="25"/>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40分</w:t>
            </w:r>
          </w:p>
        </w:tc>
        <w:tc>
          <w:tcPr>
            <w:tcW w:w="1174" w:type="dxa"/>
            <w:vAlign w:val="center"/>
          </w:tcPr>
          <w:p>
            <w:pPr>
              <w:pStyle w:val="25"/>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准时送货</w:t>
            </w:r>
          </w:p>
        </w:tc>
        <w:tc>
          <w:tcPr>
            <w:tcW w:w="1288" w:type="dxa"/>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12分</w:t>
            </w:r>
          </w:p>
        </w:tc>
        <w:tc>
          <w:tcPr>
            <w:tcW w:w="5402" w:type="dxa"/>
            <w:vAlign w:val="center"/>
          </w:tcPr>
          <w:p>
            <w:pPr>
              <w:pStyle w:val="25"/>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送货准时，食堂每天所需食材一并送达12分（非不可抗拒情况下延误一次扣4分，以此类推，扣完为止。发现委托其他人或其他车代送不得分）。</w:t>
            </w:r>
          </w:p>
        </w:tc>
        <w:tc>
          <w:tcPr>
            <w:tcW w:w="720" w:type="dxa"/>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19" w:type="dxa"/>
            <w:vMerge w:val="continue"/>
            <w:textDirection w:val="tbRlV"/>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c>
          <w:tcPr>
            <w:tcW w:w="1057" w:type="dxa"/>
            <w:vMerge w:val="continue"/>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c>
          <w:tcPr>
            <w:tcW w:w="1174" w:type="dxa"/>
            <w:vAlign w:val="center"/>
          </w:tcPr>
          <w:p>
            <w:pPr>
              <w:pStyle w:val="25"/>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足斤足两</w:t>
            </w:r>
          </w:p>
        </w:tc>
        <w:tc>
          <w:tcPr>
            <w:tcW w:w="1288" w:type="dxa"/>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12分</w:t>
            </w:r>
          </w:p>
        </w:tc>
        <w:tc>
          <w:tcPr>
            <w:tcW w:w="5402" w:type="dxa"/>
            <w:vAlign w:val="center"/>
          </w:tcPr>
          <w:p>
            <w:pPr>
              <w:pStyle w:val="25"/>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送货无短斤缺两现象12分（份量短缺达到该类食材配送总量5%以上，有一次扣4分，以此类推，扣完为止）。</w:t>
            </w:r>
          </w:p>
        </w:tc>
        <w:tc>
          <w:tcPr>
            <w:tcW w:w="720" w:type="dxa"/>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19" w:type="dxa"/>
            <w:vMerge w:val="continue"/>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c>
          <w:tcPr>
            <w:tcW w:w="1057" w:type="dxa"/>
            <w:vMerge w:val="continue"/>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c>
          <w:tcPr>
            <w:tcW w:w="1174" w:type="dxa"/>
            <w:vAlign w:val="center"/>
          </w:tcPr>
          <w:p>
            <w:pPr>
              <w:pStyle w:val="25"/>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服务态度</w:t>
            </w:r>
          </w:p>
        </w:tc>
        <w:tc>
          <w:tcPr>
            <w:tcW w:w="1288" w:type="dxa"/>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6分</w:t>
            </w:r>
          </w:p>
        </w:tc>
        <w:tc>
          <w:tcPr>
            <w:tcW w:w="5402" w:type="dxa"/>
            <w:vAlign w:val="center"/>
          </w:tcPr>
          <w:p>
            <w:pPr>
              <w:pStyle w:val="25"/>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工作人员工作认真，服务热情周到，运送搬装文明6分（运送人员野蛮运装或无正当理由与食堂人员争执，一次扣2分，扣完为止）。</w:t>
            </w:r>
          </w:p>
        </w:tc>
        <w:tc>
          <w:tcPr>
            <w:tcW w:w="720" w:type="dxa"/>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19" w:type="dxa"/>
            <w:vMerge w:val="continue"/>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c>
          <w:tcPr>
            <w:tcW w:w="1057" w:type="dxa"/>
            <w:vMerge w:val="continue"/>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c>
          <w:tcPr>
            <w:tcW w:w="1174" w:type="dxa"/>
            <w:vAlign w:val="center"/>
          </w:tcPr>
          <w:p>
            <w:pPr>
              <w:pStyle w:val="25"/>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工作细致</w:t>
            </w:r>
          </w:p>
        </w:tc>
        <w:tc>
          <w:tcPr>
            <w:tcW w:w="1288" w:type="dxa"/>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6分</w:t>
            </w:r>
          </w:p>
        </w:tc>
        <w:tc>
          <w:tcPr>
            <w:tcW w:w="5402" w:type="dxa"/>
            <w:vAlign w:val="center"/>
          </w:tcPr>
          <w:p>
            <w:pPr>
              <w:pStyle w:val="25"/>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配送物品清单与实际配送无差错6分（误差一次扣3分，以此类推，扣完为止）。</w:t>
            </w:r>
          </w:p>
        </w:tc>
        <w:tc>
          <w:tcPr>
            <w:tcW w:w="720" w:type="dxa"/>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19" w:type="dxa"/>
            <w:vMerge w:val="continue"/>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c>
          <w:tcPr>
            <w:tcW w:w="1057" w:type="dxa"/>
            <w:vMerge w:val="continue"/>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c>
          <w:tcPr>
            <w:tcW w:w="1174" w:type="dxa"/>
            <w:vAlign w:val="center"/>
          </w:tcPr>
          <w:p>
            <w:pPr>
              <w:pStyle w:val="25"/>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单据清晰</w:t>
            </w:r>
          </w:p>
        </w:tc>
        <w:tc>
          <w:tcPr>
            <w:tcW w:w="1288" w:type="dxa"/>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4分</w:t>
            </w:r>
          </w:p>
        </w:tc>
        <w:tc>
          <w:tcPr>
            <w:tcW w:w="5402" w:type="dxa"/>
            <w:vAlign w:val="center"/>
          </w:tcPr>
          <w:p>
            <w:pPr>
              <w:pStyle w:val="25"/>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送货单（结算凭证）项目齐全，机器打印清晰4分，否则不得分。</w:t>
            </w:r>
          </w:p>
        </w:tc>
        <w:tc>
          <w:tcPr>
            <w:tcW w:w="720" w:type="dxa"/>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619" w:type="dxa"/>
            <w:vAlign w:val="center"/>
          </w:tcPr>
          <w:p>
            <w:pPr>
              <w:pStyle w:val="25"/>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质量管理</w:t>
            </w:r>
          </w:p>
        </w:tc>
        <w:tc>
          <w:tcPr>
            <w:tcW w:w="1057" w:type="dxa"/>
            <w:vAlign w:val="center"/>
          </w:tcPr>
          <w:p>
            <w:pPr>
              <w:pStyle w:val="25"/>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30分</w:t>
            </w:r>
          </w:p>
        </w:tc>
        <w:tc>
          <w:tcPr>
            <w:tcW w:w="1174" w:type="dxa"/>
            <w:vAlign w:val="center"/>
          </w:tcPr>
          <w:p>
            <w:pPr>
              <w:pStyle w:val="25"/>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随机检查</w:t>
            </w:r>
          </w:p>
          <w:p>
            <w:pPr>
              <w:pStyle w:val="25"/>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评分汇总</w:t>
            </w:r>
          </w:p>
        </w:tc>
        <w:tc>
          <w:tcPr>
            <w:tcW w:w="1288" w:type="dxa"/>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30分</w:t>
            </w:r>
          </w:p>
        </w:tc>
        <w:tc>
          <w:tcPr>
            <w:tcW w:w="5402" w:type="dxa"/>
            <w:vAlign w:val="center"/>
          </w:tcPr>
          <w:p>
            <w:pPr>
              <w:pStyle w:val="25"/>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每季度对配送单位提供的食材质量进行随机检查30分（检查时按各类食材验收标准打分，由每次得分汇总取平均分得出季度分，食材验收标准见合同）。</w:t>
            </w:r>
          </w:p>
        </w:tc>
        <w:tc>
          <w:tcPr>
            <w:tcW w:w="720" w:type="dxa"/>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19" w:type="dxa"/>
            <w:vMerge w:val="restart"/>
            <w:textDirection w:val="tbRlV"/>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科学管理</w:t>
            </w:r>
          </w:p>
        </w:tc>
        <w:tc>
          <w:tcPr>
            <w:tcW w:w="1057" w:type="dxa"/>
            <w:vMerge w:val="restart"/>
            <w:vAlign w:val="center"/>
          </w:tcPr>
          <w:p>
            <w:pPr>
              <w:pStyle w:val="25"/>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30分</w:t>
            </w:r>
          </w:p>
        </w:tc>
        <w:tc>
          <w:tcPr>
            <w:tcW w:w="1174" w:type="dxa"/>
            <w:vAlign w:val="center"/>
          </w:tcPr>
          <w:p>
            <w:pPr>
              <w:pStyle w:val="25"/>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结算精准</w:t>
            </w:r>
          </w:p>
        </w:tc>
        <w:tc>
          <w:tcPr>
            <w:tcW w:w="1288" w:type="dxa"/>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8分</w:t>
            </w:r>
          </w:p>
        </w:tc>
        <w:tc>
          <w:tcPr>
            <w:tcW w:w="5402" w:type="dxa"/>
            <w:vAlign w:val="center"/>
          </w:tcPr>
          <w:p>
            <w:pPr>
              <w:pStyle w:val="25"/>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送货单上单价、月底结算价格不得高于合同要求价格（与网上公布价有误差，每次扣4分，以此类推，扣完为止）。</w:t>
            </w:r>
          </w:p>
        </w:tc>
        <w:tc>
          <w:tcPr>
            <w:tcW w:w="720" w:type="dxa"/>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19" w:type="dxa"/>
            <w:vMerge w:val="continue"/>
            <w:textDirection w:val="tbRlV"/>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c>
          <w:tcPr>
            <w:tcW w:w="1057" w:type="dxa"/>
            <w:vMerge w:val="continue"/>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c>
          <w:tcPr>
            <w:tcW w:w="1174" w:type="dxa"/>
            <w:vAlign w:val="center"/>
          </w:tcPr>
          <w:p>
            <w:pPr>
              <w:pStyle w:val="25"/>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安全清洁</w:t>
            </w:r>
          </w:p>
        </w:tc>
        <w:tc>
          <w:tcPr>
            <w:tcW w:w="1288" w:type="dxa"/>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5分</w:t>
            </w:r>
          </w:p>
        </w:tc>
        <w:tc>
          <w:tcPr>
            <w:tcW w:w="5402" w:type="dxa"/>
            <w:vAlign w:val="center"/>
          </w:tcPr>
          <w:p>
            <w:pPr>
              <w:pStyle w:val="25"/>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操作场所、仓库、运输工具、贮物筐箱等保持清洁卫生，坚持每天清洁工作，按规定定期消毒并做好记载，仓库内无过期物品 （抽查到不符要求的每次扣1分，以此类推，扣完为止）。</w:t>
            </w:r>
          </w:p>
        </w:tc>
        <w:tc>
          <w:tcPr>
            <w:tcW w:w="720" w:type="dxa"/>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19" w:type="dxa"/>
            <w:vMerge w:val="continue"/>
            <w:textDirection w:val="tbRlV"/>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c>
          <w:tcPr>
            <w:tcW w:w="1057" w:type="dxa"/>
            <w:vMerge w:val="continue"/>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c>
          <w:tcPr>
            <w:tcW w:w="1174" w:type="dxa"/>
            <w:vAlign w:val="center"/>
          </w:tcPr>
          <w:p>
            <w:pPr>
              <w:pStyle w:val="25"/>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联系制度</w:t>
            </w:r>
          </w:p>
        </w:tc>
        <w:tc>
          <w:tcPr>
            <w:tcW w:w="1288" w:type="dxa"/>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6分</w:t>
            </w:r>
          </w:p>
        </w:tc>
        <w:tc>
          <w:tcPr>
            <w:tcW w:w="5402" w:type="dxa"/>
            <w:vAlign w:val="center"/>
          </w:tcPr>
          <w:p>
            <w:pPr>
              <w:pStyle w:val="25"/>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如网上没有食堂所需商品名录，事先与招标人联系并谈妥商品的品牌、品级、规格、价格等事项，然后发货6分。（配送单位单方定价后再送货不得分）。</w:t>
            </w:r>
          </w:p>
        </w:tc>
        <w:tc>
          <w:tcPr>
            <w:tcW w:w="720" w:type="dxa"/>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continue"/>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c>
          <w:tcPr>
            <w:tcW w:w="1057" w:type="dxa"/>
            <w:vMerge w:val="continue"/>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c>
          <w:tcPr>
            <w:tcW w:w="1174" w:type="dxa"/>
            <w:vAlign w:val="center"/>
          </w:tcPr>
          <w:p>
            <w:pPr>
              <w:pStyle w:val="25"/>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及时整改</w:t>
            </w:r>
          </w:p>
        </w:tc>
        <w:tc>
          <w:tcPr>
            <w:tcW w:w="1288" w:type="dxa"/>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6分</w:t>
            </w:r>
          </w:p>
        </w:tc>
        <w:tc>
          <w:tcPr>
            <w:tcW w:w="5402" w:type="dxa"/>
            <w:vAlign w:val="center"/>
          </w:tcPr>
          <w:p>
            <w:pPr>
              <w:pStyle w:val="25"/>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对招标人的意见、建议虚心接受，运作过程中出现的新情况新问题及时主动沟通、协调有效果，及时整改见实效6分（整改效果不明显扣1分，未见整改效果不得分）。</w:t>
            </w:r>
          </w:p>
        </w:tc>
        <w:tc>
          <w:tcPr>
            <w:tcW w:w="720" w:type="dxa"/>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vMerge w:val="continue"/>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c>
          <w:tcPr>
            <w:tcW w:w="1057" w:type="dxa"/>
            <w:vMerge w:val="continue"/>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c>
          <w:tcPr>
            <w:tcW w:w="1174" w:type="dxa"/>
            <w:vAlign w:val="center"/>
          </w:tcPr>
          <w:p>
            <w:pPr>
              <w:pStyle w:val="25"/>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协调沟通</w:t>
            </w:r>
          </w:p>
        </w:tc>
        <w:tc>
          <w:tcPr>
            <w:tcW w:w="1288" w:type="dxa"/>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5分</w:t>
            </w:r>
          </w:p>
        </w:tc>
        <w:tc>
          <w:tcPr>
            <w:tcW w:w="5402" w:type="dxa"/>
            <w:vAlign w:val="center"/>
          </w:tcPr>
          <w:p>
            <w:pPr>
              <w:pStyle w:val="25"/>
              <w:snapToGrid w:val="0"/>
              <w:spacing w:line="360" w:lineRule="auto"/>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每个月的月底，主动向大队反馈本月配送情况得5分；否则不得分。</w:t>
            </w:r>
          </w:p>
        </w:tc>
        <w:tc>
          <w:tcPr>
            <w:tcW w:w="720" w:type="dxa"/>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4138" w:type="dxa"/>
            <w:gridSpan w:val="4"/>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扣分项目说明</w:t>
            </w:r>
          </w:p>
        </w:tc>
        <w:tc>
          <w:tcPr>
            <w:tcW w:w="6122" w:type="dxa"/>
            <w:gridSpan w:val="2"/>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每月考核得出总分，如总分低于90分（含90分），配送公司要做出书面的整改承诺；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138" w:type="dxa"/>
            <w:gridSpan w:val="4"/>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得分及评分人签字</w:t>
            </w:r>
          </w:p>
        </w:tc>
        <w:tc>
          <w:tcPr>
            <w:tcW w:w="6122" w:type="dxa"/>
            <w:gridSpan w:val="2"/>
            <w:vAlign w:val="center"/>
          </w:tcPr>
          <w:p>
            <w:pPr>
              <w:pStyle w:val="25"/>
              <w:snapToGrid w:val="0"/>
              <w:spacing w:line="360" w:lineRule="auto"/>
              <w:ind w:firstLine="420" w:firstLineChars="200"/>
              <w:rPr>
                <w:rFonts w:hAnsi="宋体"/>
                <w:color w:val="000000" w:themeColor="text1"/>
                <w:szCs w:val="21"/>
                <w:highlight w:val="none"/>
                <w14:textFill>
                  <w14:solidFill>
                    <w14:schemeClr w14:val="tx1"/>
                  </w14:solidFill>
                </w14:textFill>
              </w:rPr>
            </w:pPr>
          </w:p>
        </w:tc>
      </w:tr>
    </w:tbl>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sectPr>
          <w:headerReference r:id="rId5" w:type="default"/>
          <w:footerReference r:id="rId6" w:type="default"/>
          <w:pgSz w:w="11906" w:h="16838"/>
          <w:pgMar w:top="1247" w:right="1701" w:bottom="1474" w:left="1701" w:header="851" w:footer="850" w:gutter="0"/>
          <w:pgNumType w:fmt="decimal"/>
          <w:cols w:space="0" w:num="1"/>
          <w:docGrid w:linePitch="326" w:charSpace="0"/>
        </w:sectPr>
      </w:pPr>
    </w:p>
    <w:bookmarkEnd w:id="249"/>
    <w:p>
      <w:pPr>
        <w:pStyle w:val="3"/>
        <w:rPr>
          <w:rFonts w:ascii="宋体" w:hAnsi="宋体" w:eastAsia="宋体" w:cs="微软雅黑"/>
          <w:color w:val="000000" w:themeColor="text1"/>
          <w:highlight w:val="none"/>
          <w14:textFill>
            <w14:solidFill>
              <w14:schemeClr w14:val="tx1"/>
            </w14:solidFill>
          </w14:textFill>
        </w:rPr>
      </w:pPr>
      <w:bookmarkStart w:id="255" w:name="_Toc493511828"/>
      <w:bookmarkStart w:id="256" w:name="_Toc5531"/>
      <w:r>
        <w:rPr>
          <w:rFonts w:hint="eastAsia" w:ascii="宋体" w:hAnsi="宋体" w:eastAsia="宋体" w:cs="微软雅黑"/>
          <w:color w:val="000000" w:themeColor="text1"/>
          <w:highlight w:val="none"/>
          <w14:textFill>
            <w14:solidFill>
              <w14:schemeClr w14:val="tx1"/>
            </w14:solidFill>
          </w14:textFill>
        </w:rPr>
        <w:t>第六章　投标文件相关格式</w:t>
      </w:r>
      <w:bookmarkEnd w:id="255"/>
      <w:bookmarkEnd w:id="256"/>
    </w:p>
    <w:p>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p>
    <w:p>
      <w:pPr>
        <w:spacing w:line="360" w:lineRule="auto"/>
        <w:jc w:val="center"/>
        <w:rPr>
          <w:rFonts w:ascii="宋体" w:hAnsi="宋体"/>
          <w:b/>
          <w:color w:val="000000" w:themeColor="text1"/>
          <w:highlight w:val="none"/>
          <w14:textFill>
            <w14:solidFill>
              <w14:schemeClr w14:val="tx1"/>
            </w14:solidFill>
          </w14:textFill>
        </w:rPr>
      </w:pPr>
      <w:bookmarkStart w:id="257" w:name="_Toc50012909"/>
      <w:bookmarkStart w:id="258" w:name="_Toc430786287"/>
      <w:r>
        <w:rPr>
          <w:rFonts w:hint="eastAsia" w:ascii="宋体" w:hAnsi="宋体"/>
          <w:b/>
          <w:color w:val="000000" w:themeColor="text1"/>
          <w:highlight w:val="none"/>
          <w:lang w:eastAsia="zh-CN"/>
          <w14:textFill>
            <w14:solidFill>
              <w14:schemeClr w14:val="tx1"/>
            </w14:solidFill>
          </w14:textFill>
        </w:rPr>
        <w:t>浙江省嘉兴支队乌镇消防救援大队2023年度伙食集中配送采购项目</w:t>
      </w:r>
      <w:r>
        <w:rPr>
          <w:rFonts w:hint="eastAsia" w:ascii="宋体" w:hAnsi="宋体"/>
          <w:b/>
          <w:color w:val="000000" w:themeColor="text1"/>
          <w:highlight w:val="none"/>
          <w14:textFill>
            <w14:solidFill>
              <w14:schemeClr w14:val="tx1"/>
            </w14:solidFill>
          </w14:textFill>
        </w:rPr>
        <w:t xml:space="preserve"> </w:t>
      </w:r>
    </w:p>
    <w:p>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资信商务及技术文件/报价文件</w:t>
      </w:r>
      <w:bookmarkEnd w:id="257"/>
    </w:p>
    <w:p>
      <w:pPr>
        <w:spacing w:line="360" w:lineRule="auto"/>
        <w:jc w:val="center"/>
        <w:rPr>
          <w:rFonts w:hint="eastAsia" w:ascii="宋体" w:hAnsi="宋体" w:eastAsia="宋体"/>
          <w:b/>
          <w:color w:val="000000" w:themeColor="text1"/>
          <w:szCs w:val="21"/>
          <w:highlight w:val="none"/>
          <w:lang w:eastAsia="zh-CN"/>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项目编号：</w:t>
      </w:r>
      <w:r>
        <w:rPr>
          <w:rFonts w:hint="eastAsia" w:ascii="宋体" w:hAnsi="宋体"/>
          <w:b/>
          <w:color w:val="000000" w:themeColor="text1"/>
          <w:szCs w:val="21"/>
          <w:highlight w:val="none"/>
          <w:lang w:eastAsia="zh-CN"/>
          <w14:textFill>
            <w14:solidFill>
              <w14:schemeClr w14:val="tx1"/>
            </w14:solidFill>
          </w14:textFill>
        </w:rPr>
        <w:t>嘉消采-GK2023017</w:t>
      </w:r>
    </w:p>
    <w:p>
      <w:pPr>
        <w:spacing w:line="360" w:lineRule="auto"/>
        <w:jc w:val="center"/>
        <w:rPr>
          <w:rFonts w:ascii="宋体" w:hAnsi="宋体"/>
          <w:b/>
          <w:color w:val="000000" w:themeColor="text1"/>
          <w:szCs w:val="21"/>
          <w:highlight w:val="none"/>
          <w14:textFill>
            <w14:solidFill>
              <w14:schemeClr w14:val="tx1"/>
            </w14:solidFill>
          </w14:textFill>
        </w:rPr>
      </w:pPr>
    </w:p>
    <w:p>
      <w:pPr>
        <w:spacing w:line="360" w:lineRule="auto"/>
        <w:jc w:val="center"/>
        <w:rPr>
          <w:rFonts w:ascii="宋体" w:hAnsi="宋体"/>
          <w:b/>
          <w:color w:val="000000" w:themeColor="text1"/>
          <w:szCs w:val="21"/>
          <w:highlight w:val="none"/>
          <w14:textFill>
            <w14:solidFill>
              <w14:schemeClr w14:val="tx1"/>
            </w14:solidFill>
          </w14:textFill>
        </w:rPr>
      </w:pPr>
    </w:p>
    <w:p>
      <w:pPr>
        <w:spacing w:line="360" w:lineRule="auto"/>
        <w:jc w:val="center"/>
        <w:rPr>
          <w:rFonts w:ascii="宋体" w:hAnsi="宋体"/>
          <w:b/>
          <w:color w:val="000000" w:themeColor="text1"/>
          <w:szCs w:val="21"/>
          <w:highlight w:val="none"/>
          <w14:textFill>
            <w14:solidFill>
              <w14:schemeClr w14:val="tx1"/>
            </w14:solidFill>
          </w14:textFill>
        </w:rPr>
      </w:pPr>
      <w:bookmarkStart w:id="259" w:name="_Toc50012911"/>
      <w:r>
        <w:rPr>
          <w:rFonts w:hint="eastAsia" w:ascii="宋体" w:hAnsi="宋体"/>
          <w:b/>
          <w:color w:val="000000" w:themeColor="text1"/>
          <w:szCs w:val="21"/>
          <w:highlight w:val="none"/>
          <w14:textFill>
            <w14:solidFill>
              <w14:schemeClr w14:val="tx1"/>
            </w14:solidFill>
          </w14:textFill>
        </w:rPr>
        <w:t>投</w:t>
      </w:r>
      <w:bookmarkEnd w:id="259"/>
    </w:p>
    <w:p>
      <w:pPr>
        <w:spacing w:line="360" w:lineRule="auto"/>
        <w:jc w:val="center"/>
        <w:rPr>
          <w:rFonts w:ascii="宋体" w:hAnsi="宋体"/>
          <w:b/>
          <w:color w:val="000000" w:themeColor="text1"/>
          <w:szCs w:val="21"/>
          <w:highlight w:val="none"/>
          <w14:textFill>
            <w14:solidFill>
              <w14:schemeClr w14:val="tx1"/>
            </w14:solidFill>
          </w14:textFill>
        </w:rPr>
      </w:pPr>
      <w:bookmarkStart w:id="260" w:name="_Toc50012912"/>
      <w:r>
        <w:rPr>
          <w:rFonts w:hint="eastAsia" w:ascii="宋体" w:hAnsi="宋体"/>
          <w:b/>
          <w:color w:val="000000" w:themeColor="text1"/>
          <w:szCs w:val="21"/>
          <w:highlight w:val="none"/>
          <w14:textFill>
            <w14:solidFill>
              <w14:schemeClr w14:val="tx1"/>
            </w14:solidFill>
          </w14:textFill>
        </w:rPr>
        <w:t>标</w:t>
      </w:r>
      <w:bookmarkEnd w:id="260"/>
    </w:p>
    <w:p>
      <w:pPr>
        <w:spacing w:line="360" w:lineRule="auto"/>
        <w:jc w:val="center"/>
        <w:rPr>
          <w:rFonts w:ascii="宋体" w:hAnsi="宋体"/>
          <w:b/>
          <w:color w:val="000000" w:themeColor="text1"/>
          <w:szCs w:val="21"/>
          <w:highlight w:val="none"/>
          <w14:textFill>
            <w14:solidFill>
              <w14:schemeClr w14:val="tx1"/>
            </w14:solidFill>
          </w14:textFill>
        </w:rPr>
      </w:pPr>
      <w:bookmarkStart w:id="261" w:name="_Toc50012913"/>
      <w:r>
        <w:rPr>
          <w:rFonts w:hint="eastAsia" w:ascii="宋体" w:hAnsi="宋体"/>
          <w:b/>
          <w:color w:val="000000" w:themeColor="text1"/>
          <w:szCs w:val="21"/>
          <w:highlight w:val="none"/>
          <w14:textFill>
            <w14:solidFill>
              <w14:schemeClr w14:val="tx1"/>
            </w14:solidFill>
          </w14:textFill>
        </w:rPr>
        <w:t>文</w:t>
      </w:r>
      <w:bookmarkEnd w:id="261"/>
    </w:p>
    <w:p>
      <w:pPr>
        <w:spacing w:line="360" w:lineRule="auto"/>
        <w:jc w:val="center"/>
        <w:rPr>
          <w:rFonts w:ascii="宋体" w:hAnsi="宋体"/>
          <w:b/>
          <w:color w:val="000000" w:themeColor="text1"/>
          <w:szCs w:val="21"/>
          <w:highlight w:val="none"/>
          <w14:textFill>
            <w14:solidFill>
              <w14:schemeClr w14:val="tx1"/>
            </w14:solidFill>
          </w14:textFill>
        </w:rPr>
      </w:pPr>
      <w:bookmarkStart w:id="262" w:name="_Toc50012914"/>
      <w:r>
        <w:rPr>
          <w:rFonts w:hint="eastAsia" w:ascii="宋体" w:hAnsi="宋体"/>
          <w:b/>
          <w:color w:val="000000" w:themeColor="text1"/>
          <w:szCs w:val="21"/>
          <w:highlight w:val="none"/>
          <w14:textFill>
            <w14:solidFill>
              <w14:schemeClr w14:val="tx1"/>
            </w14:solidFill>
          </w14:textFill>
        </w:rPr>
        <w:t>件</w:t>
      </w:r>
      <w:bookmarkEnd w:id="262"/>
    </w:p>
    <w:p>
      <w:pPr>
        <w:spacing w:line="360" w:lineRule="auto"/>
        <w:rPr>
          <w:rFonts w:ascii="宋体" w:hAnsi="宋体"/>
          <w:b/>
          <w:color w:val="000000" w:themeColor="text1"/>
          <w:szCs w:val="21"/>
          <w:highlight w:val="none"/>
          <w14:textFill>
            <w14:solidFill>
              <w14:schemeClr w14:val="tx1"/>
            </w14:solidFill>
          </w14:textFill>
        </w:rPr>
      </w:pPr>
    </w:p>
    <w:p>
      <w:pPr>
        <w:spacing w:line="360" w:lineRule="auto"/>
        <w:rPr>
          <w:rFonts w:ascii="宋体" w:hAnsi="宋体"/>
          <w:b/>
          <w:color w:val="000000" w:themeColor="text1"/>
          <w:szCs w:val="21"/>
          <w:highlight w:val="none"/>
          <w14:textFill>
            <w14:solidFill>
              <w14:schemeClr w14:val="tx1"/>
            </w14:solidFill>
          </w14:textFill>
        </w:rPr>
      </w:pPr>
    </w:p>
    <w:p>
      <w:pPr>
        <w:spacing w:line="360" w:lineRule="auto"/>
        <w:rPr>
          <w:rFonts w:ascii="宋体" w:hAnsi="宋体"/>
          <w:b/>
          <w:color w:val="000000" w:themeColor="text1"/>
          <w:szCs w:val="21"/>
          <w:highlight w:val="none"/>
          <w14:textFill>
            <w14:solidFill>
              <w14:schemeClr w14:val="tx1"/>
            </w14:solidFill>
          </w14:textFill>
        </w:rPr>
      </w:pPr>
    </w:p>
    <w:p>
      <w:pPr>
        <w:spacing w:line="360" w:lineRule="auto"/>
        <w:ind w:firstLine="2319" w:firstLineChars="1100"/>
        <w:rPr>
          <w:rFonts w:ascii="宋体" w:hAnsi="宋体"/>
          <w:b/>
          <w:color w:val="000000" w:themeColor="text1"/>
          <w:szCs w:val="21"/>
          <w:highlight w:val="none"/>
          <w14:textFill>
            <w14:solidFill>
              <w14:schemeClr w14:val="tx1"/>
            </w14:solidFill>
          </w14:textFill>
        </w:rPr>
      </w:pPr>
      <w:bookmarkStart w:id="263" w:name="_Toc50012915"/>
      <w:r>
        <w:rPr>
          <w:rFonts w:hint="eastAsia" w:ascii="宋体" w:hAnsi="宋体"/>
          <w:b/>
          <w:color w:val="000000" w:themeColor="text1"/>
          <w:szCs w:val="21"/>
          <w:highlight w:val="none"/>
          <w14:textFill>
            <w14:solidFill>
              <w14:schemeClr w14:val="tx1"/>
            </w14:solidFill>
          </w14:textFill>
        </w:rPr>
        <w:t>投标人全称：（加盖单位公章）</w:t>
      </w:r>
      <w:bookmarkEnd w:id="263"/>
    </w:p>
    <w:p>
      <w:pPr>
        <w:spacing w:line="360" w:lineRule="auto"/>
        <w:rPr>
          <w:rFonts w:ascii="宋体" w:hAnsi="宋体"/>
          <w:b/>
          <w:color w:val="000000" w:themeColor="text1"/>
          <w:szCs w:val="21"/>
          <w:highlight w:val="none"/>
          <w14:textFill>
            <w14:solidFill>
              <w14:schemeClr w14:val="tx1"/>
            </w14:solidFill>
          </w14:textFill>
        </w:rPr>
      </w:pPr>
    </w:p>
    <w:p>
      <w:pPr>
        <w:spacing w:line="360" w:lineRule="auto"/>
        <w:ind w:right="560"/>
        <w:jc w:val="center"/>
        <w:rPr>
          <w:rFonts w:ascii="宋体" w:hAnsi="宋体"/>
          <w:b/>
          <w:color w:val="000000" w:themeColor="text1"/>
          <w:szCs w:val="21"/>
          <w:highlight w:val="none"/>
          <w14:textFill>
            <w14:solidFill>
              <w14:schemeClr w14:val="tx1"/>
            </w14:solidFill>
          </w14:textFill>
        </w:rPr>
      </w:pPr>
      <w:bookmarkStart w:id="264" w:name="_Toc50012916"/>
      <w:r>
        <w:rPr>
          <w:rFonts w:hint="eastAsia" w:ascii="宋体" w:hAnsi="宋体"/>
          <w:b/>
          <w:color w:val="000000" w:themeColor="text1"/>
          <w:szCs w:val="21"/>
          <w:highlight w:val="none"/>
          <w14:textFill>
            <w14:solidFill>
              <w14:schemeClr w14:val="tx1"/>
            </w14:solidFill>
          </w14:textFill>
        </w:rPr>
        <w:t>年   月   日</w:t>
      </w:r>
      <w:bookmarkEnd w:id="264"/>
    </w:p>
    <w:bookmarkEnd w:id="258"/>
    <w:p>
      <w:pPr>
        <w:snapToGrid w:val="0"/>
        <w:spacing w:line="360" w:lineRule="auto"/>
        <w:ind w:right="420" w:firstLine="422" w:firstLineChars="20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br w:type="page"/>
      </w:r>
    </w:p>
    <w:p>
      <w:pPr>
        <w:snapToGrid w:val="0"/>
        <w:spacing w:line="360" w:lineRule="auto"/>
        <w:ind w:firstLine="422" w:firstLineChars="200"/>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投标声明书格式：</w:t>
      </w:r>
    </w:p>
    <w:p>
      <w:pPr>
        <w:snapToGrid w:val="0"/>
        <w:spacing w:line="360" w:lineRule="auto"/>
        <w:ind w:firstLine="422" w:firstLineChars="20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投标声明书</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嘉兴市消防救援支队乌镇大队</w:t>
      </w:r>
      <w:r>
        <w:rPr>
          <w:rFonts w:hint="eastAsia" w:ascii="宋体" w:hAnsi="宋体" w:cs="Arial"/>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（招标采购单位名称）：</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（投标人名称）</w:t>
      </w:r>
      <w:r>
        <w:rPr>
          <w:rFonts w:hint="eastAsia" w:ascii="宋体" w:hAnsi="宋体"/>
          <w:color w:val="000000" w:themeColor="text1"/>
          <w:szCs w:val="21"/>
          <w:highlight w:val="none"/>
          <w14:textFill>
            <w14:solidFill>
              <w14:schemeClr w14:val="tx1"/>
            </w14:solidFill>
          </w14:textFill>
        </w:rPr>
        <w:t>系中华人民共和国合法企业，经营地址</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 </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w:t>
      </w:r>
      <w:r>
        <w:rPr>
          <w:rFonts w:hint="eastAsia" w:ascii="宋体" w:hAnsi="宋体"/>
          <w:color w:val="000000" w:themeColor="text1"/>
          <w:szCs w:val="21"/>
          <w:highlight w:val="none"/>
          <w:u w:val="single"/>
          <w14:textFill>
            <w14:solidFill>
              <w14:schemeClr w14:val="tx1"/>
            </w14:solidFill>
          </w14:textFill>
        </w:rPr>
        <w:t>（姓名）</w:t>
      </w:r>
      <w:r>
        <w:rPr>
          <w:rFonts w:hint="eastAsia" w:ascii="宋体" w:hAnsi="宋体"/>
          <w:color w:val="000000" w:themeColor="text1"/>
          <w:szCs w:val="21"/>
          <w:highlight w:val="none"/>
          <w14:textFill>
            <w14:solidFill>
              <w14:schemeClr w14:val="tx1"/>
            </w14:solidFill>
          </w14:textFill>
        </w:rPr>
        <w:t>系</w:t>
      </w:r>
      <w:r>
        <w:rPr>
          <w:rFonts w:hint="eastAsia" w:ascii="宋体" w:hAnsi="宋体"/>
          <w:color w:val="000000" w:themeColor="text1"/>
          <w:szCs w:val="21"/>
          <w:highlight w:val="none"/>
          <w:u w:val="single"/>
          <w14:textFill>
            <w14:solidFill>
              <w14:schemeClr w14:val="tx1"/>
            </w14:solidFill>
          </w14:textFill>
        </w:rPr>
        <w:t>（投标人名称）</w:t>
      </w:r>
      <w:r>
        <w:rPr>
          <w:rFonts w:hint="eastAsia" w:ascii="宋体" w:hAnsi="宋体"/>
          <w:color w:val="000000" w:themeColor="text1"/>
          <w:szCs w:val="21"/>
          <w:highlight w:val="none"/>
          <w14:textFill>
            <w14:solidFill>
              <w14:schemeClr w14:val="tx1"/>
            </w14:solidFill>
          </w14:textFill>
        </w:rPr>
        <w:t>的法定代表人，我方愿意参加贵方组织的项目的投标，为便于贵方公正、择优的确定中标人及其投标产品和服务，我方就本次投标有关事项郑重声明如下：</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我方向贵方提交的所有投标文件、资料都是准确的和真实的</w:t>
      </w:r>
      <w:r>
        <w:rPr>
          <w:rFonts w:hint="eastAsia" w:ascii="宋体" w:hAnsi="宋体"/>
          <w:color w:val="000000" w:themeColor="text1"/>
          <w:szCs w:val="21"/>
          <w:highlight w:val="none"/>
          <w14:textFill>
            <w14:solidFill>
              <w14:schemeClr w14:val="tx1"/>
            </w14:solidFill>
          </w14:textFill>
        </w:rPr>
        <w:t>。</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我方不是采购人的附属机构；在获知本项目采购信息后，与采购人聘请的为此项目提供咨询服务的公司及其附属机构没有任何联系。</w:t>
      </w:r>
    </w:p>
    <w:p>
      <w:pPr>
        <w:snapToGrid w:val="0"/>
        <w:spacing w:line="360" w:lineRule="auto"/>
        <w:ind w:firstLine="48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pacing w:val="15"/>
          <w:kern w:val="0"/>
          <w:szCs w:val="21"/>
          <w:highlight w:val="none"/>
          <w14:textFill>
            <w14:solidFill>
              <w14:schemeClr w14:val="tx1"/>
            </w14:solidFill>
          </w14:textFill>
        </w:rPr>
        <w:t>3</w:t>
      </w:r>
      <w:r>
        <w:rPr>
          <w:rFonts w:hint="eastAsia" w:ascii="宋体" w:hAnsi="宋体"/>
          <w:color w:val="000000" w:themeColor="text1"/>
          <w:spacing w:val="15"/>
          <w:kern w:val="0"/>
          <w:szCs w:val="21"/>
          <w:highlight w:val="none"/>
          <w14:textFill>
            <w14:solidFill>
              <w14:schemeClr w14:val="tx1"/>
            </w14:solidFill>
          </w14:textFill>
        </w:rPr>
        <w:t>、</w:t>
      </w:r>
      <w:r>
        <w:rPr>
          <w:rFonts w:ascii="宋体" w:hAnsi="宋体"/>
          <w:color w:val="000000" w:themeColor="text1"/>
          <w:spacing w:val="15"/>
          <w:kern w:val="0"/>
          <w:szCs w:val="21"/>
          <w:highlight w:val="none"/>
          <w14:textFill>
            <w14:solidFill>
              <w14:schemeClr w14:val="tx1"/>
            </w14:solidFill>
          </w14:textFill>
        </w:rPr>
        <w:t>我方此次向贵方提供的</w:t>
      </w:r>
      <w:r>
        <w:rPr>
          <w:rFonts w:hint="eastAsia" w:ascii="宋体" w:hAnsi="宋体"/>
          <w:color w:val="000000" w:themeColor="text1"/>
          <w:spacing w:val="15"/>
          <w:kern w:val="0"/>
          <w:szCs w:val="21"/>
          <w:highlight w:val="none"/>
          <w14:textFill>
            <w14:solidFill>
              <w14:schemeClr w14:val="tx1"/>
            </w14:solidFill>
          </w14:textFill>
        </w:rPr>
        <w:t>服务内容为</w:t>
      </w:r>
      <w:r>
        <w:rPr>
          <w:rFonts w:hint="eastAsia" w:ascii="宋体" w:hAnsi="宋体"/>
          <w:color w:val="000000" w:themeColor="text1"/>
          <w:szCs w:val="21"/>
          <w:highlight w:val="none"/>
          <w14:textFill>
            <w14:solidFill>
              <w14:schemeClr w14:val="tx1"/>
            </w14:solidFill>
          </w14:textFill>
        </w:rPr>
        <w:t>。</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我方诚意提请贵方关注：</w:t>
      </w:r>
      <w:r>
        <w:rPr>
          <w:rFonts w:hint="eastAsia" w:ascii="宋体" w:hAnsi="宋体"/>
          <w:color w:val="000000" w:themeColor="text1"/>
          <w:szCs w:val="21"/>
          <w:highlight w:val="none"/>
          <w14:textFill>
            <w14:solidFill>
              <w14:schemeClr w14:val="tx1"/>
            </w14:solidFill>
          </w14:textFill>
        </w:rPr>
        <w:t>近期</w:t>
      </w:r>
      <w:r>
        <w:rPr>
          <w:rFonts w:ascii="宋体" w:hAnsi="宋体"/>
          <w:color w:val="000000" w:themeColor="text1"/>
          <w:szCs w:val="21"/>
          <w:highlight w:val="none"/>
          <w14:textFill>
            <w14:solidFill>
              <w14:schemeClr w14:val="tx1"/>
            </w14:solidFill>
          </w14:textFill>
        </w:rPr>
        <w:t>有关</w:t>
      </w:r>
      <w:r>
        <w:rPr>
          <w:rFonts w:hint="eastAsia" w:ascii="宋体" w:hAnsi="宋体"/>
          <w:color w:val="000000" w:themeColor="text1"/>
          <w:szCs w:val="21"/>
          <w:highlight w:val="none"/>
          <w14:textFill>
            <w14:solidFill>
              <w14:schemeClr w14:val="tx1"/>
            </w14:solidFill>
          </w14:textFill>
        </w:rPr>
        <w:t>项目的售后服务等方面的重大决策和事项有：</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、我方及由本人担任法定代表人的其他机构</w:t>
      </w:r>
      <w:r>
        <w:rPr>
          <w:rFonts w:ascii="宋体" w:hAnsi="宋体"/>
          <w:color w:val="000000" w:themeColor="text1"/>
          <w:szCs w:val="21"/>
          <w:highlight w:val="none"/>
          <w14:textFill>
            <w14:solidFill>
              <w14:schemeClr w14:val="tx1"/>
            </w14:solidFill>
          </w14:textFill>
        </w:rPr>
        <w:t>最近三年内被</w:t>
      </w:r>
      <w:r>
        <w:rPr>
          <w:rFonts w:hint="eastAsia" w:ascii="宋体" w:hAnsi="宋体"/>
          <w:color w:val="000000" w:themeColor="text1"/>
          <w:szCs w:val="21"/>
          <w:highlight w:val="none"/>
          <w14:textFill>
            <w14:solidFill>
              <w14:schemeClr w14:val="tx1"/>
            </w14:solidFill>
          </w14:textFill>
        </w:rPr>
        <w:t>通报或者被处罚的</w:t>
      </w:r>
      <w:r>
        <w:rPr>
          <w:rFonts w:ascii="宋体" w:hAnsi="宋体"/>
          <w:color w:val="000000" w:themeColor="text1"/>
          <w:szCs w:val="21"/>
          <w:highlight w:val="none"/>
          <w14:textFill>
            <w14:solidFill>
              <w14:schemeClr w14:val="tx1"/>
            </w14:solidFill>
          </w14:textFill>
        </w:rPr>
        <w:t>违法行为有：</w:t>
      </w:r>
    </w:p>
    <w:p>
      <w:pPr>
        <w:snapToGrid w:val="0"/>
        <w:spacing w:line="360" w:lineRule="auto"/>
        <w:ind w:firstLine="420" w:firstLineChars="20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6、以上事项如有虚假或隐瞒，我方愿意承担一切后果，并不再寻求任何旨在减轻或免除法律责任的辩解。</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p>
      <w:pPr>
        <w:snapToGrid w:val="0"/>
        <w:spacing w:line="360" w:lineRule="auto"/>
        <w:ind w:firstLine="420" w:firstLineChars="20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法定代表人或其授权代表签字（或盖章）：</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shd w:val="clear" w:color="auto" w:fill="FFFFFF"/>
          <w14:textFill>
            <w14:solidFill>
              <w14:schemeClr w14:val="tx1"/>
            </w14:solidFill>
          </w14:textFill>
        </w:rPr>
        <w:t>投标人名称：（盖章）</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 xml:space="preserve">                      年    月    日</w:t>
      </w:r>
    </w:p>
    <w:p>
      <w:pPr>
        <w:snapToGrid w:val="0"/>
        <w:spacing w:line="360" w:lineRule="auto"/>
        <w:ind w:firstLine="422" w:firstLineChars="200"/>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br w:type="page"/>
      </w:r>
      <w:r>
        <w:rPr>
          <w:rFonts w:hint="eastAsia" w:ascii="宋体" w:hAnsi="宋体"/>
          <w:b/>
          <w:color w:val="000000" w:themeColor="text1"/>
          <w:szCs w:val="21"/>
          <w:highlight w:val="none"/>
          <w14:textFill>
            <w14:solidFill>
              <w14:schemeClr w14:val="tx1"/>
            </w14:solidFill>
          </w14:textFill>
        </w:rPr>
        <w:t>法定代表人授权委托书格式：</w:t>
      </w:r>
    </w:p>
    <w:p>
      <w:pPr>
        <w:snapToGrid w:val="0"/>
        <w:spacing w:line="360" w:lineRule="auto"/>
        <w:ind w:firstLine="422" w:firstLineChars="20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法定代表人授权委托书</w:t>
      </w:r>
    </w:p>
    <w:p>
      <w:pPr>
        <w:snapToGrid w:val="0"/>
        <w:spacing w:line="360" w:lineRule="auto"/>
        <w:ind w:firstLine="420" w:firstLineChars="200"/>
        <w:jc w:val="left"/>
        <w:rPr>
          <w:rFonts w:ascii="宋体" w:hAnsi="宋体"/>
          <w:bCs/>
          <w:color w:val="000000" w:themeColor="text1"/>
          <w:szCs w:val="21"/>
          <w:highlight w:val="none"/>
          <w14:textFill>
            <w14:solidFill>
              <w14:schemeClr w14:val="tx1"/>
            </w14:solidFill>
          </w14:textFill>
        </w:rPr>
      </w:pPr>
    </w:p>
    <w:p>
      <w:pPr>
        <w:snapToGrid w:val="0"/>
        <w:spacing w:line="360" w:lineRule="auto"/>
        <w:ind w:firstLine="420" w:firstLineChars="200"/>
        <w:jc w:val="left"/>
        <w:rPr>
          <w:rFonts w:ascii="宋体" w:hAnsi="宋体"/>
          <w:b/>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致：</w:t>
      </w:r>
      <w:r>
        <w:rPr>
          <w:rFonts w:hint="eastAsia" w:ascii="宋体" w:hAnsi="宋体"/>
          <w:bCs/>
          <w:color w:val="000000" w:themeColor="text1"/>
          <w:szCs w:val="21"/>
          <w:highlight w:val="none"/>
          <w:u w:val="single"/>
          <w:lang w:val="en-US" w:eastAsia="zh-CN"/>
          <w14:textFill>
            <w14:solidFill>
              <w14:schemeClr w14:val="tx1"/>
            </w14:solidFill>
          </w14:textFill>
        </w:rPr>
        <w:t xml:space="preserve"> </w:t>
      </w:r>
      <w:r>
        <w:rPr>
          <w:rFonts w:hint="eastAsia" w:cs="宋体"/>
          <w:color w:val="000000" w:themeColor="text1"/>
          <w:sz w:val="21"/>
          <w:szCs w:val="21"/>
          <w:highlight w:val="none"/>
          <w:u w:val="single"/>
          <w:lang w:val="en-US" w:eastAsia="zh-CN"/>
          <w14:textFill>
            <w14:solidFill>
              <w14:schemeClr w14:val="tx1"/>
            </w14:solidFill>
          </w14:textFill>
        </w:rPr>
        <w:t>嘉兴市消防救援支队乌镇大队</w:t>
      </w:r>
      <w:r>
        <w:rPr>
          <w:rFonts w:hint="eastAsia" w:ascii="宋体" w:hAnsi="宋体" w:cs="Arial"/>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（招标采购单位名称）：</w:t>
      </w:r>
    </w:p>
    <w:p>
      <w:pPr>
        <w:shd w:val="clear" w:color="auto" w:fill="FFFFFF"/>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 xml:space="preserve"> 兹委派我公司</w:t>
      </w:r>
      <w:r>
        <w:rPr>
          <w:rFonts w:hint="eastAsia" w:ascii="宋体" w:hAnsi="宋体" w:cs="宋体"/>
          <w:color w:val="000000" w:themeColor="text1"/>
          <w:kern w:val="0"/>
          <w:szCs w:val="21"/>
          <w:highlight w:val="none"/>
          <w:u w:val="single"/>
          <w:lang w:val="zh-CN"/>
          <w14:textFill>
            <w14:solidFill>
              <w14:schemeClr w14:val="tx1"/>
            </w14:solidFill>
          </w14:textFill>
        </w:rPr>
        <w:t>先生/女士</w:t>
      </w:r>
      <w:r>
        <w:rPr>
          <w:rFonts w:hint="eastAsia" w:ascii="宋体" w:hAnsi="宋体" w:cs="宋体"/>
          <w:color w:val="000000" w:themeColor="text1"/>
          <w:kern w:val="0"/>
          <w:szCs w:val="21"/>
          <w:highlight w:val="none"/>
          <w:lang w:val="zh-CN"/>
          <w14:textFill>
            <w14:solidFill>
              <w14:schemeClr w14:val="tx1"/>
            </w14:solidFill>
          </w14:textFill>
        </w:rPr>
        <w:t>(其在本公司的职务是：</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lang w:val="zh-CN"/>
          <w14:textFill>
            <w14:solidFill>
              <w14:schemeClr w14:val="tx1"/>
            </w14:solidFill>
          </w14:textFill>
        </w:rPr>
        <w:t>，联系电话：</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lang w:val="zh-CN"/>
          <w14:textFill>
            <w14:solidFill>
              <w14:schemeClr w14:val="tx1"/>
            </w14:solidFill>
          </w14:textFill>
        </w:rPr>
        <w:t>手机：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lang w:val="zh-CN"/>
          <w14:textFill>
            <w14:solidFill>
              <w14:schemeClr w14:val="tx1"/>
            </w14:solidFill>
          </w14:textFill>
        </w:rPr>
        <w:t>传真：</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lang w:val="zh-CN"/>
          <w14:textFill>
            <w14:solidFill>
              <w14:schemeClr w14:val="tx1"/>
            </w14:solidFill>
          </w14:textFill>
        </w:rPr>
        <w:t>)，代表我公司全权处理</w:t>
      </w:r>
      <w:r>
        <w:rPr>
          <w:rFonts w:hint="eastAsia" w:ascii="宋体" w:hAnsi="宋体"/>
          <w:b/>
          <w:bCs/>
          <w:color w:val="000000" w:themeColor="text1"/>
          <w:szCs w:val="21"/>
          <w:highlight w:val="none"/>
          <w:u w:val="single"/>
          <w:lang w:eastAsia="zh-CN"/>
          <w14:textFill>
            <w14:solidFill>
              <w14:schemeClr w14:val="tx1"/>
            </w14:solidFill>
          </w14:textFill>
        </w:rPr>
        <w:t>浙江省嘉兴支队乌镇消防救援大队2023年度伙食集中配送采购项目</w:t>
      </w:r>
      <w:r>
        <w:rPr>
          <w:rFonts w:hint="eastAsia" w:ascii="宋体" w:hAnsi="宋体"/>
          <w:b/>
          <w:bCs/>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(编号：              )政府采购投标的一切事项</w:t>
      </w:r>
      <w:r>
        <w:rPr>
          <w:rFonts w:hint="eastAsia" w:ascii="宋体" w:hAnsi="宋体" w:cs="宋体"/>
          <w:color w:val="000000" w:themeColor="text1"/>
          <w:kern w:val="0"/>
          <w:szCs w:val="21"/>
          <w:highlight w:val="none"/>
          <w:lang w:val="zh-CN"/>
          <w14:textFill>
            <w14:solidFill>
              <w14:schemeClr w14:val="tx1"/>
            </w14:solidFill>
          </w14:textFill>
        </w:rPr>
        <w:t>。</w:t>
      </w:r>
    </w:p>
    <w:p>
      <w:pPr>
        <w:shd w:val="clear" w:color="auto" w:fill="FFFFFF"/>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lang w:val="zh-CN"/>
          <w14:textFill>
            <w14:solidFill>
              <w14:schemeClr w14:val="tx1"/>
            </w14:solidFill>
          </w14:textFill>
        </w:rPr>
        <w:t xml:space="preserve">    特此告知。</w:t>
      </w:r>
    </w:p>
    <w:p>
      <w:pPr>
        <w:shd w:val="clear" w:color="auto" w:fill="FFFFFF"/>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p>
    <w:p>
      <w:pPr>
        <w:shd w:val="clear" w:color="auto" w:fill="FFFFFF"/>
        <w:snapToGrid w:val="0"/>
        <w:spacing w:line="360" w:lineRule="auto"/>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p>
      <w:pPr>
        <w:snapToGrid w:val="0"/>
        <w:spacing w:line="360" w:lineRule="auto"/>
        <w:ind w:firstLine="420" w:firstLineChars="20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被授权人签字（或盖章）：法定代表人签字（或盖章）：</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职务：职务：</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被授权人身份证号码：</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shd w:val="clear" w:color="auto" w:fill="FFFFFF"/>
          <w14:textFill>
            <w14:solidFill>
              <w14:schemeClr w14:val="tx1"/>
            </w14:solidFill>
          </w14:textFill>
        </w:rPr>
        <w:t>投标人名称：（盖章）</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年月日</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p>
      <w:pPr>
        <w:pStyle w:val="25"/>
        <w:snapToGrid w:val="0"/>
        <w:spacing w:line="360" w:lineRule="auto"/>
        <w:ind w:firstLine="420" w:firstLineChars="200"/>
        <w:jc w:val="left"/>
        <w:rPr>
          <w:rFonts w:hAnsi="宋体"/>
          <w:color w:val="000000" w:themeColor="text1"/>
          <w:szCs w:val="21"/>
          <w:highlight w:val="none"/>
          <w14:textFill>
            <w14:solidFill>
              <w14:schemeClr w14:val="tx1"/>
            </w14:solidFill>
          </w14:textFill>
        </w:rPr>
      </w:pPr>
    </w:p>
    <w:p>
      <w:pPr>
        <w:snapToGrid w:val="0"/>
        <w:spacing w:line="360" w:lineRule="auto"/>
        <w:ind w:firstLine="420" w:firstLineChars="200"/>
        <w:jc w:val="left"/>
        <w:rPr>
          <w:rFonts w:ascii="宋体" w:hAnsi="宋体"/>
          <w:b/>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pPr>
        <w:spacing w:line="360" w:lineRule="auto"/>
        <w:ind w:firstLine="422" w:firstLineChars="200"/>
        <w:jc w:val="left"/>
        <w:rPr>
          <w:rFonts w:ascii="宋体" w:hAnsi="宋体"/>
          <w:b/>
          <w:color w:val="000000" w:themeColor="text1"/>
          <w:szCs w:val="21"/>
          <w:highlight w:val="none"/>
          <w14:textFill>
            <w14:solidFill>
              <w14:schemeClr w14:val="tx1"/>
            </w14:solidFill>
          </w14:textFill>
        </w:rPr>
      </w:pPr>
    </w:p>
    <w:p>
      <w:pPr>
        <w:spacing w:line="360" w:lineRule="auto"/>
        <w:ind w:firstLine="422" w:firstLineChars="20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承诺函</w:t>
      </w:r>
    </w:p>
    <w:p>
      <w:pPr>
        <w:spacing w:line="360" w:lineRule="auto"/>
        <w:ind w:firstLine="630" w:firstLineChars="300"/>
        <w:jc w:val="left"/>
        <w:rPr>
          <w:rFonts w:ascii="宋体" w:hAnsi="宋体"/>
          <w:color w:val="000000" w:themeColor="text1"/>
          <w:szCs w:val="21"/>
          <w:highlight w:val="none"/>
          <w14:textFill>
            <w14:solidFill>
              <w14:schemeClr w14:val="tx1"/>
            </w14:solidFill>
          </w14:textFill>
        </w:rPr>
      </w:pPr>
      <w:r>
        <w:rPr>
          <w:rFonts w:hint="eastAsia" w:cs="宋体"/>
          <w:color w:val="000000" w:themeColor="text1"/>
          <w:sz w:val="21"/>
          <w:szCs w:val="21"/>
          <w:highlight w:val="none"/>
          <w:u w:val="single"/>
          <w:lang w:val="en-US" w:eastAsia="zh-CN"/>
          <w14:textFill>
            <w14:solidFill>
              <w14:schemeClr w14:val="tx1"/>
            </w14:solidFill>
          </w14:textFill>
        </w:rPr>
        <w:t>嘉兴市消防救援支队乌镇大队</w:t>
      </w:r>
      <w:r>
        <w:rPr>
          <w:rFonts w:hint="eastAsia" w:ascii="宋体" w:hAnsi="宋体" w:cs="Arial"/>
          <w:b/>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pPr>
        <w:snapToGrid w:val="0"/>
        <w:spacing w:line="360" w:lineRule="auto"/>
        <w:ind w:firstLine="420" w:firstLineChars="200"/>
        <w:jc w:val="left"/>
        <w:rPr>
          <w:rFonts w:ascii="宋体" w:hAnsi="宋体"/>
          <w:color w:val="000000" w:themeColor="text1"/>
          <w:szCs w:val="21"/>
          <w:highlight w:val="none"/>
          <w:shd w:val="clear" w:color="auto" w:fill="FFFFFF"/>
          <w14:textFill>
            <w14:solidFill>
              <w14:schemeClr w14:val="tx1"/>
            </w14:solidFill>
          </w14:textFill>
        </w:rPr>
      </w:pPr>
    </w:p>
    <w:p>
      <w:pPr>
        <w:snapToGrid w:val="0"/>
        <w:spacing w:line="360" w:lineRule="auto"/>
        <w:ind w:right="42" w:rightChars="20" w:firstLine="420" w:firstLineChars="200"/>
        <w:rPr>
          <w:rFonts w:ascii="宋体" w:hAnsi="宋体"/>
          <w:color w:val="000000" w:themeColor="text1"/>
          <w:szCs w:val="21"/>
          <w:highlight w:val="none"/>
          <w:shd w:val="clear" w:color="auto" w:fill="FFFFFF"/>
          <w14:textFill>
            <w14:solidFill>
              <w14:schemeClr w14:val="tx1"/>
            </w14:solidFill>
          </w14:textFill>
        </w:rPr>
      </w:pPr>
      <w:r>
        <w:rPr>
          <w:rFonts w:hint="eastAsia" w:ascii="宋体" w:hAnsi="宋体"/>
          <w:color w:val="000000" w:themeColor="text1"/>
          <w:szCs w:val="21"/>
          <w:highlight w:val="none"/>
          <w:shd w:val="clear" w:color="auto" w:fill="FFFFFF"/>
          <w14:textFill>
            <w14:solidFill>
              <w14:schemeClr w14:val="tx1"/>
            </w14:solidFill>
          </w14:textFill>
        </w:rPr>
        <w:t>本公司（公司名称）参加</w:t>
      </w:r>
      <w:r>
        <w:rPr>
          <w:rFonts w:hint="eastAsia" w:ascii="宋体" w:hAnsi="宋体"/>
          <w:b/>
          <w:color w:val="000000" w:themeColor="text1"/>
          <w:highlight w:val="none"/>
          <w:lang w:eastAsia="zh-CN"/>
          <w14:textFill>
            <w14:solidFill>
              <w14:schemeClr w14:val="tx1"/>
            </w14:solidFill>
          </w14:textFill>
        </w:rPr>
        <w:t>浙江省嘉兴支队乌镇消防救援大队2023年度伙食集中配送采购项目</w:t>
      </w:r>
      <w:r>
        <w:rPr>
          <w:rFonts w:hint="eastAsia" w:ascii="宋体" w:hAnsi="宋体"/>
          <w:b/>
          <w:color w:val="000000" w:themeColor="text1"/>
          <w:highlight w:val="none"/>
          <w14:textFill>
            <w14:solidFill>
              <w14:schemeClr w14:val="tx1"/>
            </w14:solidFill>
          </w14:textFill>
        </w:rPr>
        <w:t xml:space="preserve"> </w:t>
      </w:r>
      <w:r>
        <w:rPr>
          <w:rFonts w:hint="eastAsia" w:ascii="宋体" w:hAnsi="宋体"/>
          <w:color w:val="000000" w:themeColor="text1"/>
          <w:szCs w:val="21"/>
          <w:highlight w:val="none"/>
          <w:shd w:val="clear" w:color="auto" w:fill="FFFFFF"/>
          <w14:textFill>
            <w14:solidFill>
              <w14:schemeClr w14:val="tx1"/>
            </w14:solidFill>
          </w14:textFill>
        </w:rPr>
        <w:t>投标活动，现承诺如下：</w:t>
      </w:r>
    </w:p>
    <w:p>
      <w:pPr>
        <w:snapToGrid w:val="0"/>
        <w:spacing w:line="360" w:lineRule="auto"/>
        <w:ind w:right="42" w:rightChars="2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（1）提供具有独立承担民事责任的能力；</w:t>
      </w:r>
    </w:p>
    <w:p>
      <w:pPr>
        <w:snapToGrid w:val="0"/>
        <w:spacing w:line="360" w:lineRule="auto"/>
        <w:ind w:right="42" w:rightChars="2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（2）具有良好的商业信誉和健全的财务会计制度；</w:t>
      </w:r>
    </w:p>
    <w:p>
      <w:pPr>
        <w:snapToGrid w:val="0"/>
        <w:spacing w:line="360" w:lineRule="auto"/>
        <w:ind w:right="42" w:rightChars="2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（3）具有履行合同所必需的设备和专业技术能力；</w:t>
      </w:r>
    </w:p>
    <w:p>
      <w:pPr>
        <w:snapToGrid w:val="0"/>
        <w:spacing w:line="360" w:lineRule="auto"/>
        <w:ind w:right="42" w:rightChars="2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（4）有依法缴纳税收和社会保障资金的良好记录；</w:t>
      </w:r>
    </w:p>
    <w:p>
      <w:pPr>
        <w:snapToGrid w:val="0"/>
        <w:spacing w:line="360" w:lineRule="auto"/>
        <w:ind w:right="42" w:rightChars="2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（5）参加政府采购活动前三年，在经营活动中没有重大违法记录、自招标公告发布之日起至投标截止日内任意时间的“信用中国”网站（www.creditchina.gov.cn）（未被信用中国网站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\t "_blank" </w:instrText>
      </w:r>
      <w:r>
        <w:rPr>
          <w:color w:val="000000" w:themeColor="text1"/>
          <w:highlight w:val="none"/>
          <w14:textFill>
            <w14:solidFill>
              <w14:schemeClr w14:val="tx1"/>
            </w14:solidFill>
          </w14:textFill>
        </w:rPr>
        <w:fldChar w:fldCharType="separate"/>
      </w:r>
      <w:r>
        <w:rPr>
          <w:rFonts w:hint="eastAsia" w:asciiTheme="minorEastAsia" w:hAnsiTheme="minorEastAsia" w:eastAsiaTheme="minorEastAsia"/>
          <w:color w:val="000000" w:themeColor="text1"/>
          <w:highlight w:val="none"/>
          <w14:textFill>
            <w14:solidFill>
              <w14:schemeClr w14:val="tx1"/>
            </w14:solidFill>
          </w14:textFill>
        </w:rPr>
        <w:t>列入失信被执行人、重大税收违法案件当事人名单</w:t>
      </w:r>
      <w:r>
        <w:rPr>
          <w:rFonts w:hint="eastAsia" w:asciiTheme="minorEastAsia" w:hAnsiTheme="minorEastAsia" w:eastAsiaTheme="minorEastAsia"/>
          <w:color w:val="000000" w:themeColor="text1"/>
          <w:highlight w:val="none"/>
          <w14:textFill>
            <w14:solidFill>
              <w14:schemeClr w14:val="tx1"/>
            </w14:solidFill>
          </w14:textFill>
        </w:rPr>
        <w:fldChar w:fldCharType="end"/>
      </w:r>
      <w:r>
        <w:rPr>
          <w:rFonts w:asciiTheme="minorEastAsia" w:hAnsiTheme="minorEastAsia" w:eastAsiaTheme="minorEastAsia"/>
          <w:color w:val="000000" w:themeColor="text1"/>
          <w:szCs w:val="21"/>
          <w:highlight w:val="none"/>
          <w14:textFill>
            <w14:solidFill>
              <w14:schemeClr w14:val="tx1"/>
            </w14:solidFill>
          </w14:textFill>
        </w:rPr>
        <w:t>的）</w:t>
      </w:r>
      <w:r>
        <w:rPr>
          <w:rFonts w:hint="eastAsia" w:asciiTheme="minorEastAsia" w:hAnsiTheme="minorEastAsia" w:eastAsiaTheme="minorEastAsia"/>
          <w:color w:val="000000" w:themeColor="text1"/>
          <w:szCs w:val="21"/>
          <w:highlight w:val="none"/>
          <w14:textFill>
            <w14:solidFill>
              <w14:schemeClr w14:val="tx1"/>
            </w14:solidFill>
          </w14:textFill>
        </w:rPr>
        <w:t>、中国政府采购网（www.ccgp.gov.cn）（未被中国政府采购网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\t "_blank" </w:instrText>
      </w:r>
      <w:r>
        <w:rPr>
          <w:color w:val="000000" w:themeColor="text1"/>
          <w:highlight w:val="none"/>
          <w14:textFill>
            <w14:solidFill>
              <w14:schemeClr w14:val="tx1"/>
            </w14:solidFill>
          </w14:textFill>
        </w:rPr>
        <w:fldChar w:fldCharType="separate"/>
      </w:r>
      <w:r>
        <w:rPr>
          <w:rFonts w:hint="eastAsia" w:asciiTheme="minorEastAsia" w:hAnsiTheme="minorEastAsia" w:eastAsiaTheme="minorEastAsia"/>
          <w:color w:val="000000" w:themeColor="text1"/>
          <w:highlight w:val="none"/>
          <w14:textFill>
            <w14:solidFill>
              <w14:schemeClr w14:val="tx1"/>
            </w14:solidFill>
          </w14:textFill>
        </w:rPr>
        <w:t>列入政府采购严重违法失信行为记录名单</w:t>
      </w:r>
      <w:r>
        <w:rPr>
          <w:rFonts w:hint="eastAsia" w:asciiTheme="minorEastAsia" w:hAnsiTheme="minorEastAsia" w:eastAsiaTheme="minorEastAsia"/>
          <w:color w:val="000000" w:themeColor="text1"/>
          <w:highlight w:val="none"/>
          <w14:textFill>
            <w14:solidFill>
              <w14:schemeClr w14:val="tx1"/>
            </w14:solidFill>
          </w14:textFill>
        </w:rPr>
        <w:fldChar w:fldCharType="end"/>
      </w:r>
      <w:r>
        <w:rPr>
          <w:rFonts w:asciiTheme="minorEastAsia" w:hAnsiTheme="minorEastAsia" w:eastAsiaTheme="minorEastAsia"/>
          <w:color w:val="000000" w:themeColor="text1"/>
          <w:szCs w:val="21"/>
          <w:highlight w:val="none"/>
          <w14:textFill>
            <w14:solidFill>
              <w14:schemeClr w14:val="tx1"/>
            </w14:solidFill>
          </w14:textFill>
        </w:rPr>
        <w:t>的</w:t>
      </w:r>
      <w:r>
        <w:rPr>
          <w:rFonts w:hint="eastAsia" w:asciiTheme="minorEastAsia" w:hAnsiTheme="minorEastAsia" w:eastAsiaTheme="minorEastAsia"/>
          <w:color w:val="000000" w:themeColor="text1"/>
          <w:szCs w:val="21"/>
          <w:highlight w:val="none"/>
          <w14:textFill>
            <w14:solidFill>
              <w14:schemeClr w14:val="tx1"/>
            </w14:solidFill>
          </w14:textFill>
        </w:rPr>
        <w:t>）也没有因违反《浙江省政府采购投标人注册及诚信管理暂行办法》被列入“黑名单”，正在处罚有效期；</w:t>
      </w:r>
    </w:p>
    <w:p>
      <w:pPr>
        <w:snapToGrid w:val="0"/>
        <w:spacing w:line="360" w:lineRule="auto"/>
        <w:ind w:right="42" w:rightChars="20" w:firstLine="420" w:firstLineChars="200"/>
        <w:jc w:val="left"/>
        <w:rPr>
          <w:rFonts w:asciiTheme="minorEastAsia" w:hAnsiTheme="minorEastAsia" w:eastAsiaTheme="minorEastAsia"/>
          <w:color w:val="000000" w:themeColor="text1"/>
          <w:szCs w:val="2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napToGrid w:val="0"/>
        <w:spacing w:line="360" w:lineRule="auto"/>
        <w:ind w:right="42" w:rightChars="20" w:firstLine="420" w:firstLineChars="200"/>
        <w:jc w:val="left"/>
        <w:rPr>
          <w:rFonts w:asciiTheme="minorEastAsia" w:hAnsiTheme="minorEastAsia" w:eastAsiaTheme="minorEastAsia"/>
          <w:color w:val="000000" w:themeColor="text1"/>
          <w:szCs w:val="21"/>
          <w:highlight w:val="none"/>
          <w:shd w:val="clear" w:color="auto" w:fill="FFFFFF"/>
          <w14:textFill>
            <w14:solidFill>
              <w14:schemeClr w14:val="tx1"/>
            </w14:solidFill>
          </w14:textFill>
        </w:rPr>
      </w:pPr>
      <w:r>
        <w:rPr>
          <w:rFonts w:hint="eastAsia" w:asciiTheme="minorEastAsia" w:hAnsiTheme="minorEastAsia" w:eastAsiaTheme="minorEastAsia"/>
          <w:color w:val="000000" w:themeColor="text1"/>
          <w:szCs w:val="21"/>
          <w:highlight w:val="none"/>
          <w:shd w:val="clear" w:color="auto" w:fill="FFFFFF"/>
          <w14:textFill>
            <w14:solidFill>
              <w14:schemeClr w14:val="tx1"/>
            </w14:solidFill>
          </w14:textFill>
        </w:rPr>
        <w:t>如违反以上承诺，本公司愿承担一切法律责任。</w:t>
      </w:r>
    </w:p>
    <w:p>
      <w:pPr>
        <w:pStyle w:val="3"/>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p>
    <w:p>
      <w:pPr>
        <w:snapToGrid w:val="0"/>
        <w:spacing w:line="360" w:lineRule="auto"/>
        <w:ind w:right="42" w:rightChars="20" w:firstLine="420" w:firstLineChars="200"/>
        <w:jc w:val="left"/>
        <w:rPr>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shd w:val="clear" w:color="auto" w:fill="FFFFFF"/>
          <w14:textFill>
            <w14:solidFill>
              <w14:schemeClr w14:val="tx1"/>
            </w14:solidFill>
          </w14:textFill>
        </w:rPr>
        <w:t>投标人名称：（投标人公章）</w:t>
      </w:r>
    </w:p>
    <w:p>
      <w:pPr>
        <w:snapToGrid w:val="0"/>
        <w:spacing w:line="360" w:lineRule="auto"/>
        <w:ind w:right="42" w:rightChars="20" w:firstLine="420" w:firstLineChars="200"/>
        <w:jc w:val="left"/>
        <w:rPr>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法定代表人或其授权代表签字（或盖章）</w:t>
      </w:r>
      <w:r>
        <w:rPr>
          <w:rFonts w:hint="eastAsia" w:asciiTheme="minorEastAsia" w:hAnsiTheme="minorEastAsia" w:eastAsiaTheme="minorEastAsia"/>
          <w:color w:val="000000" w:themeColor="text1"/>
          <w:szCs w:val="21"/>
          <w:highlight w:val="none"/>
          <w:shd w:val="clear" w:color="auto" w:fill="FFFFFF"/>
          <w14:textFill>
            <w14:solidFill>
              <w14:schemeClr w14:val="tx1"/>
            </w14:solidFill>
          </w14:textFill>
        </w:rPr>
        <w:t>：</w:t>
      </w:r>
    </w:p>
    <w:p>
      <w:pPr>
        <w:snapToGrid w:val="0"/>
        <w:spacing w:line="360" w:lineRule="auto"/>
        <w:ind w:right="42" w:rightChars="20" w:firstLine="420" w:firstLineChars="200"/>
        <w:jc w:val="left"/>
        <w:rPr>
          <w:rFonts w:asciiTheme="minorEastAsia" w:hAnsiTheme="minorEastAsia" w:eastAsia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olor w:val="000000" w:themeColor="text1"/>
          <w:szCs w:val="21"/>
          <w:highlight w:val="none"/>
          <w:shd w:val="clear" w:color="auto" w:fill="FFFFFF"/>
          <w14:textFill>
            <w14:solidFill>
              <w14:schemeClr w14:val="tx1"/>
            </w14:solidFill>
          </w14:textFill>
        </w:rPr>
        <w:t>投标日期： 年 月 日</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6"/>
        <w:rPr>
          <w:rFonts w:hAnsi="宋体"/>
          <w:color w:val="000000" w:themeColor="text1"/>
          <w:szCs w:val="21"/>
          <w:highlight w:val="none"/>
          <w14:textFill>
            <w14:solidFill>
              <w14:schemeClr w14:val="tx1"/>
            </w14:solidFill>
          </w14:textFill>
        </w:rPr>
      </w:pPr>
    </w:p>
    <w:p>
      <w:pPr>
        <w:pStyle w:val="20"/>
        <w:rPr>
          <w:color w:val="000000" w:themeColor="text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widowControl/>
        <w:jc w:val="left"/>
        <w:rPr>
          <w:rFonts w:ascii="微软雅黑" w:hAnsi="微软雅黑"/>
          <w:b/>
          <w:color w:val="000000" w:themeColor="text1"/>
          <w:szCs w:val="21"/>
          <w:highlight w:val="none"/>
          <w14:textFill>
            <w14:solidFill>
              <w14:schemeClr w14:val="tx1"/>
            </w14:solidFill>
          </w14:textFill>
        </w:rPr>
      </w:pPr>
      <w:r>
        <w:rPr>
          <w:rFonts w:ascii="微软雅黑" w:hAnsi="微软雅黑"/>
          <w:b/>
          <w:color w:val="000000" w:themeColor="text1"/>
          <w:szCs w:val="21"/>
          <w:highlight w:val="none"/>
          <w14:textFill>
            <w14:solidFill>
              <w14:schemeClr w14:val="tx1"/>
            </w14:solidFill>
          </w14:textFill>
        </w:rPr>
        <w:br w:type="page"/>
      </w:r>
    </w:p>
    <w:p>
      <w:pPr>
        <w:widowControl/>
        <w:ind w:firstLine="420"/>
        <w:jc w:val="center"/>
        <w:rPr>
          <w:rFonts w:ascii="微软雅黑" w:hAnsi="微软雅黑"/>
          <w:b/>
          <w:color w:val="000000" w:themeColor="text1"/>
          <w:szCs w:val="21"/>
          <w:highlight w:val="none"/>
          <w14:textFill>
            <w14:solidFill>
              <w14:schemeClr w14:val="tx1"/>
            </w14:solidFill>
          </w14:textFill>
        </w:rPr>
      </w:pPr>
      <w:r>
        <w:rPr>
          <w:rFonts w:hint="eastAsia" w:ascii="微软雅黑" w:hAnsi="微软雅黑"/>
          <w:b/>
          <w:color w:val="000000" w:themeColor="text1"/>
          <w:szCs w:val="21"/>
          <w:highlight w:val="none"/>
          <w14:textFill>
            <w14:solidFill>
              <w14:schemeClr w14:val="tx1"/>
            </w14:solidFill>
          </w14:textFill>
        </w:rPr>
        <w:t>中小企业声明函（工程、服务）</w:t>
      </w:r>
    </w:p>
    <w:p>
      <w:pPr>
        <w:widowControl/>
        <w:spacing w:line="400" w:lineRule="exact"/>
        <w:jc w:val="center"/>
        <w:rPr>
          <w:rFonts w:ascii="楷体_GB2312" w:eastAsia="楷体_GB2312"/>
          <w:b/>
          <w:color w:val="000000" w:themeColor="text1"/>
          <w:sz w:val="36"/>
          <w:szCs w:val="36"/>
          <w:highlight w:val="none"/>
          <w14:textFill>
            <w14:solidFill>
              <w14:schemeClr w14:val="tx1"/>
            </w14:solidFill>
          </w14:textFill>
        </w:rPr>
      </w:pPr>
    </w:p>
    <w:p>
      <w:pPr>
        <w:widowControl/>
        <w:spacing w:line="360" w:lineRule="auto"/>
        <w:ind w:firstLine="420" w:firstLineChars="200"/>
        <w:jc w:val="lef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本公司（联合体）郑重声明，根据《政府采购促进中小企业发展管理办法》（财库﹝2020﹞ </w:t>
      </w:r>
    </w:p>
    <w:p>
      <w:pPr>
        <w:widowControl/>
        <w:spacing w:line="360" w:lineRule="auto"/>
        <w:jc w:val="lef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46 号）的规定，本公司 （联合体）参加 </w:t>
      </w:r>
      <w:r>
        <w:rPr>
          <w:rFonts w:hint="eastAsia" w:ascii="宋体" w:hAnsi="宋体" w:cs="宋体"/>
          <w:color w:val="000000" w:themeColor="text1"/>
          <w:kern w:val="0"/>
          <w:szCs w:val="21"/>
          <w:highlight w:val="none"/>
          <w:u w:val="single"/>
          <w14:textFill>
            <w14:solidFill>
              <w14:schemeClr w14:val="tx1"/>
            </w14:solidFill>
          </w14:textFill>
        </w:rPr>
        <w:t xml:space="preserve">  （单位名称）  </w:t>
      </w:r>
      <w:r>
        <w:rPr>
          <w:rFonts w:hint="eastAsia" w:ascii="宋体" w:hAnsi="宋体" w:cs="宋体"/>
          <w:color w:val="000000" w:themeColor="text1"/>
          <w:kern w:val="0"/>
          <w:szCs w:val="21"/>
          <w:highlight w:val="none"/>
          <w14:textFill>
            <w14:solidFill>
              <w14:schemeClr w14:val="tx1"/>
            </w14:solidFill>
          </w14:textFill>
        </w:rPr>
        <w:t xml:space="preserve">的 </w:t>
      </w:r>
      <w:r>
        <w:rPr>
          <w:rFonts w:hint="eastAsia" w:ascii="宋体" w:hAnsi="宋体" w:cs="宋体"/>
          <w:color w:val="000000" w:themeColor="text1"/>
          <w:kern w:val="0"/>
          <w:szCs w:val="21"/>
          <w:highlight w:val="none"/>
          <w:u w:val="single"/>
          <w14:textFill>
            <w14:solidFill>
              <w14:schemeClr w14:val="tx1"/>
            </w14:solidFill>
          </w14:textFill>
        </w:rPr>
        <w:t xml:space="preserve">  （项目名称）  </w:t>
      </w:r>
      <w:r>
        <w:rPr>
          <w:rFonts w:hint="eastAsia" w:ascii="宋体" w:hAnsi="宋体" w:cs="宋体"/>
          <w:color w:val="000000" w:themeColor="text1"/>
          <w:kern w:val="0"/>
          <w:szCs w:val="21"/>
          <w:highlight w:val="none"/>
          <w14:textFill>
            <w14:solidFill>
              <w14:schemeClr w14:val="tx1"/>
            </w14:solidFill>
          </w14:textFill>
        </w:rPr>
        <w:t xml:space="preserve">采购活动，工程的施工单位全部为符合政策要求的中小企业（或者：服务全部由符合政策要求的 </w:t>
      </w:r>
    </w:p>
    <w:p>
      <w:pPr>
        <w:widowControl/>
        <w:spacing w:line="360" w:lineRule="auto"/>
        <w:jc w:val="lef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中小企业承接）。相关企业 （含联合体中的中小企业、签订分包意向协议的中小企业） 的 </w:t>
      </w:r>
    </w:p>
    <w:p>
      <w:pPr>
        <w:widowControl/>
        <w:spacing w:line="360" w:lineRule="auto"/>
        <w:jc w:val="lef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具体情况如下： </w:t>
      </w:r>
    </w:p>
    <w:p>
      <w:pPr>
        <w:widowControl/>
        <w:spacing w:line="360" w:lineRule="auto"/>
        <w:ind w:firstLine="420" w:firstLineChars="200"/>
        <w:jc w:val="left"/>
        <w:rPr>
          <w:color w:val="000000" w:themeColor="text1"/>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1. </w:t>
      </w:r>
      <w:r>
        <w:rPr>
          <w:rFonts w:hint="eastAsia" w:ascii="宋体" w:hAnsi="宋体" w:cs="宋体"/>
          <w:color w:val="000000" w:themeColor="text1"/>
          <w:kern w:val="0"/>
          <w:szCs w:val="21"/>
          <w:highlight w:val="none"/>
          <w:u w:val="single"/>
          <w14:textFill>
            <w14:solidFill>
              <w14:schemeClr w14:val="tx1"/>
            </w14:solidFill>
          </w14:textFill>
        </w:rPr>
        <w:t xml:space="preserve">（标的名称） </w:t>
      </w:r>
      <w:r>
        <w:rPr>
          <w:rFonts w:hint="eastAsia" w:ascii="宋体" w:hAnsi="宋体" w:cs="宋体"/>
          <w:color w:val="000000" w:themeColor="text1"/>
          <w:kern w:val="0"/>
          <w:szCs w:val="21"/>
          <w:highlight w:val="none"/>
          <w14:textFill>
            <w14:solidFill>
              <w14:schemeClr w14:val="tx1"/>
            </w14:solidFill>
          </w14:textFill>
        </w:rPr>
        <w:t>，属于</w:t>
      </w:r>
      <w:r>
        <w:rPr>
          <w:rFonts w:hint="eastAsia" w:ascii="宋体" w:hAnsi="宋体" w:cs="宋体"/>
          <w:color w:val="000000" w:themeColor="text1"/>
          <w:kern w:val="0"/>
          <w:szCs w:val="21"/>
          <w:highlight w:val="none"/>
          <w:u w:val="single"/>
          <w14:textFill>
            <w14:solidFill>
              <w14:schemeClr w14:val="tx1"/>
            </w14:solidFill>
          </w14:textFill>
        </w:rPr>
        <w:t>（采购文件中明确的所属行业）行业</w:t>
      </w:r>
      <w:r>
        <w:rPr>
          <w:rFonts w:hint="eastAsia" w:ascii="宋体" w:hAnsi="宋体" w:cs="宋体"/>
          <w:color w:val="000000" w:themeColor="text1"/>
          <w:kern w:val="0"/>
          <w:szCs w:val="21"/>
          <w:highlight w:val="none"/>
          <w14:textFill>
            <w14:solidFill>
              <w14:schemeClr w14:val="tx1"/>
            </w14:solidFill>
          </w14:textFill>
        </w:rPr>
        <w:t>；承建（承接）企业为</w:t>
      </w:r>
      <w:r>
        <w:rPr>
          <w:rFonts w:hint="eastAsia" w:ascii="宋体" w:hAnsi="宋体" w:cs="宋体"/>
          <w:color w:val="000000" w:themeColor="text1"/>
          <w:kern w:val="0"/>
          <w:szCs w:val="21"/>
          <w:highlight w:val="none"/>
          <w:u w:val="single"/>
          <w14:textFill>
            <w14:solidFill>
              <w14:schemeClr w14:val="tx1"/>
            </w14:solidFill>
          </w14:textFill>
        </w:rPr>
        <w:t xml:space="preserve">（企 </w:t>
      </w:r>
    </w:p>
    <w:p>
      <w:pPr>
        <w:widowControl/>
        <w:spacing w:line="360" w:lineRule="auto"/>
        <w:jc w:val="lef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业名称）</w:t>
      </w:r>
      <w:r>
        <w:rPr>
          <w:rFonts w:hint="eastAsia" w:ascii="宋体" w:hAnsi="宋体" w:cs="宋体"/>
          <w:color w:val="000000" w:themeColor="text1"/>
          <w:kern w:val="0"/>
          <w:szCs w:val="21"/>
          <w:highlight w:val="none"/>
          <w14:textFill>
            <w14:solidFill>
              <w14:schemeClr w14:val="tx1"/>
            </w14:solidFill>
          </w14:textFill>
        </w:rPr>
        <w:t>，从业人员</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人，营业收入为</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万元，资产总额为</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万元，属于</w:t>
      </w:r>
      <w:r>
        <w:rPr>
          <w:rFonts w:hint="eastAsia" w:ascii="宋体" w:hAnsi="宋体" w:cs="宋体"/>
          <w:color w:val="000000" w:themeColor="text1"/>
          <w:kern w:val="0"/>
          <w:szCs w:val="21"/>
          <w:highlight w:val="none"/>
          <w:u w:val="single"/>
          <w14:textFill>
            <w14:solidFill>
              <w14:schemeClr w14:val="tx1"/>
            </w14:solidFill>
          </w14:textFill>
        </w:rPr>
        <w:t>（中型企业、小型企业、微型企业）</w:t>
      </w:r>
      <w:r>
        <w:rPr>
          <w:rFonts w:hint="eastAsia" w:ascii="宋体" w:hAnsi="宋体" w:cs="宋体"/>
          <w:color w:val="000000" w:themeColor="text1"/>
          <w:kern w:val="0"/>
          <w:szCs w:val="21"/>
          <w:highlight w:val="none"/>
          <w14:textFill>
            <w14:solidFill>
              <w14:schemeClr w14:val="tx1"/>
            </w14:solidFill>
          </w14:textFill>
        </w:rPr>
        <w:t xml:space="preserve">； </w:t>
      </w:r>
    </w:p>
    <w:p>
      <w:pPr>
        <w:widowControl/>
        <w:spacing w:line="360" w:lineRule="auto"/>
        <w:ind w:firstLine="420" w:firstLineChars="200"/>
        <w:jc w:val="left"/>
        <w:rPr>
          <w:color w:val="000000" w:themeColor="text1"/>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2. </w:t>
      </w:r>
      <w:r>
        <w:rPr>
          <w:rFonts w:hint="eastAsia" w:ascii="宋体" w:hAnsi="宋体" w:cs="宋体"/>
          <w:color w:val="000000" w:themeColor="text1"/>
          <w:kern w:val="0"/>
          <w:szCs w:val="21"/>
          <w:highlight w:val="none"/>
          <w:u w:val="single"/>
          <w14:textFill>
            <w14:solidFill>
              <w14:schemeClr w14:val="tx1"/>
            </w14:solidFill>
          </w14:textFill>
        </w:rPr>
        <w:t xml:space="preserve">（标的名称） </w:t>
      </w:r>
      <w:r>
        <w:rPr>
          <w:rFonts w:hint="eastAsia" w:ascii="宋体" w:hAnsi="宋体" w:cs="宋体"/>
          <w:color w:val="000000" w:themeColor="text1"/>
          <w:kern w:val="0"/>
          <w:szCs w:val="21"/>
          <w:highlight w:val="none"/>
          <w14:textFill>
            <w14:solidFill>
              <w14:schemeClr w14:val="tx1"/>
            </w14:solidFill>
          </w14:textFill>
        </w:rPr>
        <w:t>，属于（采购文件中明确的所属行业）行业；承建（承接）企业为</w:t>
      </w:r>
      <w:r>
        <w:rPr>
          <w:rFonts w:hint="eastAsia" w:ascii="宋体" w:hAnsi="宋体" w:cs="宋体"/>
          <w:color w:val="000000" w:themeColor="text1"/>
          <w:kern w:val="0"/>
          <w:szCs w:val="21"/>
          <w:highlight w:val="none"/>
          <w:u w:val="single"/>
          <w14:textFill>
            <w14:solidFill>
              <w14:schemeClr w14:val="tx1"/>
            </w14:solidFill>
          </w14:textFill>
        </w:rPr>
        <w:t xml:space="preserve">（企 </w:t>
      </w:r>
    </w:p>
    <w:p>
      <w:pPr>
        <w:widowControl/>
        <w:spacing w:line="360" w:lineRule="auto"/>
        <w:jc w:val="lef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 xml:space="preserve">业名称） </w:t>
      </w:r>
      <w:r>
        <w:rPr>
          <w:rFonts w:hint="eastAsia" w:ascii="宋体" w:hAnsi="宋体" w:cs="宋体"/>
          <w:color w:val="000000" w:themeColor="text1"/>
          <w:kern w:val="0"/>
          <w:szCs w:val="21"/>
          <w:highlight w:val="none"/>
          <w14:textFill>
            <w14:solidFill>
              <w14:schemeClr w14:val="tx1"/>
            </w14:solidFill>
          </w14:textFill>
        </w:rPr>
        <w:t>，从业人员</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人，营业收入为</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万元，资产总额为</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万元，属于</w:t>
      </w:r>
      <w:r>
        <w:rPr>
          <w:rFonts w:hint="eastAsia" w:ascii="宋体" w:hAnsi="宋体" w:cs="宋体"/>
          <w:color w:val="000000" w:themeColor="text1"/>
          <w:kern w:val="0"/>
          <w:szCs w:val="21"/>
          <w:highlight w:val="none"/>
          <w:u w:val="single"/>
          <w14:textFill>
            <w14:solidFill>
              <w14:schemeClr w14:val="tx1"/>
            </w14:solidFill>
          </w14:textFill>
        </w:rPr>
        <w:t>（中型企业、小型企业、微型企业）</w:t>
      </w:r>
      <w:r>
        <w:rPr>
          <w:rFonts w:hint="eastAsia" w:ascii="宋体" w:hAnsi="宋体" w:cs="宋体"/>
          <w:color w:val="000000" w:themeColor="text1"/>
          <w:kern w:val="0"/>
          <w:szCs w:val="21"/>
          <w:highlight w:val="none"/>
          <w14:textFill>
            <w14:solidFill>
              <w14:schemeClr w14:val="tx1"/>
            </w14:solidFill>
          </w14:textFill>
        </w:rPr>
        <w:t xml:space="preserve">； </w:t>
      </w:r>
    </w:p>
    <w:p>
      <w:pPr>
        <w:widowControl/>
        <w:spacing w:line="360" w:lineRule="auto"/>
        <w:ind w:firstLine="420" w:firstLineChars="200"/>
        <w:jc w:val="lef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w:t>
      </w:r>
    </w:p>
    <w:p>
      <w:pPr>
        <w:widowControl/>
        <w:spacing w:line="360" w:lineRule="auto"/>
        <w:ind w:firstLine="420" w:firstLineChars="200"/>
        <w:jc w:val="lef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以上企业，不属于大企业的分支机构，不存在控股股东为大企业的情形，也不存在与大 </w:t>
      </w:r>
    </w:p>
    <w:p>
      <w:pPr>
        <w:widowControl/>
        <w:spacing w:line="360" w:lineRule="auto"/>
        <w:jc w:val="left"/>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企业的负责人为同一人的情形。 </w:t>
      </w:r>
    </w:p>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本企业对上述声明内容的真实性负责。如有虚假，将依法承担相应责任。</w:t>
      </w:r>
    </w:p>
    <w:p>
      <w:pPr>
        <w:spacing w:line="360" w:lineRule="auto"/>
        <w:rPr>
          <w:color w:val="000000" w:themeColor="text1"/>
          <w:szCs w:val="21"/>
          <w:highlight w:val="none"/>
          <w14:textFill>
            <w14:solidFill>
              <w14:schemeClr w14:val="tx1"/>
            </w14:solidFill>
          </w14:textFill>
        </w:rPr>
      </w:pPr>
    </w:p>
    <w:p>
      <w:pPr>
        <w:spacing w:line="360" w:lineRule="auto"/>
        <w:rPr>
          <w:color w:val="000000" w:themeColor="text1"/>
          <w:szCs w:val="21"/>
          <w:highlight w:val="none"/>
          <w14:textFill>
            <w14:solidFill>
              <w14:schemeClr w14:val="tx1"/>
            </w14:solidFill>
          </w14:textFill>
        </w:rPr>
      </w:pPr>
    </w:p>
    <w:p>
      <w:pPr>
        <w:pStyle w:val="6"/>
        <w:spacing w:line="360" w:lineRule="auto"/>
        <w:rPr>
          <w:color w:val="000000" w:themeColor="text1"/>
          <w:sz w:val="21"/>
          <w:szCs w:val="21"/>
          <w:highlight w:val="none"/>
          <w14:textFill>
            <w14:solidFill>
              <w14:schemeClr w14:val="tx1"/>
            </w14:solidFill>
          </w14:textFill>
        </w:rPr>
      </w:pPr>
    </w:p>
    <w:p>
      <w:pPr>
        <w:pStyle w:val="20"/>
        <w:spacing w:line="360" w:lineRule="auto"/>
        <w:rPr>
          <w:color w:val="000000" w:themeColor="text1"/>
          <w:szCs w:val="21"/>
          <w:highlight w:val="none"/>
          <w14:textFill>
            <w14:solidFill>
              <w14:schemeClr w14:val="tx1"/>
            </w14:solidFill>
          </w14:textFill>
        </w:rPr>
      </w:pPr>
    </w:p>
    <w:p>
      <w:pPr>
        <w:pStyle w:val="20"/>
        <w:spacing w:line="360" w:lineRule="auto"/>
        <w:rPr>
          <w:color w:val="000000" w:themeColor="text1"/>
          <w:szCs w:val="21"/>
          <w:highlight w:val="none"/>
          <w14:textFill>
            <w14:solidFill>
              <w14:schemeClr w14:val="tx1"/>
            </w14:solidFill>
          </w14:textFill>
        </w:rPr>
      </w:pPr>
    </w:p>
    <w:p>
      <w:pPr>
        <w:pStyle w:val="20"/>
        <w:spacing w:line="360" w:lineRule="auto"/>
        <w:rPr>
          <w:color w:val="000000" w:themeColor="text1"/>
          <w:szCs w:val="21"/>
          <w:highlight w:val="none"/>
          <w14:textFill>
            <w14:solidFill>
              <w14:schemeClr w14:val="tx1"/>
            </w14:solidFill>
          </w14:textFill>
        </w:rPr>
      </w:pPr>
    </w:p>
    <w:p>
      <w:pPr>
        <w:spacing w:line="360" w:lineRule="auto"/>
        <w:ind w:firstLine="211" w:firstLineChars="1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投标人（公章）:</w:t>
      </w:r>
    </w:p>
    <w:p>
      <w:pPr>
        <w:spacing w:line="360" w:lineRule="auto"/>
        <w:ind w:firstLine="211" w:firstLineChars="1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日 期：    年  月  日</w:t>
      </w:r>
    </w:p>
    <w:p>
      <w:pPr>
        <w:pStyle w:val="25"/>
        <w:snapToGrid w:val="0"/>
        <w:spacing w:line="360" w:lineRule="auto"/>
        <w:ind w:right="42" w:rightChars="20" w:firstLine="422" w:firstLineChars="200"/>
        <w:jc w:val="left"/>
        <w:rPr>
          <w:rFonts w:asciiTheme="minorEastAsia" w:hAnsiTheme="minorEastAsia" w:eastAsiaTheme="minorEastAsia"/>
          <w:b/>
          <w:color w:val="000000" w:themeColor="text1"/>
          <w:szCs w:val="21"/>
          <w:highlight w:val="none"/>
          <w14:textFill>
            <w14:solidFill>
              <w14:schemeClr w14:val="tx1"/>
            </w14:solidFill>
          </w14:textFill>
        </w:rPr>
      </w:pPr>
    </w:p>
    <w:p>
      <w:pPr>
        <w:pStyle w:val="25"/>
        <w:snapToGrid w:val="0"/>
        <w:spacing w:line="360" w:lineRule="auto"/>
        <w:ind w:right="42" w:rightChars="20" w:firstLine="422" w:firstLineChars="200"/>
        <w:jc w:val="left"/>
        <w:rPr>
          <w:rFonts w:asciiTheme="minorEastAsia" w:hAnsiTheme="minorEastAsia" w:eastAsiaTheme="minorEastAsia"/>
          <w:b/>
          <w:color w:val="000000" w:themeColor="text1"/>
          <w:szCs w:val="21"/>
          <w:highlight w:val="none"/>
          <w14:textFill>
            <w14:solidFill>
              <w14:schemeClr w14:val="tx1"/>
            </w14:solidFill>
          </w14:textFill>
        </w:rPr>
      </w:pPr>
    </w:p>
    <w:p>
      <w:pPr>
        <w:pStyle w:val="25"/>
        <w:snapToGrid w:val="0"/>
        <w:spacing w:line="360" w:lineRule="auto"/>
        <w:ind w:right="42" w:rightChars="20" w:firstLine="422" w:firstLineChars="200"/>
        <w:jc w:val="left"/>
        <w:rPr>
          <w:rFonts w:asciiTheme="minorEastAsia" w:hAnsiTheme="minorEastAsia" w:eastAsiaTheme="minorEastAsia"/>
          <w:b/>
          <w:color w:val="000000" w:themeColor="text1"/>
          <w:szCs w:val="21"/>
          <w:highlight w:val="none"/>
          <w14:textFill>
            <w14:solidFill>
              <w14:schemeClr w14:val="tx1"/>
            </w14:solidFill>
          </w14:textFill>
        </w:rPr>
      </w:pPr>
    </w:p>
    <w:p>
      <w:pPr>
        <w:pStyle w:val="25"/>
        <w:snapToGrid w:val="0"/>
        <w:spacing w:line="360" w:lineRule="auto"/>
        <w:ind w:right="42" w:rightChars="20" w:firstLine="422" w:firstLineChars="200"/>
        <w:jc w:val="left"/>
        <w:rPr>
          <w:rFonts w:asciiTheme="minorEastAsia" w:hAnsiTheme="minorEastAsia" w:eastAsiaTheme="minorEastAsia"/>
          <w:b/>
          <w:color w:val="000000" w:themeColor="text1"/>
          <w:szCs w:val="21"/>
          <w:highlight w:val="none"/>
          <w14:textFill>
            <w14:solidFill>
              <w14:schemeClr w14:val="tx1"/>
            </w14:solidFill>
          </w14:textFill>
        </w:rPr>
      </w:pPr>
    </w:p>
    <w:p>
      <w:pPr>
        <w:pStyle w:val="25"/>
        <w:snapToGrid w:val="0"/>
        <w:spacing w:line="360" w:lineRule="auto"/>
        <w:ind w:right="42" w:rightChars="20" w:firstLine="422" w:firstLineChars="200"/>
        <w:jc w:val="left"/>
        <w:rPr>
          <w:rFonts w:asciiTheme="minorEastAsia" w:hAnsiTheme="minorEastAsia" w:eastAsiaTheme="minorEastAsia"/>
          <w:b/>
          <w:color w:val="000000" w:themeColor="text1"/>
          <w:szCs w:val="21"/>
          <w:highlight w:val="none"/>
          <w14:textFill>
            <w14:solidFill>
              <w14:schemeClr w14:val="tx1"/>
            </w14:solidFill>
          </w14:textFill>
        </w:rPr>
      </w:pPr>
    </w:p>
    <w:p>
      <w:pPr>
        <w:pStyle w:val="20"/>
        <w:rPr>
          <w:rFonts w:ascii="宋体" w:hAnsi="宋体"/>
          <w:b/>
          <w:color w:val="000000" w:themeColor="text1"/>
          <w:szCs w:val="21"/>
          <w:highlight w:val="none"/>
          <w14:textFill>
            <w14:solidFill>
              <w14:schemeClr w14:val="tx1"/>
            </w14:solidFill>
          </w14:textFill>
        </w:rPr>
      </w:pPr>
    </w:p>
    <w:p>
      <w:pPr>
        <w:pStyle w:val="25"/>
        <w:snapToGrid w:val="0"/>
        <w:ind w:firstLine="420"/>
        <w:rPr>
          <w:rFonts w:ascii="微软雅黑" w:hAnsi="微软雅黑"/>
          <w:b/>
          <w:color w:val="000000" w:themeColor="text1"/>
          <w:szCs w:val="21"/>
          <w:highlight w:val="none"/>
          <w14:textFill>
            <w14:solidFill>
              <w14:schemeClr w14:val="tx1"/>
            </w14:solidFill>
          </w14:textFill>
        </w:rPr>
      </w:pPr>
      <w:r>
        <w:rPr>
          <w:rFonts w:hint="eastAsia" w:ascii="微软雅黑" w:hAnsi="微软雅黑"/>
          <w:b/>
          <w:color w:val="000000" w:themeColor="text1"/>
          <w:szCs w:val="21"/>
          <w:highlight w:val="none"/>
          <w14:textFill>
            <w14:solidFill>
              <w14:schemeClr w14:val="tx1"/>
            </w14:solidFill>
          </w14:textFill>
        </w:rPr>
        <w:t>残疾人福利性单位声明函</w:t>
      </w:r>
    </w:p>
    <w:p>
      <w:pPr>
        <w:widowControl/>
        <w:ind w:firstLine="420"/>
        <w:rPr>
          <w:rFonts w:ascii="微软雅黑" w:hAnsi="微软雅黑"/>
          <w:b/>
          <w:color w:val="000000" w:themeColor="text1"/>
          <w:szCs w:val="21"/>
          <w:highlight w:val="none"/>
          <w14:textFill>
            <w14:solidFill>
              <w14:schemeClr w14:val="tx1"/>
            </w14:solidFill>
          </w14:textFill>
        </w:rPr>
      </w:pPr>
    </w:p>
    <w:p>
      <w:pPr>
        <w:widowControl/>
        <w:ind w:firstLine="420"/>
        <w:jc w:val="center"/>
        <w:rPr>
          <w:rFonts w:ascii="微软雅黑" w:hAnsi="微软雅黑"/>
          <w:b/>
          <w:color w:val="000000" w:themeColor="text1"/>
          <w:szCs w:val="21"/>
          <w:highlight w:val="none"/>
          <w14:textFill>
            <w14:solidFill>
              <w14:schemeClr w14:val="tx1"/>
            </w14:solidFill>
          </w14:textFill>
        </w:rPr>
      </w:pPr>
      <w:r>
        <w:rPr>
          <w:rFonts w:hint="eastAsia" w:ascii="微软雅黑" w:hAnsi="微软雅黑"/>
          <w:b/>
          <w:color w:val="000000" w:themeColor="text1"/>
          <w:szCs w:val="21"/>
          <w:highlight w:val="none"/>
          <w14:textFill>
            <w14:solidFill>
              <w14:schemeClr w14:val="tx1"/>
            </w14:solidFill>
          </w14:textFill>
        </w:rPr>
        <w:t>残疾人福利性单位声明函</w:t>
      </w:r>
    </w:p>
    <w:p>
      <w:pPr>
        <w:widowControl/>
        <w:spacing w:line="360" w:lineRule="auto"/>
        <w:ind w:firstLine="42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 xml:space="preserve">  本单位对上述声明的真实性负责。如有虚假，将依法承担相应责任。</w:t>
      </w:r>
    </w:p>
    <w:p>
      <w:pPr>
        <w:pStyle w:val="3"/>
        <w:rPr>
          <w:rFonts w:ascii="微软雅黑" w:hAnsi="微软雅黑"/>
          <w:color w:val="000000" w:themeColor="text1"/>
          <w:szCs w:val="21"/>
          <w:highlight w:val="none"/>
          <w14:textFill>
            <w14:solidFill>
              <w14:schemeClr w14:val="tx1"/>
            </w14:solidFill>
          </w14:textFill>
        </w:rPr>
      </w:pPr>
    </w:p>
    <w:p>
      <w:pPr>
        <w:rPr>
          <w:color w:val="000000" w:themeColor="text1"/>
          <w:highlight w:val="none"/>
          <w14:textFill>
            <w14:solidFill>
              <w14:schemeClr w14:val="tx1"/>
            </w14:solidFill>
          </w14:textFill>
        </w:rPr>
      </w:pPr>
    </w:p>
    <w:p>
      <w:pPr>
        <w:widowControl/>
        <w:spacing w:line="360" w:lineRule="auto"/>
        <w:ind w:firstLine="42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 xml:space="preserve">          投标人（公章）:                  日 期：</w:t>
      </w:r>
    </w:p>
    <w:p>
      <w:pPr>
        <w:ind w:firstLine="420"/>
        <w:rPr>
          <w:color w:val="000000" w:themeColor="text1"/>
          <w:highlight w:val="none"/>
          <w14:textFill>
            <w14:solidFill>
              <w14:schemeClr w14:val="tx1"/>
            </w14:solidFill>
          </w14:textFill>
        </w:rPr>
        <w:sectPr>
          <w:headerReference r:id="rId7" w:type="default"/>
          <w:footerReference r:id="rId8" w:type="default"/>
          <w:pgSz w:w="11906" w:h="16838"/>
          <w:pgMar w:top="1440" w:right="1800" w:bottom="1440" w:left="1800" w:header="851" w:footer="992" w:gutter="0"/>
          <w:pgNumType w:fmt="decimal"/>
          <w:cols w:space="720" w:num="1"/>
          <w:docGrid w:type="lines" w:linePitch="312" w:charSpace="0"/>
        </w:sectPr>
      </w:pPr>
    </w:p>
    <w:p>
      <w:pPr>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监狱企业证明文件</w:t>
      </w:r>
    </w:p>
    <w:p>
      <w:pPr>
        <w:ind w:firstLine="420"/>
        <w:jc w:val="center"/>
        <w:rPr>
          <w:rFonts w:ascii="微软雅黑" w:hAnsi="微软雅黑"/>
          <w:b/>
          <w:color w:val="000000" w:themeColor="text1"/>
          <w:szCs w:val="21"/>
          <w:highlight w:val="none"/>
          <w14:textFill>
            <w14:solidFill>
              <w14:schemeClr w14:val="tx1"/>
            </w14:solidFill>
          </w14:textFill>
        </w:rPr>
      </w:pPr>
      <w:r>
        <w:rPr>
          <w:rFonts w:hint="eastAsia" w:ascii="微软雅黑" w:hAnsi="微软雅黑"/>
          <w:b/>
          <w:color w:val="000000" w:themeColor="text1"/>
          <w:szCs w:val="21"/>
          <w:highlight w:val="none"/>
          <w14:textFill>
            <w14:solidFill>
              <w14:schemeClr w14:val="tx1"/>
            </w14:solidFill>
          </w14:textFill>
        </w:rPr>
        <w:t>监狱企业证明文件</w:t>
      </w:r>
    </w:p>
    <w:tbl>
      <w:tblPr>
        <w:tblStyle w:val="47"/>
        <w:tblW w:w="882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882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6516" w:hRule="atLeast"/>
        </w:trPr>
        <w:tc>
          <w:tcPr>
            <w:tcW w:w="8820" w:type="dxa"/>
            <w:vAlign w:val="center"/>
          </w:tcPr>
          <w:p>
            <w:pPr>
              <w:ind w:firstLine="420"/>
              <w:jc w:val="center"/>
              <w:rPr>
                <w:rFonts w:ascii="微软雅黑" w:hAnsi="微软雅黑"/>
                <w:b/>
                <w:color w:val="000000" w:themeColor="text1"/>
                <w:szCs w:val="21"/>
                <w:highlight w:val="none"/>
                <w14:textFill>
                  <w14:solidFill>
                    <w14:schemeClr w14:val="tx1"/>
                  </w14:solidFill>
                </w14:textFill>
              </w:rPr>
            </w:pPr>
            <w:r>
              <w:rPr>
                <w:rFonts w:hint="eastAsia" w:ascii="微软雅黑" w:hAnsi="微软雅黑"/>
                <w:b/>
                <w:color w:val="000000" w:themeColor="text1"/>
                <w:szCs w:val="21"/>
                <w:highlight w:val="none"/>
                <w14:textFill>
                  <w14:solidFill>
                    <w14:schemeClr w14:val="tx1"/>
                  </w14:solidFill>
                </w14:textFill>
              </w:rPr>
              <w:t>相关部门出具的监狱企业证明文件</w:t>
            </w:r>
          </w:p>
          <w:p>
            <w:pPr>
              <w:ind w:firstLine="420"/>
              <w:jc w:val="center"/>
              <w:rPr>
                <w:rFonts w:ascii="微软雅黑" w:hAnsi="微软雅黑" w:cs="Arial"/>
                <w:b/>
                <w:i/>
                <w:color w:val="000000" w:themeColor="text1"/>
                <w:kern w:val="0"/>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（如是，提供</w:t>
            </w:r>
            <w:r>
              <w:rPr>
                <w:rFonts w:hint="eastAsia" w:ascii="微软雅黑" w:hAnsi="微软雅黑" w:cs="Arial"/>
                <w:color w:val="000000" w:themeColor="text1"/>
                <w:kern w:val="0"/>
                <w:szCs w:val="21"/>
                <w:highlight w:val="none"/>
                <w14:textFill>
                  <w14:solidFill>
                    <w14:schemeClr w14:val="tx1"/>
                  </w14:solidFill>
                </w14:textFill>
              </w:rPr>
              <w:t>复印件加盖投标供应商公章）</w:t>
            </w:r>
          </w:p>
        </w:tc>
      </w:tr>
    </w:tbl>
    <w:p>
      <w:pPr>
        <w:ind w:firstLine="420"/>
        <w:rPr>
          <w:rFonts w:ascii="微软雅黑" w:hAnsi="微软雅黑" w:cs="Arial"/>
          <w:i/>
          <w:color w:val="000000" w:themeColor="text1"/>
          <w:szCs w:val="21"/>
          <w:highlight w:val="none"/>
          <w14:textFill>
            <w14:solidFill>
              <w14:schemeClr w14:val="tx1"/>
            </w14:solidFill>
          </w14:textFill>
        </w:rPr>
      </w:pPr>
    </w:p>
    <w:p>
      <w:pPr>
        <w:widowControl/>
        <w:spacing w:line="360" w:lineRule="auto"/>
        <w:ind w:firstLine="420"/>
        <w:rPr>
          <w:rFonts w:ascii="微软雅黑" w:hAnsi="微软雅黑"/>
          <w:color w:val="000000" w:themeColor="text1"/>
          <w:szCs w:val="21"/>
          <w:highlight w:val="none"/>
          <w14:textFill>
            <w14:solidFill>
              <w14:schemeClr w14:val="tx1"/>
            </w14:solidFill>
          </w14:textFill>
        </w:rPr>
      </w:pPr>
      <w:r>
        <w:rPr>
          <w:rFonts w:hint="eastAsia" w:ascii="微软雅黑" w:hAnsi="微软雅黑"/>
          <w:color w:val="000000" w:themeColor="text1"/>
          <w:szCs w:val="21"/>
          <w:highlight w:val="none"/>
          <w14:textFill>
            <w14:solidFill>
              <w14:schemeClr w14:val="tx1"/>
            </w14:solidFill>
          </w14:textFill>
        </w:rPr>
        <w:t xml:space="preserve"> 投标人（公章）:                  日 期：</w:t>
      </w:r>
    </w:p>
    <w:p>
      <w:pPr>
        <w:ind w:firstLine="420"/>
        <w:rPr>
          <w:color w:val="000000" w:themeColor="text1"/>
          <w:highlight w:val="none"/>
          <w14:textFill>
            <w14:solidFill>
              <w14:schemeClr w14:val="tx1"/>
            </w14:solidFill>
          </w14:textFill>
        </w:rPr>
        <w:sectPr>
          <w:headerReference r:id="rId9" w:type="default"/>
          <w:footerReference r:id="rId10" w:type="default"/>
          <w:pgSz w:w="11906" w:h="16838"/>
          <w:pgMar w:top="1440" w:right="1800" w:bottom="1440" w:left="1800" w:header="851" w:footer="992" w:gutter="0"/>
          <w:pgNumType w:fmt="decimal"/>
          <w:cols w:space="720" w:num="1"/>
          <w:docGrid w:type="lines" w:linePitch="312" w:charSpace="0"/>
        </w:sectPr>
      </w:pPr>
    </w:p>
    <w:p>
      <w:pPr>
        <w:pStyle w:val="25"/>
        <w:snapToGrid w:val="0"/>
        <w:spacing w:line="360" w:lineRule="auto"/>
        <w:ind w:right="42" w:rightChars="20" w:firstLine="422" w:firstLineChars="200"/>
        <w:jc w:val="left"/>
        <w:rPr>
          <w:rFonts w:asciiTheme="minorEastAsia" w:hAnsiTheme="minorEastAsia" w:eastAsiaTheme="minorEastAsia"/>
          <w:b/>
          <w:color w:val="000000" w:themeColor="text1"/>
          <w:szCs w:val="21"/>
          <w:highlight w:val="none"/>
          <w14:textFill>
            <w14:solidFill>
              <w14:schemeClr w14:val="tx1"/>
            </w14:solidFill>
          </w14:textFill>
        </w:rPr>
      </w:pPr>
    </w:p>
    <w:p>
      <w:pPr>
        <w:autoSpaceDE w:val="0"/>
        <w:autoSpaceDN w:val="0"/>
        <w:spacing w:line="360" w:lineRule="auto"/>
        <w:jc w:val="center"/>
        <w:rPr>
          <w:rFonts w:asciiTheme="minorEastAsia" w:hAnsiTheme="minorEastAsia" w:eastAsiaTheme="minorEastAsia" w:cstheme="minorEastAsia"/>
          <w:b/>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kern w:val="0"/>
          <w:szCs w:val="21"/>
          <w:highlight w:val="none"/>
          <w:lang w:val="zh-CN"/>
          <w14:textFill>
            <w14:solidFill>
              <w14:schemeClr w14:val="tx1"/>
            </w14:solidFill>
          </w14:textFill>
        </w:rPr>
        <w:t>联合协议（</w:t>
      </w:r>
      <w:r>
        <w:rPr>
          <w:rFonts w:hint="eastAsia" w:asciiTheme="minorEastAsia" w:hAnsiTheme="minorEastAsia" w:eastAsiaTheme="minorEastAsia" w:cstheme="minorEastAsia"/>
          <w:b/>
          <w:color w:val="000000" w:themeColor="text1"/>
          <w:kern w:val="0"/>
          <w:szCs w:val="21"/>
          <w:highlight w:val="none"/>
          <w14:textFill>
            <w14:solidFill>
              <w14:schemeClr w14:val="tx1"/>
            </w14:solidFill>
          </w14:textFill>
        </w:rPr>
        <w:t>如有</w:t>
      </w:r>
      <w:r>
        <w:rPr>
          <w:rFonts w:hint="eastAsia" w:asciiTheme="minorEastAsia" w:hAnsiTheme="minorEastAsia" w:eastAsiaTheme="minorEastAsia" w:cstheme="minorEastAsia"/>
          <w:b/>
          <w:color w:val="000000" w:themeColor="text1"/>
          <w:kern w:val="0"/>
          <w:szCs w:val="21"/>
          <w:highlight w:val="none"/>
          <w:lang w:val="zh-CN"/>
          <w14:textFill>
            <w14:solidFill>
              <w14:schemeClr w14:val="tx1"/>
            </w14:solidFill>
          </w14:textFill>
        </w:rPr>
        <w:t>）</w:t>
      </w:r>
    </w:p>
    <w:p>
      <w:pPr>
        <w:pStyle w:val="3"/>
        <w:keepLines w:val="0"/>
        <w:spacing w:line="240" w:lineRule="auto"/>
        <w:rPr>
          <w:color w:val="000000" w:themeColor="text1"/>
          <w:highlight w:val="none"/>
          <w:lang w:val="zh-CN"/>
          <w14:textFill>
            <w14:solidFill>
              <w14:schemeClr w14:val="tx1"/>
            </w14:solidFill>
          </w14:textFill>
        </w:rPr>
      </w:pPr>
    </w:p>
    <w:p>
      <w:pPr>
        <w:widowControl/>
        <w:spacing w:line="360" w:lineRule="auto"/>
        <w:ind w:firstLine="422" w:firstLineChars="200"/>
        <w:jc w:val="left"/>
        <w:rPr>
          <w:rFonts w:asciiTheme="minorEastAsia" w:hAnsiTheme="minorEastAsia" w:eastAsiaTheme="minorEastAsia" w:cs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（联合体所有成员名称）</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自愿</w:t>
      </w: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组成一个联合体，以一个投标人的身份</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参加</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（项目名称）【项目编号：</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嘉消采-GK2023017</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（采购编号）】</w:t>
      </w: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 xml:space="preserve">投标。 </w:t>
      </w:r>
    </w:p>
    <w:p>
      <w:pPr>
        <w:snapToGrid w:val="0"/>
        <w:spacing w:line="360" w:lineRule="auto"/>
        <w:ind w:firstLine="576"/>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一、各方一致决定，</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（某联合体成员名称）</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为联合体</w:t>
      </w: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牵头人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，代表所有联合体成员负责投标和合同实施阶段的主办、协调工作</w:t>
      </w: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w:t>
      </w:r>
    </w:p>
    <w:p>
      <w:pPr>
        <w:snapToGrid w:val="0"/>
        <w:spacing w:line="360" w:lineRule="auto"/>
        <w:ind w:firstLine="576"/>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二、</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所有联合体成员各方签署授权书，授权书载明的</w:t>
      </w: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三、本次联合投标中，分工如下：</w:t>
      </w:r>
    </w:p>
    <w:p>
      <w:pPr>
        <w:snapToGrid w:val="0"/>
        <w:spacing w:line="360" w:lineRule="auto"/>
        <w:ind w:firstLine="576"/>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（联合体成员1）</w:t>
      </w: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承担的工作和义务为：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w:t>
      </w:r>
    </w:p>
    <w:p>
      <w:pPr>
        <w:snapToGrid w:val="0"/>
        <w:spacing w:line="360" w:lineRule="auto"/>
        <w:ind w:firstLine="576"/>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（联合体成员2）</w:t>
      </w: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承担的工作和义务为：</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w:t>
      </w:r>
    </w:p>
    <w:p>
      <w:pPr>
        <w:snapToGrid w:val="0"/>
        <w:spacing w:line="360" w:lineRule="auto"/>
        <w:ind w:firstLine="576"/>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w:t>
      </w:r>
    </w:p>
    <w:p>
      <w:pPr>
        <w:snapToGrid w:val="0"/>
        <w:spacing w:line="360" w:lineRule="auto"/>
        <w:ind w:firstLine="576"/>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四、联合体成员中小企业合同份额。</w:t>
      </w:r>
    </w:p>
    <w:p>
      <w:pPr>
        <w:snapToGrid w:val="0"/>
        <w:spacing w:line="360" w:lineRule="auto"/>
        <w:ind w:firstLine="576"/>
        <w:rPr>
          <w:rFonts w:asciiTheme="minorEastAsia" w:hAnsiTheme="minorEastAsia" w:eastAsiaTheme="minorEastAsia" w:cstheme="minorEastAsia"/>
          <w:b/>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1、</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w:t>
      </w:r>
      <w:bookmarkStart w:id="265" w:name="_Hlk101131882"/>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联合体成员X,……</w:t>
      </w:r>
      <w:bookmarkEnd w:id="265"/>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提供的服务由小微企业承接，其合同份额占到合同总金额</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%以上</w:t>
      </w: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w:t>
      </w:r>
      <w:r>
        <w:rPr>
          <w:rFonts w:hint="eastAsia" w:asciiTheme="minorEastAsia" w:hAnsiTheme="minorEastAsia" w:eastAsiaTheme="minorEastAsia" w:cstheme="minorEastAsia"/>
          <w:b/>
          <w:color w:val="000000" w:themeColor="text1"/>
          <w:kern w:val="0"/>
          <w:szCs w:val="21"/>
          <w:highlight w:val="none"/>
          <w:lang w:val="zh-CN"/>
          <w14:textFill>
            <w14:solidFill>
              <w14:schemeClr w14:val="tx1"/>
            </w14:solidFill>
          </w14:textFill>
        </w:rPr>
        <w:t>（</w:t>
      </w:r>
      <w:bookmarkStart w:id="266" w:name="_Hlk101133598"/>
      <w:r>
        <w:rPr>
          <w:rFonts w:hint="eastAsia" w:asciiTheme="minorEastAsia" w:hAnsiTheme="minorEastAsia" w:eastAsiaTheme="minorEastAsia" w:cstheme="minorEastAsia"/>
          <w:b/>
          <w:color w:val="000000" w:themeColor="text1"/>
          <w:kern w:val="0"/>
          <w:szCs w:val="21"/>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拟享受以上价格扣除政策的，填写有关内容。</w:t>
      </w:r>
      <w:bookmarkEnd w:id="266"/>
      <w:r>
        <w:rPr>
          <w:rFonts w:hint="eastAsia" w:asciiTheme="minorEastAsia" w:hAnsiTheme="minorEastAsia" w:eastAsiaTheme="minorEastAsia" w:cstheme="minorEastAsia"/>
          <w:b/>
          <w:color w:val="000000" w:themeColor="text1"/>
          <w:kern w:val="0"/>
          <w:szCs w:val="21"/>
          <w:highlight w:val="none"/>
          <w:lang w:val="zh-CN"/>
          <w14:textFill>
            <w14:solidFill>
              <w14:schemeClr w14:val="tx1"/>
            </w14:solidFill>
          </w14:textFill>
        </w:rPr>
        <w:t>）</w:t>
      </w:r>
    </w:p>
    <w:p>
      <w:pPr>
        <w:spacing w:line="360" w:lineRule="auto"/>
        <w:ind w:firstLine="420" w:firstLineChars="200"/>
        <w:rPr>
          <w:rFonts w:asciiTheme="minorEastAsia" w:hAnsiTheme="minorEastAsia" w:eastAsiaTheme="minorEastAsia" w:cstheme="minorEastAsia"/>
          <w:b/>
          <w:bCs/>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w:t>
      </w:r>
      <w:bookmarkStart w:id="267" w:name="_Hlk101133173"/>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中小企业合同金额达到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%，小微企业合同金额达到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kern w:val="0"/>
          <w:szCs w:val="21"/>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color w:val="000000" w:themeColor="text1"/>
          <w:kern w:val="0"/>
          <w:szCs w:val="21"/>
          <w:highlight w:val="none"/>
          <w:lang w:val="zh-CN"/>
          <w14:textFill>
            <w14:solidFill>
              <w14:schemeClr w14:val="tx1"/>
            </w14:solidFill>
          </w14:textFill>
        </w:rPr>
        <w:t>）</w:t>
      </w:r>
      <w:bookmarkEnd w:id="267"/>
    </w:p>
    <w:p>
      <w:pPr>
        <w:snapToGrid w:val="0"/>
        <w:spacing w:line="360" w:lineRule="auto"/>
        <w:ind w:firstLine="576"/>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五、如果中标，</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六、有关本次联合投标的其他事宜：</w:t>
      </w:r>
    </w:p>
    <w:p>
      <w:pPr>
        <w:snapToGrid w:val="0"/>
        <w:spacing w:line="360" w:lineRule="auto"/>
        <w:ind w:firstLine="576"/>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4410" w:firstLineChars="2100"/>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联合体成员名称(公章)：</w:t>
      </w:r>
    </w:p>
    <w:p>
      <w:pPr>
        <w:snapToGrid w:val="0"/>
        <w:spacing w:line="360" w:lineRule="auto"/>
        <w:ind w:firstLine="4410" w:firstLineChars="2100"/>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联合体成员名称(公章)：</w:t>
      </w:r>
    </w:p>
    <w:p>
      <w:pPr>
        <w:snapToGrid w:val="0"/>
        <w:spacing w:line="360" w:lineRule="auto"/>
        <w:ind w:right="960"/>
        <w:jc w:val="center"/>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 xml:space="preserve">                   ……</w:t>
      </w:r>
    </w:p>
    <w:p>
      <w:pPr>
        <w:snapToGrid w:val="0"/>
        <w:spacing w:line="360" w:lineRule="auto"/>
        <w:jc w:val="right"/>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日期：  年  月   日</w:t>
      </w:r>
    </w:p>
    <w:p>
      <w:pPr>
        <w:spacing w:line="360" w:lineRule="auto"/>
        <w:ind w:right="42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注：按本格式和要求提供。</w:t>
      </w:r>
    </w:p>
    <w:p>
      <w:pPr>
        <w:pStyle w:val="25"/>
        <w:snapToGrid w:val="0"/>
        <w:spacing w:line="360" w:lineRule="auto"/>
        <w:ind w:right="42" w:rightChars="20" w:firstLine="422" w:firstLineChars="200"/>
        <w:jc w:val="left"/>
        <w:rPr>
          <w:rFonts w:asciiTheme="minorEastAsia" w:hAnsiTheme="minorEastAsia" w:eastAsiaTheme="minorEastAsia" w:cstheme="minorEastAsia"/>
          <w:b/>
          <w:color w:val="000000" w:themeColor="text1"/>
          <w:szCs w:val="21"/>
          <w:highlight w:val="none"/>
          <w14:textFill>
            <w14:solidFill>
              <w14:schemeClr w14:val="tx1"/>
            </w14:solidFill>
          </w14:textFill>
        </w:rPr>
      </w:pPr>
    </w:p>
    <w:p>
      <w:pPr>
        <w:pStyle w:val="25"/>
        <w:snapToGrid w:val="0"/>
        <w:spacing w:line="360" w:lineRule="auto"/>
        <w:ind w:right="42" w:rightChars="20" w:firstLine="422" w:firstLineChars="200"/>
        <w:jc w:val="left"/>
        <w:rPr>
          <w:rFonts w:asciiTheme="minorEastAsia" w:hAnsiTheme="minorEastAsia" w:eastAsiaTheme="minorEastAsia" w:cstheme="minorEastAsia"/>
          <w:b/>
          <w:color w:val="000000" w:themeColor="text1"/>
          <w:szCs w:val="21"/>
          <w:highlight w:val="none"/>
          <w14:textFill>
            <w14:solidFill>
              <w14:schemeClr w14:val="tx1"/>
            </w14:solidFill>
          </w14:textFill>
        </w:rPr>
      </w:pPr>
    </w:p>
    <w:p>
      <w:pPr>
        <w:pStyle w:val="25"/>
        <w:snapToGrid w:val="0"/>
        <w:spacing w:line="360" w:lineRule="auto"/>
        <w:ind w:right="42" w:rightChars="20" w:firstLine="422" w:firstLineChars="200"/>
        <w:jc w:val="left"/>
        <w:rPr>
          <w:rFonts w:asciiTheme="minorEastAsia" w:hAnsiTheme="minorEastAsia" w:eastAsiaTheme="minorEastAsia" w:cstheme="minorEastAsia"/>
          <w:b/>
          <w:color w:val="000000" w:themeColor="text1"/>
          <w:szCs w:val="21"/>
          <w:highlight w:val="none"/>
          <w14:textFill>
            <w14:solidFill>
              <w14:schemeClr w14:val="tx1"/>
            </w14:solidFill>
          </w14:textFill>
        </w:rPr>
      </w:pPr>
    </w:p>
    <w:p>
      <w:pPr>
        <w:pStyle w:val="20"/>
        <w:spacing w:line="360" w:lineRule="auto"/>
        <w:rPr>
          <w:rFonts w:asciiTheme="minorEastAsia" w:hAnsiTheme="minorEastAsia" w:eastAsiaTheme="minorEastAsia" w:cstheme="minorEastAsia"/>
          <w:b/>
          <w:color w:val="000000" w:themeColor="text1"/>
          <w:szCs w:val="21"/>
          <w:highlight w:val="none"/>
          <w14:textFill>
            <w14:solidFill>
              <w14:schemeClr w14:val="tx1"/>
            </w14:solidFill>
          </w14:textFill>
        </w:rPr>
      </w:pPr>
    </w:p>
    <w:p>
      <w:pPr>
        <w:snapToGrid w:val="0"/>
        <w:spacing w:line="360" w:lineRule="auto"/>
        <w:jc w:val="left"/>
        <w:rPr>
          <w:rFonts w:asciiTheme="minorEastAsia" w:hAnsiTheme="minorEastAsia" w:eastAsiaTheme="minorEastAsia" w:cstheme="minorEastAsia"/>
          <w:color w:val="000000" w:themeColor="text1"/>
          <w:szCs w:val="21"/>
          <w:highlight w:val="none"/>
          <w:u w:val="single"/>
          <w14:textFill>
            <w14:solidFill>
              <w14:schemeClr w14:val="tx1"/>
            </w14:solidFill>
          </w14:textFill>
        </w:rPr>
      </w:pPr>
    </w:p>
    <w:p>
      <w:pPr>
        <w:snapToGrid w:val="0"/>
        <w:spacing w:line="360" w:lineRule="auto"/>
        <w:ind w:firstLine="420" w:firstLineChars="200"/>
        <w:jc w:val="left"/>
        <w:rPr>
          <w:rFonts w:asciiTheme="minorEastAsia" w:hAnsiTheme="minorEastAsia" w:eastAsiaTheme="minorEastAsia" w:cstheme="minorEastAsia"/>
          <w:color w:val="000000" w:themeColor="text1"/>
          <w:szCs w:val="21"/>
          <w:highlight w:val="none"/>
          <w14:textFill>
            <w14:solidFill>
              <w14:schemeClr w14:val="tx1"/>
            </w14:solidFill>
          </w14:textFill>
        </w:rPr>
      </w:pPr>
    </w:p>
    <w:p>
      <w:pPr>
        <w:pStyle w:val="3"/>
        <w:keepLines w:val="0"/>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p>
    <w:p>
      <w:pPr>
        <w:pStyle w:val="3"/>
        <w:keepLines w:val="0"/>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p>
    <w:p>
      <w:pPr>
        <w:pStyle w:val="3"/>
        <w:keepLines w:val="0"/>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p>
    <w:p>
      <w:pPr>
        <w:pStyle w:val="3"/>
        <w:keepLines w:val="0"/>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p>
    <w:p>
      <w:pPr>
        <w:pStyle w:val="3"/>
        <w:keepLines w:val="0"/>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p>
    <w:p>
      <w:pPr>
        <w:pStyle w:val="3"/>
        <w:keepLines w:val="0"/>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p>
    <w:p>
      <w:pPr>
        <w:pStyle w:val="3"/>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pPr>
        <w:rPr>
          <w:rFonts w:asciiTheme="minorEastAsia" w:hAnsiTheme="minorEastAsia" w:eastAsiaTheme="minorEastAsia" w:cstheme="minorEastAsia"/>
          <w:color w:val="000000" w:themeColor="text1"/>
          <w:szCs w:val="21"/>
          <w:highlight w:val="none"/>
          <w14:textFill>
            <w14:solidFill>
              <w14:schemeClr w14:val="tx1"/>
            </w14:solidFill>
          </w14:textFill>
        </w:rPr>
      </w:pPr>
    </w:p>
    <w:p>
      <w:pPr>
        <w:pStyle w:val="3"/>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pPr>
        <w:rPr>
          <w:rFonts w:asciiTheme="minorEastAsia" w:hAnsiTheme="minorEastAsia" w:eastAsiaTheme="minorEastAsia" w:cstheme="minorEastAsia"/>
          <w:color w:val="000000" w:themeColor="text1"/>
          <w:szCs w:val="21"/>
          <w:highlight w:val="none"/>
          <w14:textFill>
            <w14:solidFill>
              <w14:schemeClr w14:val="tx1"/>
            </w14:solidFill>
          </w14:textFill>
        </w:rPr>
      </w:pPr>
    </w:p>
    <w:p>
      <w:pPr>
        <w:pStyle w:val="3"/>
        <w:rPr>
          <w:rFonts w:asciiTheme="minorEastAsia" w:hAnsiTheme="minorEastAsia" w:eastAsiaTheme="minorEastAsia" w:cstheme="minorEastAsia"/>
          <w:color w:val="000000" w:themeColor="text1"/>
          <w:sz w:val="21"/>
          <w:szCs w:val="21"/>
          <w:highlight w:val="none"/>
          <w14:textFill>
            <w14:solidFill>
              <w14:schemeClr w14:val="tx1"/>
            </w14:solidFill>
          </w14:textFill>
        </w:rPr>
      </w:pPr>
    </w:p>
    <w:p>
      <w:pPr>
        <w:rPr>
          <w:rFonts w:eastAsiaTheme="minorEastAsia"/>
          <w:color w:val="000000" w:themeColor="text1"/>
          <w:highlight w:val="none"/>
          <w14:textFill>
            <w14:solidFill>
              <w14:schemeClr w14:val="tx1"/>
            </w14:solidFill>
          </w14:textFill>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p>
    <w:p>
      <w:pPr>
        <w:pStyle w:val="3"/>
        <w:keepLines w:val="0"/>
        <w:spacing w:line="240" w:lineRule="auto"/>
        <w:rPr>
          <w:rFonts w:eastAsia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分包意向协议（如有）</w:t>
      </w:r>
    </w:p>
    <w:p>
      <w:pPr>
        <w:snapToGrid w:val="0"/>
        <w:spacing w:line="360" w:lineRule="auto"/>
        <w:ind w:firstLine="2319" w:firstLineChars="1100"/>
        <w:rPr>
          <w:rFonts w:asciiTheme="minorEastAsia" w:hAnsiTheme="minorEastAsia" w:eastAsiaTheme="minorEastAsia" w:cstheme="minorEastAsia"/>
          <w:b/>
          <w:color w:val="000000" w:themeColor="text1"/>
          <w:kern w:val="0"/>
          <w:szCs w:val="21"/>
          <w:highlight w:val="none"/>
          <w14:textFill>
            <w14:solidFill>
              <w14:schemeClr w14:val="tx1"/>
            </w14:solidFill>
          </w14:textFill>
        </w:rPr>
      </w:pPr>
    </w:p>
    <w:p>
      <w:pPr>
        <w:widowControl/>
        <w:spacing w:line="360" w:lineRule="auto"/>
        <w:ind w:firstLine="105" w:firstLineChars="50"/>
        <w:jc w:val="lef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p>
    <w:p>
      <w:pPr>
        <w:snapToGrid w:val="0"/>
        <w:spacing w:line="360" w:lineRule="auto"/>
        <w:ind w:firstLine="576"/>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（投标人名称）</w:t>
      </w: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若成为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（项目名称）【项目编号：</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嘉消采-GK2023017</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（采购编号）】</w:t>
      </w: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的中标供应商，将依法采取分包方式履行合同。</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（投标人名称）</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与</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（所有分包供应商名称）</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达成分包意向协议</w:t>
      </w: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 xml:space="preserve">。 </w:t>
      </w:r>
    </w:p>
    <w:p>
      <w:pPr>
        <w:snapToGrid w:val="0"/>
        <w:spacing w:line="360" w:lineRule="auto"/>
        <w:ind w:firstLine="576"/>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一、分包标的及数量</w:t>
      </w:r>
    </w:p>
    <w:p>
      <w:pPr>
        <w:snapToGrid w:val="0"/>
        <w:spacing w:line="360" w:lineRule="auto"/>
        <w:ind w:firstLine="576"/>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（投标人名称）</w:t>
      </w: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将</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xml:space="preserve"> XX工作内容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分包给</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（分包供应商1名称）</w:t>
      </w: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（分包供应商2名称），</w:t>
      </w: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具备承</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担</w:t>
      </w:r>
      <w:r>
        <w:rPr>
          <w:rFonts w:hint="eastAsia" w:asciiTheme="minorEastAsia" w:hAnsiTheme="minorEastAsia" w:eastAsiaTheme="minorEastAsia" w:cstheme="minorEastAsia"/>
          <w:color w:val="000000" w:themeColor="text1"/>
          <w:kern w:val="0"/>
          <w:szCs w:val="21"/>
          <w:highlight w:val="none"/>
          <w:u w:val="single"/>
          <w:lang w:val="zh-CN"/>
          <w14:textFill>
            <w14:solidFill>
              <w14:schemeClr w14:val="tx1"/>
            </w14:solidFill>
          </w14:textFill>
        </w:rPr>
        <w:t>XX工作内容</w:t>
      </w: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相应资质条件且不得再次分包；</w:t>
      </w:r>
    </w:p>
    <w:p>
      <w:pPr>
        <w:pStyle w:val="3"/>
        <w:keepLines w:val="0"/>
        <w:tabs>
          <w:tab w:val="left" w:pos="432"/>
        </w:tabs>
        <w:ind w:left="664" w:leftChars="316" w:firstLine="200" w:firstLineChars="95"/>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 xml:space="preserve"> </w:t>
      </w:r>
    </w:p>
    <w:p>
      <w:pPr>
        <w:snapToGrid w:val="0"/>
        <w:spacing w:line="360" w:lineRule="auto"/>
        <w:ind w:firstLine="576"/>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二、分包供应商中小企业合同份额</w:t>
      </w:r>
    </w:p>
    <w:p>
      <w:pPr>
        <w:snapToGrid w:val="0"/>
        <w:spacing w:line="360" w:lineRule="auto"/>
        <w:ind w:firstLine="576"/>
        <w:rPr>
          <w:rFonts w:asciiTheme="minorEastAsia" w:hAnsiTheme="minorEastAsia" w:eastAsiaTheme="minorEastAsia" w:cstheme="minorEastAsia"/>
          <w:b/>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（分包供应商X,……）提供的服务全部由小微企业承接，</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其合同份额占到合同总金额</w:t>
      </w:r>
      <w:r>
        <w:rPr>
          <w:rFonts w:hint="eastAsia" w:asciiTheme="minorEastAsia" w:hAnsiTheme="minorEastAsia" w:eastAsiaTheme="minorEastAsia" w:cstheme="minorEastAsia"/>
          <w:color w:val="000000" w:themeColor="text1"/>
          <w:kern w:val="0"/>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%以上</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b/>
          <w:color w:val="000000" w:themeColor="text1"/>
          <w:kern w:val="0"/>
          <w:szCs w:val="21"/>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拟享受以上价格扣除政策的，填写有关内容。</w:t>
      </w:r>
      <w:r>
        <w:rPr>
          <w:rFonts w:hint="eastAsia" w:asciiTheme="minorEastAsia" w:hAnsiTheme="minorEastAsia" w:eastAsiaTheme="minorEastAsia" w:cstheme="minorEastAsia"/>
          <w:b/>
          <w:color w:val="000000" w:themeColor="text1"/>
          <w:kern w:val="0"/>
          <w:szCs w:val="21"/>
          <w:highlight w:val="none"/>
          <w:lang w:val="zh-CN"/>
          <w14:textFill>
            <w14:solidFill>
              <w14:schemeClr w14:val="tx1"/>
            </w14:solidFill>
          </w14:textFill>
        </w:rPr>
        <w:t>）</w:t>
      </w:r>
    </w:p>
    <w:p>
      <w:pPr>
        <w:spacing w:line="360" w:lineRule="auto"/>
        <w:ind w:firstLine="420" w:firstLineChars="200"/>
        <w:rPr>
          <w:rFonts w:asciiTheme="minorEastAsia" w:hAnsiTheme="minorEastAsia" w:eastAsiaTheme="minorEastAsia" w:cstheme="minorEastAsia"/>
          <w:b/>
          <w:bCs/>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2、中小企业合同金额达到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%，小微企业合同金额达到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kern w:val="0"/>
          <w:szCs w:val="21"/>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color w:val="000000" w:themeColor="text1"/>
          <w:kern w:val="0"/>
          <w:szCs w:val="21"/>
          <w:highlight w:val="none"/>
          <w:lang w:val="zh-CN"/>
          <w14:textFill>
            <w14:solidFill>
              <w14:schemeClr w14:val="tx1"/>
            </w14:solidFill>
          </w14:textFill>
        </w:rPr>
        <w:t>分包意向协议</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中中小企业、小微企业合同金额应当达到的比例要求填写。</w:t>
      </w:r>
      <w:r>
        <w:rPr>
          <w:rFonts w:hint="eastAsia" w:asciiTheme="minorEastAsia" w:hAnsiTheme="minorEastAsia" w:eastAsiaTheme="minorEastAsia" w:cstheme="minorEastAsia"/>
          <w:b/>
          <w:bCs/>
          <w:color w:val="000000" w:themeColor="text1"/>
          <w:kern w:val="0"/>
          <w:szCs w:val="21"/>
          <w:highlight w:val="none"/>
          <w:lang w:val="zh-CN"/>
          <w14:textFill>
            <w14:solidFill>
              <w14:schemeClr w14:val="tx1"/>
            </w14:solidFill>
          </w14:textFill>
        </w:rPr>
        <w:t>）</w:t>
      </w:r>
    </w:p>
    <w:p>
      <w:pPr>
        <w:snapToGrid w:val="0"/>
        <w:spacing w:line="360" w:lineRule="auto"/>
        <w:ind w:firstLine="576"/>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三、分包工作履行期限、地点、方式</w:t>
      </w:r>
    </w:p>
    <w:p>
      <w:pPr>
        <w:snapToGrid w:val="0"/>
        <w:spacing w:line="360" w:lineRule="auto"/>
        <w:ind w:firstLine="576"/>
        <w:rPr>
          <w:rFonts w:asciiTheme="minorEastAsia" w:hAnsiTheme="minorEastAsia" w:eastAsiaTheme="minorEastAsia" w:cstheme="minorEastAsia"/>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pPr>
        <w:snapToGrid w:val="0"/>
        <w:spacing w:line="360" w:lineRule="auto"/>
        <w:ind w:firstLine="576"/>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四、质量</w:t>
      </w:r>
    </w:p>
    <w:p>
      <w:pPr>
        <w:snapToGrid w:val="0"/>
        <w:spacing w:line="360" w:lineRule="auto"/>
        <w:ind w:firstLine="576"/>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pPr>
        <w:snapToGrid w:val="0"/>
        <w:spacing w:line="360" w:lineRule="auto"/>
        <w:ind w:firstLine="576"/>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五、价款或者报酬</w:t>
      </w:r>
    </w:p>
    <w:p>
      <w:pPr>
        <w:snapToGrid w:val="0"/>
        <w:spacing w:line="360" w:lineRule="auto"/>
        <w:ind w:left="573" w:leftChars="273"/>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pPr>
        <w:snapToGrid w:val="0"/>
        <w:spacing w:line="360" w:lineRule="auto"/>
        <w:ind w:left="573" w:leftChars="273"/>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六、违约责任</w:t>
      </w:r>
    </w:p>
    <w:p>
      <w:pPr>
        <w:snapToGrid w:val="0"/>
        <w:spacing w:line="360" w:lineRule="auto"/>
        <w:ind w:firstLine="576"/>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pPr>
        <w:snapToGrid w:val="0"/>
        <w:spacing w:line="360" w:lineRule="auto"/>
        <w:ind w:firstLine="576"/>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七、争议解决的办法</w:t>
      </w:r>
    </w:p>
    <w:p>
      <w:pPr>
        <w:snapToGrid w:val="0"/>
        <w:spacing w:line="360" w:lineRule="auto"/>
        <w:ind w:firstLine="576"/>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pPr>
        <w:snapToGrid w:val="0"/>
        <w:spacing w:line="360" w:lineRule="auto"/>
        <w:ind w:firstLine="576"/>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八、其他</w:t>
      </w:r>
    </w:p>
    <w:p>
      <w:pPr>
        <w:snapToGrid w:val="0"/>
        <w:spacing w:line="360" w:lineRule="auto"/>
        <w:ind w:left="5128" w:leftChars="342" w:hanging="4410" w:hangingChars="2100"/>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中小企业合同金额达到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%，小微企业合同金额达到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 xml:space="preserve">  。                                           投标人名称(</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公章</w:t>
      </w: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w:t>
      </w:r>
    </w:p>
    <w:p>
      <w:pPr>
        <w:snapToGrid w:val="0"/>
        <w:spacing w:line="360" w:lineRule="auto"/>
        <w:jc w:val="right"/>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分包供应商名称(公章)：</w:t>
      </w:r>
    </w:p>
    <w:p>
      <w:pPr>
        <w:snapToGrid w:val="0"/>
        <w:spacing w:line="360" w:lineRule="auto"/>
        <w:ind w:firstLine="5040" w:firstLineChars="24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w:t>
      </w:r>
    </w:p>
    <w:p>
      <w:pPr>
        <w:snapToGrid w:val="0"/>
        <w:spacing w:line="360" w:lineRule="auto"/>
        <w:ind w:left="5128" w:leftChars="342" w:hanging="4410" w:hangingChars="2100"/>
        <w:rPr>
          <w:rFonts w:asciiTheme="minorEastAsia" w:hAnsiTheme="minorEastAsia" w:eastAsiaTheme="minorEastAsia" w:cstheme="minorEastAsia"/>
          <w:color w:val="000000" w:themeColor="text1"/>
          <w:kern w:val="0"/>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kern w:val="0"/>
          <w:szCs w:val="21"/>
          <w:highlight w:val="none"/>
          <w:lang w:val="zh-CN"/>
          <w14:textFill>
            <w14:solidFill>
              <w14:schemeClr w14:val="tx1"/>
            </w14:solidFill>
          </w14:textFill>
        </w:rPr>
        <w:t xml:space="preserve">                                        日期：  年  月   日</w:t>
      </w:r>
    </w:p>
    <w:p>
      <w:pPr>
        <w:spacing w:line="360" w:lineRule="auto"/>
        <w:ind w:right="42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注：按本格式和要求提供。</w:t>
      </w:r>
    </w:p>
    <w:p>
      <w:pPr>
        <w:autoSpaceDE w:val="0"/>
        <w:autoSpaceDN w:val="0"/>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pStyle w:val="3"/>
        <w:rPr>
          <w:color w:val="000000" w:themeColor="text1"/>
          <w:highlight w:val="none"/>
          <w14:textFill>
            <w14:solidFill>
              <w14:schemeClr w14:val="tx1"/>
            </w14:solidFill>
          </w14:textFill>
        </w:rPr>
        <w:sectPr>
          <w:pgSz w:w="11906" w:h="16838"/>
          <w:pgMar w:top="1474" w:right="1797" w:bottom="1247" w:left="1797" w:header="851" w:footer="851" w:gutter="0"/>
          <w:pgNumType w:fmt="decimal"/>
          <w:cols w:space="720" w:num="1"/>
          <w:docGrid w:linePitch="312" w:charSpace="0"/>
        </w:sectPr>
      </w:pP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投标人的类似成功案例的业绩证明文件：</w:t>
      </w:r>
    </w:p>
    <w:p>
      <w:pPr>
        <w:pStyle w:val="35"/>
        <w:snapToGrid w:val="0"/>
        <w:spacing w:line="360" w:lineRule="auto"/>
        <w:ind w:left="0"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投标人同类项目实施情况一览表格式：（投标人同类项目合同复印件）</w:t>
      </w:r>
    </w:p>
    <w:tbl>
      <w:tblPr>
        <w:tblStyle w:val="47"/>
        <w:tblW w:w="142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517"/>
        <w:gridCol w:w="31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71" w:hRule="atLeast"/>
        </w:trPr>
        <w:tc>
          <w:tcPr>
            <w:tcW w:w="26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采购单位名称</w:t>
            </w:r>
          </w:p>
        </w:tc>
        <w:tc>
          <w:tcPr>
            <w:tcW w:w="34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设备或项目名称</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合同</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金额</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（万元）</w:t>
            </w:r>
          </w:p>
        </w:tc>
        <w:tc>
          <w:tcPr>
            <w:tcW w:w="1517" w:type="dxa"/>
            <w:tcBorders>
              <w:top w:val="single" w:color="auto" w:sz="4" w:space="0"/>
              <w:left w:val="single" w:color="auto" w:sz="4" w:space="0"/>
              <w:right w:val="single" w:color="auto" w:sz="4" w:space="0"/>
            </w:tcBorders>
            <w:vAlign w:val="center"/>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附件页码</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31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采购单位联系人及</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1517"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3118"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1517"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3118"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1517"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3118"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1517"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3118"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1517"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3118"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r>
    </w:tbl>
    <w:p>
      <w:pPr>
        <w:pStyle w:val="15"/>
        <w:snapToGrid w:val="0"/>
        <w:spacing w:before="0" w:after="0" w:line="360" w:lineRule="auto"/>
        <w:ind w:firstLine="420" w:firstLineChars="200"/>
        <w:jc w:val="left"/>
        <w:rPr>
          <w:rFonts w:ascii="宋体" w:hAnsi="宋体" w:eastAsia="宋体"/>
          <w:color w:val="000000" w:themeColor="text1"/>
          <w:sz w:val="21"/>
          <w:szCs w:val="21"/>
          <w:highlight w:val="none"/>
          <w14:textFill>
            <w14:solidFill>
              <w14:schemeClr w14:val="tx1"/>
            </w14:solidFill>
          </w14:textFill>
        </w:rPr>
      </w:pPr>
    </w:p>
    <w:p>
      <w:pPr>
        <w:pStyle w:val="15"/>
        <w:snapToGrid w:val="0"/>
        <w:spacing w:before="0" w:after="0" w:line="360" w:lineRule="auto"/>
        <w:ind w:firstLine="420" w:firstLineChars="200"/>
        <w:jc w:val="left"/>
        <w:rPr>
          <w:rFonts w:ascii="宋体" w:hAnsi="宋体" w:eastAsia="宋体"/>
          <w:color w:val="000000" w:themeColor="text1"/>
          <w:sz w:val="21"/>
          <w:szCs w:val="21"/>
          <w:highlight w:val="none"/>
          <w:u w:val="singl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法定代表人或其委托代理人签名（或盖章）：</w:t>
      </w:r>
      <w:r>
        <w:rPr>
          <w:rFonts w:hint="eastAsia" w:ascii="宋体" w:hAnsi="宋体" w:eastAsia="宋体"/>
          <w:color w:val="000000" w:themeColor="text1"/>
          <w:sz w:val="21"/>
          <w:szCs w:val="21"/>
          <w:highlight w:val="none"/>
          <w:u w:val="single"/>
          <w14:textFill>
            <w14:solidFill>
              <w14:schemeClr w14:val="tx1"/>
            </w14:solidFill>
          </w14:textFill>
        </w:rPr>
        <w:t>　　　　　</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投标人公章：年月日</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sectPr>
          <w:pgSz w:w="16838" w:h="11906" w:orient="landscape"/>
          <w:pgMar w:top="1797" w:right="1474" w:bottom="1797" w:left="1247" w:header="851" w:footer="851" w:gutter="0"/>
          <w:pgNumType w:fmt="decimal"/>
          <w:cols w:space="720" w:num="1"/>
          <w:docGrid w:linePitch="312" w:charSpace="0"/>
        </w:sectPr>
      </w:pP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商务响应表格式：</w:t>
      </w:r>
    </w:p>
    <w:tbl>
      <w:tblPr>
        <w:tblStyle w:val="47"/>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76"/>
        <w:gridCol w:w="1891"/>
        <w:gridCol w:w="1653"/>
        <w:gridCol w:w="26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2376"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w:t>
            </w:r>
          </w:p>
        </w:tc>
        <w:tc>
          <w:tcPr>
            <w:tcW w:w="1891"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招标文件要求</w:t>
            </w:r>
          </w:p>
        </w:tc>
        <w:tc>
          <w:tcPr>
            <w:tcW w:w="1653"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是否响应</w:t>
            </w:r>
          </w:p>
        </w:tc>
        <w:tc>
          <w:tcPr>
            <w:tcW w:w="2645"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376"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line="360" w:lineRule="auto"/>
              <w:jc w:val="center"/>
              <w:textAlignment w:val="baseline"/>
              <w:rPr>
                <w:rFonts w:ascii="宋体" w:hAnsi="宋体"/>
                <w:color w:val="000000" w:themeColor="text1"/>
                <w:szCs w:val="21"/>
                <w:highlight w:val="none"/>
                <w14:textFill>
                  <w14:solidFill>
                    <w14:schemeClr w14:val="tx1"/>
                  </w14:solidFill>
                </w14:textFill>
              </w:rPr>
            </w:pPr>
          </w:p>
        </w:tc>
        <w:tc>
          <w:tcPr>
            <w:tcW w:w="1891"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1653"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76"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line="360" w:lineRule="auto"/>
              <w:jc w:val="center"/>
              <w:textAlignment w:val="baseline"/>
              <w:rPr>
                <w:rFonts w:ascii="宋体" w:hAnsi="宋体"/>
                <w:color w:val="000000" w:themeColor="text1"/>
                <w:szCs w:val="21"/>
                <w:highlight w:val="none"/>
                <w14:textFill>
                  <w14:solidFill>
                    <w14:schemeClr w14:val="tx1"/>
                  </w14:solidFill>
                </w14:textFill>
              </w:rPr>
            </w:pPr>
          </w:p>
        </w:tc>
        <w:tc>
          <w:tcPr>
            <w:tcW w:w="1891"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1653"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76" w:type="dxa"/>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spacing w:line="360" w:lineRule="auto"/>
              <w:jc w:val="center"/>
              <w:textAlignment w:val="baseline"/>
              <w:rPr>
                <w:rFonts w:ascii="宋体" w:hAnsi="宋体"/>
                <w:color w:val="000000" w:themeColor="text1"/>
                <w:szCs w:val="21"/>
                <w:highlight w:val="none"/>
                <w14:textFill>
                  <w14:solidFill>
                    <w14:schemeClr w14:val="tx1"/>
                  </w14:solidFill>
                </w14:textFill>
              </w:rPr>
            </w:pPr>
          </w:p>
        </w:tc>
        <w:tc>
          <w:tcPr>
            <w:tcW w:w="1891"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1653"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p>
        </w:tc>
        <w:tc>
          <w:tcPr>
            <w:tcW w:w="1891"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1653"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tc>
      </w:tr>
    </w:tbl>
    <w:p>
      <w:pPr>
        <w:pStyle w:val="25"/>
        <w:spacing w:line="360" w:lineRule="auto"/>
        <w:ind w:firstLine="420" w:firstLineChars="200"/>
        <w:jc w:val="left"/>
        <w:rPr>
          <w:rFonts w:hAnsi="宋体"/>
          <w:color w:val="000000" w:themeColor="text1"/>
          <w:szCs w:val="21"/>
          <w:highlight w:val="none"/>
          <w14:textFill>
            <w14:solidFill>
              <w14:schemeClr w14:val="tx1"/>
            </w14:solidFill>
          </w14:textFill>
        </w:rPr>
      </w:pPr>
    </w:p>
    <w:p>
      <w:pPr>
        <w:pStyle w:val="25"/>
        <w:spacing w:line="360" w:lineRule="auto"/>
        <w:ind w:firstLine="420" w:firstLineChars="200"/>
        <w:jc w:val="lef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注：本表不允许负偏离；</w:t>
      </w:r>
    </w:p>
    <w:p>
      <w:pPr>
        <w:pStyle w:val="25"/>
        <w:spacing w:line="360" w:lineRule="auto"/>
        <w:ind w:firstLine="420" w:firstLineChars="200"/>
        <w:jc w:val="lef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▲不提供本表视为完全响应招标文件要求。</w:t>
      </w:r>
    </w:p>
    <w:p>
      <w:pPr>
        <w:pStyle w:val="25"/>
        <w:spacing w:line="360" w:lineRule="auto"/>
        <w:ind w:firstLine="420" w:firstLineChars="200"/>
        <w:jc w:val="lef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 xml:space="preserve">法定代表人或其委托代理人签名（或盖章）：                </w:t>
      </w:r>
    </w:p>
    <w:p>
      <w:pPr>
        <w:pStyle w:val="25"/>
        <w:spacing w:line="360" w:lineRule="auto"/>
        <w:ind w:firstLine="420" w:firstLineChars="200"/>
        <w:jc w:val="lef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投标人：（单位公章）</w:t>
      </w:r>
    </w:p>
    <w:p>
      <w:pPr>
        <w:pStyle w:val="25"/>
        <w:spacing w:line="360" w:lineRule="auto"/>
        <w:ind w:firstLine="420" w:firstLineChars="200"/>
        <w:jc w:val="left"/>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日期：年月  日</w:t>
      </w:r>
    </w:p>
    <w:p>
      <w:pPr>
        <w:snapToGrid w:val="0"/>
        <w:spacing w:line="360" w:lineRule="auto"/>
        <w:ind w:firstLine="422" w:firstLineChars="200"/>
        <w:jc w:val="left"/>
        <w:rPr>
          <w:rFonts w:ascii="宋体" w:hAnsi="宋体"/>
          <w:b/>
          <w:bCs/>
          <w:color w:val="000000" w:themeColor="text1"/>
          <w:szCs w:val="21"/>
          <w:highlight w:val="none"/>
          <w14:textFill>
            <w14:solidFill>
              <w14:schemeClr w14:val="tx1"/>
            </w14:solidFill>
          </w14:textFill>
        </w:rPr>
      </w:pPr>
    </w:p>
    <w:p>
      <w:pPr>
        <w:pStyle w:val="58"/>
        <w:rPr>
          <w:color w:val="000000" w:themeColor="text1"/>
          <w:highlight w:val="none"/>
          <w14:textFill>
            <w14:solidFill>
              <w14:schemeClr w14:val="tx1"/>
            </w14:solidFill>
          </w14:textFill>
        </w:rPr>
      </w:pPr>
    </w:p>
    <w:p>
      <w:pPr>
        <w:snapToGrid w:val="0"/>
        <w:spacing w:before="50" w:after="120" w:afterLines="50"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技术响应表格式</w:t>
      </w:r>
    </w:p>
    <w:tbl>
      <w:tblPr>
        <w:tblStyle w:val="47"/>
        <w:tblW w:w="89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7"/>
        <w:gridCol w:w="2475"/>
        <w:gridCol w:w="1583"/>
        <w:gridCol w:w="1849"/>
        <w:gridCol w:w="14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6" w:hRule="atLeast"/>
          <w:jc w:val="center"/>
        </w:trPr>
        <w:tc>
          <w:tcPr>
            <w:tcW w:w="4052" w:type="dxa"/>
            <w:gridSpan w:val="2"/>
            <w:tcBorders>
              <w:top w:val="single" w:color="auto" w:sz="4" w:space="0"/>
              <w:left w:val="single" w:color="auto" w:sz="4" w:space="0"/>
              <w:bottom w:val="single" w:color="auto" w:sz="4" w:space="0"/>
              <w:right w:val="single" w:color="auto" w:sz="4" w:space="0"/>
            </w:tcBorders>
          </w:tcPr>
          <w:p>
            <w:pPr>
              <w:snapToGrid w:val="0"/>
              <w:spacing w:line="360" w:lineRule="auto"/>
              <w:jc w:val="center"/>
              <w:outlineLvl w:val="0"/>
              <w:rPr>
                <w:rFonts w:ascii="宋体" w:hAnsi="宋体"/>
                <w:color w:val="000000" w:themeColor="text1"/>
                <w:szCs w:val="21"/>
                <w:highlight w:val="none"/>
                <w14:textFill>
                  <w14:solidFill>
                    <w14:schemeClr w14:val="tx1"/>
                  </w14:solidFill>
                </w14:textFill>
              </w:rPr>
            </w:pPr>
            <w:bookmarkStart w:id="268" w:name="_Toc62745298"/>
            <w:bookmarkStart w:id="269" w:name="_Toc385854110"/>
            <w:bookmarkStart w:id="270" w:name="_Toc382928118"/>
            <w:bookmarkStart w:id="271" w:name="_Toc382928236"/>
            <w:bookmarkStart w:id="272" w:name="_Toc377028057"/>
            <w:bookmarkStart w:id="273" w:name="_Toc377028119"/>
            <w:bookmarkStart w:id="274" w:name="_Toc402963095"/>
            <w:bookmarkStart w:id="275" w:name="_Toc385854156"/>
            <w:bookmarkStart w:id="276" w:name="_Toc402963128"/>
            <w:bookmarkStart w:id="277" w:name="_Toc406402957"/>
            <w:bookmarkStart w:id="278" w:name="_Toc406403001"/>
            <w:bookmarkStart w:id="279" w:name="_Toc377653976"/>
            <w:bookmarkStart w:id="280" w:name="_Toc401570314"/>
            <w:bookmarkStart w:id="281" w:name="_Toc401570290"/>
            <w:bookmarkStart w:id="282" w:name="_Toc381081903"/>
            <w:r>
              <w:rPr>
                <w:rFonts w:hint="eastAsia" w:ascii="宋体" w:hAnsi="宋体"/>
                <w:color w:val="000000" w:themeColor="text1"/>
                <w:szCs w:val="21"/>
                <w:highlight w:val="none"/>
                <w14:textFill>
                  <w14:solidFill>
                    <w14:schemeClr w14:val="tx1"/>
                  </w14:solidFill>
                </w14:textFill>
              </w:rPr>
              <w:t>招标文件要求</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tc>
        <w:tc>
          <w:tcPr>
            <w:tcW w:w="3432" w:type="dxa"/>
            <w:gridSpan w:val="2"/>
            <w:tcBorders>
              <w:top w:val="single" w:color="auto" w:sz="4" w:space="0"/>
              <w:left w:val="single" w:color="auto" w:sz="4" w:space="0"/>
              <w:bottom w:val="single" w:color="auto" w:sz="4" w:space="0"/>
              <w:right w:val="single" w:color="auto" w:sz="4" w:space="0"/>
            </w:tcBorders>
          </w:tcPr>
          <w:p>
            <w:pPr>
              <w:snapToGrid w:val="0"/>
              <w:spacing w:line="360" w:lineRule="auto"/>
              <w:jc w:val="center"/>
              <w:outlineLvl w:val="0"/>
              <w:rPr>
                <w:rFonts w:ascii="宋体" w:hAnsi="宋体"/>
                <w:color w:val="000000" w:themeColor="text1"/>
                <w:szCs w:val="21"/>
                <w:highlight w:val="none"/>
                <w14:textFill>
                  <w14:solidFill>
                    <w14:schemeClr w14:val="tx1"/>
                  </w14:solidFill>
                </w14:textFill>
              </w:rPr>
            </w:pPr>
            <w:bookmarkStart w:id="283" w:name="_Toc382928119"/>
            <w:bookmarkStart w:id="284" w:name="_Toc62745299"/>
            <w:bookmarkStart w:id="285" w:name="_Toc382928237"/>
            <w:bookmarkStart w:id="286" w:name="_Toc385854111"/>
            <w:bookmarkStart w:id="287" w:name="_Toc401570291"/>
            <w:bookmarkStart w:id="288" w:name="_Toc406402958"/>
            <w:bookmarkStart w:id="289" w:name="_Toc402963096"/>
            <w:bookmarkStart w:id="290" w:name="_Toc406403002"/>
            <w:bookmarkStart w:id="291" w:name="_Toc401570315"/>
            <w:bookmarkStart w:id="292" w:name="_Toc377653977"/>
            <w:bookmarkStart w:id="293" w:name="_Toc377028120"/>
            <w:bookmarkStart w:id="294" w:name="_Toc381081904"/>
            <w:bookmarkStart w:id="295" w:name="_Toc377028058"/>
            <w:bookmarkStart w:id="296" w:name="_Toc385854157"/>
            <w:bookmarkStart w:id="297" w:name="_Toc402963129"/>
            <w:r>
              <w:rPr>
                <w:rFonts w:hint="eastAsia" w:ascii="宋体" w:hAnsi="宋体"/>
                <w:color w:val="000000" w:themeColor="text1"/>
                <w:szCs w:val="21"/>
                <w:highlight w:val="none"/>
                <w14:textFill>
                  <w14:solidFill>
                    <w14:schemeClr w14:val="tx1"/>
                  </w14:solidFill>
                </w14:textFill>
              </w:rPr>
              <w:t>投标文件响应</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tc>
        <w:tc>
          <w:tcPr>
            <w:tcW w:w="145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outlineLvl w:val="0"/>
              <w:rPr>
                <w:rFonts w:ascii="宋体" w:hAnsi="宋体"/>
                <w:color w:val="000000" w:themeColor="text1"/>
                <w:szCs w:val="21"/>
                <w:highlight w:val="none"/>
                <w14:textFill>
                  <w14:solidFill>
                    <w14:schemeClr w14:val="tx1"/>
                  </w14:solidFill>
                </w14:textFill>
              </w:rPr>
            </w:pPr>
            <w:bookmarkStart w:id="298" w:name="_Toc402963130"/>
            <w:bookmarkStart w:id="299" w:name="_Toc402963097"/>
            <w:bookmarkStart w:id="300" w:name="_Toc377653978"/>
            <w:bookmarkStart w:id="301" w:name="_Toc62745300"/>
            <w:bookmarkStart w:id="302" w:name="_Toc377028059"/>
            <w:bookmarkStart w:id="303" w:name="_Toc385854158"/>
            <w:bookmarkStart w:id="304" w:name="_Toc381081905"/>
            <w:bookmarkStart w:id="305" w:name="_Toc382928120"/>
            <w:bookmarkStart w:id="306" w:name="_Toc382928238"/>
            <w:bookmarkStart w:id="307" w:name="_Toc385854112"/>
            <w:bookmarkStart w:id="308" w:name="_Toc406403003"/>
            <w:bookmarkStart w:id="309" w:name="_Toc401570292"/>
            <w:bookmarkStart w:id="310" w:name="_Toc377028121"/>
            <w:bookmarkStart w:id="311" w:name="_Toc401570316"/>
            <w:bookmarkStart w:id="312" w:name="_Toc406402959"/>
            <w:r>
              <w:rPr>
                <w:rFonts w:hint="eastAsia" w:ascii="宋体" w:hAnsi="宋体"/>
                <w:color w:val="000000" w:themeColor="text1"/>
                <w:szCs w:val="21"/>
                <w:highlight w:val="none"/>
                <w14:textFill>
                  <w14:solidFill>
                    <w14:schemeClr w14:val="tx1"/>
                  </w14:solidFill>
                </w14:textFill>
              </w:rPr>
              <w:t>偏离情况</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jc w:val="center"/>
        </w:trPr>
        <w:tc>
          <w:tcPr>
            <w:tcW w:w="1577" w:type="dxa"/>
            <w:tcBorders>
              <w:top w:val="single" w:color="auto" w:sz="4" w:space="0"/>
              <w:left w:val="single" w:color="auto" w:sz="4" w:space="0"/>
              <w:bottom w:val="single" w:color="auto" w:sz="4" w:space="0"/>
              <w:right w:val="single" w:color="auto" w:sz="4" w:space="0"/>
            </w:tcBorders>
          </w:tcPr>
          <w:p>
            <w:pPr>
              <w:snapToGrid w:val="0"/>
              <w:spacing w:line="360" w:lineRule="auto"/>
              <w:jc w:val="center"/>
              <w:outlineLvl w:val="0"/>
              <w:rPr>
                <w:rFonts w:ascii="宋体" w:hAnsi="宋体"/>
                <w:color w:val="000000" w:themeColor="text1"/>
                <w:szCs w:val="21"/>
                <w:highlight w:val="none"/>
                <w14:textFill>
                  <w14:solidFill>
                    <w14:schemeClr w14:val="tx1"/>
                  </w14:solidFill>
                </w14:textFill>
              </w:rPr>
            </w:pPr>
            <w:bookmarkStart w:id="313" w:name="_Toc62745301"/>
            <w:bookmarkStart w:id="314" w:name="_Toc406402960"/>
            <w:bookmarkStart w:id="315" w:name="_Toc377653979"/>
            <w:bookmarkStart w:id="316" w:name="_Toc377028122"/>
            <w:bookmarkStart w:id="317" w:name="_Toc385854113"/>
            <w:bookmarkStart w:id="318" w:name="_Toc382928239"/>
            <w:bookmarkStart w:id="319" w:name="_Toc382928121"/>
            <w:bookmarkStart w:id="320" w:name="_Toc402963131"/>
            <w:bookmarkStart w:id="321" w:name="_Toc377028060"/>
            <w:bookmarkStart w:id="322" w:name="_Toc385854159"/>
            <w:bookmarkStart w:id="323" w:name="_Toc402963098"/>
            <w:bookmarkStart w:id="324" w:name="_Toc401570317"/>
            <w:bookmarkStart w:id="325" w:name="_Toc401570293"/>
            <w:bookmarkStart w:id="326" w:name="_Toc406403004"/>
            <w:bookmarkStart w:id="327" w:name="_Toc381081906"/>
            <w:r>
              <w:rPr>
                <w:rFonts w:hint="eastAsia" w:ascii="宋体" w:hAnsi="宋体"/>
                <w:color w:val="000000" w:themeColor="text1"/>
                <w:szCs w:val="21"/>
                <w:highlight w:val="none"/>
                <w14:textFill>
                  <w14:solidFill>
                    <w14:schemeClr w14:val="tx1"/>
                  </w14:solidFill>
                </w14:textFill>
              </w:rPr>
              <w:t>项目</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tc>
        <w:tc>
          <w:tcPr>
            <w:tcW w:w="2475" w:type="dxa"/>
            <w:tcBorders>
              <w:top w:val="single" w:color="auto" w:sz="4" w:space="0"/>
              <w:left w:val="single" w:color="auto" w:sz="4" w:space="0"/>
              <w:bottom w:val="single" w:color="auto" w:sz="4" w:space="0"/>
              <w:right w:val="single" w:color="auto" w:sz="4" w:space="0"/>
            </w:tcBorders>
          </w:tcPr>
          <w:p>
            <w:pPr>
              <w:snapToGrid w:val="0"/>
              <w:spacing w:line="360" w:lineRule="auto"/>
              <w:jc w:val="center"/>
              <w:outlineLvl w:val="0"/>
              <w:rPr>
                <w:rFonts w:ascii="宋体" w:hAnsi="宋体"/>
                <w:color w:val="000000" w:themeColor="text1"/>
                <w:szCs w:val="21"/>
                <w:highlight w:val="none"/>
                <w14:textFill>
                  <w14:solidFill>
                    <w14:schemeClr w14:val="tx1"/>
                  </w14:solidFill>
                </w14:textFill>
              </w:rPr>
            </w:pPr>
            <w:bookmarkStart w:id="328" w:name="_Toc382928122"/>
            <w:bookmarkStart w:id="329" w:name="_Toc381081907"/>
            <w:bookmarkStart w:id="330" w:name="_Toc377028061"/>
            <w:bookmarkStart w:id="331" w:name="_Toc401570318"/>
            <w:bookmarkStart w:id="332" w:name="_Toc62745302"/>
            <w:bookmarkStart w:id="333" w:name="_Toc377028123"/>
            <w:bookmarkStart w:id="334" w:name="_Toc406402961"/>
            <w:bookmarkStart w:id="335" w:name="_Toc402963099"/>
            <w:bookmarkStart w:id="336" w:name="_Toc402963132"/>
            <w:bookmarkStart w:id="337" w:name="_Toc382928240"/>
            <w:bookmarkStart w:id="338" w:name="_Toc406403005"/>
            <w:bookmarkStart w:id="339" w:name="_Toc401570294"/>
            <w:bookmarkStart w:id="340" w:name="_Toc385854160"/>
            <w:bookmarkStart w:id="341" w:name="_Toc377653980"/>
            <w:bookmarkStart w:id="342" w:name="_Toc385854114"/>
            <w:r>
              <w:rPr>
                <w:rFonts w:hint="eastAsia" w:ascii="宋体" w:hAnsi="宋体"/>
                <w:color w:val="000000" w:themeColor="text1"/>
                <w:szCs w:val="21"/>
                <w:highlight w:val="none"/>
                <w14:textFill>
                  <w14:solidFill>
                    <w14:schemeClr w14:val="tx1"/>
                  </w14:solidFill>
                </w14:textFill>
              </w:rPr>
              <w:t>要求</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tc>
        <w:tc>
          <w:tcPr>
            <w:tcW w:w="1583" w:type="dxa"/>
            <w:tcBorders>
              <w:top w:val="single" w:color="auto" w:sz="4" w:space="0"/>
              <w:left w:val="single" w:color="auto" w:sz="4" w:space="0"/>
              <w:bottom w:val="single" w:color="auto" w:sz="4" w:space="0"/>
              <w:right w:val="single" w:color="auto" w:sz="4" w:space="0"/>
            </w:tcBorders>
          </w:tcPr>
          <w:p>
            <w:pPr>
              <w:snapToGrid w:val="0"/>
              <w:spacing w:line="360" w:lineRule="auto"/>
              <w:jc w:val="center"/>
              <w:outlineLvl w:val="0"/>
              <w:rPr>
                <w:rFonts w:ascii="宋体" w:hAnsi="宋体"/>
                <w:color w:val="000000" w:themeColor="text1"/>
                <w:szCs w:val="21"/>
                <w:highlight w:val="none"/>
                <w14:textFill>
                  <w14:solidFill>
                    <w14:schemeClr w14:val="tx1"/>
                  </w14:solidFill>
                </w14:textFill>
              </w:rPr>
            </w:pPr>
            <w:bookmarkStart w:id="343" w:name="_Toc406402962"/>
            <w:bookmarkStart w:id="344" w:name="_Toc377653981"/>
            <w:bookmarkStart w:id="345" w:name="_Toc377028062"/>
            <w:bookmarkStart w:id="346" w:name="_Toc62745303"/>
            <w:bookmarkStart w:id="347" w:name="_Toc377028124"/>
            <w:bookmarkStart w:id="348" w:name="_Toc406403006"/>
            <w:bookmarkStart w:id="349" w:name="_Toc385854161"/>
            <w:bookmarkStart w:id="350" w:name="_Toc382928241"/>
            <w:bookmarkStart w:id="351" w:name="_Toc401570295"/>
            <w:bookmarkStart w:id="352" w:name="_Toc382928123"/>
            <w:bookmarkStart w:id="353" w:name="_Toc402963100"/>
            <w:bookmarkStart w:id="354" w:name="_Toc385854115"/>
            <w:bookmarkStart w:id="355" w:name="_Toc402963133"/>
            <w:bookmarkStart w:id="356" w:name="_Toc381081908"/>
            <w:bookmarkStart w:id="357" w:name="_Toc401570319"/>
            <w:r>
              <w:rPr>
                <w:rFonts w:hint="eastAsia" w:ascii="宋体" w:hAnsi="宋体"/>
                <w:color w:val="000000" w:themeColor="text1"/>
                <w:szCs w:val="21"/>
                <w:highlight w:val="none"/>
                <w14:textFill>
                  <w14:solidFill>
                    <w14:schemeClr w14:val="tx1"/>
                  </w14:solidFill>
                </w14:textFill>
              </w:rPr>
              <w:t>设备名称</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tc>
        <w:tc>
          <w:tcPr>
            <w:tcW w:w="1849" w:type="dxa"/>
            <w:tcBorders>
              <w:top w:val="single" w:color="auto" w:sz="4" w:space="0"/>
              <w:left w:val="single" w:color="auto" w:sz="4" w:space="0"/>
              <w:bottom w:val="single" w:color="auto" w:sz="4" w:space="0"/>
              <w:right w:val="single" w:color="auto" w:sz="4" w:space="0"/>
            </w:tcBorders>
          </w:tcPr>
          <w:p>
            <w:pPr>
              <w:snapToGrid w:val="0"/>
              <w:spacing w:line="360" w:lineRule="auto"/>
              <w:jc w:val="center"/>
              <w:outlineLvl w:val="0"/>
              <w:rPr>
                <w:rFonts w:ascii="宋体" w:hAnsi="宋体"/>
                <w:color w:val="000000" w:themeColor="text1"/>
                <w:szCs w:val="21"/>
                <w:highlight w:val="none"/>
                <w14:textFill>
                  <w14:solidFill>
                    <w14:schemeClr w14:val="tx1"/>
                  </w14:solidFill>
                </w14:textFill>
              </w:rPr>
            </w:pPr>
            <w:bookmarkStart w:id="358" w:name="_Toc402963134"/>
            <w:bookmarkStart w:id="359" w:name="_Toc385854116"/>
            <w:bookmarkStart w:id="360" w:name="_Toc377028125"/>
            <w:bookmarkStart w:id="361" w:name="_Toc377028063"/>
            <w:bookmarkStart w:id="362" w:name="_Toc401570296"/>
            <w:bookmarkStart w:id="363" w:name="_Toc62745304"/>
            <w:bookmarkStart w:id="364" w:name="_Toc381081909"/>
            <w:bookmarkStart w:id="365" w:name="_Toc385854162"/>
            <w:bookmarkStart w:id="366" w:name="_Toc406403007"/>
            <w:bookmarkStart w:id="367" w:name="_Toc377653982"/>
            <w:bookmarkStart w:id="368" w:name="_Toc382928242"/>
            <w:bookmarkStart w:id="369" w:name="_Toc401570320"/>
            <w:bookmarkStart w:id="370" w:name="_Toc382928124"/>
            <w:bookmarkStart w:id="371" w:name="_Toc402963101"/>
            <w:bookmarkStart w:id="372" w:name="_Toc406402963"/>
            <w:r>
              <w:rPr>
                <w:rFonts w:hint="eastAsia" w:ascii="宋体" w:hAnsi="宋体"/>
                <w:color w:val="000000" w:themeColor="text1"/>
                <w:szCs w:val="21"/>
                <w:highlight w:val="none"/>
                <w14:textFill>
                  <w14:solidFill>
                    <w14:schemeClr w14:val="tx1"/>
                  </w14:solidFill>
                </w14:textFill>
              </w:rPr>
              <w:t>性能及指标</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rFonts w:hint="eastAsia" w:ascii="宋体" w:hAnsi="宋体"/>
                <w:color w:val="000000" w:themeColor="text1"/>
                <w:szCs w:val="21"/>
                <w:highlight w:val="none"/>
                <w14:textFill>
                  <w14:solidFill>
                    <w14:schemeClr w14:val="tx1"/>
                  </w14:solidFill>
                </w14:textFill>
              </w:rPr>
              <w:t>（具体指标附表后）</w:t>
            </w:r>
          </w:p>
        </w:tc>
        <w:tc>
          <w:tcPr>
            <w:tcW w:w="14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line="360" w:lineRule="auto"/>
              <w:outlineLvl w:val="0"/>
              <w:rPr>
                <w:rFonts w:ascii="宋体" w:hAnsi="宋体"/>
                <w:color w:val="000000" w:themeColor="text1"/>
                <w:szCs w:val="21"/>
                <w:highlight w:val="none"/>
                <w14:textFill>
                  <w14:solidFill>
                    <w14:schemeClr w14:val="tx1"/>
                  </w14:solidFill>
                </w14:textFill>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color w:val="000000" w:themeColor="text1"/>
                <w:szCs w:val="21"/>
                <w:highlight w:val="none"/>
                <w14:textFill>
                  <w14:solidFill>
                    <w14:schemeClr w14:val="tx1"/>
                  </w14:solidFill>
                </w14:textFill>
              </w:rPr>
            </w:pPr>
          </w:p>
        </w:tc>
        <w:tc>
          <w:tcPr>
            <w:tcW w:w="1583" w:type="dxa"/>
            <w:tcBorders>
              <w:top w:val="single" w:color="auto" w:sz="4" w:space="0"/>
              <w:left w:val="single" w:color="auto" w:sz="4" w:space="0"/>
              <w:bottom w:val="single" w:color="auto" w:sz="4" w:space="0"/>
              <w:right w:val="single" w:color="auto" w:sz="4" w:space="0"/>
            </w:tcBorders>
          </w:tcPr>
          <w:p>
            <w:pPr>
              <w:snapToGrid w:val="0"/>
              <w:spacing w:line="360" w:lineRule="auto"/>
              <w:outlineLvl w:val="0"/>
              <w:rPr>
                <w:rFonts w:ascii="宋体" w:hAnsi="宋体"/>
                <w:color w:val="000000" w:themeColor="text1"/>
                <w:szCs w:val="21"/>
                <w:highlight w:val="none"/>
                <w14:textFill>
                  <w14:solidFill>
                    <w14:schemeClr w14:val="tx1"/>
                  </w14:solidFill>
                </w14:textFill>
              </w:rPr>
            </w:pPr>
          </w:p>
        </w:tc>
        <w:tc>
          <w:tcPr>
            <w:tcW w:w="1849" w:type="dxa"/>
            <w:tcBorders>
              <w:top w:val="single" w:color="auto" w:sz="4" w:space="0"/>
              <w:left w:val="single" w:color="auto" w:sz="4" w:space="0"/>
              <w:bottom w:val="single" w:color="auto" w:sz="4" w:space="0"/>
              <w:right w:val="single" w:color="auto" w:sz="4" w:space="0"/>
            </w:tcBorders>
          </w:tcPr>
          <w:p>
            <w:pPr>
              <w:snapToGrid w:val="0"/>
              <w:spacing w:line="360" w:lineRule="auto"/>
              <w:outlineLvl w:val="0"/>
              <w:rPr>
                <w:rFonts w:ascii="宋体" w:hAnsi="宋体"/>
                <w:color w:val="000000" w:themeColor="text1"/>
                <w:szCs w:val="21"/>
                <w:highlight w:val="none"/>
                <w14:textFill>
                  <w14:solidFill>
                    <w14:schemeClr w14:val="tx1"/>
                  </w14:solidFill>
                </w14:textFill>
              </w:rPr>
            </w:pPr>
          </w:p>
        </w:tc>
        <w:tc>
          <w:tcPr>
            <w:tcW w:w="1456" w:type="dxa"/>
            <w:tcBorders>
              <w:top w:val="single" w:color="auto" w:sz="4" w:space="0"/>
              <w:left w:val="single" w:color="auto" w:sz="4" w:space="0"/>
              <w:bottom w:val="single" w:color="auto" w:sz="4" w:space="0"/>
              <w:right w:val="single" w:color="auto" w:sz="4" w:space="0"/>
            </w:tcBorders>
          </w:tcPr>
          <w:p>
            <w:pPr>
              <w:snapToGrid w:val="0"/>
              <w:spacing w:line="360" w:lineRule="auto"/>
              <w:outlineLvl w:val="0"/>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olor w:val="000000" w:themeColor="text1"/>
                <w:szCs w:val="21"/>
                <w:highlight w:val="none"/>
                <w14:textFill>
                  <w14:solidFill>
                    <w14:schemeClr w14:val="tx1"/>
                  </w14:solidFill>
                </w14:textFill>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color w:val="000000" w:themeColor="text1"/>
                <w:szCs w:val="21"/>
                <w:highlight w:val="none"/>
                <w14:textFill>
                  <w14:solidFill>
                    <w14:schemeClr w14:val="tx1"/>
                  </w14:solidFill>
                </w14:textFill>
              </w:rPr>
            </w:pPr>
          </w:p>
        </w:tc>
        <w:tc>
          <w:tcPr>
            <w:tcW w:w="1583" w:type="dxa"/>
            <w:tcBorders>
              <w:top w:val="single" w:color="auto" w:sz="4" w:space="0"/>
              <w:left w:val="single" w:color="auto" w:sz="4" w:space="0"/>
              <w:bottom w:val="single" w:color="auto" w:sz="4" w:space="0"/>
              <w:right w:val="single" w:color="auto" w:sz="4" w:space="0"/>
            </w:tcBorders>
          </w:tcPr>
          <w:p>
            <w:pPr>
              <w:snapToGrid w:val="0"/>
              <w:spacing w:line="360" w:lineRule="auto"/>
              <w:outlineLvl w:val="0"/>
              <w:rPr>
                <w:rFonts w:ascii="宋体" w:hAnsi="宋体"/>
                <w:color w:val="000000" w:themeColor="text1"/>
                <w:szCs w:val="21"/>
                <w:highlight w:val="none"/>
                <w14:textFill>
                  <w14:solidFill>
                    <w14:schemeClr w14:val="tx1"/>
                  </w14:solidFill>
                </w14:textFill>
              </w:rPr>
            </w:pPr>
          </w:p>
        </w:tc>
        <w:tc>
          <w:tcPr>
            <w:tcW w:w="1849" w:type="dxa"/>
            <w:tcBorders>
              <w:top w:val="single" w:color="auto" w:sz="4" w:space="0"/>
              <w:left w:val="single" w:color="auto" w:sz="4" w:space="0"/>
              <w:bottom w:val="single" w:color="auto" w:sz="4" w:space="0"/>
              <w:right w:val="single" w:color="auto" w:sz="4" w:space="0"/>
            </w:tcBorders>
          </w:tcPr>
          <w:p>
            <w:pPr>
              <w:snapToGrid w:val="0"/>
              <w:spacing w:line="360" w:lineRule="auto"/>
              <w:outlineLvl w:val="0"/>
              <w:rPr>
                <w:rFonts w:ascii="宋体" w:hAnsi="宋体"/>
                <w:color w:val="000000" w:themeColor="text1"/>
                <w:szCs w:val="21"/>
                <w:highlight w:val="none"/>
                <w14:textFill>
                  <w14:solidFill>
                    <w14:schemeClr w14:val="tx1"/>
                  </w14:solidFill>
                </w14:textFill>
              </w:rPr>
            </w:pPr>
          </w:p>
        </w:tc>
        <w:tc>
          <w:tcPr>
            <w:tcW w:w="1456" w:type="dxa"/>
            <w:tcBorders>
              <w:top w:val="single" w:color="auto" w:sz="4" w:space="0"/>
              <w:left w:val="single" w:color="auto" w:sz="4" w:space="0"/>
              <w:bottom w:val="single" w:color="auto" w:sz="4" w:space="0"/>
              <w:right w:val="single" w:color="auto" w:sz="4" w:space="0"/>
            </w:tcBorders>
          </w:tcPr>
          <w:p>
            <w:pPr>
              <w:snapToGrid w:val="0"/>
              <w:spacing w:line="360" w:lineRule="auto"/>
              <w:outlineLvl w:val="0"/>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line="360" w:lineRule="auto"/>
              <w:outlineLvl w:val="0"/>
              <w:rPr>
                <w:rFonts w:ascii="宋体" w:hAnsi="宋体"/>
                <w:color w:val="000000" w:themeColor="text1"/>
                <w:szCs w:val="21"/>
                <w:highlight w:val="none"/>
                <w14:textFill>
                  <w14:solidFill>
                    <w14:schemeClr w14:val="tx1"/>
                  </w14:solidFill>
                </w14:textFill>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color w:val="000000" w:themeColor="text1"/>
                <w:szCs w:val="21"/>
                <w:highlight w:val="none"/>
                <w14:textFill>
                  <w14:solidFill>
                    <w14:schemeClr w14:val="tx1"/>
                  </w14:solidFill>
                </w14:textFill>
              </w:rPr>
            </w:pPr>
          </w:p>
        </w:tc>
        <w:tc>
          <w:tcPr>
            <w:tcW w:w="1583" w:type="dxa"/>
            <w:tcBorders>
              <w:top w:val="single" w:color="auto" w:sz="4" w:space="0"/>
              <w:left w:val="single" w:color="auto" w:sz="4" w:space="0"/>
              <w:bottom w:val="single" w:color="auto" w:sz="4" w:space="0"/>
              <w:right w:val="single" w:color="auto" w:sz="4" w:space="0"/>
            </w:tcBorders>
          </w:tcPr>
          <w:p>
            <w:pPr>
              <w:snapToGrid w:val="0"/>
              <w:spacing w:line="360" w:lineRule="auto"/>
              <w:outlineLvl w:val="0"/>
              <w:rPr>
                <w:rFonts w:ascii="宋体" w:hAnsi="宋体"/>
                <w:color w:val="000000" w:themeColor="text1"/>
                <w:szCs w:val="21"/>
                <w:highlight w:val="none"/>
                <w14:textFill>
                  <w14:solidFill>
                    <w14:schemeClr w14:val="tx1"/>
                  </w14:solidFill>
                </w14:textFill>
              </w:rPr>
            </w:pPr>
          </w:p>
        </w:tc>
        <w:tc>
          <w:tcPr>
            <w:tcW w:w="1849" w:type="dxa"/>
            <w:tcBorders>
              <w:top w:val="single" w:color="auto" w:sz="4" w:space="0"/>
              <w:left w:val="single" w:color="auto" w:sz="4" w:space="0"/>
              <w:bottom w:val="single" w:color="auto" w:sz="4" w:space="0"/>
              <w:right w:val="single" w:color="auto" w:sz="4" w:space="0"/>
            </w:tcBorders>
          </w:tcPr>
          <w:p>
            <w:pPr>
              <w:snapToGrid w:val="0"/>
              <w:spacing w:line="360" w:lineRule="auto"/>
              <w:outlineLvl w:val="0"/>
              <w:rPr>
                <w:rFonts w:ascii="宋体" w:hAnsi="宋体"/>
                <w:color w:val="000000" w:themeColor="text1"/>
                <w:szCs w:val="21"/>
                <w:highlight w:val="none"/>
                <w14:textFill>
                  <w14:solidFill>
                    <w14:schemeClr w14:val="tx1"/>
                  </w14:solidFill>
                </w14:textFill>
              </w:rPr>
            </w:pPr>
          </w:p>
        </w:tc>
        <w:tc>
          <w:tcPr>
            <w:tcW w:w="1456" w:type="dxa"/>
            <w:tcBorders>
              <w:top w:val="single" w:color="auto" w:sz="4" w:space="0"/>
              <w:left w:val="single" w:color="auto" w:sz="4" w:space="0"/>
              <w:bottom w:val="single" w:color="auto" w:sz="4" w:space="0"/>
              <w:right w:val="single" w:color="auto" w:sz="4" w:space="0"/>
            </w:tcBorders>
          </w:tcPr>
          <w:p>
            <w:pPr>
              <w:snapToGrid w:val="0"/>
              <w:spacing w:line="360" w:lineRule="auto"/>
              <w:outlineLvl w:val="0"/>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15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120" w:afterLines="50" w:line="360" w:lineRule="auto"/>
              <w:outlineLvl w:val="0"/>
              <w:rPr>
                <w:rFonts w:ascii="宋体" w:hAnsi="宋体"/>
                <w:color w:val="000000" w:themeColor="text1"/>
                <w:szCs w:val="21"/>
                <w:highlight w:val="none"/>
                <w14:textFill>
                  <w14:solidFill>
                    <w14:schemeClr w14:val="tx1"/>
                  </w14:solidFill>
                </w14:textFill>
              </w:rPr>
            </w:pPr>
          </w:p>
        </w:tc>
        <w:tc>
          <w:tcPr>
            <w:tcW w:w="24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outlineLvl w:val="0"/>
              <w:rPr>
                <w:rFonts w:ascii="宋体" w:hAnsi="宋体"/>
                <w:color w:val="000000" w:themeColor="text1"/>
                <w:szCs w:val="21"/>
                <w:highlight w:val="none"/>
                <w14:textFill>
                  <w14:solidFill>
                    <w14:schemeClr w14:val="tx1"/>
                  </w14:solidFill>
                </w14:textFill>
              </w:rPr>
            </w:pPr>
          </w:p>
        </w:tc>
        <w:tc>
          <w:tcPr>
            <w:tcW w:w="1583" w:type="dxa"/>
            <w:tcBorders>
              <w:top w:val="single" w:color="auto" w:sz="4" w:space="0"/>
              <w:left w:val="single" w:color="auto" w:sz="4" w:space="0"/>
              <w:bottom w:val="single" w:color="auto" w:sz="4" w:space="0"/>
              <w:right w:val="single" w:color="auto" w:sz="4" w:space="0"/>
            </w:tcBorders>
          </w:tcPr>
          <w:p>
            <w:pPr>
              <w:snapToGrid w:val="0"/>
              <w:spacing w:line="360" w:lineRule="auto"/>
              <w:outlineLvl w:val="0"/>
              <w:rPr>
                <w:rFonts w:ascii="宋体" w:hAnsi="宋体"/>
                <w:color w:val="000000" w:themeColor="text1"/>
                <w:szCs w:val="21"/>
                <w:highlight w:val="none"/>
                <w14:textFill>
                  <w14:solidFill>
                    <w14:schemeClr w14:val="tx1"/>
                  </w14:solidFill>
                </w14:textFill>
              </w:rPr>
            </w:pPr>
          </w:p>
        </w:tc>
        <w:tc>
          <w:tcPr>
            <w:tcW w:w="1849" w:type="dxa"/>
            <w:tcBorders>
              <w:top w:val="single" w:color="auto" w:sz="4" w:space="0"/>
              <w:left w:val="single" w:color="auto" w:sz="4" w:space="0"/>
              <w:bottom w:val="single" w:color="auto" w:sz="4" w:space="0"/>
              <w:right w:val="single" w:color="auto" w:sz="4" w:space="0"/>
            </w:tcBorders>
          </w:tcPr>
          <w:p>
            <w:pPr>
              <w:snapToGrid w:val="0"/>
              <w:spacing w:line="360" w:lineRule="auto"/>
              <w:outlineLvl w:val="0"/>
              <w:rPr>
                <w:rFonts w:ascii="宋体" w:hAnsi="宋体"/>
                <w:color w:val="000000" w:themeColor="text1"/>
                <w:szCs w:val="21"/>
                <w:highlight w:val="none"/>
                <w14:textFill>
                  <w14:solidFill>
                    <w14:schemeClr w14:val="tx1"/>
                  </w14:solidFill>
                </w14:textFill>
              </w:rPr>
            </w:pPr>
          </w:p>
        </w:tc>
        <w:tc>
          <w:tcPr>
            <w:tcW w:w="1456" w:type="dxa"/>
            <w:tcBorders>
              <w:top w:val="single" w:color="auto" w:sz="4" w:space="0"/>
              <w:left w:val="single" w:color="auto" w:sz="4" w:space="0"/>
              <w:bottom w:val="single" w:color="auto" w:sz="4" w:space="0"/>
              <w:right w:val="single" w:color="auto" w:sz="4" w:space="0"/>
            </w:tcBorders>
          </w:tcPr>
          <w:p>
            <w:pPr>
              <w:snapToGrid w:val="0"/>
              <w:spacing w:line="360" w:lineRule="auto"/>
              <w:outlineLvl w:val="0"/>
              <w:rPr>
                <w:rFonts w:ascii="宋体" w:hAnsi="宋体"/>
                <w:color w:val="000000" w:themeColor="text1"/>
                <w:szCs w:val="21"/>
                <w:highlight w:val="none"/>
                <w14:textFill>
                  <w14:solidFill>
                    <w14:schemeClr w14:val="tx1"/>
                  </w14:solidFill>
                </w14:textFill>
              </w:rPr>
            </w:pPr>
          </w:p>
        </w:tc>
      </w:tr>
    </w:tbl>
    <w:p>
      <w:pPr>
        <w:pStyle w:val="19"/>
        <w:spacing w:line="360" w:lineRule="auto"/>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注：</w:t>
      </w:r>
      <w:r>
        <w:rPr>
          <w:rFonts w:hint="eastAsia" w:ascii="宋体" w:hAnsi="宋体"/>
          <w:color w:val="000000" w:themeColor="text1"/>
          <w:sz w:val="21"/>
          <w:szCs w:val="21"/>
          <w:highlight w:val="none"/>
          <w14:textFill>
            <w14:solidFill>
              <w14:schemeClr w14:val="tx1"/>
            </w14:solidFill>
          </w14:textFill>
        </w:rPr>
        <w:t>1.</w:t>
      </w:r>
      <w:r>
        <w:rPr>
          <w:rFonts w:ascii="宋体" w:hAnsi="宋体"/>
          <w:color w:val="000000" w:themeColor="text1"/>
          <w:sz w:val="21"/>
          <w:szCs w:val="21"/>
          <w:highlight w:val="none"/>
          <w14:textFill>
            <w14:solidFill>
              <w14:schemeClr w14:val="tx1"/>
            </w14:solidFill>
          </w14:textFill>
        </w:rPr>
        <w:t>投标人应根据</w:t>
      </w:r>
      <w:r>
        <w:rPr>
          <w:rFonts w:hint="eastAsia" w:ascii="宋体" w:hAnsi="宋体"/>
          <w:color w:val="000000" w:themeColor="text1"/>
          <w:sz w:val="21"/>
          <w:szCs w:val="21"/>
          <w:highlight w:val="none"/>
          <w14:textFill>
            <w14:solidFill>
              <w14:schemeClr w14:val="tx1"/>
            </w14:solidFill>
          </w14:textFill>
        </w:rPr>
        <w:t>投标产品</w:t>
      </w:r>
      <w:r>
        <w:rPr>
          <w:rFonts w:ascii="宋体" w:hAnsi="宋体"/>
          <w:color w:val="000000" w:themeColor="text1"/>
          <w:sz w:val="21"/>
          <w:szCs w:val="21"/>
          <w:highlight w:val="none"/>
          <w14:textFill>
            <w14:solidFill>
              <w14:schemeClr w14:val="tx1"/>
            </w14:solidFill>
          </w14:textFill>
        </w:rPr>
        <w:t>的性能指标、对照招标文件要求在“偏离情况”栏注明“正偏离”、“负偏离”或“无偏离”。</w:t>
      </w:r>
    </w:p>
    <w:p>
      <w:pPr>
        <w:pStyle w:val="19"/>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2.投标人需对上述偏离情况负责，不得虚假应标。</w:t>
      </w:r>
    </w:p>
    <w:p>
      <w:pPr>
        <w:snapToGrid w:val="0"/>
        <w:spacing w:before="50" w:after="50"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被授权人签字（或盖章）：</w:t>
      </w:r>
    </w:p>
    <w:p>
      <w:pPr>
        <w:adjustRightInd w:val="0"/>
        <w:spacing w:line="360" w:lineRule="auto"/>
        <w:ind w:right="480"/>
        <w:textAlignment w:val="baseline"/>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投标人公章： 年  月  日</w:t>
      </w:r>
    </w:p>
    <w:p>
      <w:pPr>
        <w:pStyle w:val="58"/>
        <w:rPr>
          <w:color w:val="000000" w:themeColor="text1"/>
          <w:highlight w:val="none"/>
          <w14:textFill>
            <w14:solidFill>
              <w14:schemeClr w14:val="tx1"/>
            </w14:solidFill>
          </w14:textFill>
        </w:rPr>
        <w:sectPr>
          <w:pgSz w:w="11906" w:h="16838"/>
          <w:pgMar w:top="1474" w:right="1797" w:bottom="1247" w:left="1797" w:header="851" w:footer="851" w:gutter="0"/>
          <w:pgNumType w:fmt="decimal"/>
          <w:cols w:space="720" w:num="1"/>
          <w:docGrid w:linePitch="312" w:charSpace="0"/>
        </w:sectPr>
      </w:pP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项目实施人员一览表</w:t>
      </w:r>
    </w:p>
    <w:p>
      <w:pPr>
        <w:snapToGrid w:val="0"/>
        <w:spacing w:line="360" w:lineRule="auto"/>
        <w:ind w:firstLine="422" w:firstLineChars="20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项目实施人员（主要从业人员及其技术资格）一览表</w:t>
      </w:r>
    </w:p>
    <w:tbl>
      <w:tblPr>
        <w:tblStyle w:val="47"/>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274"/>
        <w:gridCol w:w="1559"/>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证书编号</w:t>
            </w: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参加本单位工作时间</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劳动合同编号</w:t>
            </w:r>
          </w:p>
        </w:tc>
        <w:tc>
          <w:tcPr>
            <w:tcW w:w="113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本项目中担任职务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vAlign w:val="center"/>
          </w:tcPr>
          <w:p>
            <w:pPr>
              <w:pStyle w:val="27"/>
              <w:snapToGrid w:val="0"/>
              <w:spacing w:line="360" w:lineRule="auto"/>
              <w:ind w:leftChars="0" w:firstLine="420" w:firstLineChars="200"/>
              <w:jc w:val="center"/>
              <w:rPr>
                <w:rFonts w:ascii="宋体" w:hAnsi="宋体" w:eastAsia="宋体"/>
                <w:color w:val="000000" w:themeColor="text1"/>
                <w:sz w:val="2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p>
        </w:tc>
      </w:tr>
    </w:tbl>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注：在填写时，如本表格不适合投标单位的实际情况，可根据本表格式自行划表填写。</w:t>
      </w:r>
    </w:p>
    <w:p>
      <w:pPr>
        <w:snapToGrid w:val="0"/>
        <w:spacing w:line="360" w:lineRule="auto"/>
        <w:ind w:firstLine="500" w:firstLineChars="200"/>
        <w:jc w:val="left"/>
        <w:rPr>
          <w:rFonts w:ascii="宋体" w:hAnsi="宋体"/>
          <w:color w:val="000000" w:themeColor="text1"/>
          <w:spacing w:val="20"/>
          <w:szCs w:val="21"/>
          <w:highlight w:val="none"/>
          <w:u w:val="single"/>
          <w14:textFill>
            <w14:solidFill>
              <w14:schemeClr w14:val="tx1"/>
            </w14:solidFill>
          </w14:textFill>
        </w:rPr>
      </w:pPr>
      <w:r>
        <w:rPr>
          <w:rFonts w:hint="eastAsia" w:ascii="宋体" w:hAnsi="宋体"/>
          <w:color w:val="000000" w:themeColor="text1"/>
          <w:spacing w:val="20"/>
          <w:szCs w:val="21"/>
          <w:highlight w:val="none"/>
          <w14:textFill>
            <w14:solidFill>
              <w14:schemeClr w14:val="tx1"/>
            </w14:solidFill>
          </w14:textFill>
        </w:rPr>
        <w:t>授权代表签名：</w:t>
      </w:r>
    </w:p>
    <w:p>
      <w:pPr>
        <w:snapToGrid w:val="0"/>
        <w:spacing w:line="360" w:lineRule="auto"/>
        <w:ind w:firstLine="500" w:firstLineChars="200"/>
        <w:jc w:val="left"/>
        <w:rPr>
          <w:rFonts w:ascii="宋体" w:hAnsi="宋体"/>
          <w:color w:val="000000" w:themeColor="text1"/>
          <w:spacing w:val="20"/>
          <w:szCs w:val="21"/>
          <w:highlight w:val="none"/>
          <w14:textFill>
            <w14:solidFill>
              <w14:schemeClr w14:val="tx1"/>
            </w14:solidFill>
          </w14:textFill>
        </w:rPr>
      </w:pPr>
      <w:r>
        <w:rPr>
          <w:rFonts w:hint="eastAsia" w:ascii="宋体" w:hAnsi="宋体"/>
          <w:color w:val="000000" w:themeColor="text1"/>
          <w:spacing w:val="20"/>
          <w:szCs w:val="21"/>
          <w:highlight w:val="none"/>
          <w14:textFill>
            <w14:solidFill>
              <w14:schemeClr w14:val="tx1"/>
            </w14:solidFill>
          </w14:textFill>
        </w:rPr>
        <w:t>投标人盖章：</w:t>
      </w:r>
    </w:p>
    <w:p>
      <w:pPr>
        <w:snapToGrid w:val="0"/>
        <w:spacing w:line="360" w:lineRule="auto"/>
        <w:ind w:firstLine="500" w:firstLineChars="200"/>
        <w:jc w:val="left"/>
        <w:rPr>
          <w:rFonts w:ascii="宋体" w:hAnsi="宋体"/>
          <w:color w:val="000000" w:themeColor="text1"/>
          <w:spacing w:val="20"/>
          <w:szCs w:val="21"/>
          <w:highlight w:val="none"/>
          <w:u w:val="single"/>
          <w14:textFill>
            <w14:solidFill>
              <w14:schemeClr w14:val="tx1"/>
            </w14:solidFill>
          </w14:textFill>
        </w:rPr>
      </w:pPr>
      <w:r>
        <w:rPr>
          <w:rFonts w:hint="eastAsia" w:ascii="宋体" w:hAnsi="宋体"/>
          <w:color w:val="000000" w:themeColor="text1"/>
          <w:spacing w:val="20"/>
          <w:szCs w:val="21"/>
          <w:highlight w:val="none"/>
          <w14:textFill>
            <w14:solidFill>
              <w14:schemeClr w14:val="tx1"/>
            </w14:solidFill>
          </w14:textFill>
        </w:rPr>
        <w:t>日期：</w:t>
      </w:r>
    </w:p>
    <w:p>
      <w:pPr>
        <w:snapToGrid w:val="0"/>
        <w:spacing w:line="360" w:lineRule="auto"/>
        <w:ind w:firstLine="422" w:firstLineChars="200"/>
        <w:jc w:val="left"/>
        <w:rPr>
          <w:rFonts w:ascii="宋体" w:hAnsi="宋体" w:cs="微软雅黑"/>
          <w:b/>
          <w:color w:val="000000" w:themeColor="text1"/>
          <w:szCs w:val="21"/>
          <w:highlight w:val="none"/>
          <w14:textFill>
            <w14:solidFill>
              <w14:schemeClr w14:val="tx1"/>
            </w14:solidFill>
          </w14:textFill>
        </w:rPr>
      </w:pPr>
    </w:p>
    <w:p>
      <w:pPr>
        <w:pStyle w:val="5"/>
        <w:rPr>
          <w:rFonts w:ascii="宋体" w:hAnsi="宋体" w:cs="微软雅黑"/>
          <w:b/>
          <w:color w:val="000000" w:themeColor="text1"/>
          <w:szCs w:val="21"/>
          <w:highlight w:val="none"/>
          <w14:textFill>
            <w14:solidFill>
              <w14:schemeClr w14:val="tx1"/>
            </w14:solidFill>
          </w14:textFill>
        </w:rPr>
      </w:pPr>
    </w:p>
    <w:p>
      <w:pPr>
        <w:pStyle w:val="6"/>
        <w:rPr>
          <w:rFonts w:hAnsi="宋体" w:cs="微软雅黑"/>
          <w:b/>
          <w:color w:val="000000" w:themeColor="text1"/>
          <w:szCs w:val="21"/>
          <w:highlight w:val="none"/>
          <w14:textFill>
            <w14:solidFill>
              <w14:schemeClr w14:val="tx1"/>
            </w14:solidFill>
          </w14:textFill>
        </w:rPr>
      </w:pPr>
    </w:p>
    <w:p>
      <w:pPr>
        <w:pStyle w:val="5"/>
        <w:rPr>
          <w:rFonts w:ascii="宋体" w:hAnsi="宋体" w:cs="微软雅黑"/>
          <w:b/>
          <w:color w:val="000000" w:themeColor="text1"/>
          <w:szCs w:val="21"/>
          <w:highlight w:val="none"/>
          <w14:textFill>
            <w14:solidFill>
              <w14:schemeClr w14:val="tx1"/>
            </w14:solidFill>
          </w14:textFill>
        </w:rPr>
      </w:pPr>
    </w:p>
    <w:p>
      <w:pPr>
        <w:pStyle w:val="6"/>
        <w:rPr>
          <w:rFonts w:hAnsi="宋体" w:cs="微软雅黑"/>
          <w:b/>
          <w:color w:val="000000" w:themeColor="text1"/>
          <w:szCs w:val="21"/>
          <w:highlight w:val="none"/>
          <w14:textFill>
            <w14:solidFill>
              <w14:schemeClr w14:val="tx1"/>
            </w14:solidFill>
          </w14:textFill>
        </w:rPr>
      </w:pPr>
    </w:p>
    <w:p>
      <w:pPr>
        <w:pStyle w:val="5"/>
        <w:rPr>
          <w:rFonts w:ascii="宋体" w:hAnsi="宋体" w:cs="微软雅黑"/>
          <w:b/>
          <w:color w:val="000000" w:themeColor="text1"/>
          <w:szCs w:val="21"/>
          <w:highlight w:val="none"/>
          <w14:textFill>
            <w14:solidFill>
              <w14:schemeClr w14:val="tx1"/>
            </w14:solidFill>
          </w14:textFill>
        </w:rPr>
      </w:pPr>
    </w:p>
    <w:p>
      <w:pPr>
        <w:pStyle w:val="6"/>
        <w:rPr>
          <w:rFonts w:hAnsi="宋体" w:cs="微软雅黑"/>
          <w:b/>
          <w:color w:val="000000" w:themeColor="text1"/>
          <w:szCs w:val="21"/>
          <w:highlight w:val="none"/>
          <w14:textFill>
            <w14:solidFill>
              <w14:schemeClr w14:val="tx1"/>
            </w14:solidFill>
          </w14:textFill>
        </w:rPr>
      </w:pPr>
    </w:p>
    <w:p>
      <w:pPr>
        <w:pStyle w:val="5"/>
        <w:rPr>
          <w:rFonts w:ascii="宋体" w:hAnsi="宋体" w:cs="微软雅黑"/>
          <w:b/>
          <w:color w:val="000000" w:themeColor="text1"/>
          <w:szCs w:val="21"/>
          <w:highlight w:val="none"/>
          <w14:textFill>
            <w14:solidFill>
              <w14:schemeClr w14:val="tx1"/>
            </w14:solidFill>
          </w14:textFill>
        </w:rPr>
      </w:pPr>
    </w:p>
    <w:p>
      <w:pPr>
        <w:pStyle w:val="6"/>
        <w:rPr>
          <w:rFonts w:hAnsi="宋体" w:cs="微软雅黑"/>
          <w:b/>
          <w:color w:val="000000" w:themeColor="text1"/>
          <w:szCs w:val="21"/>
          <w:highlight w:val="none"/>
          <w14:textFill>
            <w14:solidFill>
              <w14:schemeClr w14:val="tx1"/>
            </w14:solidFill>
          </w14:textFill>
        </w:rPr>
      </w:pPr>
    </w:p>
    <w:p>
      <w:pPr>
        <w:pStyle w:val="5"/>
        <w:rPr>
          <w:rFonts w:ascii="宋体" w:hAnsi="宋体" w:cs="微软雅黑"/>
          <w:b/>
          <w:color w:val="000000" w:themeColor="text1"/>
          <w:szCs w:val="21"/>
          <w:highlight w:val="none"/>
          <w14:textFill>
            <w14:solidFill>
              <w14:schemeClr w14:val="tx1"/>
            </w14:solidFill>
          </w14:textFill>
        </w:rPr>
      </w:pPr>
    </w:p>
    <w:p>
      <w:pPr>
        <w:pStyle w:val="6"/>
        <w:rPr>
          <w:rFonts w:hAnsi="宋体" w:cs="微软雅黑"/>
          <w:b/>
          <w:color w:val="000000" w:themeColor="text1"/>
          <w:szCs w:val="21"/>
          <w:highlight w:val="none"/>
          <w14:textFill>
            <w14:solidFill>
              <w14:schemeClr w14:val="tx1"/>
            </w14:solidFill>
          </w14:textFill>
        </w:rPr>
      </w:pPr>
    </w:p>
    <w:p>
      <w:pPr>
        <w:pStyle w:val="5"/>
        <w:rPr>
          <w:rFonts w:ascii="宋体" w:hAnsi="宋体" w:cs="微软雅黑"/>
          <w:b/>
          <w:color w:val="000000" w:themeColor="text1"/>
          <w:szCs w:val="21"/>
          <w:highlight w:val="none"/>
          <w14:textFill>
            <w14:solidFill>
              <w14:schemeClr w14:val="tx1"/>
            </w14:solidFill>
          </w14:textFill>
        </w:rPr>
      </w:pPr>
    </w:p>
    <w:p>
      <w:pPr>
        <w:pStyle w:val="6"/>
        <w:rPr>
          <w:rFonts w:hAnsi="宋体" w:cs="微软雅黑"/>
          <w:b/>
          <w:color w:val="000000" w:themeColor="text1"/>
          <w:szCs w:val="21"/>
          <w:highlight w:val="none"/>
          <w14:textFill>
            <w14:solidFill>
              <w14:schemeClr w14:val="tx1"/>
            </w14:solidFill>
          </w14:textFill>
        </w:rPr>
      </w:pPr>
    </w:p>
    <w:p>
      <w:pPr>
        <w:pStyle w:val="5"/>
        <w:rPr>
          <w:rFonts w:ascii="宋体" w:hAnsi="宋体" w:cs="微软雅黑"/>
          <w:b/>
          <w:color w:val="000000" w:themeColor="text1"/>
          <w:szCs w:val="21"/>
          <w:highlight w:val="none"/>
          <w14:textFill>
            <w14:solidFill>
              <w14:schemeClr w14:val="tx1"/>
            </w14:solidFill>
          </w14:textFill>
        </w:rPr>
      </w:pPr>
    </w:p>
    <w:p>
      <w:pPr>
        <w:pStyle w:val="6"/>
        <w:rPr>
          <w:rFonts w:hAnsi="宋体" w:cs="微软雅黑"/>
          <w:b/>
          <w:color w:val="000000" w:themeColor="text1"/>
          <w:szCs w:val="21"/>
          <w:highlight w:val="none"/>
          <w14:textFill>
            <w14:solidFill>
              <w14:schemeClr w14:val="tx1"/>
            </w14:solidFill>
          </w14:textFill>
        </w:rPr>
      </w:pPr>
    </w:p>
    <w:p>
      <w:pPr>
        <w:pStyle w:val="5"/>
        <w:rPr>
          <w:rFonts w:ascii="宋体" w:hAnsi="宋体" w:cs="微软雅黑"/>
          <w:b/>
          <w:color w:val="000000" w:themeColor="text1"/>
          <w:szCs w:val="21"/>
          <w:highlight w:val="none"/>
          <w14:textFill>
            <w14:solidFill>
              <w14:schemeClr w14:val="tx1"/>
            </w14:solidFill>
          </w14:textFill>
        </w:rPr>
      </w:pPr>
    </w:p>
    <w:p>
      <w:pPr>
        <w:pStyle w:val="6"/>
        <w:rPr>
          <w:rFonts w:hAnsi="宋体" w:cs="微软雅黑"/>
          <w:b/>
          <w:color w:val="000000" w:themeColor="text1"/>
          <w:szCs w:val="21"/>
          <w:highlight w:val="none"/>
          <w14:textFill>
            <w14:solidFill>
              <w14:schemeClr w14:val="tx1"/>
            </w14:solidFill>
          </w14:textFill>
        </w:rPr>
      </w:pPr>
    </w:p>
    <w:p>
      <w:pPr>
        <w:pStyle w:val="5"/>
        <w:rPr>
          <w:rFonts w:ascii="宋体" w:hAnsi="宋体" w:cs="微软雅黑"/>
          <w:b/>
          <w:color w:val="000000" w:themeColor="text1"/>
          <w:szCs w:val="21"/>
          <w:highlight w:val="none"/>
          <w14:textFill>
            <w14:solidFill>
              <w14:schemeClr w14:val="tx1"/>
            </w14:solidFill>
          </w14:textFill>
        </w:rPr>
      </w:pPr>
    </w:p>
    <w:p>
      <w:pPr>
        <w:pStyle w:val="6"/>
        <w:rPr>
          <w:rFonts w:hAnsi="宋体" w:cs="微软雅黑"/>
          <w:b/>
          <w:color w:val="000000" w:themeColor="text1"/>
          <w:szCs w:val="21"/>
          <w:highlight w:val="none"/>
          <w14:textFill>
            <w14:solidFill>
              <w14:schemeClr w14:val="tx1"/>
            </w14:solidFill>
          </w14:textFill>
        </w:rPr>
      </w:pPr>
    </w:p>
    <w:p>
      <w:pPr>
        <w:pStyle w:val="5"/>
        <w:rPr>
          <w:rFonts w:ascii="宋体" w:hAnsi="宋体" w:cs="微软雅黑"/>
          <w:b/>
          <w:color w:val="000000" w:themeColor="text1"/>
          <w:szCs w:val="21"/>
          <w:highlight w:val="none"/>
          <w14:textFill>
            <w14:solidFill>
              <w14:schemeClr w14:val="tx1"/>
            </w14:solidFill>
          </w14:textFill>
        </w:rPr>
      </w:pPr>
    </w:p>
    <w:p>
      <w:pPr>
        <w:pStyle w:val="6"/>
        <w:rPr>
          <w:rFonts w:hAnsi="宋体" w:cs="微软雅黑"/>
          <w:b/>
          <w:color w:val="000000" w:themeColor="text1"/>
          <w:szCs w:val="21"/>
          <w:highlight w:val="none"/>
          <w14:textFill>
            <w14:solidFill>
              <w14:schemeClr w14:val="tx1"/>
            </w14:solidFill>
          </w14:textFill>
        </w:rPr>
      </w:pPr>
    </w:p>
    <w:p>
      <w:pPr>
        <w:pStyle w:val="5"/>
        <w:rPr>
          <w:rFonts w:ascii="宋体" w:hAnsi="宋体" w:cs="微软雅黑"/>
          <w:b/>
          <w:color w:val="000000" w:themeColor="text1"/>
          <w:szCs w:val="21"/>
          <w:highlight w:val="none"/>
          <w14:textFill>
            <w14:solidFill>
              <w14:schemeClr w14:val="tx1"/>
            </w14:solidFill>
          </w14:textFill>
        </w:rPr>
      </w:pPr>
    </w:p>
    <w:p>
      <w:pPr>
        <w:pStyle w:val="6"/>
        <w:rPr>
          <w:rFonts w:hAnsi="宋体" w:cs="微软雅黑"/>
          <w:b/>
          <w:color w:val="000000" w:themeColor="text1"/>
          <w:szCs w:val="21"/>
          <w:highlight w:val="none"/>
          <w14:textFill>
            <w14:solidFill>
              <w14:schemeClr w14:val="tx1"/>
            </w14:solidFill>
          </w14:textFill>
        </w:rPr>
      </w:pPr>
    </w:p>
    <w:p>
      <w:pPr>
        <w:pStyle w:val="5"/>
        <w:rPr>
          <w:rFonts w:ascii="宋体" w:hAnsi="宋体" w:cs="微软雅黑"/>
          <w:b/>
          <w:color w:val="000000" w:themeColor="text1"/>
          <w:szCs w:val="21"/>
          <w:highlight w:val="none"/>
          <w14:textFill>
            <w14:solidFill>
              <w14:schemeClr w14:val="tx1"/>
            </w14:solidFill>
          </w14:textFill>
        </w:rPr>
      </w:pPr>
    </w:p>
    <w:p>
      <w:pPr>
        <w:pStyle w:val="6"/>
        <w:rPr>
          <w:rFonts w:hAnsi="宋体" w:cs="微软雅黑"/>
          <w:b/>
          <w:color w:val="000000" w:themeColor="text1"/>
          <w:szCs w:val="21"/>
          <w:highlight w:val="none"/>
          <w14:textFill>
            <w14:solidFill>
              <w14:schemeClr w14:val="tx1"/>
            </w14:solidFill>
          </w14:textFill>
        </w:rPr>
      </w:pPr>
    </w:p>
    <w:p>
      <w:pPr>
        <w:pStyle w:val="5"/>
        <w:rPr>
          <w:rFonts w:ascii="宋体" w:hAnsi="宋体" w:cs="微软雅黑"/>
          <w:b/>
          <w:color w:val="000000" w:themeColor="text1"/>
          <w:szCs w:val="21"/>
          <w:highlight w:val="none"/>
          <w14:textFill>
            <w14:solidFill>
              <w14:schemeClr w14:val="tx1"/>
            </w14:solidFill>
          </w14:textFill>
        </w:rPr>
      </w:pPr>
    </w:p>
    <w:tbl>
      <w:tblPr>
        <w:tblStyle w:val="47"/>
        <w:tblW w:w="823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278"/>
        <w:gridCol w:w="3175"/>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1008" w:type="dxa"/>
            <w:vAlign w:val="center"/>
          </w:tcPr>
          <w:p>
            <w:pPr>
              <w:spacing w:line="360" w:lineRule="auto"/>
              <w:ind w:right="42" w:rightChars="20"/>
              <w:jc w:val="center"/>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bCs/>
                <w:color w:val="000000" w:themeColor="text1"/>
                <w:szCs w:val="21"/>
                <w:highlight w:val="none"/>
                <w14:textFill>
                  <w14:solidFill>
                    <w14:schemeClr w14:val="tx1"/>
                  </w14:solidFill>
                </w14:textFill>
              </w:rPr>
              <w:t>序号</w:t>
            </w:r>
          </w:p>
        </w:tc>
        <w:tc>
          <w:tcPr>
            <w:tcW w:w="2278" w:type="dxa"/>
            <w:vAlign w:val="center"/>
          </w:tcPr>
          <w:p>
            <w:pPr>
              <w:spacing w:line="360" w:lineRule="auto"/>
              <w:ind w:left="102" w:right="42" w:rightChars="20"/>
              <w:jc w:val="center"/>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品类</w:t>
            </w:r>
          </w:p>
        </w:tc>
        <w:tc>
          <w:tcPr>
            <w:tcW w:w="3175" w:type="dxa"/>
            <w:vAlign w:val="center"/>
          </w:tcPr>
          <w:p>
            <w:pPr>
              <w:spacing w:line="360" w:lineRule="auto"/>
              <w:ind w:right="42" w:rightChars="20"/>
              <w:jc w:val="center"/>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所投产品（品牌、产地等）</w:t>
            </w:r>
          </w:p>
        </w:tc>
        <w:tc>
          <w:tcPr>
            <w:tcW w:w="1775" w:type="dxa"/>
            <w:vAlign w:val="center"/>
          </w:tcPr>
          <w:p>
            <w:pPr>
              <w:spacing w:line="360" w:lineRule="auto"/>
              <w:ind w:right="42" w:rightChars="20"/>
              <w:jc w:val="center"/>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w:t>
            </w:r>
          </w:p>
        </w:tc>
        <w:tc>
          <w:tcPr>
            <w:tcW w:w="2278" w:type="dxa"/>
          </w:tcPr>
          <w:p>
            <w:pPr>
              <w:widowControl/>
              <w:kinsoku w:val="0"/>
              <w:autoSpaceDE w:val="0"/>
              <w:autoSpaceDN w:val="0"/>
              <w:adjustRightInd w:val="0"/>
              <w:snapToGrid w:val="0"/>
              <w:spacing w:before="156" w:beforeLines="50" w:after="156" w:afterLines="50" w:line="560" w:lineRule="exact"/>
              <w:jc w:val="center"/>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b/>
                <w:bCs/>
                <w:color w:val="000000" w:themeColor="text1"/>
                <w:sz w:val="22"/>
                <w:szCs w:val="22"/>
                <w:highlight w:val="none"/>
                <w14:textFill>
                  <w14:solidFill>
                    <w14:schemeClr w14:val="tx1"/>
                  </w14:solidFill>
                </w14:textFill>
              </w:rPr>
              <w:t>蔬菜类</w:t>
            </w:r>
          </w:p>
        </w:tc>
        <w:tc>
          <w:tcPr>
            <w:tcW w:w="31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7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1.1</w:t>
            </w:r>
          </w:p>
        </w:tc>
        <w:tc>
          <w:tcPr>
            <w:tcW w:w="2278" w:type="dxa"/>
          </w:tcPr>
          <w:p>
            <w:pPr>
              <w:widowControl/>
              <w:kinsoku w:val="0"/>
              <w:autoSpaceDE w:val="0"/>
              <w:autoSpaceDN w:val="0"/>
              <w:adjustRightInd w:val="0"/>
              <w:snapToGrid w:val="0"/>
              <w:spacing w:before="156" w:beforeLines="50" w:after="156" w:afterLines="50" w:line="560" w:lineRule="exact"/>
              <w:jc w:val="center"/>
              <w:textAlignment w:val="baseline"/>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w:t>
            </w:r>
          </w:p>
        </w:tc>
        <w:tc>
          <w:tcPr>
            <w:tcW w:w="31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7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w:t>
            </w:r>
          </w:p>
        </w:tc>
        <w:tc>
          <w:tcPr>
            <w:tcW w:w="2278" w:type="dxa"/>
          </w:tcPr>
          <w:p>
            <w:pPr>
              <w:widowControl/>
              <w:kinsoku w:val="0"/>
              <w:autoSpaceDE w:val="0"/>
              <w:autoSpaceDN w:val="0"/>
              <w:adjustRightInd w:val="0"/>
              <w:snapToGrid w:val="0"/>
              <w:spacing w:before="156" w:beforeLines="50" w:after="156" w:afterLines="50" w:line="560" w:lineRule="exact"/>
              <w:jc w:val="center"/>
              <w:textAlignment w:val="baseline"/>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w:t>
            </w:r>
          </w:p>
        </w:tc>
        <w:tc>
          <w:tcPr>
            <w:tcW w:w="31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7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w:t>
            </w:r>
          </w:p>
        </w:tc>
        <w:tc>
          <w:tcPr>
            <w:tcW w:w="2278" w:type="dxa"/>
          </w:tcPr>
          <w:p>
            <w:pPr>
              <w:widowControl/>
              <w:kinsoku w:val="0"/>
              <w:autoSpaceDE w:val="0"/>
              <w:autoSpaceDN w:val="0"/>
              <w:adjustRightInd w:val="0"/>
              <w:snapToGrid w:val="0"/>
              <w:spacing w:before="156" w:beforeLines="50" w:after="156" w:afterLines="50" w:line="560" w:lineRule="exact"/>
              <w:jc w:val="center"/>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b/>
                <w:bCs/>
                <w:color w:val="000000" w:themeColor="text1"/>
                <w:sz w:val="22"/>
                <w:szCs w:val="22"/>
                <w:highlight w:val="none"/>
                <w14:textFill>
                  <w14:solidFill>
                    <w14:schemeClr w14:val="tx1"/>
                  </w14:solidFill>
                </w14:textFill>
              </w:rPr>
              <w:t>肉类</w:t>
            </w:r>
          </w:p>
        </w:tc>
        <w:tc>
          <w:tcPr>
            <w:tcW w:w="31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7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2.1</w:t>
            </w:r>
          </w:p>
        </w:tc>
        <w:tc>
          <w:tcPr>
            <w:tcW w:w="2278" w:type="dxa"/>
          </w:tcPr>
          <w:p>
            <w:pPr>
              <w:widowControl/>
              <w:kinsoku w:val="0"/>
              <w:autoSpaceDE w:val="0"/>
              <w:autoSpaceDN w:val="0"/>
              <w:adjustRightInd w:val="0"/>
              <w:snapToGrid w:val="0"/>
              <w:spacing w:before="156" w:beforeLines="50" w:after="156" w:afterLines="50" w:line="560" w:lineRule="exact"/>
              <w:jc w:val="center"/>
              <w:textAlignment w:val="baseline"/>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w:t>
            </w:r>
          </w:p>
        </w:tc>
        <w:tc>
          <w:tcPr>
            <w:tcW w:w="31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7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w:t>
            </w:r>
          </w:p>
        </w:tc>
        <w:tc>
          <w:tcPr>
            <w:tcW w:w="2278" w:type="dxa"/>
          </w:tcPr>
          <w:p>
            <w:pPr>
              <w:widowControl/>
              <w:kinsoku w:val="0"/>
              <w:autoSpaceDE w:val="0"/>
              <w:autoSpaceDN w:val="0"/>
              <w:adjustRightInd w:val="0"/>
              <w:snapToGrid w:val="0"/>
              <w:spacing w:before="156" w:beforeLines="50" w:after="156" w:afterLines="50" w:line="560" w:lineRule="exact"/>
              <w:jc w:val="center"/>
              <w:textAlignment w:val="baseline"/>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w:t>
            </w:r>
          </w:p>
        </w:tc>
        <w:tc>
          <w:tcPr>
            <w:tcW w:w="31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7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w:t>
            </w:r>
          </w:p>
        </w:tc>
        <w:tc>
          <w:tcPr>
            <w:tcW w:w="2278" w:type="dxa"/>
          </w:tcPr>
          <w:p>
            <w:pPr>
              <w:widowControl/>
              <w:kinsoku w:val="0"/>
              <w:autoSpaceDE w:val="0"/>
              <w:autoSpaceDN w:val="0"/>
              <w:adjustRightInd w:val="0"/>
              <w:snapToGrid w:val="0"/>
              <w:spacing w:before="156" w:beforeLines="50" w:after="156" w:afterLines="50" w:line="560" w:lineRule="exact"/>
              <w:jc w:val="center"/>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冷冻食品类</w:t>
            </w:r>
          </w:p>
        </w:tc>
        <w:tc>
          <w:tcPr>
            <w:tcW w:w="31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7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3.1</w:t>
            </w:r>
          </w:p>
        </w:tc>
        <w:tc>
          <w:tcPr>
            <w:tcW w:w="2278" w:type="dxa"/>
          </w:tcPr>
          <w:p>
            <w:pPr>
              <w:widowControl/>
              <w:kinsoku w:val="0"/>
              <w:autoSpaceDE w:val="0"/>
              <w:autoSpaceDN w:val="0"/>
              <w:adjustRightInd w:val="0"/>
              <w:snapToGrid w:val="0"/>
              <w:spacing w:before="156" w:beforeLines="50" w:after="156" w:afterLines="50" w:line="560" w:lineRule="exact"/>
              <w:jc w:val="center"/>
              <w:textAlignment w:val="baseline"/>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w:t>
            </w:r>
          </w:p>
        </w:tc>
        <w:tc>
          <w:tcPr>
            <w:tcW w:w="31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7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w:t>
            </w:r>
          </w:p>
        </w:tc>
        <w:tc>
          <w:tcPr>
            <w:tcW w:w="2278" w:type="dxa"/>
          </w:tcPr>
          <w:p>
            <w:pPr>
              <w:widowControl/>
              <w:kinsoku w:val="0"/>
              <w:autoSpaceDE w:val="0"/>
              <w:autoSpaceDN w:val="0"/>
              <w:adjustRightInd w:val="0"/>
              <w:snapToGrid w:val="0"/>
              <w:spacing w:before="156" w:beforeLines="50" w:after="156" w:afterLines="50" w:line="560" w:lineRule="exact"/>
              <w:jc w:val="center"/>
              <w:textAlignment w:val="baseline"/>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w:t>
            </w:r>
          </w:p>
        </w:tc>
        <w:tc>
          <w:tcPr>
            <w:tcW w:w="31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7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w:t>
            </w:r>
          </w:p>
        </w:tc>
        <w:tc>
          <w:tcPr>
            <w:tcW w:w="2278" w:type="dxa"/>
          </w:tcPr>
          <w:p>
            <w:pPr>
              <w:widowControl/>
              <w:kinsoku w:val="0"/>
              <w:autoSpaceDE w:val="0"/>
              <w:autoSpaceDN w:val="0"/>
              <w:adjustRightInd w:val="0"/>
              <w:snapToGrid w:val="0"/>
              <w:spacing w:before="156" w:beforeLines="50" w:after="156" w:afterLines="50" w:line="560" w:lineRule="exact"/>
              <w:jc w:val="center"/>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b/>
                <w:bCs/>
                <w:color w:val="000000" w:themeColor="text1"/>
                <w:sz w:val="22"/>
                <w:szCs w:val="22"/>
                <w:highlight w:val="none"/>
                <w14:textFill>
                  <w14:solidFill>
                    <w14:schemeClr w14:val="tx1"/>
                  </w14:solidFill>
                </w14:textFill>
              </w:rPr>
              <w:t>干货类</w:t>
            </w:r>
          </w:p>
        </w:tc>
        <w:tc>
          <w:tcPr>
            <w:tcW w:w="31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7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4.1</w:t>
            </w:r>
          </w:p>
        </w:tc>
        <w:tc>
          <w:tcPr>
            <w:tcW w:w="2278" w:type="dxa"/>
          </w:tcPr>
          <w:p>
            <w:pPr>
              <w:widowControl/>
              <w:kinsoku w:val="0"/>
              <w:autoSpaceDE w:val="0"/>
              <w:autoSpaceDN w:val="0"/>
              <w:adjustRightInd w:val="0"/>
              <w:snapToGrid w:val="0"/>
              <w:spacing w:before="156" w:beforeLines="50" w:after="156" w:afterLines="50" w:line="560" w:lineRule="exact"/>
              <w:jc w:val="center"/>
              <w:textAlignment w:val="baseline"/>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w:t>
            </w:r>
          </w:p>
        </w:tc>
        <w:tc>
          <w:tcPr>
            <w:tcW w:w="31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7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08"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w:t>
            </w:r>
          </w:p>
        </w:tc>
        <w:tc>
          <w:tcPr>
            <w:tcW w:w="2278" w:type="dxa"/>
          </w:tcPr>
          <w:p>
            <w:pPr>
              <w:widowControl/>
              <w:kinsoku w:val="0"/>
              <w:autoSpaceDE w:val="0"/>
              <w:autoSpaceDN w:val="0"/>
              <w:adjustRightInd w:val="0"/>
              <w:snapToGrid w:val="0"/>
              <w:spacing w:before="156" w:beforeLines="50" w:after="156" w:afterLines="50" w:line="560" w:lineRule="exact"/>
              <w:jc w:val="center"/>
              <w:textAlignment w:val="baseline"/>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w:t>
            </w:r>
          </w:p>
        </w:tc>
        <w:tc>
          <w:tcPr>
            <w:tcW w:w="31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7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5</w:t>
            </w:r>
          </w:p>
        </w:tc>
        <w:tc>
          <w:tcPr>
            <w:tcW w:w="2278" w:type="dxa"/>
          </w:tcPr>
          <w:p>
            <w:pPr>
              <w:widowControl/>
              <w:kinsoku w:val="0"/>
              <w:autoSpaceDE w:val="0"/>
              <w:autoSpaceDN w:val="0"/>
              <w:adjustRightInd w:val="0"/>
              <w:snapToGrid w:val="0"/>
              <w:spacing w:before="156" w:beforeLines="50" w:after="156" w:afterLines="50" w:line="560" w:lineRule="exact"/>
              <w:jc w:val="center"/>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豆制品类</w:t>
            </w:r>
          </w:p>
        </w:tc>
        <w:tc>
          <w:tcPr>
            <w:tcW w:w="31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7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5.1</w:t>
            </w:r>
          </w:p>
        </w:tc>
        <w:tc>
          <w:tcPr>
            <w:tcW w:w="2278" w:type="dxa"/>
          </w:tcPr>
          <w:p>
            <w:pPr>
              <w:widowControl/>
              <w:kinsoku w:val="0"/>
              <w:autoSpaceDE w:val="0"/>
              <w:autoSpaceDN w:val="0"/>
              <w:adjustRightInd w:val="0"/>
              <w:snapToGrid w:val="0"/>
              <w:spacing w:before="156" w:beforeLines="50" w:after="156" w:afterLines="50" w:line="560" w:lineRule="exact"/>
              <w:jc w:val="center"/>
              <w:textAlignment w:val="baseline"/>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w:t>
            </w:r>
          </w:p>
        </w:tc>
        <w:tc>
          <w:tcPr>
            <w:tcW w:w="31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7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w:t>
            </w:r>
          </w:p>
        </w:tc>
        <w:tc>
          <w:tcPr>
            <w:tcW w:w="2278" w:type="dxa"/>
          </w:tcPr>
          <w:p>
            <w:pPr>
              <w:widowControl/>
              <w:kinsoku w:val="0"/>
              <w:autoSpaceDE w:val="0"/>
              <w:autoSpaceDN w:val="0"/>
              <w:adjustRightInd w:val="0"/>
              <w:snapToGrid w:val="0"/>
              <w:spacing w:before="156" w:beforeLines="50" w:after="156" w:afterLines="50" w:line="560" w:lineRule="exact"/>
              <w:jc w:val="center"/>
              <w:textAlignment w:val="baseline"/>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w:t>
            </w:r>
          </w:p>
        </w:tc>
        <w:tc>
          <w:tcPr>
            <w:tcW w:w="31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7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6</w:t>
            </w:r>
          </w:p>
        </w:tc>
        <w:tc>
          <w:tcPr>
            <w:tcW w:w="2278" w:type="dxa"/>
          </w:tcPr>
          <w:p>
            <w:pPr>
              <w:widowControl/>
              <w:kinsoku w:val="0"/>
              <w:autoSpaceDE w:val="0"/>
              <w:autoSpaceDN w:val="0"/>
              <w:adjustRightInd w:val="0"/>
              <w:snapToGrid w:val="0"/>
              <w:spacing w:before="156" w:beforeLines="50" w:after="156" w:afterLines="50" w:line="560" w:lineRule="exact"/>
              <w:jc w:val="center"/>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水产品类</w:t>
            </w:r>
          </w:p>
        </w:tc>
        <w:tc>
          <w:tcPr>
            <w:tcW w:w="31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7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6.1</w:t>
            </w:r>
          </w:p>
        </w:tc>
        <w:tc>
          <w:tcPr>
            <w:tcW w:w="2278" w:type="dxa"/>
          </w:tcPr>
          <w:p>
            <w:pPr>
              <w:widowControl/>
              <w:kinsoku w:val="0"/>
              <w:autoSpaceDE w:val="0"/>
              <w:autoSpaceDN w:val="0"/>
              <w:adjustRightInd w:val="0"/>
              <w:snapToGrid w:val="0"/>
              <w:spacing w:before="156" w:beforeLines="50" w:after="156" w:afterLines="50" w:line="560" w:lineRule="exact"/>
              <w:jc w:val="center"/>
              <w:textAlignment w:val="baseline"/>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w:t>
            </w:r>
          </w:p>
        </w:tc>
        <w:tc>
          <w:tcPr>
            <w:tcW w:w="31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7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w:t>
            </w:r>
          </w:p>
        </w:tc>
        <w:tc>
          <w:tcPr>
            <w:tcW w:w="2278" w:type="dxa"/>
          </w:tcPr>
          <w:p>
            <w:pPr>
              <w:widowControl/>
              <w:kinsoku w:val="0"/>
              <w:autoSpaceDE w:val="0"/>
              <w:autoSpaceDN w:val="0"/>
              <w:adjustRightInd w:val="0"/>
              <w:snapToGrid w:val="0"/>
              <w:spacing w:before="156" w:beforeLines="50" w:after="156" w:afterLines="50" w:line="560" w:lineRule="exact"/>
              <w:jc w:val="center"/>
              <w:textAlignment w:val="baseline"/>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w:t>
            </w:r>
          </w:p>
        </w:tc>
        <w:tc>
          <w:tcPr>
            <w:tcW w:w="31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7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7</w:t>
            </w:r>
          </w:p>
        </w:tc>
        <w:tc>
          <w:tcPr>
            <w:tcW w:w="2278" w:type="dxa"/>
          </w:tcPr>
          <w:p>
            <w:pPr>
              <w:widowControl/>
              <w:kinsoku w:val="0"/>
              <w:autoSpaceDE w:val="0"/>
              <w:autoSpaceDN w:val="0"/>
              <w:adjustRightInd w:val="0"/>
              <w:snapToGrid w:val="0"/>
              <w:spacing w:before="156" w:beforeLines="50" w:after="156" w:afterLines="50" w:line="560" w:lineRule="exact"/>
              <w:jc w:val="center"/>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禽蛋类</w:t>
            </w:r>
          </w:p>
        </w:tc>
        <w:tc>
          <w:tcPr>
            <w:tcW w:w="31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7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7.1</w:t>
            </w:r>
          </w:p>
        </w:tc>
        <w:tc>
          <w:tcPr>
            <w:tcW w:w="2278" w:type="dxa"/>
          </w:tcPr>
          <w:p>
            <w:pPr>
              <w:widowControl/>
              <w:kinsoku w:val="0"/>
              <w:autoSpaceDE w:val="0"/>
              <w:autoSpaceDN w:val="0"/>
              <w:adjustRightInd w:val="0"/>
              <w:snapToGrid w:val="0"/>
              <w:spacing w:before="156" w:beforeLines="50" w:after="156" w:afterLines="50" w:line="560" w:lineRule="exact"/>
              <w:jc w:val="center"/>
              <w:textAlignment w:val="baseline"/>
              <w:rPr>
                <w:rFonts w:ascii="宋体" w:hAnsi="宋体" w:cs="宋体"/>
                <w:color w:val="000000" w:themeColor="text1"/>
                <w:kern w:val="0"/>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w:t>
            </w:r>
          </w:p>
        </w:tc>
        <w:tc>
          <w:tcPr>
            <w:tcW w:w="31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7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w:t>
            </w:r>
          </w:p>
        </w:tc>
        <w:tc>
          <w:tcPr>
            <w:tcW w:w="2278" w:type="dxa"/>
          </w:tcPr>
          <w:p>
            <w:pPr>
              <w:widowControl/>
              <w:kinsoku w:val="0"/>
              <w:autoSpaceDE w:val="0"/>
              <w:autoSpaceDN w:val="0"/>
              <w:adjustRightInd w:val="0"/>
              <w:snapToGrid w:val="0"/>
              <w:spacing w:before="156" w:beforeLines="50" w:after="156" w:afterLines="50" w:line="560" w:lineRule="exact"/>
              <w:jc w:val="center"/>
              <w:textAlignment w:val="baseline"/>
              <w:rPr>
                <w:rFonts w:ascii="宋体" w:hAnsi="宋体" w:cs="宋体"/>
                <w:color w:val="000000" w:themeColor="text1"/>
                <w:kern w:val="0"/>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w:t>
            </w:r>
          </w:p>
        </w:tc>
        <w:tc>
          <w:tcPr>
            <w:tcW w:w="31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7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8</w:t>
            </w:r>
          </w:p>
        </w:tc>
        <w:tc>
          <w:tcPr>
            <w:tcW w:w="2278" w:type="dxa"/>
          </w:tcPr>
          <w:p>
            <w:pPr>
              <w:widowControl/>
              <w:kinsoku w:val="0"/>
              <w:autoSpaceDE w:val="0"/>
              <w:autoSpaceDN w:val="0"/>
              <w:adjustRightInd w:val="0"/>
              <w:snapToGrid w:val="0"/>
              <w:spacing w:before="156" w:beforeLines="50" w:after="156" w:afterLines="50" w:line="560" w:lineRule="exact"/>
              <w:jc w:val="center"/>
              <w:textAlignment w:val="baseline"/>
              <w:rPr>
                <w:rFonts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其他类</w:t>
            </w:r>
          </w:p>
        </w:tc>
        <w:tc>
          <w:tcPr>
            <w:tcW w:w="31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7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8.1</w:t>
            </w:r>
          </w:p>
        </w:tc>
        <w:tc>
          <w:tcPr>
            <w:tcW w:w="2278" w:type="dxa"/>
          </w:tcPr>
          <w:p>
            <w:pPr>
              <w:widowControl/>
              <w:kinsoku w:val="0"/>
              <w:autoSpaceDE w:val="0"/>
              <w:autoSpaceDN w:val="0"/>
              <w:adjustRightInd w:val="0"/>
              <w:snapToGrid w:val="0"/>
              <w:spacing w:before="156" w:beforeLines="50" w:after="156" w:afterLines="50" w:line="560" w:lineRule="exact"/>
              <w:jc w:val="center"/>
              <w:textAlignment w:val="baseline"/>
              <w:rPr>
                <w:rFonts w:ascii="宋体" w:hAnsi="宋体" w:cs="宋体"/>
                <w:color w:val="000000" w:themeColor="text1"/>
                <w:kern w:val="0"/>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w:t>
            </w:r>
          </w:p>
        </w:tc>
        <w:tc>
          <w:tcPr>
            <w:tcW w:w="31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7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1008"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w:t>
            </w:r>
          </w:p>
        </w:tc>
        <w:tc>
          <w:tcPr>
            <w:tcW w:w="2278" w:type="dxa"/>
          </w:tcPr>
          <w:p>
            <w:pPr>
              <w:widowControl/>
              <w:kinsoku w:val="0"/>
              <w:autoSpaceDE w:val="0"/>
              <w:autoSpaceDN w:val="0"/>
              <w:adjustRightInd w:val="0"/>
              <w:snapToGrid w:val="0"/>
              <w:spacing w:before="156" w:beforeLines="50" w:after="156" w:afterLines="50" w:line="560" w:lineRule="exact"/>
              <w:jc w:val="center"/>
              <w:textAlignment w:val="baseline"/>
              <w:rPr>
                <w:rFonts w:ascii="宋体" w:hAnsi="宋体" w:cs="宋体"/>
                <w:color w:val="000000" w:themeColor="text1"/>
                <w:kern w:val="0"/>
                <w:szCs w:val="21"/>
                <w:highlight w:val="none"/>
                <w14:textFill>
                  <w14:solidFill>
                    <w14:schemeClr w14:val="tx1"/>
                  </w14:solidFill>
                </w14:textFill>
              </w:rPr>
            </w:pPr>
            <w:r>
              <w:rPr>
                <w:rFonts w:asciiTheme="minorEastAsia" w:hAnsiTheme="minorEastAsia" w:eastAsiaTheme="minorEastAsia"/>
                <w:color w:val="000000" w:themeColor="text1"/>
                <w:szCs w:val="21"/>
                <w:highlight w:val="none"/>
                <w14:textFill>
                  <w14:solidFill>
                    <w14:schemeClr w14:val="tx1"/>
                  </w14:solidFill>
                </w14:textFill>
              </w:rPr>
              <w:t>…</w:t>
            </w:r>
          </w:p>
        </w:tc>
        <w:tc>
          <w:tcPr>
            <w:tcW w:w="31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c>
          <w:tcPr>
            <w:tcW w:w="1775" w:type="dxa"/>
            <w:vAlign w:val="center"/>
          </w:tcPr>
          <w:p>
            <w:pPr>
              <w:spacing w:line="360" w:lineRule="auto"/>
              <w:ind w:right="42" w:rightChars="20"/>
              <w:jc w:val="center"/>
              <w:rPr>
                <w:rFonts w:asciiTheme="minorEastAsia" w:hAnsiTheme="minorEastAsia" w:eastAsiaTheme="minorEastAsia"/>
                <w:color w:val="000000" w:themeColor="text1"/>
                <w:szCs w:val="21"/>
                <w:highlight w:val="none"/>
                <w14:textFill>
                  <w14:solidFill>
                    <w14:schemeClr w14:val="tx1"/>
                  </w14:solidFill>
                </w14:textFill>
              </w:rPr>
            </w:pPr>
          </w:p>
        </w:tc>
      </w:tr>
    </w:tbl>
    <w:p>
      <w:pPr>
        <w:pStyle w:val="6"/>
        <w:rPr>
          <w:rFonts w:hAnsi="宋体" w:cs="微软雅黑"/>
          <w:b/>
          <w:color w:val="000000" w:themeColor="text1"/>
          <w:szCs w:val="21"/>
          <w:highlight w:val="none"/>
          <w14:textFill>
            <w14:solidFill>
              <w14:schemeClr w14:val="tx1"/>
            </w14:solidFill>
          </w14:textFill>
        </w:rPr>
      </w:pP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注：投标人根据所投货品的品牌、产地、规格等内容填写上表，可纵向自行扩充上表</w:t>
      </w:r>
    </w:p>
    <w:p>
      <w:pPr>
        <w:snapToGrid w:val="0"/>
        <w:spacing w:line="360" w:lineRule="auto"/>
        <w:ind w:firstLine="422" w:firstLineChars="200"/>
        <w:jc w:val="left"/>
        <w:rPr>
          <w:rFonts w:ascii="宋体" w:hAnsi="宋体" w:cs="微软雅黑"/>
          <w:b/>
          <w:color w:val="000000" w:themeColor="text1"/>
          <w:szCs w:val="21"/>
          <w:highlight w:val="none"/>
          <w14:textFill>
            <w14:solidFill>
              <w14:schemeClr w14:val="tx1"/>
            </w14:solidFill>
          </w14:textFill>
        </w:rPr>
      </w:pPr>
    </w:p>
    <w:p>
      <w:pPr>
        <w:snapToGrid w:val="0"/>
        <w:spacing w:line="360" w:lineRule="auto"/>
        <w:ind w:firstLine="422" w:firstLineChars="200"/>
        <w:jc w:val="left"/>
        <w:rPr>
          <w:rFonts w:ascii="宋体" w:hAnsi="宋体" w:cs="微软雅黑"/>
          <w:b/>
          <w:color w:val="000000" w:themeColor="text1"/>
          <w:szCs w:val="21"/>
          <w:highlight w:val="none"/>
          <w14:textFill>
            <w14:solidFill>
              <w14:schemeClr w14:val="tx1"/>
            </w14:solidFill>
          </w14:textFill>
        </w:rPr>
      </w:pPr>
    </w:p>
    <w:p>
      <w:pPr>
        <w:snapToGrid w:val="0"/>
        <w:spacing w:line="360" w:lineRule="auto"/>
        <w:ind w:firstLine="422" w:firstLineChars="200"/>
        <w:jc w:val="left"/>
        <w:rPr>
          <w:rFonts w:ascii="宋体" w:hAnsi="宋体" w:cs="微软雅黑"/>
          <w:b/>
          <w:color w:val="000000" w:themeColor="text1"/>
          <w:szCs w:val="21"/>
          <w:highlight w:val="none"/>
          <w14:textFill>
            <w14:solidFill>
              <w14:schemeClr w14:val="tx1"/>
            </w14:solidFill>
          </w14:textFill>
        </w:rPr>
      </w:pPr>
    </w:p>
    <w:p>
      <w:pPr>
        <w:snapToGrid w:val="0"/>
        <w:spacing w:line="360" w:lineRule="auto"/>
        <w:ind w:firstLine="422" w:firstLineChars="200"/>
        <w:jc w:val="left"/>
        <w:rPr>
          <w:rFonts w:ascii="宋体" w:hAnsi="宋体" w:cs="微软雅黑"/>
          <w:b/>
          <w:color w:val="000000" w:themeColor="text1"/>
          <w:szCs w:val="21"/>
          <w:highlight w:val="none"/>
          <w14:textFill>
            <w14:solidFill>
              <w14:schemeClr w14:val="tx1"/>
            </w14:solidFill>
          </w14:textFill>
        </w:rPr>
      </w:pPr>
    </w:p>
    <w:p>
      <w:pPr>
        <w:snapToGrid w:val="0"/>
        <w:spacing w:line="360" w:lineRule="auto"/>
        <w:ind w:firstLine="422" w:firstLineChars="200"/>
        <w:jc w:val="left"/>
        <w:rPr>
          <w:rFonts w:ascii="宋体" w:hAnsi="宋体" w:cs="微软雅黑"/>
          <w:b/>
          <w:color w:val="000000" w:themeColor="text1"/>
          <w:szCs w:val="21"/>
          <w:highlight w:val="none"/>
          <w14:textFill>
            <w14:solidFill>
              <w14:schemeClr w14:val="tx1"/>
            </w14:solidFill>
          </w14:textFill>
        </w:rPr>
      </w:pPr>
    </w:p>
    <w:p>
      <w:pPr>
        <w:snapToGrid w:val="0"/>
        <w:spacing w:line="360" w:lineRule="auto"/>
        <w:ind w:firstLine="422" w:firstLineChars="200"/>
        <w:jc w:val="left"/>
        <w:rPr>
          <w:rFonts w:ascii="宋体" w:hAnsi="宋体" w:cs="微软雅黑"/>
          <w:b/>
          <w:color w:val="000000" w:themeColor="text1"/>
          <w:szCs w:val="21"/>
          <w:highlight w:val="none"/>
          <w14:textFill>
            <w14:solidFill>
              <w14:schemeClr w14:val="tx1"/>
            </w14:solidFill>
          </w14:textFill>
        </w:rPr>
      </w:pPr>
    </w:p>
    <w:p>
      <w:pPr>
        <w:snapToGrid w:val="0"/>
        <w:spacing w:line="360" w:lineRule="auto"/>
        <w:ind w:firstLine="422" w:firstLineChars="200"/>
        <w:jc w:val="left"/>
        <w:rPr>
          <w:rFonts w:ascii="宋体" w:hAnsi="宋体" w:cs="微软雅黑"/>
          <w:b/>
          <w:color w:val="000000" w:themeColor="text1"/>
          <w:szCs w:val="21"/>
          <w:highlight w:val="none"/>
          <w14:textFill>
            <w14:solidFill>
              <w14:schemeClr w14:val="tx1"/>
            </w14:solidFill>
          </w14:textFill>
        </w:rPr>
        <w:sectPr>
          <w:headerReference r:id="rId11" w:type="first"/>
          <w:footerReference r:id="rId13" w:type="first"/>
          <w:footerReference r:id="rId12" w:type="even"/>
          <w:pgSz w:w="11907" w:h="16839"/>
          <w:pgMar w:top="1440" w:right="1800" w:bottom="1440" w:left="1800" w:header="851" w:footer="992" w:gutter="0"/>
          <w:pgNumType w:fmt="decimal"/>
          <w:cols w:space="720" w:num="1"/>
          <w:docGrid w:type="lines" w:linePitch="312" w:charSpace="0"/>
        </w:sectPr>
      </w:pP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投标函格式：</w:t>
      </w:r>
    </w:p>
    <w:p>
      <w:pPr>
        <w:snapToGrid w:val="0"/>
        <w:spacing w:line="360" w:lineRule="auto"/>
        <w:ind w:firstLine="422" w:firstLineChars="200"/>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投标函</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14:textFill>
            <w14:solidFill>
              <w14:schemeClr w14:val="tx1"/>
            </w14:solidFill>
          </w14:textFill>
        </w:rPr>
        <w:t>（招标采购单位名称）</w:t>
      </w:r>
      <w:r>
        <w:rPr>
          <w:rFonts w:hint="eastAsia" w:ascii="宋体" w:hAnsi="宋体"/>
          <w:color w:val="000000" w:themeColor="text1"/>
          <w:szCs w:val="21"/>
          <w:highlight w:val="none"/>
          <w14:textFill>
            <w14:solidFill>
              <w14:schemeClr w14:val="tx1"/>
            </w14:solidFill>
          </w14:textFill>
        </w:rPr>
        <w:t>：</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根据贵方为 </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项目的招标公告</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投标邀请书（项目编号：</w:t>
      </w:r>
      <w:r>
        <w:rPr>
          <w:rFonts w:hint="eastAsia" w:ascii="宋体" w:hAnsi="宋体"/>
          <w:color w:val="000000" w:themeColor="text1"/>
          <w:szCs w:val="21"/>
          <w:highlight w:val="none"/>
          <w:lang w:eastAsia="zh-CN"/>
          <w14:textFill>
            <w14:solidFill>
              <w14:schemeClr w14:val="tx1"/>
            </w14:solidFill>
          </w14:textFill>
        </w:rPr>
        <w:t>嘉消采-GK2023017</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），签字代表</w:t>
      </w:r>
      <w:r>
        <w:rPr>
          <w:rFonts w:hint="eastAsia" w:ascii="宋体" w:hAnsi="宋体"/>
          <w:color w:val="000000" w:themeColor="text1"/>
          <w:szCs w:val="21"/>
          <w:highlight w:val="none"/>
          <w:u w:val="single"/>
          <w14:textFill>
            <w14:solidFill>
              <w14:schemeClr w14:val="tx1"/>
            </w14:solidFill>
          </w14:textFill>
        </w:rPr>
        <w:t>（全名）</w:t>
      </w:r>
      <w:r>
        <w:rPr>
          <w:rFonts w:hint="eastAsia" w:ascii="宋体" w:hAnsi="宋体"/>
          <w:color w:val="000000" w:themeColor="text1"/>
          <w:szCs w:val="21"/>
          <w:highlight w:val="none"/>
          <w14:textFill>
            <w14:solidFill>
              <w14:schemeClr w14:val="tx1"/>
            </w14:solidFill>
          </w14:textFill>
        </w:rPr>
        <w:t>经正式授权并代表投标人</w:t>
      </w:r>
      <w:r>
        <w:rPr>
          <w:rFonts w:hint="eastAsia" w:ascii="宋体" w:hAnsi="宋体"/>
          <w:color w:val="000000" w:themeColor="text1"/>
          <w:szCs w:val="21"/>
          <w:highlight w:val="none"/>
          <w:u w:val="single"/>
          <w14:textFill>
            <w14:solidFill>
              <w14:schemeClr w14:val="tx1"/>
            </w14:solidFill>
          </w14:textFill>
        </w:rPr>
        <w:t>（投标人名称）</w:t>
      </w:r>
      <w:r>
        <w:rPr>
          <w:rFonts w:hint="eastAsia" w:ascii="宋体" w:hAnsi="宋体"/>
          <w:color w:val="000000" w:themeColor="text1"/>
          <w:szCs w:val="21"/>
          <w:highlight w:val="none"/>
          <w14:textFill>
            <w14:solidFill>
              <w14:schemeClr w14:val="tx1"/>
            </w14:solidFill>
          </w14:textFill>
        </w:rPr>
        <w:t>提交资信商务文件及技术文件</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份；投标报价文件</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份。</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据此函，签字代表宣布同意如下：</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、投标人在投标之前已经与贵方进行了充分的沟通，完全理解并接受招标文件的各项规定和要求，对招标文件的合理性、合法性不再有异议。</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、本投标有效期自开标日起</w:t>
      </w:r>
      <w:r>
        <w:rPr>
          <w:rFonts w:ascii="宋体" w:hAnsi="宋体"/>
          <w:color w:val="000000" w:themeColor="text1"/>
          <w:szCs w:val="21"/>
          <w:highlight w:val="none"/>
          <w14:textFill>
            <w14:solidFill>
              <w14:schemeClr w14:val="tx1"/>
            </w14:solidFill>
          </w14:textFill>
        </w:rPr>
        <w:t xml:space="preserve"> ______</w:t>
      </w:r>
      <w:r>
        <w:rPr>
          <w:rFonts w:hint="eastAsia" w:ascii="宋体" w:hAnsi="宋体"/>
          <w:color w:val="000000" w:themeColor="text1"/>
          <w:szCs w:val="21"/>
          <w:highlight w:val="none"/>
          <w14:textFill>
            <w14:solidFill>
              <w14:schemeClr w14:val="tx1"/>
            </w14:solidFill>
          </w14:textFill>
        </w:rPr>
        <w:t>个日。</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、如中标，本投标文件至本项目合同履行完毕止均保持有效，本投标人将按“招标文件”及政府采购法律、法规的规定履行合同责任和义务。</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、投标人同意按照贵方要求提供与投标有关的一切数据或资料。</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、与本投标有关的一切正式往来信函请寄：</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 邮编：</w:t>
      </w:r>
      <w:r>
        <w:rPr>
          <w:rFonts w:ascii="宋体" w:hAnsi="宋体"/>
          <w:color w:val="000000" w:themeColor="text1"/>
          <w:szCs w:val="21"/>
          <w:highlight w:val="none"/>
          <w14:textFill>
            <w14:solidFill>
              <w14:schemeClr w14:val="tx1"/>
            </w14:solidFill>
          </w14:textFill>
        </w:rPr>
        <w:t xml:space="preserve">__________   </w:t>
      </w:r>
      <w:r>
        <w:rPr>
          <w:rFonts w:hint="eastAsia" w:ascii="宋体" w:hAnsi="宋体"/>
          <w:color w:val="000000" w:themeColor="text1"/>
          <w:szCs w:val="21"/>
          <w:highlight w:val="none"/>
          <w14:textFill>
            <w14:solidFill>
              <w14:schemeClr w14:val="tx1"/>
            </w14:solidFill>
          </w14:textFill>
        </w:rPr>
        <w:t>电话：</w:t>
      </w:r>
      <w:r>
        <w:rPr>
          <w:rFonts w:ascii="宋体" w:hAnsi="宋体"/>
          <w:color w:val="000000" w:themeColor="text1"/>
          <w:szCs w:val="21"/>
          <w:highlight w:val="none"/>
          <w14:textFill>
            <w14:solidFill>
              <w14:schemeClr w14:val="tx1"/>
            </w14:solidFill>
          </w14:textFill>
        </w:rPr>
        <w:t>______________</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传真：</w:t>
      </w:r>
      <w:r>
        <w:rPr>
          <w:rFonts w:ascii="宋体" w:hAnsi="宋体"/>
          <w:color w:val="000000" w:themeColor="text1"/>
          <w:szCs w:val="21"/>
          <w:highlight w:val="none"/>
          <w14:textFill>
            <w14:solidFill>
              <w14:schemeClr w14:val="tx1"/>
            </w14:solidFill>
          </w14:textFill>
        </w:rPr>
        <w:t>______________</w:t>
      </w:r>
      <w:r>
        <w:rPr>
          <w:rFonts w:hint="eastAsia" w:ascii="宋体" w:hAnsi="宋体"/>
          <w:color w:val="000000" w:themeColor="text1"/>
          <w:szCs w:val="21"/>
          <w:highlight w:val="none"/>
          <w14:textFill>
            <w14:solidFill>
              <w14:schemeClr w14:val="tx1"/>
            </w14:solidFill>
          </w14:textFill>
        </w:rPr>
        <w:t>投标人代表姓名</w:t>
      </w:r>
      <w:r>
        <w:rPr>
          <w:rFonts w:ascii="宋体" w:hAnsi="宋体"/>
          <w:color w:val="000000" w:themeColor="text1"/>
          <w:szCs w:val="21"/>
          <w:highlight w:val="none"/>
          <w14:textFill>
            <w14:solidFill>
              <w14:schemeClr w14:val="tx1"/>
            </w14:solidFill>
          </w14:textFill>
        </w:rPr>
        <w:t xml:space="preserve"> ___________  </w:t>
      </w:r>
      <w:r>
        <w:rPr>
          <w:rFonts w:hint="eastAsia" w:ascii="宋体" w:hAnsi="宋体"/>
          <w:color w:val="000000" w:themeColor="text1"/>
          <w:szCs w:val="21"/>
          <w:highlight w:val="none"/>
          <w14:textFill>
            <w14:solidFill>
              <w14:schemeClr w14:val="tx1"/>
            </w14:solidFill>
          </w14:textFill>
        </w:rPr>
        <w:t>职务：</w:t>
      </w:r>
      <w:r>
        <w:rPr>
          <w:rFonts w:ascii="宋体" w:hAnsi="宋体"/>
          <w:color w:val="000000" w:themeColor="text1"/>
          <w:szCs w:val="21"/>
          <w:highlight w:val="none"/>
          <w14:textFill>
            <w14:solidFill>
              <w14:schemeClr w14:val="tx1"/>
            </w14:solidFill>
          </w14:textFill>
        </w:rPr>
        <w:t>_____________</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公章</w:t>
      </w:r>
      <w:r>
        <w:rPr>
          <w:rFonts w:ascii="宋体" w:hAnsi="宋体"/>
          <w:color w:val="000000" w:themeColor="text1"/>
          <w:szCs w:val="21"/>
          <w:highlight w:val="none"/>
          <w14:textFill>
            <w14:solidFill>
              <w14:schemeClr w14:val="tx1"/>
            </w14:solidFill>
          </w14:textFill>
        </w:rPr>
        <w:t>): _____________</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开户银行：银行账号：</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法定代表人或其委托代理人签名（或盖章）</w:t>
      </w:r>
      <w:r>
        <w:rPr>
          <w:rFonts w:ascii="宋体" w:hAnsi="宋体"/>
          <w:color w:val="000000" w:themeColor="text1"/>
          <w:szCs w:val="21"/>
          <w:highlight w:val="none"/>
          <w14:textFill>
            <w14:solidFill>
              <w14:schemeClr w14:val="tx1"/>
            </w14:solidFill>
          </w14:textFill>
        </w:rPr>
        <w:t xml:space="preserve">:___________                      </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rFonts w:ascii="宋体" w:hAnsi="宋体"/>
          <w:color w:val="000000" w:themeColor="text1"/>
          <w:szCs w:val="21"/>
          <w:highlight w:val="none"/>
          <w14:textFill>
            <w14:solidFill>
              <w14:schemeClr w14:val="tx1"/>
            </w14:solidFill>
          </w14:textFill>
        </w:rPr>
        <w:t>:_____</w:t>
      </w:r>
      <w:r>
        <w:rPr>
          <w:rFonts w:hint="eastAsia" w:ascii="宋体" w:hAnsi="宋体"/>
          <w:color w:val="000000" w:themeColor="text1"/>
          <w:szCs w:val="21"/>
          <w:highlight w:val="none"/>
          <w14:textFill>
            <w14:solidFill>
              <w14:schemeClr w14:val="tx1"/>
            </w14:solidFill>
          </w14:textFill>
        </w:rPr>
        <w:t>年</w:t>
      </w:r>
      <w:r>
        <w:rPr>
          <w:rFonts w:ascii="宋体" w:hAnsi="宋体"/>
          <w:color w:val="000000" w:themeColor="text1"/>
          <w:szCs w:val="21"/>
          <w:highlight w:val="none"/>
          <w14:textFill>
            <w14:solidFill>
              <w14:schemeClr w14:val="tx1"/>
            </w14:solidFill>
          </w14:textFill>
        </w:rPr>
        <w:t>___</w:t>
      </w:r>
      <w:r>
        <w:rPr>
          <w:rFonts w:hint="eastAsia" w:ascii="宋体" w:hAnsi="宋体"/>
          <w:color w:val="000000" w:themeColor="text1"/>
          <w:szCs w:val="21"/>
          <w:highlight w:val="none"/>
          <w14:textFill>
            <w14:solidFill>
              <w14:schemeClr w14:val="tx1"/>
            </w14:solidFill>
          </w14:textFill>
        </w:rPr>
        <w:t>月</w:t>
      </w:r>
      <w:r>
        <w:rPr>
          <w:rFonts w:ascii="宋体" w:hAnsi="宋体"/>
          <w:color w:val="000000" w:themeColor="text1"/>
          <w:szCs w:val="21"/>
          <w:highlight w:val="none"/>
          <w14:textFill>
            <w14:solidFill>
              <w14:schemeClr w14:val="tx1"/>
            </w14:solidFill>
          </w14:textFill>
        </w:rPr>
        <w:t>___</w:t>
      </w:r>
      <w:r>
        <w:rPr>
          <w:rFonts w:hint="eastAsia" w:ascii="宋体" w:hAnsi="宋体"/>
          <w:color w:val="000000" w:themeColor="text1"/>
          <w:szCs w:val="21"/>
          <w:highlight w:val="none"/>
          <w14:textFill>
            <w14:solidFill>
              <w14:schemeClr w14:val="tx1"/>
            </w14:solidFill>
          </w14:textFill>
        </w:rPr>
        <w:t>日</w:t>
      </w:r>
    </w:p>
    <w:p>
      <w:pPr>
        <w:pStyle w:val="46"/>
        <w:ind w:firstLine="464"/>
        <w:rPr>
          <w:rFonts w:hAnsi="宋体"/>
          <w:color w:val="000000" w:themeColor="text1"/>
          <w:szCs w:val="21"/>
          <w:highlight w:val="none"/>
          <w14:textFill>
            <w14:solidFill>
              <w14:schemeClr w14:val="tx1"/>
            </w14:solidFill>
          </w14:textFill>
        </w:rPr>
      </w:pPr>
    </w:p>
    <w:p>
      <w:pPr>
        <w:pStyle w:val="46"/>
        <w:ind w:firstLine="464"/>
        <w:rPr>
          <w:rFonts w:hAnsi="宋体"/>
          <w:color w:val="000000" w:themeColor="text1"/>
          <w:szCs w:val="21"/>
          <w:highlight w:val="none"/>
          <w14:textFill>
            <w14:solidFill>
              <w14:schemeClr w14:val="tx1"/>
            </w14:solidFill>
          </w14:textFill>
        </w:rPr>
      </w:pPr>
    </w:p>
    <w:p>
      <w:pPr>
        <w:pStyle w:val="46"/>
        <w:ind w:firstLine="464"/>
        <w:rPr>
          <w:rFonts w:hAnsi="宋体"/>
          <w:color w:val="000000" w:themeColor="text1"/>
          <w:szCs w:val="21"/>
          <w:highlight w:val="none"/>
          <w14:textFill>
            <w14:solidFill>
              <w14:schemeClr w14:val="tx1"/>
            </w14:solidFill>
          </w14:textFill>
        </w:rPr>
      </w:pPr>
    </w:p>
    <w:p>
      <w:pPr>
        <w:pStyle w:val="46"/>
        <w:ind w:firstLine="464"/>
        <w:rPr>
          <w:rFonts w:hAnsi="宋体"/>
          <w:color w:val="000000" w:themeColor="text1"/>
          <w:szCs w:val="21"/>
          <w:highlight w:val="none"/>
          <w14:textFill>
            <w14:solidFill>
              <w14:schemeClr w14:val="tx1"/>
            </w14:solidFill>
          </w14:textFill>
        </w:rPr>
      </w:pPr>
    </w:p>
    <w:p>
      <w:pPr>
        <w:pStyle w:val="46"/>
        <w:ind w:firstLine="464"/>
        <w:rPr>
          <w:rFonts w:hAnsi="宋体"/>
          <w:color w:val="000000" w:themeColor="text1"/>
          <w:szCs w:val="21"/>
          <w:highlight w:val="none"/>
          <w14:textFill>
            <w14:solidFill>
              <w14:schemeClr w14:val="tx1"/>
            </w14:solidFill>
          </w14:textFill>
        </w:rPr>
      </w:pPr>
    </w:p>
    <w:p>
      <w:pPr>
        <w:pStyle w:val="46"/>
        <w:ind w:firstLine="464"/>
        <w:rPr>
          <w:rFonts w:hAnsi="宋体"/>
          <w:color w:val="000000" w:themeColor="text1"/>
          <w:szCs w:val="21"/>
          <w:highlight w:val="none"/>
          <w14:textFill>
            <w14:solidFill>
              <w14:schemeClr w14:val="tx1"/>
            </w14:solidFill>
          </w14:textFill>
        </w:rPr>
      </w:pPr>
    </w:p>
    <w:p>
      <w:pPr>
        <w:pStyle w:val="46"/>
        <w:ind w:firstLine="464"/>
        <w:rPr>
          <w:rFonts w:hAnsi="宋体"/>
          <w:color w:val="000000" w:themeColor="text1"/>
          <w:szCs w:val="21"/>
          <w:highlight w:val="none"/>
          <w14:textFill>
            <w14:solidFill>
              <w14:schemeClr w14:val="tx1"/>
            </w14:solidFill>
          </w14:textFill>
        </w:rPr>
      </w:pPr>
    </w:p>
    <w:p>
      <w:pPr>
        <w:snapToGrid w:val="0"/>
        <w:spacing w:line="360" w:lineRule="auto"/>
        <w:rPr>
          <w:rFonts w:ascii="宋体" w:hAnsi="宋体"/>
          <w:color w:val="000000" w:themeColor="text1"/>
          <w:szCs w:val="21"/>
          <w:highlight w:val="none"/>
          <w14:textFill>
            <w14:solidFill>
              <w14:schemeClr w14:val="tx1"/>
            </w14:solidFill>
          </w14:textFill>
        </w:rPr>
      </w:pPr>
    </w:p>
    <w:p>
      <w:pPr>
        <w:snapToGrid w:val="0"/>
        <w:spacing w:line="360" w:lineRule="auto"/>
        <w:ind w:firstLine="420" w:firstLineChars="20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开标一览表</w:t>
      </w:r>
    </w:p>
    <w:p>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w:t>
      </w:r>
      <w:r>
        <w:rPr>
          <w:rFonts w:hint="eastAsia" w:ascii="宋体" w:hAnsi="宋体"/>
          <w:color w:val="000000" w:themeColor="text1"/>
          <w:szCs w:val="21"/>
          <w:highlight w:val="none"/>
          <w:lang w:eastAsia="zh-CN"/>
          <w14:textFill>
            <w14:solidFill>
              <w14:schemeClr w14:val="tx1"/>
            </w14:solidFill>
          </w14:textFill>
        </w:rPr>
        <w:t>嘉消采-GK2023017</w:t>
      </w:r>
      <w:r>
        <w:rPr>
          <w:rFonts w:ascii="宋体" w:hAnsi="宋体"/>
          <w:color w:val="000000" w:themeColor="text1"/>
          <w:szCs w:val="21"/>
          <w:highlight w:val="none"/>
          <w14:textFill>
            <w14:solidFill>
              <w14:schemeClr w14:val="tx1"/>
            </w14:solidFill>
          </w14:textFill>
        </w:rPr>
        <w:t>投标人名称：</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2520"/>
        <w:gridCol w:w="5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1356" w:type="dxa"/>
            <w:vAlign w:val="center"/>
          </w:tcPr>
          <w:p>
            <w:pPr>
              <w:jc w:val="center"/>
              <w:rPr>
                <w:rFonts w:ascii="宋体" w:hAnsi="宋体"/>
                <w:b/>
                <w:bCs/>
                <w:color w:val="000000" w:themeColor="text1"/>
                <w:sz w:val="22"/>
                <w:szCs w:val="22"/>
                <w:highlight w:val="none"/>
                <w14:textFill>
                  <w14:solidFill>
                    <w14:schemeClr w14:val="tx1"/>
                  </w14:solidFill>
                </w14:textFill>
              </w:rPr>
            </w:pPr>
            <w:r>
              <w:rPr>
                <w:rFonts w:hint="eastAsia" w:ascii="宋体" w:hAnsi="宋体"/>
                <w:b/>
                <w:bCs/>
                <w:color w:val="000000" w:themeColor="text1"/>
                <w:sz w:val="22"/>
                <w:szCs w:val="22"/>
                <w:highlight w:val="none"/>
                <w14:textFill>
                  <w14:solidFill>
                    <w14:schemeClr w14:val="tx1"/>
                  </w14:solidFill>
                </w14:textFill>
              </w:rPr>
              <w:t>序号</w:t>
            </w:r>
          </w:p>
        </w:tc>
        <w:tc>
          <w:tcPr>
            <w:tcW w:w="2520" w:type="dxa"/>
            <w:vAlign w:val="center"/>
          </w:tcPr>
          <w:p>
            <w:pPr>
              <w:jc w:val="center"/>
              <w:rPr>
                <w:rFonts w:ascii="宋体" w:hAnsi="宋体"/>
                <w:b/>
                <w:bCs/>
                <w:color w:val="000000" w:themeColor="text1"/>
                <w:sz w:val="22"/>
                <w:szCs w:val="22"/>
                <w:highlight w:val="none"/>
                <w14:textFill>
                  <w14:solidFill>
                    <w14:schemeClr w14:val="tx1"/>
                  </w14:solidFill>
                </w14:textFill>
              </w:rPr>
            </w:pPr>
            <w:r>
              <w:rPr>
                <w:rFonts w:hint="eastAsia" w:ascii="宋体" w:hAnsi="宋体"/>
                <w:b/>
                <w:bCs/>
                <w:color w:val="000000" w:themeColor="text1"/>
                <w:sz w:val="22"/>
                <w:szCs w:val="22"/>
                <w:highlight w:val="none"/>
                <w14:textFill>
                  <w14:solidFill>
                    <w14:schemeClr w14:val="tx1"/>
                  </w14:solidFill>
                </w14:textFill>
              </w:rPr>
              <w:t>类别</w:t>
            </w:r>
          </w:p>
        </w:tc>
        <w:tc>
          <w:tcPr>
            <w:tcW w:w="5111" w:type="dxa"/>
            <w:vAlign w:val="center"/>
          </w:tcPr>
          <w:p>
            <w:pPr>
              <w:jc w:val="center"/>
              <w:rPr>
                <w:rFonts w:ascii="宋体" w:hAnsi="宋体"/>
                <w:b/>
                <w:bCs/>
                <w:color w:val="000000" w:themeColor="text1"/>
                <w:sz w:val="22"/>
                <w:szCs w:val="22"/>
                <w:highlight w:val="none"/>
                <w14:textFill>
                  <w14:solidFill>
                    <w14:schemeClr w14:val="tx1"/>
                  </w14:solidFill>
                </w14:textFill>
              </w:rPr>
            </w:pPr>
            <w:r>
              <w:rPr>
                <w:rFonts w:hint="eastAsia" w:ascii="宋体" w:hAnsi="宋体"/>
                <w:b/>
                <w:bCs/>
                <w:color w:val="000000" w:themeColor="text1"/>
                <w:sz w:val="22"/>
                <w:szCs w:val="22"/>
                <w:highlight w:val="none"/>
                <w14:textFill>
                  <w14:solidFill>
                    <w14:schemeClr w14:val="tx1"/>
                  </w14:solidFill>
                </w14:textFill>
              </w:rPr>
              <w:t>统一折扣率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6" w:type="dxa"/>
            <w:vAlign w:val="center"/>
          </w:tcPr>
          <w:p>
            <w:pPr>
              <w:jc w:val="center"/>
              <w:rPr>
                <w:rFonts w:ascii="宋体" w:hAnsi="宋体"/>
                <w:b/>
                <w:bCs/>
                <w:color w:val="000000" w:themeColor="text1"/>
                <w:sz w:val="22"/>
                <w:szCs w:val="22"/>
                <w:highlight w:val="none"/>
                <w14:textFill>
                  <w14:solidFill>
                    <w14:schemeClr w14:val="tx1"/>
                  </w14:solidFill>
                </w14:textFill>
              </w:rPr>
            </w:pPr>
            <w:r>
              <w:rPr>
                <w:rFonts w:ascii="宋体" w:hAnsi="宋体"/>
                <w:b/>
                <w:bCs/>
                <w:color w:val="000000" w:themeColor="text1"/>
                <w:sz w:val="22"/>
                <w:szCs w:val="22"/>
                <w:highlight w:val="none"/>
                <w14:textFill>
                  <w14:solidFill>
                    <w14:schemeClr w14:val="tx1"/>
                  </w14:solidFill>
                </w14:textFill>
              </w:rPr>
              <w:t>1</w:t>
            </w:r>
          </w:p>
        </w:tc>
        <w:tc>
          <w:tcPr>
            <w:tcW w:w="2520" w:type="dxa"/>
            <w:vAlign w:val="center"/>
          </w:tcPr>
          <w:p>
            <w:pPr>
              <w:jc w:val="center"/>
              <w:rPr>
                <w:rFonts w:ascii="宋体" w:hAnsi="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蔬菜类</w:t>
            </w:r>
          </w:p>
        </w:tc>
        <w:tc>
          <w:tcPr>
            <w:tcW w:w="5111" w:type="dxa"/>
            <w:vAlign w:val="center"/>
          </w:tcPr>
          <w:p>
            <w:pPr>
              <w:jc w:val="center"/>
              <w:rPr>
                <w:rFonts w:ascii="宋体" w:hAnsi="宋体"/>
                <w:b/>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6" w:type="dxa"/>
            <w:vAlign w:val="center"/>
          </w:tcPr>
          <w:p>
            <w:pPr>
              <w:jc w:val="center"/>
              <w:rPr>
                <w:rFonts w:ascii="宋体" w:hAnsi="宋体"/>
                <w:b/>
                <w:bCs/>
                <w:color w:val="000000" w:themeColor="text1"/>
                <w:sz w:val="22"/>
                <w:szCs w:val="22"/>
                <w:highlight w:val="none"/>
                <w14:textFill>
                  <w14:solidFill>
                    <w14:schemeClr w14:val="tx1"/>
                  </w14:solidFill>
                </w14:textFill>
              </w:rPr>
            </w:pPr>
            <w:r>
              <w:rPr>
                <w:rFonts w:ascii="宋体" w:hAnsi="宋体"/>
                <w:b/>
                <w:bCs/>
                <w:color w:val="000000" w:themeColor="text1"/>
                <w:sz w:val="22"/>
                <w:szCs w:val="22"/>
                <w:highlight w:val="none"/>
                <w14:textFill>
                  <w14:solidFill>
                    <w14:schemeClr w14:val="tx1"/>
                  </w14:solidFill>
                </w14:textFill>
              </w:rPr>
              <w:t>2</w:t>
            </w:r>
          </w:p>
        </w:tc>
        <w:tc>
          <w:tcPr>
            <w:tcW w:w="2520" w:type="dxa"/>
            <w:vAlign w:val="center"/>
          </w:tcPr>
          <w:p>
            <w:pPr>
              <w:jc w:val="center"/>
              <w:rPr>
                <w:rFonts w:ascii="宋体" w:hAnsi="宋体"/>
                <w:b/>
                <w:bCs/>
                <w:color w:val="000000" w:themeColor="text1"/>
                <w:sz w:val="22"/>
                <w:szCs w:val="22"/>
                <w:highlight w:val="none"/>
                <w14:textFill>
                  <w14:solidFill>
                    <w14:schemeClr w14:val="tx1"/>
                  </w14:solidFill>
                </w14:textFill>
              </w:rPr>
            </w:pPr>
            <w:r>
              <w:rPr>
                <w:rFonts w:hint="eastAsia" w:ascii="宋体" w:hAnsi="宋体"/>
                <w:b/>
                <w:bCs/>
                <w:color w:val="000000" w:themeColor="text1"/>
                <w:sz w:val="22"/>
                <w:szCs w:val="22"/>
                <w:highlight w:val="none"/>
                <w14:textFill>
                  <w14:solidFill>
                    <w14:schemeClr w14:val="tx1"/>
                  </w14:solidFill>
                </w14:textFill>
              </w:rPr>
              <w:t>肉类</w:t>
            </w:r>
          </w:p>
        </w:tc>
        <w:tc>
          <w:tcPr>
            <w:tcW w:w="5111" w:type="dxa"/>
            <w:vAlign w:val="center"/>
          </w:tcPr>
          <w:p>
            <w:pPr>
              <w:jc w:val="center"/>
              <w:rPr>
                <w:rFonts w:ascii="宋体" w:hAnsi="宋体"/>
                <w:b/>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6" w:type="dxa"/>
            <w:vAlign w:val="center"/>
          </w:tcPr>
          <w:p>
            <w:pPr>
              <w:jc w:val="center"/>
              <w:rPr>
                <w:rFonts w:ascii="宋体" w:hAnsi="宋体"/>
                <w:b/>
                <w:bCs/>
                <w:color w:val="000000" w:themeColor="text1"/>
                <w:sz w:val="22"/>
                <w:szCs w:val="22"/>
                <w:highlight w:val="none"/>
                <w14:textFill>
                  <w14:solidFill>
                    <w14:schemeClr w14:val="tx1"/>
                  </w14:solidFill>
                </w14:textFill>
              </w:rPr>
            </w:pPr>
            <w:r>
              <w:rPr>
                <w:rFonts w:ascii="宋体" w:hAnsi="宋体"/>
                <w:b/>
                <w:bCs/>
                <w:color w:val="000000" w:themeColor="text1"/>
                <w:sz w:val="22"/>
                <w:szCs w:val="22"/>
                <w:highlight w:val="none"/>
                <w14:textFill>
                  <w14:solidFill>
                    <w14:schemeClr w14:val="tx1"/>
                  </w14:solidFill>
                </w14:textFill>
              </w:rPr>
              <w:t>3</w:t>
            </w:r>
          </w:p>
        </w:tc>
        <w:tc>
          <w:tcPr>
            <w:tcW w:w="2520" w:type="dxa"/>
            <w:vAlign w:val="center"/>
          </w:tcPr>
          <w:p>
            <w:pPr>
              <w:jc w:val="center"/>
              <w:rPr>
                <w:rFonts w:ascii="宋体" w:hAnsi="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冷冻食品类</w:t>
            </w:r>
          </w:p>
        </w:tc>
        <w:tc>
          <w:tcPr>
            <w:tcW w:w="5111" w:type="dxa"/>
            <w:vAlign w:val="center"/>
          </w:tcPr>
          <w:p>
            <w:pPr>
              <w:jc w:val="center"/>
              <w:rPr>
                <w:rFonts w:ascii="宋体" w:hAnsi="宋体"/>
                <w:b/>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6" w:type="dxa"/>
            <w:vAlign w:val="center"/>
          </w:tcPr>
          <w:p>
            <w:pPr>
              <w:jc w:val="center"/>
              <w:rPr>
                <w:rFonts w:ascii="宋体" w:hAnsi="宋体"/>
                <w:b/>
                <w:bCs/>
                <w:color w:val="000000" w:themeColor="text1"/>
                <w:sz w:val="22"/>
                <w:szCs w:val="22"/>
                <w:highlight w:val="none"/>
                <w14:textFill>
                  <w14:solidFill>
                    <w14:schemeClr w14:val="tx1"/>
                  </w14:solidFill>
                </w14:textFill>
              </w:rPr>
            </w:pPr>
            <w:r>
              <w:rPr>
                <w:rFonts w:ascii="宋体" w:hAnsi="宋体"/>
                <w:b/>
                <w:bCs/>
                <w:color w:val="000000" w:themeColor="text1"/>
                <w:sz w:val="22"/>
                <w:szCs w:val="22"/>
                <w:highlight w:val="none"/>
                <w14:textFill>
                  <w14:solidFill>
                    <w14:schemeClr w14:val="tx1"/>
                  </w14:solidFill>
                </w14:textFill>
              </w:rPr>
              <w:t>4</w:t>
            </w:r>
          </w:p>
        </w:tc>
        <w:tc>
          <w:tcPr>
            <w:tcW w:w="2520" w:type="dxa"/>
            <w:vAlign w:val="center"/>
          </w:tcPr>
          <w:p>
            <w:pPr>
              <w:jc w:val="center"/>
              <w:rPr>
                <w:rFonts w:ascii="宋体" w:hAnsi="宋体"/>
                <w:b/>
                <w:bCs/>
                <w:color w:val="000000" w:themeColor="text1"/>
                <w:sz w:val="22"/>
                <w:szCs w:val="22"/>
                <w:highlight w:val="none"/>
                <w14:textFill>
                  <w14:solidFill>
                    <w14:schemeClr w14:val="tx1"/>
                  </w14:solidFill>
                </w14:textFill>
              </w:rPr>
            </w:pPr>
            <w:r>
              <w:rPr>
                <w:rFonts w:hint="eastAsia" w:ascii="宋体" w:hAnsi="宋体"/>
                <w:b/>
                <w:bCs/>
                <w:color w:val="000000" w:themeColor="text1"/>
                <w:sz w:val="22"/>
                <w:szCs w:val="22"/>
                <w:highlight w:val="none"/>
                <w14:textFill>
                  <w14:solidFill>
                    <w14:schemeClr w14:val="tx1"/>
                  </w14:solidFill>
                </w14:textFill>
              </w:rPr>
              <w:t>干货类</w:t>
            </w:r>
          </w:p>
        </w:tc>
        <w:tc>
          <w:tcPr>
            <w:tcW w:w="5111" w:type="dxa"/>
            <w:vAlign w:val="center"/>
          </w:tcPr>
          <w:p>
            <w:pPr>
              <w:jc w:val="center"/>
              <w:rPr>
                <w:rFonts w:ascii="宋体" w:hAnsi="宋体"/>
                <w:b/>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6" w:type="dxa"/>
            <w:vAlign w:val="center"/>
          </w:tcPr>
          <w:p>
            <w:pPr>
              <w:jc w:val="center"/>
              <w:rPr>
                <w:rFonts w:ascii="宋体" w:hAnsi="宋体"/>
                <w:b/>
                <w:bCs/>
                <w:color w:val="000000" w:themeColor="text1"/>
                <w:sz w:val="22"/>
                <w:szCs w:val="22"/>
                <w:highlight w:val="none"/>
                <w14:textFill>
                  <w14:solidFill>
                    <w14:schemeClr w14:val="tx1"/>
                  </w14:solidFill>
                </w14:textFill>
              </w:rPr>
            </w:pPr>
            <w:r>
              <w:rPr>
                <w:rFonts w:ascii="宋体" w:hAnsi="宋体"/>
                <w:b/>
                <w:bCs/>
                <w:color w:val="000000" w:themeColor="text1"/>
                <w:sz w:val="22"/>
                <w:szCs w:val="22"/>
                <w:highlight w:val="none"/>
                <w14:textFill>
                  <w14:solidFill>
                    <w14:schemeClr w14:val="tx1"/>
                  </w14:solidFill>
                </w14:textFill>
              </w:rPr>
              <w:t>5</w:t>
            </w:r>
          </w:p>
        </w:tc>
        <w:tc>
          <w:tcPr>
            <w:tcW w:w="2520" w:type="dxa"/>
            <w:vAlign w:val="center"/>
          </w:tcPr>
          <w:p>
            <w:pPr>
              <w:jc w:val="center"/>
              <w:rPr>
                <w:rFonts w:ascii="宋体" w:hAnsi="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豆制品类</w:t>
            </w:r>
          </w:p>
        </w:tc>
        <w:tc>
          <w:tcPr>
            <w:tcW w:w="5111" w:type="dxa"/>
            <w:vAlign w:val="center"/>
          </w:tcPr>
          <w:p>
            <w:pPr>
              <w:jc w:val="center"/>
              <w:rPr>
                <w:rFonts w:ascii="宋体" w:hAnsi="宋体"/>
                <w:b/>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6" w:type="dxa"/>
            <w:vAlign w:val="center"/>
          </w:tcPr>
          <w:p>
            <w:pPr>
              <w:jc w:val="center"/>
              <w:rPr>
                <w:rFonts w:ascii="宋体" w:hAnsi="宋体"/>
                <w:b/>
                <w:bCs/>
                <w:color w:val="000000" w:themeColor="text1"/>
                <w:sz w:val="22"/>
                <w:szCs w:val="22"/>
                <w:highlight w:val="none"/>
                <w14:textFill>
                  <w14:solidFill>
                    <w14:schemeClr w14:val="tx1"/>
                  </w14:solidFill>
                </w14:textFill>
              </w:rPr>
            </w:pPr>
            <w:r>
              <w:rPr>
                <w:rFonts w:hint="eastAsia" w:ascii="宋体" w:hAnsi="宋体"/>
                <w:b/>
                <w:bCs/>
                <w:color w:val="000000" w:themeColor="text1"/>
                <w:sz w:val="22"/>
                <w:szCs w:val="22"/>
                <w:highlight w:val="none"/>
                <w14:textFill>
                  <w14:solidFill>
                    <w14:schemeClr w14:val="tx1"/>
                  </w14:solidFill>
                </w14:textFill>
              </w:rPr>
              <w:t>6</w:t>
            </w:r>
          </w:p>
        </w:tc>
        <w:tc>
          <w:tcPr>
            <w:tcW w:w="2520" w:type="dxa"/>
            <w:vAlign w:val="center"/>
          </w:tcPr>
          <w:p>
            <w:pPr>
              <w:jc w:val="center"/>
              <w:rPr>
                <w:rFonts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水产品类</w:t>
            </w:r>
          </w:p>
        </w:tc>
        <w:tc>
          <w:tcPr>
            <w:tcW w:w="5111" w:type="dxa"/>
            <w:vAlign w:val="center"/>
          </w:tcPr>
          <w:p>
            <w:pPr>
              <w:jc w:val="center"/>
              <w:rPr>
                <w:rFonts w:ascii="宋体" w:hAnsi="宋体"/>
                <w:b/>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6" w:type="dxa"/>
            <w:vAlign w:val="center"/>
          </w:tcPr>
          <w:p>
            <w:pPr>
              <w:jc w:val="center"/>
              <w:rPr>
                <w:rFonts w:ascii="宋体" w:hAnsi="宋体"/>
                <w:b/>
                <w:bCs/>
                <w:color w:val="000000" w:themeColor="text1"/>
                <w:sz w:val="22"/>
                <w:szCs w:val="22"/>
                <w:highlight w:val="none"/>
                <w14:textFill>
                  <w14:solidFill>
                    <w14:schemeClr w14:val="tx1"/>
                  </w14:solidFill>
                </w14:textFill>
              </w:rPr>
            </w:pPr>
            <w:r>
              <w:rPr>
                <w:rFonts w:hint="eastAsia" w:ascii="宋体" w:hAnsi="宋体"/>
                <w:b/>
                <w:bCs/>
                <w:color w:val="000000" w:themeColor="text1"/>
                <w:sz w:val="22"/>
                <w:szCs w:val="22"/>
                <w:highlight w:val="none"/>
                <w14:textFill>
                  <w14:solidFill>
                    <w14:schemeClr w14:val="tx1"/>
                  </w14:solidFill>
                </w14:textFill>
              </w:rPr>
              <w:t>7</w:t>
            </w:r>
          </w:p>
        </w:tc>
        <w:tc>
          <w:tcPr>
            <w:tcW w:w="2520" w:type="dxa"/>
            <w:vAlign w:val="center"/>
          </w:tcPr>
          <w:p>
            <w:pPr>
              <w:jc w:val="center"/>
              <w:rPr>
                <w:rFonts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禽蛋类</w:t>
            </w:r>
          </w:p>
        </w:tc>
        <w:tc>
          <w:tcPr>
            <w:tcW w:w="5111" w:type="dxa"/>
            <w:vAlign w:val="center"/>
          </w:tcPr>
          <w:p>
            <w:pPr>
              <w:jc w:val="center"/>
              <w:rPr>
                <w:rFonts w:ascii="宋体" w:hAnsi="宋体"/>
                <w:b/>
                <w:bCs/>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56" w:type="dxa"/>
            <w:vAlign w:val="center"/>
          </w:tcPr>
          <w:p>
            <w:pPr>
              <w:jc w:val="center"/>
              <w:rPr>
                <w:rFonts w:ascii="宋体" w:hAnsi="宋体"/>
                <w:b/>
                <w:bCs/>
                <w:color w:val="000000" w:themeColor="text1"/>
                <w:sz w:val="22"/>
                <w:szCs w:val="22"/>
                <w:highlight w:val="none"/>
                <w14:textFill>
                  <w14:solidFill>
                    <w14:schemeClr w14:val="tx1"/>
                  </w14:solidFill>
                </w14:textFill>
              </w:rPr>
            </w:pPr>
            <w:r>
              <w:rPr>
                <w:rFonts w:hint="eastAsia" w:ascii="宋体" w:hAnsi="宋体"/>
                <w:b/>
                <w:bCs/>
                <w:color w:val="000000" w:themeColor="text1"/>
                <w:sz w:val="22"/>
                <w:szCs w:val="22"/>
                <w:highlight w:val="none"/>
                <w14:textFill>
                  <w14:solidFill>
                    <w14:schemeClr w14:val="tx1"/>
                  </w14:solidFill>
                </w14:textFill>
              </w:rPr>
              <w:t>8</w:t>
            </w:r>
          </w:p>
        </w:tc>
        <w:tc>
          <w:tcPr>
            <w:tcW w:w="2520" w:type="dxa"/>
            <w:vAlign w:val="center"/>
          </w:tcPr>
          <w:p>
            <w:pPr>
              <w:jc w:val="center"/>
              <w:rPr>
                <w:rFonts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其他类</w:t>
            </w:r>
          </w:p>
        </w:tc>
        <w:tc>
          <w:tcPr>
            <w:tcW w:w="5111" w:type="dxa"/>
            <w:vAlign w:val="center"/>
          </w:tcPr>
          <w:p>
            <w:pPr>
              <w:jc w:val="center"/>
              <w:rPr>
                <w:rFonts w:ascii="宋体" w:hAnsi="宋体"/>
                <w:b/>
                <w:bCs/>
                <w:color w:val="000000" w:themeColor="text1"/>
                <w:sz w:val="22"/>
                <w:szCs w:val="22"/>
                <w:highlight w:val="none"/>
                <w14:textFill>
                  <w14:solidFill>
                    <w14:schemeClr w14:val="tx1"/>
                  </w14:solidFill>
                </w14:textFill>
              </w:rPr>
            </w:pPr>
          </w:p>
        </w:tc>
      </w:tr>
    </w:tbl>
    <w:p>
      <w:pPr>
        <w:pStyle w:val="25"/>
        <w:snapToGrid w:val="0"/>
        <w:spacing w:line="360" w:lineRule="auto"/>
        <w:rPr>
          <w:rFonts w:hAnsi="宋体"/>
          <w:color w:val="000000" w:themeColor="text1"/>
          <w:szCs w:val="21"/>
          <w:highlight w:val="none"/>
          <w:shd w:val="clear" w:color="auto" w:fill="FFFFFF"/>
          <w14:textFill>
            <w14:solidFill>
              <w14:schemeClr w14:val="tx1"/>
            </w14:solidFill>
          </w14:textFill>
        </w:rPr>
      </w:pPr>
    </w:p>
    <w:p>
      <w:pPr>
        <w:pStyle w:val="25"/>
        <w:snapToGrid w:val="0"/>
        <w:spacing w:line="360" w:lineRule="auto"/>
        <w:rPr>
          <w:rFonts w:hAnsi="宋体"/>
          <w:b/>
          <w:bCs/>
          <w:color w:val="000000" w:themeColor="text1"/>
          <w:szCs w:val="21"/>
          <w:highlight w:val="none"/>
          <w:shd w:val="clear" w:color="auto" w:fill="FFFFFF"/>
          <w14:textFill>
            <w14:solidFill>
              <w14:schemeClr w14:val="tx1"/>
            </w14:solidFill>
          </w14:textFill>
        </w:rPr>
      </w:pPr>
      <w:r>
        <w:rPr>
          <w:rFonts w:hAnsi="宋体"/>
          <w:color w:val="000000" w:themeColor="text1"/>
          <w:szCs w:val="21"/>
          <w:highlight w:val="none"/>
          <w:shd w:val="clear" w:color="auto" w:fill="FFFFFF"/>
          <w14:textFill>
            <w14:solidFill>
              <w14:schemeClr w14:val="tx1"/>
            </w14:solidFill>
          </w14:textFill>
        </w:rPr>
        <w:t>注: 1</w:t>
      </w:r>
      <w:r>
        <w:rPr>
          <w:rFonts w:hAnsi="宋体"/>
          <w:b/>
          <w:bCs/>
          <w:color w:val="000000" w:themeColor="text1"/>
          <w:szCs w:val="21"/>
          <w:highlight w:val="none"/>
          <w:shd w:val="clear" w:color="auto" w:fill="FFFFFF"/>
          <w14:textFill>
            <w14:solidFill>
              <w14:schemeClr w14:val="tx1"/>
            </w14:solidFill>
          </w14:textFill>
        </w:rPr>
        <w:t>、报价一经涂改，应在涂改处加盖单位公章或者由法定代表人或授权委托人签字或盖章，否则其投标作无效标处理。</w:t>
      </w:r>
    </w:p>
    <w:p>
      <w:pPr>
        <w:snapToGrid w:val="0"/>
        <w:spacing w:before="50" w:after="156" w:afterLines="50" w:line="360" w:lineRule="auto"/>
        <w:ind w:firstLine="211" w:firstLineChars="100"/>
        <w:jc w:val="left"/>
        <w:rPr>
          <w:rFonts w:ascii="宋体" w:hAnsi="宋体"/>
          <w:b/>
          <w:bCs/>
          <w:color w:val="000000" w:themeColor="text1"/>
          <w:szCs w:val="21"/>
          <w:highlight w:val="none"/>
          <w:shd w:val="clear" w:color="auto" w:fill="FFFFFF"/>
          <w:lang w:val="zh-CN"/>
          <w14:textFill>
            <w14:solidFill>
              <w14:schemeClr w14:val="tx1"/>
            </w14:solidFill>
          </w14:textFill>
        </w:rPr>
      </w:pPr>
      <w:r>
        <w:rPr>
          <w:rFonts w:hint="eastAsia" w:ascii="宋体" w:hAnsi="宋体"/>
          <w:b/>
          <w:bCs/>
          <w:color w:val="000000" w:themeColor="text1"/>
          <w:szCs w:val="21"/>
          <w:highlight w:val="none"/>
          <w:shd w:val="clear" w:color="auto" w:fill="FFFFFF"/>
          <w14:textFill>
            <w14:solidFill>
              <w14:schemeClr w14:val="tx1"/>
            </w14:solidFill>
          </w14:textFill>
        </w:rPr>
        <w:t xml:space="preserve"> 2</w:t>
      </w:r>
      <w:r>
        <w:rPr>
          <w:rFonts w:ascii="宋体" w:hAnsi="宋体"/>
          <w:b/>
          <w:bCs/>
          <w:color w:val="000000" w:themeColor="text1"/>
          <w:szCs w:val="21"/>
          <w:highlight w:val="none"/>
          <w:shd w:val="clear" w:color="auto" w:fill="FFFFFF"/>
          <w14:textFill>
            <w14:solidFill>
              <w14:schemeClr w14:val="tx1"/>
            </w14:solidFill>
          </w14:textFill>
        </w:rPr>
        <w:t>、</w:t>
      </w:r>
      <w:r>
        <w:rPr>
          <w:rFonts w:hint="eastAsia" w:ascii="宋体" w:hAnsi="宋体"/>
          <w:b/>
          <w:bCs/>
          <w:color w:val="000000" w:themeColor="text1"/>
          <w:szCs w:val="21"/>
          <w:highlight w:val="none"/>
          <w:shd w:val="clear" w:color="auto" w:fill="FFFFFF"/>
          <w:lang w:val="zh-CN"/>
          <w14:textFill>
            <w14:solidFill>
              <w14:schemeClr w14:val="tx1"/>
            </w14:solidFill>
          </w14:textFill>
        </w:rPr>
        <w:t>结算时以桐乡农贸市场当周公布的价格为市场价（由中标人实地采集，甲方监管），再乘以中标人报的各大类的统一折扣率作为结算价。桐乡农贸市场物品价格未包含的其他个别物品，由甲方管理人员与配送供货企业相关人员共同到乌镇农贸市场采集</w:t>
      </w:r>
    </w:p>
    <w:p>
      <w:pPr>
        <w:snapToGrid w:val="0"/>
        <w:spacing w:before="50" w:after="156" w:afterLines="50" w:line="360" w:lineRule="auto"/>
        <w:ind w:firstLine="422" w:firstLineChars="200"/>
        <w:jc w:val="left"/>
        <w:rPr>
          <w:rFonts w:ascii="宋体" w:hAnsi="宋体"/>
          <w:b/>
          <w:bCs/>
          <w:color w:val="000000" w:themeColor="text1"/>
          <w:szCs w:val="21"/>
          <w:highlight w:val="none"/>
          <w:shd w:val="clear" w:color="auto" w:fill="FFFFFF"/>
          <w14:textFill>
            <w14:solidFill>
              <w14:schemeClr w14:val="tx1"/>
            </w14:solidFill>
          </w14:textFill>
        </w:rPr>
      </w:pPr>
      <w:r>
        <w:rPr>
          <w:rFonts w:hint="eastAsia" w:ascii="宋体" w:hAnsi="宋体"/>
          <w:b/>
          <w:bCs/>
          <w:color w:val="000000" w:themeColor="text1"/>
          <w:szCs w:val="21"/>
          <w:highlight w:val="none"/>
          <w:shd w:val="clear" w:color="auto" w:fill="FFFFFF"/>
          <w14:textFill>
            <w14:solidFill>
              <w14:schemeClr w14:val="tx1"/>
            </w14:solidFill>
          </w14:textFill>
        </w:rPr>
        <w:t>3、若采购人食堂管理人员认定中标人提供的市场价中有20%以上的食品原料的价格过高的，相关人员应及时通知中标人安排人员与食堂管理人员一起重新核价，如配送企业确实存在报价大幅虚高现象，一经查实，将取消其配送资格。</w:t>
      </w:r>
    </w:p>
    <w:p>
      <w:pPr>
        <w:widowControl/>
        <w:spacing w:line="360" w:lineRule="auto"/>
        <w:ind w:right="42" w:rightChars="20" w:firstLine="422" w:firstLineChars="200"/>
        <w:rPr>
          <w:rFonts w:ascii="宋体" w:hAnsi="宋体"/>
          <w:b/>
          <w:bCs/>
          <w:color w:val="000000" w:themeColor="text1"/>
          <w:szCs w:val="21"/>
          <w:highlight w:val="none"/>
          <w:shd w:val="clear" w:color="auto" w:fill="FFFFFF"/>
          <w14:textFill>
            <w14:solidFill>
              <w14:schemeClr w14:val="tx1"/>
            </w14:solidFill>
          </w14:textFill>
        </w:rPr>
      </w:pPr>
      <w:r>
        <w:rPr>
          <w:rFonts w:hint="eastAsia" w:ascii="宋体" w:hAnsi="宋体"/>
          <w:b/>
          <w:bCs/>
          <w:color w:val="000000" w:themeColor="text1"/>
          <w:szCs w:val="21"/>
          <w:highlight w:val="none"/>
          <w:shd w:val="clear" w:color="auto" w:fill="FFFFFF"/>
          <w14:textFill>
            <w14:solidFill>
              <w14:schemeClr w14:val="tx1"/>
            </w14:solidFill>
          </w14:textFill>
        </w:rPr>
        <w:t>4、投标报价是必须包括提供项目服务所需的一切人员费用（人员工资、奖金、各种加班费、各种社会保险（基本养老保险、基本医疗保险、工伤保险、失业保险、公积金等）、食宿与交通、高温补偿费）、货款、管理费用（意外保险、车辆、培训、税费、利润等完成合同所需的一切本身和不可或缺的所有工作开支、政策性文件规定及合同包含的所有风险、责任等各项全部费用并承担一切风险责任。</w:t>
      </w:r>
    </w:p>
    <w:p>
      <w:pPr>
        <w:pStyle w:val="25"/>
        <w:snapToGrid w:val="0"/>
        <w:spacing w:line="360" w:lineRule="auto"/>
        <w:rPr>
          <w:rFonts w:hAnsi="宋体"/>
          <w:color w:val="000000" w:themeColor="text1"/>
          <w:szCs w:val="21"/>
          <w:highlight w:val="none"/>
          <w:shd w:val="clear" w:color="auto" w:fill="FFFFFF"/>
          <w14:textFill>
            <w14:solidFill>
              <w14:schemeClr w14:val="tx1"/>
            </w14:solidFill>
          </w14:textFill>
        </w:rPr>
      </w:pPr>
    </w:p>
    <w:p>
      <w:pPr>
        <w:pStyle w:val="25"/>
        <w:snapToGrid w:val="0"/>
        <w:spacing w:line="360" w:lineRule="auto"/>
        <w:rPr>
          <w:rFonts w:hAnsi="宋体"/>
          <w:color w:val="000000" w:themeColor="text1"/>
          <w:szCs w:val="21"/>
          <w:highlight w:val="none"/>
          <w:shd w:val="clear" w:color="auto" w:fill="FFFFFF"/>
          <w14:textFill>
            <w14:solidFill>
              <w14:schemeClr w14:val="tx1"/>
            </w14:solidFill>
          </w14:textFill>
        </w:rPr>
      </w:pPr>
    </w:p>
    <w:p>
      <w:pPr>
        <w:pStyle w:val="25"/>
        <w:snapToGrid w:val="0"/>
        <w:spacing w:line="360" w:lineRule="auto"/>
        <w:rPr>
          <w:rFonts w:hAnsi="宋体"/>
          <w:color w:val="000000" w:themeColor="text1"/>
          <w:szCs w:val="21"/>
          <w:highlight w:val="none"/>
          <w:shd w:val="clear" w:color="auto" w:fill="FFFFFF"/>
          <w14:textFill>
            <w14:solidFill>
              <w14:schemeClr w14:val="tx1"/>
            </w14:solidFill>
          </w14:textFill>
        </w:rPr>
      </w:pPr>
    </w:p>
    <w:p>
      <w:pPr>
        <w:pStyle w:val="25"/>
        <w:snapToGrid w:val="0"/>
        <w:spacing w:line="360" w:lineRule="auto"/>
        <w:rPr>
          <w:rFonts w:hAnsi="宋体"/>
          <w:color w:val="000000" w:themeColor="text1"/>
          <w:szCs w:val="21"/>
          <w:highlight w:val="none"/>
          <w:shd w:val="clear" w:color="auto" w:fill="FFFFFF"/>
          <w14:textFill>
            <w14:solidFill>
              <w14:schemeClr w14:val="tx1"/>
            </w14:solidFill>
          </w14:textFill>
        </w:rPr>
      </w:pPr>
      <w:r>
        <w:rPr>
          <w:rFonts w:hAnsi="宋体"/>
          <w:color w:val="000000" w:themeColor="text1"/>
          <w:szCs w:val="21"/>
          <w:highlight w:val="none"/>
          <w:shd w:val="clear" w:color="auto" w:fill="FFFFFF"/>
          <w14:textFill>
            <w14:solidFill>
              <w14:schemeClr w14:val="tx1"/>
            </w14:solidFill>
          </w14:textFill>
        </w:rPr>
        <w:t xml:space="preserve">法定代表人或授权代表（签字或盖章）： </w:t>
      </w:r>
    </w:p>
    <w:p>
      <w:pPr>
        <w:pStyle w:val="25"/>
        <w:snapToGrid w:val="0"/>
        <w:spacing w:line="360" w:lineRule="auto"/>
        <w:rPr>
          <w:rFonts w:hAnsi="宋体"/>
          <w:color w:val="000000" w:themeColor="text1"/>
          <w:szCs w:val="21"/>
          <w:highlight w:val="none"/>
          <w:shd w:val="clear" w:color="auto" w:fill="FFFFFF"/>
          <w14:textFill>
            <w14:solidFill>
              <w14:schemeClr w14:val="tx1"/>
            </w14:solidFill>
          </w14:textFill>
        </w:rPr>
      </w:pPr>
    </w:p>
    <w:p>
      <w:pPr>
        <w:pStyle w:val="25"/>
        <w:snapToGrid w:val="0"/>
        <w:spacing w:line="360" w:lineRule="auto"/>
        <w:rPr>
          <w:rFonts w:hAnsi="宋体"/>
          <w:color w:val="000000" w:themeColor="text1"/>
          <w:szCs w:val="21"/>
          <w:highlight w:val="none"/>
          <w:shd w:val="clear" w:color="auto" w:fill="FFFFFF"/>
          <w14:textFill>
            <w14:solidFill>
              <w14:schemeClr w14:val="tx1"/>
            </w14:solidFill>
          </w14:textFill>
        </w:rPr>
      </w:pPr>
      <w:r>
        <w:rPr>
          <w:rFonts w:hint="eastAsia" w:hAnsi="宋体"/>
          <w:color w:val="000000" w:themeColor="text1"/>
          <w:szCs w:val="21"/>
          <w:highlight w:val="none"/>
          <w:shd w:val="clear" w:color="auto" w:fill="FFFFFF"/>
          <w14:textFill>
            <w14:solidFill>
              <w14:schemeClr w14:val="tx1"/>
            </w14:solidFill>
          </w14:textFill>
        </w:rPr>
        <w:t>投标人名称：（盖章）</w:t>
      </w:r>
      <w:r>
        <w:rPr>
          <w:rFonts w:hAnsi="宋体"/>
          <w:color w:val="000000" w:themeColor="text1"/>
          <w:szCs w:val="21"/>
          <w:highlight w:val="none"/>
          <w:shd w:val="clear" w:color="auto" w:fill="FFFFFF"/>
          <w14:textFill>
            <w14:solidFill>
              <w14:schemeClr w14:val="tx1"/>
            </w14:solidFill>
          </w14:textFill>
        </w:rPr>
        <w:t>：</w:t>
      </w:r>
    </w:p>
    <w:p>
      <w:pPr>
        <w:pStyle w:val="25"/>
        <w:snapToGrid w:val="0"/>
        <w:spacing w:line="360" w:lineRule="auto"/>
        <w:rPr>
          <w:rFonts w:hAnsi="宋体"/>
          <w:color w:val="000000" w:themeColor="text1"/>
          <w:szCs w:val="21"/>
          <w:highlight w:val="none"/>
          <w14:textFill>
            <w14:solidFill>
              <w14:schemeClr w14:val="tx1"/>
            </w14:solidFill>
          </w14:textFill>
        </w:rPr>
      </w:pPr>
    </w:p>
    <w:p>
      <w:pPr>
        <w:pStyle w:val="25"/>
        <w:snapToGrid w:val="0"/>
        <w:spacing w:line="360" w:lineRule="auto"/>
        <w:rPr>
          <w:rFonts w:hAnsi="宋体"/>
          <w:color w:val="000000" w:themeColor="text1"/>
          <w:szCs w:val="21"/>
          <w:highlight w:val="none"/>
          <w:shd w:val="clear" w:color="auto" w:fill="FFFFFF"/>
          <w14:textFill>
            <w14:solidFill>
              <w14:schemeClr w14:val="tx1"/>
            </w14:solidFill>
          </w14:textFill>
        </w:rPr>
      </w:pPr>
      <w:r>
        <w:rPr>
          <w:rFonts w:hint="eastAsia" w:hAnsi="宋体"/>
          <w:color w:val="000000" w:themeColor="text1"/>
          <w:szCs w:val="21"/>
          <w:highlight w:val="none"/>
          <w:shd w:val="clear" w:color="auto" w:fill="FFFFFF"/>
          <w14:textFill>
            <w14:solidFill>
              <w14:schemeClr w14:val="tx1"/>
            </w14:solidFill>
          </w14:textFill>
        </w:rPr>
        <w:t>日期：</w:t>
      </w:r>
    </w:p>
    <w:p>
      <w:pPr>
        <w:pStyle w:val="58"/>
        <w:spacing w:line="360" w:lineRule="auto"/>
        <w:rPr>
          <w:rFonts w:ascii="宋体" w:hAnsi="宋体"/>
          <w:color w:val="000000" w:themeColor="text1"/>
          <w:highlight w:val="none"/>
          <w14:textFill>
            <w14:solidFill>
              <w14:schemeClr w14:val="tx1"/>
            </w14:solidFill>
          </w14:textFill>
        </w:rPr>
      </w:pPr>
    </w:p>
    <w:p>
      <w:pPr>
        <w:pStyle w:val="58"/>
        <w:spacing w:line="360" w:lineRule="auto"/>
        <w:rPr>
          <w:rFonts w:ascii="宋体" w:hAnsi="宋体"/>
          <w:color w:val="000000" w:themeColor="text1"/>
          <w:highlight w:val="none"/>
          <w14:textFill>
            <w14:solidFill>
              <w14:schemeClr w14:val="tx1"/>
            </w14:solidFill>
          </w14:textFill>
        </w:rPr>
      </w:pPr>
    </w:p>
    <w:p>
      <w:pPr>
        <w:pStyle w:val="58"/>
        <w:spacing w:line="360" w:lineRule="auto"/>
        <w:rPr>
          <w:rFonts w:ascii="宋体" w:hAnsi="宋体"/>
          <w:color w:val="000000" w:themeColor="text1"/>
          <w:highlight w:val="none"/>
          <w14:textFill>
            <w14:solidFill>
              <w14:schemeClr w14:val="tx1"/>
            </w14:solidFill>
          </w14:textFill>
        </w:rPr>
      </w:pPr>
    </w:p>
    <w:p>
      <w:pPr>
        <w:pStyle w:val="58"/>
        <w:spacing w:line="360" w:lineRule="auto"/>
        <w:rPr>
          <w:rFonts w:ascii="宋体" w:hAnsi="宋体"/>
          <w:color w:val="000000" w:themeColor="text1"/>
          <w:highlight w:val="none"/>
          <w14:textFill>
            <w14:solidFill>
              <w14:schemeClr w14:val="tx1"/>
            </w14:solidFill>
          </w14:textFill>
        </w:rPr>
      </w:pPr>
    </w:p>
    <w:p>
      <w:pPr>
        <w:pStyle w:val="58"/>
        <w:spacing w:line="360" w:lineRule="auto"/>
        <w:rPr>
          <w:rFonts w:ascii="宋体" w:hAnsi="宋体"/>
          <w:color w:val="000000" w:themeColor="text1"/>
          <w:highlight w:val="none"/>
          <w14:textFill>
            <w14:solidFill>
              <w14:schemeClr w14:val="tx1"/>
            </w14:solidFill>
          </w14:textFill>
        </w:rPr>
      </w:pPr>
    </w:p>
    <w:p>
      <w:pPr>
        <w:pStyle w:val="58"/>
        <w:spacing w:line="360" w:lineRule="auto"/>
        <w:rPr>
          <w:rFonts w:ascii="宋体" w:hAnsi="宋体"/>
          <w:color w:val="000000" w:themeColor="text1"/>
          <w:highlight w:val="none"/>
          <w14:textFill>
            <w14:solidFill>
              <w14:schemeClr w14:val="tx1"/>
            </w14:solidFill>
          </w14:textFill>
        </w:rPr>
      </w:pPr>
    </w:p>
    <w:p>
      <w:pPr>
        <w:pStyle w:val="58"/>
        <w:spacing w:line="360" w:lineRule="auto"/>
        <w:rPr>
          <w:rFonts w:ascii="宋体" w:hAnsi="宋体"/>
          <w:color w:val="000000" w:themeColor="text1"/>
          <w:highlight w:val="none"/>
          <w14:textFill>
            <w14:solidFill>
              <w14:schemeClr w14:val="tx1"/>
            </w14:solidFill>
          </w14:textFill>
        </w:rPr>
      </w:pPr>
    </w:p>
    <w:p>
      <w:pPr>
        <w:pStyle w:val="58"/>
        <w:spacing w:line="360" w:lineRule="auto"/>
        <w:rPr>
          <w:rFonts w:ascii="宋体" w:hAnsi="宋体"/>
          <w:color w:val="000000" w:themeColor="text1"/>
          <w:highlight w:val="none"/>
          <w14:textFill>
            <w14:solidFill>
              <w14:schemeClr w14:val="tx1"/>
            </w14:solidFill>
          </w14:textFill>
        </w:rPr>
      </w:pPr>
    </w:p>
    <w:p>
      <w:pPr>
        <w:pStyle w:val="58"/>
        <w:spacing w:line="360" w:lineRule="auto"/>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pStyle w:val="25"/>
        <w:snapToGrid w:val="0"/>
        <w:spacing w:line="360" w:lineRule="auto"/>
        <w:rPr>
          <w:rFonts w:hAnsi="宋体"/>
          <w:color w:val="000000" w:themeColor="text1"/>
          <w:szCs w:val="21"/>
          <w:highlight w:val="none"/>
          <w:shd w:val="clear" w:color="auto" w:fill="FFFFFF"/>
          <w14:textFill>
            <w14:solidFill>
              <w14:schemeClr w14:val="tx1"/>
            </w14:solidFill>
          </w14:textFill>
        </w:rPr>
      </w:pPr>
    </w:p>
    <w:p>
      <w:pPr>
        <w:snapToGrid w:val="0"/>
        <w:spacing w:before="50" w:after="156" w:afterLines="50" w:line="440" w:lineRule="exact"/>
        <w:jc w:val="center"/>
        <w:rPr>
          <w:rFonts w:asciiTheme="minorEastAsia" w:hAnsiTheme="minorEastAsia" w:eastAsiaTheme="minorEastAsia" w:cstheme="minorEastAsia"/>
          <w:color w:val="000000" w:themeColor="text1"/>
          <w:sz w:val="32"/>
          <w:szCs w:val="32"/>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t>劳动用工书面承诺</w:t>
      </w:r>
    </w:p>
    <w:p>
      <w:pPr>
        <w:pStyle w:val="25"/>
        <w:spacing w:line="480" w:lineRule="exact"/>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如我公司中标，我公司将严格遵守《民法典》的相关规定，按招标文件的要求配置服务人员，按国家规定为员工缴纳社会保险，员工的工资标准不低于嘉兴市最低工资标准，并将所有条款写入劳动用工合同。</w:t>
      </w:r>
    </w:p>
    <w:p>
      <w:pPr>
        <w:pStyle w:val="25"/>
        <w:spacing w:line="480" w:lineRule="exact"/>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特此承诺。</w:t>
      </w:r>
    </w:p>
    <w:p>
      <w:pPr>
        <w:pStyle w:val="25"/>
        <w:spacing w:line="480" w:lineRule="exact"/>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pPr>
        <w:pStyle w:val="25"/>
        <w:spacing w:line="480" w:lineRule="exact"/>
        <w:ind w:firstLine="480" w:firstLineChars="200"/>
        <w:rPr>
          <w:rFonts w:asciiTheme="minorEastAsia" w:hAnsiTheme="minorEastAsia" w:eastAsiaTheme="minorEastAsia" w:cstheme="minorEastAsia"/>
          <w:color w:val="000000" w:themeColor="text1"/>
          <w:sz w:val="24"/>
          <w:szCs w:val="24"/>
          <w:highlight w:val="none"/>
          <w14:textFill>
            <w14:solidFill>
              <w14:schemeClr w14:val="tx1"/>
            </w14:solidFill>
          </w14:textFill>
        </w:rPr>
      </w:pPr>
    </w:p>
    <w:p>
      <w:pPr>
        <w:snapToGrid w:val="0"/>
        <w:spacing w:before="50" w:after="50" w:line="360" w:lineRule="auto"/>
        <w:ind w:firstLine="480" w:firstLineChars="200"/>
        <w:rPr>
          <w:rFonts w:asciiTheme="minorEastAsia" w:hAnsiTheme="minorEastAsia" w:eastAsiaTheme="minorEastAsia" w:cstheme="minorEastAsia"/>
          <w:color w:val="000000" w:themeColor="text1"/>
          <w:spacing w:val="20"/>
          <w:sz w:val="24"/>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被授权人签字（或盖章）</w:t>
      </w:r>
      <w:r>
        <w:rPr>
          <w:rFonts w:hint="eastAsia" w:asciiTheme="minorEastAsia" w:hAnsiTheme="minorEastAsia" w:eastAsiaTheme="minorEastAsia" w:cstheme="minorEastAsia"/>
          <w:color w:val="000000" w:themeColor="text1"/>
          <w:spacing w:val="20"/>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highlight w:val="none"/>
          <w:u w:val="single"/>
          <w14:textFill>
            <w14:solidFill>
              <w14:schemeClr w14:val="tx1"/>
            </w14:solidFill>
          </w14:textFill>
        </w:rPr>
        <w:t xml:space="preserve">        </w:t>
      </w:r>
    </w:p>
    <w:p>
      <w:pPr>
        <w:spacing w:line="460" w:lineRule="atLeast"/>
        <w:ind w:firstLine="480" w:firstLineChars="200"/>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投标人公章：                    </w:t>
      </w:r>
    </w:p>
    <w:p>
      <w:pPr>
        <w:spacing w:line="460" w:lineRule="atLeast"/>
        <w:ind w:firstLine="240" w:firstLineChars="100"/>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年    月    日</w:t>
      </w:r>
    </w:p>
    <w:p>
      <w:pPr>
        <w:pStyle w:val="25"/>
        <w:snapToGrid w:val="0"/>
        <w:spacing w:line="360" w:lineRule="auto"/>
        <w:rPr>
          <w:rFonts w:asciiTheme="minorEastAsia" w:hAnsiTheme="minorEastAsia" w:eastAsiaTheme="minorEastAsia" w:cstheme="minorEastAsia"/>
          <w:color w:val="000000" w:themeColor="text1"/>
          <w:highlight w:val="none"/>
          <w14:textFill>
            <w14:solidFill>
              <w14:schemeClr w14:val="tx1"/>
            </w14:solidFill>
          </w14:textFill>
        </w:rPr>
      </w:pPr>
    </w:p>
    <w:sectPr>
      <w:pgSz w:w="11907" w:h="16839"/>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MingLiU">
    <w:altName w:val="PMingLiU-ExtB"/>
    <w:panose1 w:val="02010609000101010101"/>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Courier">
    <w:altName w:val="Courier New"/>
    <w:panose1 w:val="02070409020205020404"/>
    <w:charset w:val="00"/>
    <w:family w:val="moder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764"/>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outside" w:y="1"/>
      <w:rPr>
        <w:rStyle w:val="52"/>
      </w:rPr>
    </w:pPr>
    <w:r>
      <w:fldChar w:fldCharType="begin"/>
    </w:r>
    <w:r>
      <w:rPr>
        <w:rStyle w:val="52"/>
      </w:rPr>
      <w:instrText xml:space="preserve">PAGE  </w:instrText>
    </w:r>
    <w:r>
      <w:fldChar w:fldCharType="end"/>
    </w:r>
  </w:p>
  <w:p>
    <w:pPr>
      <w:pStyle w:val="30"/>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rPr>
        <w:rFonts w:ascii="微软雅黑" w:hAnsi="微软雅黑" w:eastAsia="微软雅黑"/>
      </w:rPr>
    </w:pPr>
    <w:r>
      <w:rPr>
        <w:rFonts w:hint="eastAsia" w:ascii="宋体" w:hAnsi="宋体" w:cs="Arial"/>
        <w:kern w:val="0"/>
        <w:szCs w:val="21"/>
        <w:lang w:eastAsia="zh-CN"/>
      </w:rPr>
      <w:t>浙江省嘉兴支队乌镇消防救援大队2023年度伙食集中配送采购项目</w:t>
    </w:r>
    <w:r>
      <w:rPr>
        <w:rFonts w:hint="eastAsia" w:ascii="宋体" w:hAnsi="宋体" w:cs="Arial"/>
        <w:kern w:val="0"/>
        <w:szCs w:val="21"/>
      </w:rPr>
      <w:t xml:space="preserve"> </w:t>
    </w:r>
    <w:r>
      <w:rPr>
        <w:rFonts w:hint="eastAsia" w:ascii="宋体" w:hAnsi="宋体" w:cs="Arial"/>
        <w:kern w:val="0"/>
        <w:szCs w:val="21"/>
        <w:lang w:val="en-US" w:eastAsia="zh-CN"/>
      </w:rPr>
      <w:t xml:space="preserve">                        </w:t>
    </w:r>
    <w:r>
      <w:rPr>
        <w:rFonts w:hint="eastAsia" w:ascii="宋体" w:hAnsi="宋体" w:cs="Arial"/>
        <w:kern w:val="0"/>
        <w:szCs w:val="21"/>
      </w:rPr>
      <w:t>招标文</w:t>
    </w:r>
    <w:r>
      <w:rPr>
        <w:rFonts w:ascii="宋体" w:hAnsi="宋体" w:cs="Arial"/>
        <w:kern w:val="0"/>
        <w:szCs w:val="21"/>
      </w:rPr>
      <w:t>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rPr>
        <w:rFonts w:hint="default"/>
        <w:lang w:val="en-US" w:eastAsia="zh-CN"/>
      </w:rPr>
    </w:pPr>
    <w:r>
      <w:rPr>
        <w:rFonts w:hint="eastAsia" w:ascii="宋体" w:hAnsi="宋体" w:cs="Arial"/>
        <w:kern w:val="0"/>
        <w:szCs w:val="21"/>
        <w:lang w:eastAsia="zh-CN"/>
      </w:rPr>
      <w:t>浙江省嘉兴支队乌镇消防救援大队2023年度伙食集中配送采购项目</w:t>
    </w:r>
    <w:r>
      <w:rPr>
        <w:rFonts w:hint="eastAsia" w:ascii="宋体" w:hAnsi="宋体" w:cs="Arial"/>
        <w:kern w:val="0"/>
        <w:szCs w:val="21"/>
        <w:lang w:val="en-US" w:eastAsia="zh-CN"/>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rPr>
        <w:rFonts w:ascii="微软雅黑" w:hAnsi="微软雅黑" w:eastAsia="微软雅黑"/>
      </w:rPr>
    </w:pPr>
    <w:r>
      <w:rPr>
        <w:rFonts w:hint="eastAsia" w:ascii="宋体" w:hAnsi="宋体" w:cs="Arial"/>
        <w:kern w:val="0"/>
        <w:szCs w:val="21"/>
        <w:lang w:eastAsia="zh-CN"/>
      </w:rPr>
      <w:t>浙江省嘉兴支队乌镇消防救援大队2023年度伙食集中配送采购项目</w:t>
    </w:r>
    <w:r>
      <w:rPr>
        <w:rFonts w:hint="eastAsia" w:ascii="宋体" w:hAnsi="宋体" w:cs="Arial"/>
        <w:kern w:val="0"/>
        <w:szCs w:val="21"/>
      </w:rPr>
      <w:t xml:space="preserve"> </w:t>
    </w:r>
    <w:r>
      <w:rPr>
        <w:rFonts w:hint="eastAsia" w:ascii="宋体" w:hAnsi="宋体" w:cs="Arial"/>
        <w:kern w:val="0"/>
        <w:szCs w:val="21"/>
        <w:lang w:val="en-US" w:eastAsia="zh-CN"/>
      </w:rPr>
      <w:t xml:space="preserve">                        </w:t>
    </w:r>
    <w:r>
      <w:rPr>
        <w:rFonts w:hint="eastAsia" w:ascii="宋体" w:hAnsi="宋体" w:cs="Arial"/>
        <w:kern w:val="0"/>
        <w:szCs w:val="21"/>
      </w:rPr>
      <w:t>招标文</w:t>
    </w:r>
    <w:r>
      <w:rPr>
        <w:rFonts w:ascii="宋体" w:hAnsi="宋体" w:cs="Arial"/>
        <w:kern w:val="0"/>
        <w:szCs w:val="21"/>
      </w:rPr>
      <w:t>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rPr>
        <w:rFonts w:ascii="微软雅黑" w:hAnsi="微软雅黑" w:eastAsia="微软雅黑"/>
      </w:rPr>
    </w:pPr>
    <w:r>
      <w:rPr>
        <w:rFonts w:hint="eastAsia" w:ascii="宋体" w:hAnsi="宋体" w:cs="Arial"/>
        <w:kern w:val="0"/>
        <w:szCs w:val="21"/>
        <w:lang w:eastAsia="zh-CN"/>
      </w:rPr>
      <w:t>浙江省嘉兴支队乌镇消防救援大队2023年度伙食集中配送采购项目</w:t>
    </w:r>
    <w:r>
      <w:rPr>
        <w:rFonts w:hint="eastAsia" w:ascii="宋体" w:hAnsi="宋体" w:cs="Arial"/>
        <w:kern w:val="0"/>
        <w:szCs w:val="21"/>
      </w:rPr>
      <w:t xml:space="preserve"> </w:t>
    </w:r>
    <w:r>
      <w:rPr>
        <w:rFonts w:hint="eastAsia" w:ascii="宋体" w:hAnsi="宋体" w:cs="Arial"/>
        <w:kern w:val="0"/>
        <w:szCs w:val="21"/>
        <w:lang w:val="en-US" w:eastAsia="zh-CN"/>
      </w:rPr>
      <w:t xml:space="preserve">                       </w:t>
    </w:r>
    <w:r>
      <w:rPr>
        <w:rFonts w:hint="eastAsia" w:ascii="宋体" w:hAnsi="宋体" w:cs="Arial"/>
        <w:kern w:val="0"/>
        <w:szCs w:val="21"/>
      </w:rPr>
      <w:t>招标文</w:t>
    </w:r>
    <w:r>
      <w:rPr>
        <w:rFonts w:ascii="宋体" w:hAnsi="宋体" w:cs="Arial"/>
        <w:kern w:val="0"/>
        <w:szCs w:val="21"/>
      </w:rPr>
      <w:t>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B0AEF"/>
    <w:multiLevelType w:val="multilevel"/>
    <w:tmpl w:val="881B0AEF"/>
    <w:lvl w:ilvl="0" w:tentative="0">
      <w:start w:val="1"/>
      <w:numFmt w:val="decimal"/>
      <w:suff w:val="nothing"/>
      <w:lvlText w:val="%1、"/>
      <w:lvlJc w:val="left"/>
      <w:pPr>
        <w:ind w:left="0" w:firstLine="0"/>
      </w:pPr>
      <w:rPr>
        <w:rFonts w:hint="default"/>
      </w:rPr>
    </w:lvl>
    <w:lvl w:ilvl="1" w:tentative="0">
      <w:start w:val="1"/>
      <w:numFmt w:val="decimal"/>
      <w:suff w:val="nothing"/>
      <w:lvlText w:val="%1.%2、"/>
      <w:lvlJc w:val="left"/>
      <w:pPr>
        <w:ind w:left="0" w:firstLine="0"/>
      </w:pPr>
      <w:rPr>
        <w:rFonts w:hint="default"/>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abstractNum w:abstractNumId="1">
    <w:nsid w:val="551E3405"/>
    <w:multiLevelType w:val="multilevel"/>
    <w:tmpl w:val="551E3405"/>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6F05BE2E"/>
    <w:multiLevelType w:val="singleLevel"/>
    <w:tmpl w:val="6F05BE2E"/>
    <w:lvl w:ilvl="0" w:tentative="0">
      <w:start w:val="1"/>
      <w:numFmt w:val="chineseCounting"/>
      <w:suff w:val="nothing"/>
      <w:lvlText w:val="%1、"/>
      <w:lvlJc w:val="left"/>
      <w:rPr>
        <w:rFonts w:hint="eastAsia"/>
      </w:rPr>
    </w:lvl>
  </w:abstractNum>
  <w:abstractNum w:abstractNumId="3">
    <w:nsid w:val="73501D6F"/>
    <w:multiLevelType w:val="multilevel"/>
    <w:tmpl w:val="73501D6F"/>
    <w:lvl w:ilvl="0" w:tentative="0">
      <w:start w:val="1"/>
      <w:numFmt w:val="japaneseCounting"/>
      <w:lvlText w:val="%1、"/>
      <w:lvlJc w:val="left"/>
      <w:pPr>
        <w:tabs>
          <w:tab w:val="left" w:pos="946"/>
        </w:tabs>
        <w:ind w:left="946" w:hanging="480"/>
      </w:pPr>
      <w:rPr>
        <w:rFonts w:hint="default"/>
      </w:rPr>
    </w:lvl>
    <w:lvl w:ilvl="1" w:tentative="0">
      <w:start w:val="1"/>
      <w:numFmt w:val="lowerLetter"/>
      <w:lvlText w:val="%2)"/>
      <w:lvlJc w:val="left"/>
      <w:pPr>
        <w:tabs>
          <w:tab w:val="left" w:pos="1306"/>
        </w:tabs>
        <w:ind w:left="1306" w:hanging="420"/>
      </w:pPr>
    </w:lvl>
    <w:lvl w:ilvl="2" w:tentative="0">
      <w:start w:val="1"/>
      <w:numFmt w:val="lowerRoman"/>
      <w:lvlText w:val="%3."/>
      <w:lvlJc w:val="right"/>
      <w:pPr>
        <w:tabs>
          <w:tab w:val="left" w:pos="1726"/>
        </w:tabs>
        <w:ind w:left="1726" w:hanging="420"/>
      </w:pPr>
    </w:lvl>
    <w:lvl w:ilvl="3" w:tentative="0">
      <w:start w:val="1"/>
      <w:numFmt w:val="decimal"/>
      <w:lvlText w:val="%4."/>
      <w:lvlJc w:val="left"/>
      <w:pPr>
        <w:tabs>
          <w:tab w:val="left" w:pos="2146"/>
        </w:tabs>
        <w:ind w:left="2146" w:hanging="420"/>
      </w:pPr>
    </w:lvl>
    <w:lvl w:ilvl="4" w:tentative="0">
      <w:start w:val="1"/>
      <w:numFmt w:val="lowerLetter"/>
      <w:lvlText w:val="%5)"/>
      <w:lvlJc w:val="left"/>
      <w:pPr>
        <w:tabs>
          <w:tab w:val="left" w:pos="2566"/>
        </w:tabs>
        <w:ind w:left="2566" w:hanging="420"/>
      </w:pPr>
    </w:lvl>
    <w:lvl w:ilvl="5" w:tentative="0">
      <w:start w:val="1"/>
      <w:numFmt w:val="lowerRoman"/>
      <w:lvlText w:val="%6."/>
      <w:lvlJc w:val="right"/>
      <w:pPr>
        <w:tabs>
          <w:tab w:val="left" w:pos="2986"/>
        </w:tabs>
        <w:ind w:left="2986" w:hanging="420"/>
      </w:pPr>
    </w:lvl>
    <w:lvl w:ilvl="6" w:tentative="0">
      <w:start w:val="1"/>
      <w:numFmt w:val="decimal"/>
      <w:lvlText w:val="%7."/>
      <w:lvlJc w:val="left"/>
      <w:pPr>
        <w:tabs>
          <w:tab w:val="left" w:pos="3406"/>
        </w:tabs>
        <w:ind w:left="3406" w:hanging="420"/>
      </w:pPr>
    </w:lvl>
    <w:lvl w:ilvl="7" w:tentative="0">
      <w:start w:val="1"/>
      <w:numFmt w:val="lowerLetter"/>
      <w:lvlText w:val="%8)"/>
      <w:lvlJc w:val="left"/>
      <w:pPr>
        <w:tabs>
          <w:tab w:val="left" w:pos="3826"/>
        </w:tabs>
        <w:ind w:left="3826" w:hanging="420"/>
      </w:pPr>
    </w:lvl>
    <w:lvl w:ilvl="8" w:tentative="0">
      <w:start w:val="1"/>
      <w:numFmt w:val="lowerRoman"/>
      <w:lvlText w:val="%9."/>
      <w:lvlJc w:val="right"/>
      <w:pPr>
        <w:tabs>
          <w:tab w:val="left" w:pos="4246"/>
        </w:tabs>
        <w:ind w:left="4246"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OWIyMzk0YzFjNWM3MzA4MDQyZDQ4YjgzYjE3YzAifQ=="/>
  </w:docVars>
  <w:rsids>
    <w:rsidRoot w:val="00C67595"/>
    <w:rsid w:val="00000868"/>
    <w:rsid w:val="00002FF3"/>
    <w:rsid w:val="0000398F"/>
    <w:rsid w:val="00003C3C"/>
    <w:rsid w:val="000044F4"/>
    <w:rsid w:val="000050D6"/>
    <w:rsid w:val="00005B6A"/>
    <w:rsid w:val="0000613F"/>
    <w:rsid w:val="00006676"/>
    <w:rsid w:val="00007A59"/>
    <w:rsid w:val="000101D3"/>
    <w:rsid w:val="000104CA"/>
    <w:rsid w:val="00010B34"/>
    <w:rsid w:val="00010C43"/>
    <w:rsid w:val="000112E4"/>
    <w:rsid w:val="00011499"/>
    <w:rsid w:val="00011EDD"/>
    <w:rsid w:val="00012415"/>
    <w:rsid w:val="00014435"/>
    <w:rsid w:val="00015B12"/>
    <w:rsid w:val="00015C8C"/>
    <w:rsid w:val="00015EBA"/>
    <w:rsid w:val="00016F84"/>
    <w:rsid w:val="00017123"/>
    <w:rsid w:val="0001712E"/>
    <w:rsid w:val="0001791B"/>
    <w:rsid w:val="00020A3B"/>
    <w:rsid w:val="00023EA6"/>
    <w:rsid w:val="00023F05"/>
    <w:rsid w:val="000249F2"/>
    <w:rsid w:val="00024B81"/>
    <w:rsid w:val="00026C81"/>
    <w:rsid w:val="0003103E"/>
    <w:rsid w:val="0003146C"/>
    <w:rsid w:val="00031953"/>
    <w:rsid w:val="0003293E"/>
    <w:rsid w:val="00034784"/>
    <w:rsid w:val="00034D4D"/>
    <w:rsid w:val="00035725"/>
    <w:rsid w:val="000365CB"/>
    <w:rsid w:val="0003713E"/>
    <w:rsid w:val="000377BF"/>
    <w:rsid w:val="00037CD8"/>
    <w:rsid w:val="0004008C"/>
    <w:rsid w:val="000401D5"/>
    <w:rsid w:val="00041B2D"/>
    <w:rsid w:val="00042977"/>
    <w:rsid w:val="00042AFD"/>
    <w:rsid w:val="00043120"/>
    <w:rsid w:val="00043142"/>
    <w:rsid w:val="00045492"/>
    <w:rsid w:val="000462B4"/>
    <w:rsid w:val="0004692F"/>
    <w:rsid w:val="00047D1E"/>
    <w:rsid w:val="000501DD"/>
    <w:rsid w:val="0005070C"/>
    <w:rsid w:val="000510C6"/>
    <w:rsid w:val="000518B8"/>
    <w:rsid w:val="00051FC1"/>
    <w:rsid w:val="00052F01"/>
    <w:rsid w:val="00054A9C"/>
    <w:rsid w:val="00055784"/>
    <w:rsid w:val="00055D20"/>
    <w:rsid w:val="00056CBF"/>
    <w:rsid w:val="000573EF"/>
    <w:rsid w:val="00057835"/>
    <w:rsid w:val="00060047"/>
    <w:rsid w:val="00060905"/>
    <w:rsid w:val="000623FD"/>
    <w:rsid w:val="00062990"/>
    <w:rsid w:val="00062AFE"/>
    <w:rsid w:val="00063364"/>
    <w:rsid w:val="00064222"/>
    <w:rsid w:val="00064829"/>
    <w:rsid w:val="00065016"/>
    <w:rsid w:val="000651F4"/>
    <w:rsid w:val="00065E41"/>
    <w:rsid w:val="000661E3"/>
    <w:rsid w:val="000662AD"/>
    <w:rsid w:val="00066842"/>
    <w:rsid w:val="00066EC4"/>
    <w:rsid w:val="000709B0"/>
    <w:rsid w:val="000718A7"/>
    <w:rsid w:val="00072638"/>
    <w:rsid w:val="000736C9"/>
    <w:rsid w:val="00073C4C"/>
    <w:rsid w:val="00074E55"/>
    <w:rsid w:val="00074FC4"/>
    <w:rsid w:val="00076500"/>
    <w:rsid w:val="00076C16"/>
    <w:rsid w:val="0007718F"/>
    <w:rsid w:val="0007759B"/>
    <w:rsid w:val="0007790A"/>
    <w:rsid w:val="00080288"/>
    <w:rsid w:val="0008113B"/>
    <w:rsid w:val="00081912"/>
    <w:rsid w:val="00083285"/>
    <w:rsid w:val="00083E93"/>
    <w:rsid w:val="000845F6"/>
    <w:rsid w:val="00085D08"/>
    <w:rsid w:val="0008643D"/>
    <w:rsid w:val="000871CB"/>
    <w:rsid w:val="00087413"/>
    <w:rsid w:val="00087869"/>
    <w:rsid w:val="00087F2C"/>
    <w:rsid w:val="000901E0"/>
    <w:rsid w:val="00091F55"/>
    <w:rsid w:val="00092DE6"/>
    <w:rsid w:val="000932B2"/>
    <w:rsid w:val="00093B7D"/>
    <w:rsid w:val="00093EB5"/>
    <w:rsid w:val="000941A5"/>
    <w:rsid w:val="00095712"/>
    <w:rsid w:val="00096C1B"/>
    <w:rsid w:val="0009734B"/>
    <w:rsid w:val="000A0027"/>
    <w:rsid w:val="000A137F"/>
    <w:rsid w:val="000A20E5"/>
    <w:rsid w:val="000A24D3"/>
    <w:rsid w:val="000A29D9"/>
    <w:rsid w:val="000A326A"/>
    <w:rsid w:val="000A4323"/>
    <w:rsid w:val="000A4FF5"/>
    <w:rsid w:val="000A6697"/>
    <w:rsid w:val="000A69C1"/>
    <w:rsid w:val="000A74D9"/>
    <w:rsid w:val="000B09AE"/>
    <w:rsid w:val="000B0A3A"/>
    <w:rsid w:val="000B177F"/>
    <w:rsid w:val="000B22F5"/>
    <w:rsid w:val="000B2508"/>
    <w:rsid w:val="000B2E80"/>
    <w:rsid w:val="000B3796"/>
    <w:rsid w:val="000B39C4"/>
    <w:rsid w:val="000B4EDA"/>
    <w:rsid w:val="000B5BDD"/>
    <w:rsid w:val="000B60F2"/>
    <w:rsid w:val="000B688B"/>
    <w:rsid w:val="000C0619"/>
    <w:rsid w:val="000C0796"/>
    <w:rsid w:val="000C1788"/>
    <w:rsid w:val="000C1894"/>
    <w:rsid w:val="000C1950"/>
    <w:rsid w:val="000C1952"/>
    <w:rsid w:val="000C2450"/>
    <w:rsid w:val="000C34D1"/>
    <w:rsid w:val="000C3CB6"/>
    <w:rsid w:val="000C400E"/>
    <w:rsid w:val="000C4E12"/>
    <w:rsid w:val="000C51F1"/>
    <w:rsid w:val="000C52F4"/>
    <w:rsid w:val="000C62D7"/>
    <w:rsid w:val="000C743A"/>
    <w:rsid w:val="000C7992"/>
    <w:rsid w:val="000D00D5"/>
    <w:rsid w:val="000D0A89"/>
    <w:rsid w:val="000D0CCE"/>
    <w:rsid w:val="000D1BEF"/>
    <w:rsid w:val="000D1E8B"/>
    <w:rsid w:val="000D270C"/>
    <w:rsid w:val="000D3375"/>
    <w:rsid w:val="000D3BD8"/>
    <w:rsid w:val="000D3CA8"/>
    <w:rsid w:val="000D3DBC"/>
    <w:rsid w:val="000D3E83"/>
    <w:rsid w:val="000D4194"/>
    <w:rsid w:val="000D4E06"/>
    <w:rsid w:val="000D51BB"/>
    <w:rsid w:val="000D5879"/>
    <w:rsid w:val="000D73FD"/>
    <w:rsid w:val="000E0758"/>
    <w:rsid w:val="000E0C03"/>
    <w:rsid w:val="000E0C11"/>
    <w:rsid w:val="000E1631"/>
    <w:rsid w:val="000E1EB6"/>
    <w:rsid w:val="000E1F01"/>
    <w:rsid w:val="000E2330"/>
    <w:rsid w:val="000E2A99"/>
    <w:rsid w:val="000E4552"/>
    <w:rsid w:val="000E4833"/>
    <w:rsid w:val="000E5B07"/>
    <w:rsid w:val="000E5BED"/>
    <w:rsid w:val="000E63B3"/>
    <w:rsid w:val="000E67CC"/>
    <w:rsid w:val="000F00C6"/>
    <w:rsid w:val="000F03BE"/>
    <w:rsid w:val="000F1174"/>
    <w:rsid w:val="000F200A"/>
    <w:rsid w:val="000F2A44"/>
    <w:rsid w:val="000F2E02"/>
    <w:rsid w:val="000F41DC"/>
    <w:rsid w:val="000F79F2"/>
    <w:rsid w:val="000F7AE1"/>
    <w:rsid w:val="00102946"/>
    <w:rsid w:val="001029B5"/>
    <w:rsid w:val="00104A23"/>
    <w:rsid w:val="00104D7B"/>
    <w:rsid w:val="00104E7B"/>
    <w:rsid w:val="001056B0"/>
    <w:rsid w:val="00106261"/>
    <w:rsid w:val="00106CA0"/>
    <w:rsid w:val="00111AC6"/>
    <w:rsid w:val="00111C03"/>
    <w:rsid w:val="001127C2"/>
    <w:rsid w:val="00112C9C"/>
    <w:rsid w:val="001136F2"/>
    <w:rsid w:val="001140A1"/>
    <w:rsid w:val="0011453D"/>
    <w:rsid w:val="001157FF"/>
    <w:rsid w:val="00115C70"/>
    <w:rsid w:val="00117042"/>
    <w:rsid w:val="0012000F"/>
    <w:rsid w:val="00120031"/>
    <w:rsid w:val="001204E0"/>
    <w:rsid w:val="0012571C"/>
    <w:rsid w:val="00131164"/>
    <w:rsid w:val="0013190C"/>
    <w:rsid w:val="00131EB3"/>
    <w:rsid w:val="00132367"/>
    <w:rsid w:val="0013276A"/>
    <w:rsid w:val="0013300D"/>
    <w:rsid w:val="001331D8"/>
    <w:rsid w:val="0013637D"/>
    <w:rsid w:val="00136E52"/>
    <w:rsid w:val="001411A8"/>
    <w:rsid w:val="001433CF"/>
    <w:rsid w:val="0014548E"/>
    <w:rsid w:val="00150C59"/>
    <w:rsid w:val="001512EB"/>
    <w:rsid w:val="00152126"/>
    <w:rsid w:val="00152408"/>
    <w:rsid w:val="00152CF7"/>
    <w:rsid w:val="00155680"/>
    <w:rsid w:val="00155885"/>
    <w:rsid w:val="0015627F"/>
    <w:rsid w:val="0015639E"/>
    <w:rsid w:val="00157136"/>
    <w:rsid w:val="00157DAD"/>
    <w:rsid w:val="001601E1"/>
    <w:rsid w:val="001608DD"/>
    <w:rsid w:val="00160CB6"/>
    <w:rsid w:val="001619B3"/>
    <w:rsid w:val="00162AB9"/>
    <w:rsid w:val="001663C1"/>
    <w:rsid w:val="00171130"/>
    <w:rsid w:val="001749E9"/>
    <w:rsid w:val="001749EA"/>
    <w:rsid w:val="00175FF0"/>
    <w:rsid w:val="001760F8"/>
    <w:rsid w:val="00180135"/>
    <w:rsid w:val="001807AC"/>
    <w:rsid w:val="0018080D"/>
    <w:rsid w:val="00180B6C"/>
    <w:rsid w:val="00183E56"/>
    <w:rsid w:val="00184A25"/>
    <w:rsid w:val="00185BE6"/>
    <w:rsid w:val="00186C73"/>
    <w:rsid w:val="00187CA6"/>
    <w:rsid w:val="00190584"/>
    <w:rsid w:val="00190A51"/>
    <w:rsid w:val="001916F1"/>
    <w:rsid w:val="00191C4B"/>
    <w:rsid w:val="001930F4"/>
    <w:rsid w:val="00194ECF"/>
    <w:rsid w:val="001961BA"/>
    <w:rsid w:val="001963C7"/>
    <w:rsid w:val="00196943"/>
    <w:rsid w:val="00196E8A"/>
    <w:rsid w:val="001A3799"/>
    <w:rsid w:val="001A385B"/>
    <w:rsid w:val="001A3D66"/>
    <w:rsid w:val="001A45C5"/>
    <w:rsid w:val="001A5907"/>
    <w:rsid w:val="001A6FF0"/>
    <w:rsid w:val="001A7535"/>
    <w:rsid w:val="001A78E7"/>
    <w:rsid w:val="001B024B"/>
    <w:rsid w:val="001B1B8E"/>
    <w:rsid w:val="001B31E0"/>
    <w:rsid w:val="001B333B"/>
    <w:rsid w:val="001B4756"/>
    <w:rsid w:val="001B4BD3"/>
    <w:rsid w:val="001B52C5"/>
    <w:rsid w:val="001B598A"/>
    <w:rsid w:val="001B6161"/>
    <w:rsid w:val="001B6DF8"/>
    <w:rsid w:val="001B7633"/>
    <w:rsid w:val="001B7C02"/>
    <w:rsid w:val="001C01C4"/>
    <w:rsid w:val="001C1990"/>
    <w:rsid w:val="001C2AE0"/>
    <w:rsid w:val="001C2C06"/>
    <w:rsid w:val="001C2E1A"/>
    <w:rsid w:val="001C2F33"/>
    <w:rsid w:val="001C531A"/>
    <w:rsid w:val="001C585A"/>
    <w:rsid w:val="001C5F4C"/>
    <w:rsid w:val="001C625B"/>
    <w:rsid w:val="001C70F2"/>
    <w:rsid w:val="001D0E96"/>
    <w:rsid w:val="001D15FA"/>
    <w:rsid w:val="001D1BEF"/>
    <w:rsid w:val="001D3D2D"/>
    <w:rsid w:val="001D6C3A"/>
    <w:rsid w:val="001E01DD"/>
    <w:rsid w:val="001E0DAD"/>
    <w:rsid w:val="001E0ED4"/>
    <w:rsid w:val="001E14EA"/>
    <w:rsid w:val="001E23F2"/>
    <w:rsid w:val="001E2F45"/>
    <w:rsid w:val="001E31F8"/>
    <w:rsid w:val="001E3FCE"/>
    <w:rsid w:val="001E4776"/>
    <w:rsid w:val="001E550F"/>
    <w:rsid w:val="001F020B"/>
    <w:rsid w:val="001F02A5"/>
    <w:rsid w:val="001F2692"/>
    <w:rsid w:val="001F32E4"/>
    <w:rsid w:val="001F3957"/>
    <w:rsid w:val="001F4D21"/>
    <w:rsid w:val="001F6A15"/>
    <w:rsid w:val="001F7336"/>
    <w:rsid w:val="002001BC"/>
    <w:rsid w:val="002004C0"/>
    <w:rsid w:val="00200E8E"/>
    <w:rsid w:val="002012BC"/>
    <w:rsid w:val="00201494"/>
    <w:rsid w:val="0020245E"/>
    <w:rsid w:val="002033CF"/>
    <w:rsid w:val="00203D55"/>
    <w:rsid w:val="00204712"/>
    <w:rsid w:val="00204AFB"/>
    <w:rsid w:val="00205048"/>
    <w:rsid w:val="0020630C"/>
    <w:rsid w:val="00206B06"/>
    <w:rsid w:val="00210A6D"/>
    <w:rsid w:val="00211B35"/>
    <w:rsid w:val="00212194"/>
    <w:rsid w:val="002122A4"/>
    <w:rsid w:val="00213BB2"/>
    <w:rsid w:val="00214014"/>
    <w:rsid w:val="0021426B"/>
    <w:rsid w:val="00214F3B"/>
    <w:rsid w:val="00215167"/>
    <w:rsid w:val="00215261"/>
    <w:rsid w:val="0021582A"/>
    <w:rsid w:val="00216455"/>
    <w:rsid w:val="00216784"/>
    <w:rsid w:val="00216AF8"/>
    <w:rsid w:val="002172A3"/>
    <w:rsid w:val="002202C1"/>
    <w:rsid w:val="0022043B"/>
    <w:rsid w:val="0022120F"/>
    <w:rsid w:val="00221406"/>
    <w:rsid w:val="002214C3"/>
    <w:rsid w:val="00221609"/>
    <w:rsid w:val="00221DE0"/>
    <w:rsid w:val="00222725"/>
    <w:rsid w:val="00223C33"/>
    <w:rsid w:val="0022501A"/>
    <w:rsid w:val="00225680"/>
    <w:rsid w:val="00225B70"/>
    <w:rsid w:val="0022638E"/>
    <w:rsid w:val="002266AF"/>
    <w:rsid w:val="00226F31"/>
    <w:rsid w:val="00227079"/>
    <w:rsid w:val="002272CC"/>
    <w:rsid w:val="0022764B"/>
    <w:rsid w:val="002310E4"/>
    <w:rsid w:val="00231165"/>
    <w:rsid w:val="002321B2"/>
    <w:rsid w:val="00232532"/>
    <w:rsid w:val="002327C8"/>
    <w:rsid w:val="002331D8"/>
    <w:rsid w:val="0023367C"/>
    <w:rsid w:val="002353F9"/>
    <w:rsid w:val="0023556C"/>
    <w:rsid w:val="00235917"/>
    <w:rsid w:val="0023594C"/>
    <w:rsid w:val="0023766E"/>
    <w:rsid w:val="00240313"/>
    <w:rsid w:val="00244319"/>
    <w:rsid w:val="002450E8"/>
    <w:rsid w:val="00245739"/>
    <w:rsid w:val="0024712C"/>
    <w:rsid w:val="0024757D"/>
    <w:rsid w:val="00250561"/>
    <w:rsid w:val="0025074F"/>
    <w:rsid w:val="00250FF3"/>
    <w:rsid w:val="00251D1B"/>
    <w:rsid w:val="00251DDD"/>
    <w:rsid w:val="00254D47"/>
    <w:rsid w:val="00255D0F"/>
    <w:rsid w:val="0025717D"/>
    <w:rsid w:val="00257251"/>
    <w:rsid w:val="00257614"/>
    <w:rsid w:val="00260090"/>
    <w:rsid w:val="00260141"/>
    <w:rsid w:val="00260679"/>
    <w:rsid w:val="00261255"/>
    <w:rsid w:val="002615FC"/>
    <w:rsid w:val="00262313"/>
    <w:rsid w:val="0026292E"/>
    <w:rsid w:val="00266055"/>
    <w:rsid w:val="0026746C"/>
    <w:rsid w:val="002705BE"/>
    <w:rsid w:val="00270CF7"/>
    <w:rsid w:val="00270F20"/>
    <w:rsid w:val="00272EC3"/>
    <w:rsid w:val="00273015"/>
    <w:rsid w:val="0027308B"/>
    <w:rsid w:val="0027337F"/>
    <w:rsid w:val="00274258"/>
    <w:rsid w:val="0027449C"/>
    <w:rsid w:val="00274745"/>
    <w:rsid w:val="00274F22"/>
    <w:rsid w:val="002754FB"/>
    <w:rsid w:val="00275E3B"/>
    <w:rsid w:val="00276170"/>
    <w:rsid w:val="00276513"/>
    <w:rsid w:val="002800F9"/>
    <w:rsid w:val="00282B66"/>
    <w:rsid w:val="00284071"/>
    <w:rsid w:val="00284585"/>
    <w:rsid w:val="00284A51"/>
    <w:rsid w:val="0028553D"/>
    <w:rsid w:val="0028590F"/>
    <w:rsid w:val="0028632D"/>
    <w:rsid w:val="002864B8"/>
    <w:rsid w:val="002867E2"/>
    <w:rsid w:val="0029034A"/>
    <w:rsid w:val="00290975"/>
    <w:rsid w:val="00293D33"/>
    <w:rsid w:val="0029485F"/>
    <w:rsid w:val="0029609E"/>
    <w:rsid w:val="00297229"/>
    <w:rsid w:val="002A0977"/>
    <w:rsid w:val="002A0E86"/>
    <w:rsid w:val="002A5215"/>
    <w:rsid w:val="002A62CD"/>
    <w:rsid w:val="002A6348"/>
    <w:rsid w:val="002A673A"/>
    <w:rsid w:val="002A6D52"/>
    <w:rsid w:val="002A6D8E"/>
    <w:rsid w:val="002A7816"/>
    <w:rsid w:val="002B0D8A"/>
    <w:rsid w:val="002B4339"/>
    <w:rsid w:val="002B5C0A"/>
    <w:rsid w:val="002B650F"/>
    <w:rsid w:val="002B73C5"/>
    <w:rsid w:val="002B7CC9"/>
    <w:rsid w:val="002C07F3"/>
    <w:rsid w:val="002C2BFF"/>
    <w:rsid w:val="002C2C79"/>
    <w:rsid w:val="002C2D68"/>
    <w:rsid w:val="002C30B4"/>
    <w:rsid w:val="002C3195"/>
    <w:rsid w:val="002C3490"/>
    <w:rsid w:val="002C4048"/>
    <w:rsid w:val="002C4195"/>
    <w:rsid w:val="002C49C2"/>
    <w:rsid w:val="002C4CA1"/>
    <w:rsid w:val="002C5920"/>
    <w:rsid w:val="002C5F4F"/>
    <w:rsid w:val="002C60A9"/>
    <w:rsid w:val="002C7739"/>
    <w:rsid w:val="002D0334"/>
    <w:rsid w:val="002D1096"/>
    <w:rsid w:val="002D1656"/>
    <w:rsid w:val="002D30D0"/>
    <w:rsid w:val="002D3A29"/>
    <w:rsid w:val="002D3DE7"/>
    <w:rsid w:val="002D40B4"/>
    <w:rsid w:val="002D4599"/>
    <w:rsid w:val="002D501A"/>
    <w:rsid w:val="002D5406"/>
    <w:rsid w:val="002D6047"/>
    <w:rsid w:val="002D6367"/>
    <w:rsid w:val="002D6ED5"/>
    <w:rsid w:val="002E0380"/>
    <w:rsid w:val="002E3DB0"/>
    <w:rsid w:val="002E4582"/>
    <w:rsid w:val="002E58E1"/>
    <w:rsid w:val="002E608E"/>
    <w:rsid w:val="002E6D2B"/>
    <w:rsid w:val="002E767C"/>
    <w:rsid w:val="002E7AFC"/>
    <w:rsid w:val="002E7CFC"/>
    <w:rsid w:val="002E7E1D"/>
    <w:rsid w:val="002F0B10"/>
    <w:rsid w:val="002F208F"/>
    <w:rsid w:val="002F22D6"/>
    <w:rsid w:val="002F46AD"/>
    <w:rsid w:val="002F4F9C"/>
    <w:rsid w:val="002F6AA7"/>
    <w:rsid w:val="002F6D21"/>
    <w:rsid w:val="002F6FCC"/>
    <w:rsid w:val="0030184C"/>
    <w:rsid w:val="003034C4"/>
    <w:rsid w:val="00303B30"/>
    <w:rsid w:val="003070E6"/>
    <w:rsid w:val="00307B9E"/>
    <w:rsid w:val="00311A46"/>
    <w:rsid w:val="00312FB3"/>
    <w:rsid w:val="003146C2"/>
    <w:rsid w:val="003146FD"/>
    <w:rsid w:val="00314A13"/>
    <w:rsid w:val="00314F8A"/>
    <w:rsid w:val="00315A4D"/>
    <w:rsid w:val="003163D4"/>
    <w:rsid w:val="00316663"/>
    <w:rsid w:val="00316CBA"/>
    <w:rsid w:val="00320024"/>
    <w:rsid w:val="003207AE"/>
    <w:rsid w:val="0032270C"/>
    <w:rsid w:val="003235A5"/>
    <w:rsid w:val="00323E19"/>
    <w:rsid w:val="0032517A"/>
    <w:rsid w:val="00325482"/>
    <w:rsid w:val="00326214"/>
    <w:rsid w:val="003262E3"/>
    <w:rsid w:val="0032659B"/>
    <w:rsid w:val="00326C39"/>
    <w:rsid w:val="00326F34"/>
    <w:rsid w:val="00327B44"/>
    <w:rsid w:val="00330637"/>
    <w:rsid w:val="00331439"/>
    <w:rsid w:val="003314C8"/>
    <w:rsid w:val="0033382F"/>
    <w:rsid w:val="003339BF"/>
    <w:rsid w:val="0033557B"/>
    <w:rsid w:val="00340021"/>
    <w:rsid w:val="00340753"/>
    <w:rsid w:val="00340EF0"/>
    <w:rsid w:val="0034120C"/>
    <w:rsid w:val="00341BA6"/>
    <w:rsid w:val="0034220C"/>
    <w:rsid w:val="0034299D"/>
    <w:rsid w:val="00342C20"/>
    <w:rsid w:val="003446A7"/>
    <w:rsid w:val="00344AB4"/>
    <w:rsid w:val="003450C9"/>
    <w:rsid w:val="0034565D"/>
    <w:rsid w:val="003462B2"/>
    <w:rsid w:val="003471ED"/>
    <w:rsid w:val="00347CE9"/>
    <w:rsid w:val="00351958"/>
    <w:rsid w:val="0035270E"/>
    <w:rsid w:val="0035302D"/>
    <w:rsid w:val="00353D48"/>
    <w:rsid w:val="00353D4B"/>
    <w:rsid w:val="00353FD0"/>
    <w:rsid w:val="0035446D"/>
    <w:rsid w:val="00357213"/>
    <w:rsid w:val="00360259"/>
    <w:rsid w:val="00360275"/>
    <w:rsid w:val="003618C1"/>
    <w:rsid w:val="00361B16"/>
    <w:rsid w:val="00361F22"/>
    <w:rsid w:val="00362B52"/>
    <w:rsid w:val="00362B6B"/>
    <w:rsid w:val="003640AC"/>
    <w:rsid w:val="00364900"/>
    <w:rsid w:val="00367043"/>
    <w:rsid w:val="00367868"/>
    <w:rsid w:val="00367E68"/>
    <w:rsid w:val="003702DB"/>
    <w:rsid w:val="003726C9"/>
    <w:rsid w:val="00373F8D"/>
    <w:rsid w:val="00374437"/>
    <w:rsid w:val="00374661"/>
    <w:rsid w:val="00374AFA"/>
    <w:rsid w:val="00375F2E"/>
    <w:rsid w:val="0037623E"/>
    <w:rsid w:val="0037688E"/>
    <w:rsid w:val="00376CC4"/>
    <w:rsid w:val="00377A30"/>
    <w:rsid w:val="00380F76"/>
    <w:rsid w:val="00381601"/>
    <w:rsid w:val="003827C0"/>
    <w:rsid w:val="00382D2E"/>
    <w:rsid w:val="003831B5"/>
    <w:rsid w:val="003833E2"/>
    <w:rsid w:val="003857B1"/>
    <w:rsid w:val="0038631D"/>
    <w:rsid w:val="00386BBA"/>
    <w:rsid w:val="00387D85"/>
    <w:rsid w:val="00391146"/>
    <w:rsid w:val="0039180D"/>
    <w:rsid w:val="003938CA"/>
    <w:rsid w:val="00393B51"/>
    <w:rsid w:val="003940A9"/>
    <w:rsid w:val="003945FE"/>
    <w:rsid w:val="00394AE3"/>
    <w:rsid w:val="00395629"/>
    <w:rsid w:val="00396529"/>
    <w:rsid w:val="00397632"/>
    <w:rsid w:val="00397A22"/>
    <w:rsid w:val="003A11D5"/>
    <w:rsid w:val="003A1716"/>
    <w:rsid w:val="003A35DE"/>
    <w:rsid w:val="003A368B"/>
    <w:rsid w:val="003A3F1A"/>
    <w:rsid w:val="003A55E2"/>
    <w:rsid w:val="003A5CBD"/>
    <w:rsid w:val="003A65FE"/>
    <w:rsid w:val="003A6EB4"/>
    <w:rsid w:val="003B296C"/>
    <w:rsid w:val="003B5979"/>
    <w:rsid w:val="003B5E24"/>
    <w:rsid w:val="003B6222"/>
    <w:rsid w:val="003C1488"/>
    <w:rsid w:val="003C2EF0"/>
    <w:rsid w:val="003C39A1"/>
    <w:rsid w:val="003C4C6A"/>
    <w:rsid w:val="003C542B"/>
    <w:rsid w:val="003C6088"/>
    <w:rsid w:val="003C6925"/>
    <w:rsid w:val="003C6A7D"/>
    <w:rsid w:val="003C704B"/>
    <w:rsid w:val="003C77FD"/>
    <w:rsid w:val="003C7C88"/>
    <w:rsid w:val="003D1D29"/>
    <w:rsid w:val="003D1E74"/>
    <w:rsid w:val="003D38BD"/>
    <w:rsid w:val="003D3F8F"/>
    <w:rsid w:val="003D44ED"/>
    <w:rsid w:val="003D5BE8"/>
    <w:rsid w:val="003D7B96"/>
    <w:rsid w:val="003E0C22"/>
    <w:rsid w:val="003E25C9"/>
    <w:rsid w:val="003E3291"/>
    <w:rsid w:val="003E3769"/>
    <w:rsid w:val="003E4A05"/>
    <w:rsid w:val="003E62A6"/>
    <w:rsid w:val="003E6BD1"/>
    <w:rsid w:val="003E76F5"/>
    <w:rsid w:val="003F00F1"/>
    <w:rsid w:val="003F08DD"/>
    <w:rsid w:val="003F095C"/>
    <w:rsid w:val="003F135A"/>
    <w:rsid w:val="003F32EA"/>
    <w:rsid w:val="003F3578"/>
    <w:rsid w:val="003F361B"/>
    <w:rsid w:val="003F3B43"/>
    <w:rsid w:val="003F47CC"/>
    <w:rsid w:val="003F6EA7"/>
    <w:rsid w:val="00401095"/>
    <w:rsid w:val="00401627"/>
    <w:rsid w:val="00401A1A"/>
    <w:rsid w:val="00403741"/>
    <w:rsid w:val="00404445"/>
    <w:rsid w:val="00404C20"/>
    <w:rsid w:val="00405C98"/>
    <w:rsid w:val="00407E08"/>
    <w:rsid w:val="00407ED7"/>
    <w:rsid w:val="00410A0F"/>
    <w:rsid w:val="00410FAF"/>
    <w:rsid w:val="004114AA"/>
    <w:rsid w:val="0041237D"/>
    <w:rsid w:val="00412CBD"/>
    <w:rsid w:val="00412CD1"/>
    <w:rsid w:val="00413F4C"/>
    <w:rsid w:val="00415698"/>
    <w:rsid w:val="004156B5"/>
    <w:rsid w:val="00415CB5"/>
    <w:rsid w:val="00415CD0"/>
    <w:rsid w:val="00417BE9"/>
    <w:rsid w:val="00420F8D"/>
    <w:rsid w:val="004214B5"/>
    <w:rsid w:val="004225B5"/>
    <w:rsid w:val="0042297C"/>
    <w:rsid w:val="00422B8C"/>
    <w:rsid w:val="00423F7F"/>
    <w:rsid w:val="004250BA"/>
    <w:rsid w:val="004256E8"/>
    <w:rsid w:val="00425845"/>
    <w:rsid w:val="00425B57"/>
    <w:rsid w:val="004267A0"/>
    <w:rsid w:val="00426EEF"/>
    <w:rsid w:val="00427047"/>
    <w:rsid w:val="00430924"/>
    <w:rsid w:val="0043115C"/>
    <w:rsid w:val="00431C25"/>
    <w:rsid w:val="00431CF0"/>
    <w:rsid w:val="0043214E"/>
    <w:rsid w:val="00433D02"/>
    <w:rsid w:val="00434060"/>
    <w:rsid w:val="00437762"/>
    <w:rsid w:val="00437C7D"/>
    <w:rsid w:val="00440432"/>
    <w:rsid w:val="00440709"/>
    <w:rsid w:val="004409B0"/>
    <w:rsid w:val="004410F2"/>
    <w:rsid w:val="0044176C"/>
    <w:rsid w:val="004426D3"/>
    <w:rsid w:val="004432C4"/>
    <w:rsid w:val="00444BDC"/>
    <w:rsid w:val="00444E81"/>
    <w:rsid w:val="00445C3B"/>
    <w:rsid w:val="004461E1"/>
    <w:rsid w:val="0044624A"/>
    <w:rsid w:val="004466ED"/>
    <w:rsid w:val="00450063"/>
    <w:rsid w:val="00451372"/>
    <w:rsid w:val="00451A69"/>
    <w:rsid w:val="00451D14"/>
    <w:rsid w:val="00453177"/>
    <w:rsid w:val="0045398A"/>
    <w:rsid w:val="004548E3"/>
    <w:rsid w:val="00454CAC"/>
    <w:rsid w:val="00454FEF"/>
    <w:rsid w:val="00455983"/>
    <w:rsid w:val="00455FB6"/>
    <w:rsid w:val="00456AB9"/>
    <w:rsid w:val="00456B40"/>
    <w:rsid w:val="00457A35"/>
    <w:rsid w:val="00463AE4"/>
    <w:rsid w:val="00466865"/>
    <w:rsid w:val="0047000B"/>
    <w:rsid w:val="00470411"/>
    <w:rsid w:val="00470989"/>
    <w:rsid w:val="0047269E"/>
    <w:rsid w:val="00472A6B"/>
    <w:rsid w:val="004730CD"/>
    <w:rsid w:val="004753EA"/>
    <w:rsid w:val="004756E5"/>
    <w:rsid w:val="00475B66"/>
    <w:rsid w:val="00477067"/>
    <w:rsid w:val="0047747E"/>
    <w:rsid w:val="0047764D"/>
    <w:rsid w:val="00481C9A"/>
    <w:rsid w:val="00482362"/>
    <w:rsid w:val="004837DF"/>
    <w:rsid w:val="00483A8C"/>
    <w:rsid w:val="00483AF6"/>
    <w:rsid w:val="004845BA"/>
    <w:rsid w:val="00485E36"/>
    <w:rsid w:val="00486130"/>
    <w:rsid w:val="00487EA8"/>
    <w:rsid w:val="00491467"/>
    <w:rsid w:val="00491686"/>
    <w:rsid w:val="00492C3D"/>
    <w:rsid w:val="004935E2"/>
    <w:rsid w:val="004935F5"/>
    <w:rsid w:val="00493D52"/>
    <w:rsid w:val="00494311"/>
    <w:rsid w:val="00495508"/>
    <w:rsid w:val="00496347"/>
    <w:rsid w:val="0049757D"/>
    <w:rsid w:val="004A0749"/>
    <w:rsid w:val="004A074A"/>
    <w:rsid w:val="004A081C"/>
    <w:rsid w:val="004A08C4"/>
    <w:rsid w:val="004A0C79"/>
    <w:rsid w:val="004A193D"/>
    <w:rsid w:val="004A29C6"/>
    <w:rsid w:val="004A339A"/>
    <w:rsid w:val="004A33C5"/>
    <w:rsid w:val="004A3408"/>
    <w:rsid w:val="004A3427"/>
    <w:rsid w:val="004A35EC"/>
    <w:rsid w:val="004A3D67"/>
    <w:rsid w:val="004A5FE4"/>
    <w:rsid w:val="004A63AD"/>
    <w:rsid w:val="004A672E"/>
    <w:rsid w:val="004A6CD4"/>
    <w:rsid w:val="004A763F"/>
    <w:rsid w:val="004A7686"/>
    <w:rsid w:val="004B1146"/>
    <w:rsid w:val="004B1B25"/>
    <w:rsid w:val="004B3872"/>
    <w:rsid w:val="004B50D5"/>
    <w:rsid w:val="004B5BDD"/>
    <w:rsid w:val="004B76FA"/>
    <w:rsid w:val="004C024F"/>
    <w:rsid w:val="004C08D1"/>
    <w:rsid w:val="004C09A2"/>
    <w:rsid w:val="004C2CFD"/>
    <w:rsid w:val="004C30F4"/>
    <w:rsid w:val="004C34B1"/>
    <w:rsid w:val="004C490A"/>
    <w:rsid w:val="004C4F9B"/>
    <w:rsid w:val="004C7813"/>
    <w:rsid w:val="004D0473"/>
    <w:rsid w:val="004D07AC"/>
    <w:rsid w:val="004D1437"/>
    <w:rsid w:val="004D1876"/>
    <w:rsid w:val="004D3047"/>
    <w:rsid w:val="004D3105"/>
    <w:rsid w:val="004D352E"/>
    <w:rsid w:val="004D39A3"/>
    <w:rsid w:val="004D4F09"/>
    <w:rsid w:val="004D5556"/>
    <w:rsid w:val="004D5FBE"/>
    <w:rsid w:val="004D688A"/>
    <w:rsid w:val="004D7812"/>
    <w:rsid w:val="004D7E27"/>
    <w:rsid w:val="004E180E"/>
    <w:rsid w:val="004E1853"/>
    <w:rsid w:val="004E2801"/>
    <w:rsid w:val="004E3AAC"/>
    <w:rsid w:val="004E3F53"/>
    <w:rsid w:val="004E443A"/>
    <w:rsid w:val="004E49CF"/>
    <w:rsid w:val="004E7946"/>
    <w:rsid w:val="004F00CE"/>
    <w:rsid w:val="004F054E"/>
    <w:rsid w:val="004F14AA"/>
    <w:rsid w:val="004F22F9"/>
    <w:rsid w:val="004F28FF"/>
    <w:rsid w:val="004F2BE6"/>
    <w:rsid w:val="004F49C9"/>
    <w:rsid w:val="004F5EEB"/>
    <w:rsid w:val="004F6AAA"/>
    <w:rsid w:val="004F773C"/>
    <w:rsid w:val="004F7EA8"/>
    <w:rsid w:val="00500A89"/>
    <w:rsid w:val="00501FF8"/>
    <w:rsid w:val="0050272E"/>
    <w:rsid w:val="00504332"/>
    <w:rsid w:val="00504E3A"/>
    <w:rsid w:val="00507566"/>
    <w:rsid w:val="005101D0"/>
    <w:rsid w:val="00510C68"/>
    <w:rsid w:val="00511A73"/>
    <w:rsid w:val="0051205B"/>
    <w:rsid w:val="0051264D"/>
    <w:rsid w:val="00512C76"/>
    <w:rsid w:val="00512DE6"/>
    <w:rsid w:val="00513715"/>
    <w:rsid w:val="00513791"/>
    <w:rsid w:val="00513BF2"/>
    <w:rsid w:val="00513EE1"/>
    <w:rsid w:val="0051455D"/>
    <w:rsid w:val="005163A0"/>
    <w:rsid w:val="005167B7"/>
    <w:rsid w:val="00520BD0"/>
    <w:rsid w:val="00520EB6"/>
    <w:rsid w:val="00521558"/>
    <w:rsid w:val="00521C5E"/>
    <w:rsid w:val="00521FA8"/>
    <w:rsid w:val="00521FF6"/>
    <w:rsid w:val="00523056"/>
    <w:rsid w:val="0052346E"/>
    <w:rsid w:val="005235A4"/>
    <w:rsid w:val="00524F55"/>
    <w:rsid w:val="00525BDD"/>
    <w:rsid w:val="0052684A"/>
    <w:rsid w:val="00526FB9"/>
    <w:rsid w:val="005272BF"/>
    <w:rsid w:val="005275EC"/>
    <w:rsid w:val="00527687"/>
    <w:rsid w:val="005309B4"/>
    <w:rsid w:val="005312BB"/>
    <w:rsid w:val="00532778"/>
    <w:rsid w:val="00532B2C"/>
    <w:rsid w:val="00533812"/>
    <w:rsid w:val="00534342"/>
    <w:rsid w:val="00534722"/>
    <w:rsid w:val="00535AFE"/>
    <w:rsid w:val="00535F25"/>
    <w:rsid w:val="00536684"/>
    <w:rsid w:val="00536B9E"/>
    <w:rsid w:val="00536EDE"/>
    <w:rsid w:val="00536FC0"/>
    <w:rsid w:val="00537646"/>
    <w:rsid w:val="005432E2"/>
    <w:rsid w:val="0054336E"/>
    <w:rsid w:val="00543F20"/>
    <w:rsid w:val="005445EF"/>
    <w:rsid w:val="00545D29"/>
    <w:rsid w:val="005460CA"/>
    <w:rsid w:val="0054671E"/>
    <w:rsid w:val="00546ADF"/>
    <w:rsid w:val="00546C74"/>
    <w:rsid w:val="00547404"/>
    <w:rsid w:val="005474F2"/>
    <w:rsid w:val="00551A9F"/>
    <w:rsid w:val="00551FAE"/>
    <w:rsid w:val="005520FF"/>
    <w:rsid w:val="00552BA8"/>
    <w:rsid w:val="00553DED"/>
    <w:rsid w:val="00553EF5"/>
    <w:rsid w:val="00555788"/>
    <w:rsid w:val="00556AAA"/>
    <w:rsid w:val="00556ED3"/>
    <w:rsid w:val="005574A3"/>
    <w:rsid w:val="005577EC"/>
    <w:rsid w:val="005579A1"/>
    <w:rsid w:val="00557B69"/>
    <w:rsid w:val="005608EF"/>
    <w:rsid w:val="00562FE2"/>
    <w:rsid w:val="00563D15"/>
    <w:rsid w:val="00564533"/>
    <w:rsid w:val="00566FF8"/>
    <w:rsid w:val="005676EC"/>
    <w:rsid w:val="0056771B"/>
    <w:rsid w:val="00567FD0"/>
    <w:rsid w:val="005719F3"/>
    <w:rsid w:val="00571C2F"/>
    <w:rsid w:val="00572072"/>
    <w:rsid w:val="00572649"/>
    <w:rsid w:val="00574776"/>
    <w:rsid w:val="005758C3"/>
    <w:rsid w:val="00576E0E"/>
    <w:rsid w:val="005774DA"/>
    <w:rsid w:val="00577BFD"/>
    <w:rsid w:val="00580329"/>
    <w:rsid w:val="00583887"/>
    <w:rsid w:val="00583E2C"/>
    <w:rsid w:val="00584144"/>
    <w:rsid w:val="005844A7"/>
    <w:rsid w:val="00584C25"/>
    <w:rsid w:val="0058506B"/>
    <w:rsid w:val="0058575C"/>
    <w:rsid w:val="00585FD8"/>
    <w:rsid w:val="00586296"/>
    <w:rsid w:val="005866FE"/>
    <w:rsid w:val="0059061B"/>
    <w:rsid w:val="005907E4"/>
    <w:rsid w:val="00591922"/>
    <w:rsid w:val="00591C01"/>
    <w:rsid w:val="005955B8"/>
    <w:rsid w:val="00595BD6"/>
    <w:rsid w:val="005969CE"/>
    <w:rsid w:val="00596EB2"/>
    <w:rsid w:val="00597102"/>
    <w:rsid w:val="00597843"/>
    <w:rsid w:val="005979E9"/>
    <w:rsid w:val="00597A7A"/>
    <w:rsid w:val="005A102D"/>
    <w:rsid w:val="005A182D"/>
    <w:rsid w:val="005A1858"/>
    <w:rsid w:val="005A1DC0"/>
    <w:rsid w:val="005A2A66"/>
    <w:rsid w:val="005A422B"/>
    <w:rsid w:val="005A452F"/>
    <w:rsid w:val="005A4EA4"/>
    <w:rsid w:val="005A76B0"/>
    <w:rsid w:val="005B067A"/>
    <w:rsid w:val="005B26C5"/>
    <w:rsid w:val="005B3B45"/>
    <w:rsid w:val="005B6616"/>
    <w:rsid w:val="005B67AE"/>
    <w:rsid w:val="005B7C00"/>
    <w:rsid w:val="005B7F47"/>
    <w:rsid w:val="005C020F"/>
    <w:rsid w:val="005C0785"/>
    <w:rsid w:val="005C0E52"/>
    <w:rsid w:val="005C1351"/>
    <w:rsid w:val="005C1C87"/>
    <w:rsid w:val="005C2002"/>
    <w:rsid w:val="005C25DD"/>
    <w:rsid w:val="005C34B9"/>
    <w:rsid w:val="005C35FC"/>
    <w:rsid w:val="005C3A36"/>
    <w:rsid w:val="005C6DB7"/>
    <w:rsid w:val="005C75FA"/>
    <w:rsid w:val="005D09F3"/>
    <w:rsid w:val="005D2086"/>
    <w:rsid w:val="005D2694"/>
    <w:rsid w:val="005D2A4D"/>
    <w:rsid w:val="005D2A91"/>
    <w:rsid w:val="005D2B8F"/>
    <w:rsid w:val="005D32EA"/>
    <w:rsid w:val="005D3740"/>
    <w:rsid w:val="005D46E1"/>
    <w:rsid w:val="005D4DE6"/>
    <w:rsid w:val="005D547F"/>
    <w:rsid w:val="005D5639"/>
    <w:rsid w:val="005D5F44"/>
    <w:rsid w:val="005D6F33"/>
    <w:rsid w:val="005E250B"/>
    <w:rsid w:val="005E2D9D"/>
    <w:rsid w:val="005E30E2"/>
    <w:rsid w:val="005E3BE9"/>
    <w:rsid w:val="005E4B63"/>
    <w:rsid w:val="005E4C99"/>
    <w:rsid w:val="005E60BB"/>
    <w:rsid w:val="005E7161"/>
    <w:rsid w:val="005F05EE"/>
    <w:rsid w:val="005F0EA0"/>
    <w:rsid w:val="005F0F42"/>
    <w:rsid w:val="005F1237"/>
    <w:rsid w:val="005F17BB"/>
    <w:rsid w:val="005F22D0"/>
    <w:rsid w:val="005F27D0"/>
    <w:rsid w:val="005F357E"/>
    <w:rsid w:val="005F3F1A"/>
    <w:rsid w:val="005F51B4"/>
    <w:rsid w:val="005F5253"/>
    <w:rsid w:val="005F55D0"/>
    <w:rsid w:val="005F5636"/>
    <w:rsid w:val="005F6215"/>
    <w:rsid w:val="005F6F6C"/>
    <w:rsid w:val="005F7B25"/>
    <w:rsid w:val="006003FA"/>
    <w:rsid w:val="00600451"/>
    <w:rsid w:val="006016E9"/>
    <w:rsid w:val="006034DD"/>
    <w:rsid w:val="00603938"/>
    <w:rsid w:val="006057B7"/>
    <w:rsid w:val="006061EE"/>
    <w:rsid w:val="00610BBA"/>
    <w:rsid w:val="006122BB"/>
    <w:rsid w:val="006127E7"/>
    <w:rsid w:val="0061389F"/>
    <w:rsid w:val="00613CE4"/>
    <w:rsid w:val="00616792"/>
    <w:rsid w:val="00617CB5"/>
    <w:rsid w:val="00617E39"/>
    <w:rsid w:val="006212FF"/>
    <w:rsid w:val="006216C7"/>
    <w:rsid w:val="00623960"/>
    <w:rsid w:val="006239D2"/>
    <w:rsid w:val="0062434B"/>
    <w:rsid w:val="0062472F"/>
    <w:rsid w:val="00625664"/>
    <w:rsid w:val="00626086"/>
    <w:rsid w:val="006277E7"/>
    <w:rsid w:val="00627BB3"/>
    <w:rsid w:val="00630160"/>
    <w:rsid w:val="00631638"/>
    <w:rsid w:val="0063192E"/>
    <w:rsid w:val="00633F6D"/>
    <w:rsid w:val="006343E9"/>
    <w:rsid w:val="0063463C"/>
    <w:rsid w:val="006361F8"/>
    <w:rsid w:val="00636968"/>
    <w:rsid w:val="00636BB2"/>
    <w:rsid w:val="00637470"/>
    <w:rsid w:val="006374F5"/>
    <w:rsid w:val="00640596"/>
    <w:rsid w:val="00640D1D"/>
    <w:rsid w:val="00643083"/>
    <w:rsid w:val="00643839"/>
    <w:rsid w:val="0064553A"/>
    <w:rsid w:val="00647897"/>
    <w:rsid w:val="0065028A"/>
    <w:rsid w:val="00650D71"/>
    <w:rsid w:val="00650E2E"/>
    <w:rsid w:val="0065164A"/>
    <w:rsid w:val="00652459"/>
    <w:rsid w:val="006526B4"/>
    <w:rsid w:val="00656DA8"/>
    <w:rsid w:val="00660207"/>
    <w:rsid w:val="0066034E"/>
    <w:rsid w:val="00660B7E"/>
    <w:rsid w:val="00661A0B"/>
    <w:rsid w:val="00662379"/>
    <w:rsid w:val="006625F1"/>
    <w:rsid w:val="006626E8"/>
    <w:rsid w:val="00662D47"/>
    <w:rsid w:val="00663202"/>
    <w:rsid w:val="006636EA"/>
    <w:rsid w:val="0066420F"/>
    <w:rsid w:val="0066585A"/>
    <w:rsid w:val="00665C33"/>
    <w:rsid w:val="00665EA4"/>
    <w:rsid w:val="0066619B"/>
    <w:rsid w:val="006674FA"/>
    <w:rsid w:val="00670985"/>
    <w:rsid w:val="00670FB1"/>
    <w:rsid w:val="00671C13"/>
    <w:rsid w:val="00672FAE"/>
    <w:rsid w:val="0067304C"/>
    <w:rsid w:val="006731F3"/>
    <w:rsid w:val="0067332C"/>
    <w:rsid w:val="006733E5"/>
    <w:rsid w:val="00673758"/>
    <w:rsid w:val="006747C1"/>
    <w:rsid w:val="006756B6"/>
    <w:rsid w:val="00675EDC"/>
    <w:rsid w:val="00676B76"/>
    <w:rsid w:val="006770F9"/>
    <w:rsid w:val="006779C7"/>
    <w:rsid w:val="0068024E"/>
    <w:rsid w:val="00680D84"/>
    <w:rsid w:val="00683635"/>
    <w:rsid w:val="0068446A"/>
    <w:rsid w:val="0068600C"/>
    <w:rsid w:val="006867FE"/>
    <w:rsid w:val="00686DEF"/>
    <w:rsid w:val="0069003B"/>
    <w:rsid w:val="00690265"/>
    <w:rsid w:val="006908CB"/>
    <w:rsid w:val="00693547"/>
    <w:rsid w:val="00693761"/>
    <w:rsid w:val="00694C0A"/>
    <w:rsid w:val="00695242"/>
    <w:rsid w:val="00696549"/>
    <w:rsid w:val="0069692F"/>
    <w:rsid w:val="00696C84"/>
    <w:rsid w:val="0069719C"/>
    <w:rsid w:val="006973C0"/>
    <w:rsid w:val="006A0193"/>
    <w:rsid w:val="006A0516"/>
    <w:rsid w:val="006A09E2"/>
    <w:rsid w:val="006A20B4"/>
    <w:rsid w:val="006A2CF4"/>
    <w:rsid w:val="006A3E17"/>
    <w:rsid w:val="006A506E"/>
    <w:rsid w:val="006A731A"/>
    <w:rsid w:val="006B2869"/>
    <w:rsid w:val="006B3051"/>
    <w:rsid w:val="006B429A"/>
    <w:rsid w:val="006B4904"/>
    <w:rsid w:val="006B526A"/>
    <w:rsid w:val="006B7799"/>
    <w:rsid w:val="006C029A"/>
    <w:rsid w:val="006C0ED1"/>
    <w:rsid w:val="006C119A"/>
    <w:rsid w:val="006C2E01"/>
    <w:rsid w:val="006C3040"/>
    <w:rsid w:val="006C37A6"/>
    <w:rsid w:val="006C39EE"/>
    <w:rsid w:val="006C4979"/>
    <w:rsid w:val="006C4CD4"/>
    <w:rsid w:val="006C51AB"/>
    <w:rsid w:val="006C574A"/>
    <w:rsid w:val="006C6554"/>
    <w:rsid w:val="006C7114"/>
    <w:rsid w:val="006C7366"/>
    <w:rsid w:val="006C769A"/>
    <w:rsid w:val="006C7A0B"/>
    <w:rsid w:val="006C7F22"/>
    <w:rsid w:val="006D0625"/>
    <w:rsid w:val="006D0E7E"/>
    <w:rsid w:val="006D1AB5"/>
    <w:rsid w:val="006D1C10"/>
    <w:rsid w:val="006D3EC2"/>
    <w:rsid w:val="006D41C9"/>
    <w:rsid w:val="006D48EB"/>
    <w:rsid w:val="006D4D8B"/>
    <w:rsid w:val="006D6571"/>
    <w:rsid w:val="006D7AA7"/>
    <w:rsid w:val="006E0134"/>
    <w:rsid w:val="006E0DFA"/>
    <w:rsid w:val="006E0FD3"/>
    <w:rsid w:val="006E1BA5"/>
    <w:rsid w:val="006E1C93"/>
    <w:rsid w:val="006E1D94"/>
    <w:rsid w:val="006E20B4"/>
    <w:rsid w:val="006E23C2"/>
    <w:rsid w:val="006E2473"/>
    <w:rsid w:val="006E25AF"/>
    <w:rsid w:val="006E317D"/>
    <w:rsid w:val="006E3C08"/>
    <w:rsid w:val="006E46D1"/>
    <w:rsid w:val="006E4C23"/>
    <w:rsid w:val="006E6D37"/>
    <w:rsid w:val="006F1882"/>
    <w:rsid w:val="006F2296"/>
    <w:rsid w:val="006F271C"/>
    <w:rsid w:val="006F4BE4"/>
    <w:rsid w:val="006F55BF"/>
    <w:rsid w:val="006F5954"/>
    <w:rsid w:val="00700091"/>
    <w:rsid w:val="00700127"/>
    <w:rsid w:val="007003DE"/>
    <w:rsid w:val="007006A7"/>
    <w:rsid w:val="007035AF"/>
    <w:rsid w:val="007047D4"/>
    <w:rsid w:val="00704C7E"/>
    <w:rsid w:val="00704DB1"/>
    <w:rsid w:val="007103C4"/>
    <w:rsid w:val="007111C0"/>
    <w:rsid w:val="00711632"/>
    <w:rsid w:val="007116D7"/>
    <w:rsid w:val="007122C6"/>
    <w:rsid w:val="00712E9E"/>
    <w:rsid w:val="00714040"/>
    <w:rsid w:val="00714D00"/>
    <w:rsid w:val="0071596C"/>
    <w:rsid w:val="00715C18"/>
    <w:rsid w:val="00717DD9"/>
    <w:rsid w:val="00720042"/>
    <w:rsid w:val="00720D68"/>
    <w:rsid w:val="00721233"/>
    <w:rsid w:val="0072159D"/>
    <w:rsid w:val="007224ED"/>
    <w:rsid w:val="007227A5"/>
    <w:rsid w:val="00724E21"/>
    <w:rsid w:val="007267BA"/>
    <w:rsid w:val="00726FB9"/>
    <w:rsid w:val="00727D8A"/>
    <w:rsid w:val="00731A35"/>
    <w:rsid w:val="00731C9A"/>
    <w:rsid w:val="00732101"/>
    <w:rsid w:val="007325C3"/>
    <w:rsid w:val="0073287D"/>
    <w:rsid w:val="00732BBD"/>
    <w:rsid w:val="00732C9D"/>
    <w:rsid w:val="00733274"/>
    <w:rsid w:val="00734C56"/>
    <w:rsid w:val="00734F91"/>
    <w:rsid w:val="007354DB"/>
    <w:rsid w:val="007355FD"/>
    <w:rsid w:val="007365F1"/>
    <w:rsid w:val="00736B47"/>
    <w:rsid w:val="0073703D"/>
    <w:rsid w:val="00737E26"/>
    <w:rsid w:val="00740E34"/>
    <w:rsid w:val="007428E1"/>
    <w:rsid w:val="0074472E"/>
    <w:rsid w:val="00746F7F"/>
    <w:rsid w:val="0075085C"/>
    <w:rsid w:val="00750C53"/>
    <w:rsid w:val="00751F77"/>
    <w:rsid w:val="0075542C"/>
    <w:rsid w:val="007556A3"/>
    <w:rsid w:val="00755EDC"/>
    <w:rsid w:val="0075681F"/>
    <w:rsid w:val="007602DE"/>
    <w:rsid w:val="00760AE5"/>
    <w:rsid w:val="00760D9F"/>
    <w:rsid w:val="0076277F"/>
    <w:rsid w:val="00765390"/>
    <w:rsid w:val="0076602C"/>
    <w:rsid w:val="007674A5"/>
    <w:rsid w:val="007677DB"/>
    <w:rsid w:val="00770F11"/>
    <w:rsid w:val="00771333"/>
    <w:rsid w:val="0077177C"/>
    <w:rsid w:val="0077376F"/>
    <w:rsid w:val="00773806"/>
    <w:rsid w:val="007776CA"/>
    <w:rsid w:val="0078038B"/>
    <w:rsid w:val="007824BC"/>
    <w:rsid w:val="00782FEF"/>
    <w:rsid w:val="00783049"/>
    <w:rsid w:val="007831A0"/>
    <w:rsid w:val="00783A8A"/>
    <w:rsid w:val="0078417B"/>
    <w:rsid w:val="00786222"/>
    <w:rsid w:val="00786753"/>
    <w:rsid w:val="00787045"/>
    <w:rsid w:val="0079078D"/>
    <w:rsid w:val="00790F1A"/>
    <w:rsid w:val="00791058"/>
    <w:rsid w:val="007918EB"/>
    <w:rsid w:val="00792754"/>
    <w:rsid w:val="00792D5E"/>
    <w:rsid w:val="0079305E"/>
    <w:rsid w:val="00793CD6"/>
    <w:rsid w:val="00796CD3"/>
    <w:rsid w:val="007973CE"/>
    <w:rsid w:val="007A0048"/>
    <w:rsid w:val="007A1211"/>
    <w:rsid w:val="007A166C"/>
    <w:rsid w:val="007A1A85"/>
    <w:rsid w:val="007A2813"/>
    <w:rsid w:val="007A29E6"/>
    <w:rsid w:val="007A39FD"/>
    <w:rsid w:val="007A523F"/>
    <w:rsid w:val="007A5705"/>
    <w:rsid w:val="007A68F9"/>
    <w:rsid w:val="007A6FB4"/>
    <w:rsid w:val="007A7604"/>
    <w:rsid w:val="007B125D"/>
    <w:rsid w:val="007B158D"/>
    <w:rsid w:val="007B2033"/>
    <w:rsid w:val="007B2975"/>
    <w:rsid w:val="007B33D2"/>
    <w:rsid w:val="007B3A1C"/>
    <w:rsid w:val="007B4571"/>
    <w:rsid w:val="007B4DC3"/>
    <w:rsid w:val="007B5865"/>
    <w:rsid w:val="007B5F6E"/>
    <w:rsid w:val="007B6DE8"/>
    <w:rsid w:val="007C038A"/>
    <w:rsid w:val="007C2BCC"/>
    <w:rsid w:val="007C3BD3"/>
    <w:rsid w:val="007C3D13"/>
    <w:rsid w:val="007C6F35"/>
    <w:rsid w:val="007C7003"/>
    <w:rsid w:val="007C712C"/>
    <w:rsid w:val="007D04E8"/>
    <w:rsid w:val="007D0D1C"/>
    <w:rsid w:val="007D17C7"/>
    <w:rsid w:val="007D1DD1"/>
    <w:rsid w:val="007D4CC7"/>
    <w:rsid w:val="007D4D43"/>
    <w:rsid w:val="007D4E6E"/>
    <w:rsid w:val="007D51DD"/>
    <w:rsid w:val="007D6377"/>
    <w:rsid w:val="007D69E1"/>
    <w:rsid w:val="007D6A5D"/>
    <w:rsid w:val="007D725A"/>
    <w:rsid w:val="007D72DD"/>
    <w:rsid w:val="007D799A"/>
    <w:rsid w:val="007E0CDD"/>
    <w:rsid w:val="007E145B"/>
    <w:rsid w:val="007E1BEB"/>
    <w:rsid w:val="007E59BC"/>
    <w:rsid w:val="007E59D4"/>
    <w:rsid w:val="007E6638"/>
    <w:rsid w:val="007E6EAB"/>
    <w:rsid w:val="007E7296"/>
    <w:rsid w:val="007E7958"/>
    <w:rsid w:val="007F12CD"/>
    <w:rsid w:val="007F1C24"/>
    <w:rsid w:val="007F3C74"/>
    <w:rsid w:val="007F49DD"/>
    <w:rsid w:val="007F5EE7"/>
    <w:rsid w:val="007F6266"/>
    <w:rsid w:val="007F707D"/>
    <w:rsid w:val="007F757C"/>
    <w:rsid w:val="007F75BA"/>
    <w:rsid w:val="00800C88"/>
    <w:rsid w:val="00801661"/>
    <w:rsid w:val="0080173B"/>
    <w:rsid w:val="00802B0C"/>
    <w:rsid w:val="00803D5B"/>
    <w:rsid w:val="00805CB6"/>
    <w:rsid w:val="00805DB5"/>
    <w:rsid w:val="008062BD"/>
    <w:rsid w:val="00807320"/>
    <w:rsid w:val="00807935"/>
    <w:rsid w:val="00807F93"/>
    <w:rsid w:val="008108E2"/>
    <w:rsid w:val="00810B53"/>
    <w:rsid w:val="0081145A"/>
    <w:rsid w:val="00811520"/>
    <w:rsid w:val="008121E4"/>
    <w:rsid w:val="00812DA6"/>
    <w:rsid w:val="008139DA"/>
    <w:rsid w:val="008140DA"/>
    <w:rsid w:val="00814678"/>
    <w:rsid w:val="0081505A"/>
    <w:rsid w:val="008156B5"/>
    <w:rsid w:val="00815B82"/>
    <w:rsid w:val="00817109"/>
    <w:rsid w:val="008233B0"/>
    <w:rsid w:val="0082379B"/>
    <w:rsid w:val="00824E78"/>
    <w:rsid w:val="00825019"/>
    <w:rsid w:val="00826EDE"/>
    <w:rsid w:val="00826F90"/>
    <w:rsid w:val="00827283"/>
    <w:rsid w:val="0083230F"/>
    <w:rsid w:val="00832A0B"/>
    <w:rsid w:val="0083477D"/>
    <w:rsid w:val="00837D28"/>
    <w:rsid w:val="008400FE"/>
    <w:rsid w:val="008402AF"/>
    <w:rsid w:val="00840409"/>
    <w:rsid w:val="00840E53"/>
    <w:rsid w:val="0084161D"/>
    <w:rsid w:val="00841E45"/>
    <w:rsid w:val="0084223A"/>
    <w:rsid w:val="008431CE"/>
    <w:rsid w:val="00844133"/>
    <w:rsid w:val="0085149F"/>
    <w:rsid w:val="00852726"/>
    <w:rsid w:val="008529C4"/>
    <w:rsid w:val="00852AD5"/>
    <w:rsid w:val="00852D3F"/>
    <w:rsid w:val="00853144"/>
    <w:rsid w:val="00854462"/>
    <w:rsid w:val="008551D2"/>
    <w:rsid w:val="00856156"/>
    <w:rsid w:val="00857444"/>
    <w:rsid w:val="00857E65"/>
    <w:rsid w:val="00861AED"/>
    <w:rsid w:val="00861FE8"/>
    <w:rsid w:val="00862183"/>
    <w:rsid w:val="00863C21"/>
    <w:rsid w:val="00863EA8"/>
    <w:rsid w:val="00864368"/>
    <w:rsid w:val="00865389"/>
    <w:rsid w:val="00865BD0"/>
    <w:rsid w:val="008660BF"/>
    <w:rsid w:val="0086763B"/>
    <w:rsid w:val="00867695"/>
    <w:rsid w:val="00867C56"/>
    <w:rsid w:val="00867DB1"/>
    <w:rsid w:val="008715E2"/>
    <w:rsid w:val="0087228F"/>
    <w:rsid w:val="00873771"/>
    <w:rsid w:val="00875CB0"/>
    <w:rsid w:val="0087768F"/>
    <w:rsid w:val="0088024B"/>
    <w:rsid w:val="008802C1"/>
    <w:rsid w:val="00880ED4"/>
    <w:rsid w:val="00883807"/>
    <w:rsid w:val="00885F21"/>
    <w:rsid w:val="00886208"/>
    <w:rsid w:val="00887326"/>
    <w:rsid w:val="008874B0"/>
    <w:rsid w:val="008879CF"/>
    <w:rsid w:val="0089028E"/>
    <w:rsid w:val="00890A34"/>
    <w:rsid w:val="008911FC"/>
    <w:rsid w:val="00891708"/>
    <w:rsid w:val="00891A03"/>
    <w:rsid w:val="00892213"/>
    <w:rsid w:val="0089268E"/>
    <w:rsid w:val="00892F9F"/>
    <w:rsid w:val="008934C7"/>
    <w:rsid w:val="00894232"/>
    <w:rsid w:val="00895693"/>
    <w:rsid w:val="0089600B"/>
    <w:rsid w:val="008A13C0"/>
    <w:rsid w:val="008A1501"/>
    <w:rsid w:val="008A1D9B"/>
    <w:rsid w:val="008A263A"/>
    <w:rsid w:val="008A2D62"/>
    <w:rsid w:val="008A3834"/>
    <w:rsid w:val="008A3F5A"/>
    <w:rsid w:val="008A463B"/>
    <w:rsid w:val="008A50C7"/>
    <w:rsid w:val="008A7414"/>
    <w:rsid w:val="008B0A27"/>
    <w:rsid w:val="008B197C"/>
    <w:rsid w:val="008B1F00"/>
    <w:rsid w:val="008B2239"/>
    <w:rsid w:val="008B2446"/>
    <w:rsid w:val="008B333D"/>
    <w:rsid w:val="008B47ED"/>
    <w:rsid w:val="008B6EDB"/>
    <w:rsid w:val="008C1649"/>
    <w:rsid w:val="008C1B09"/>
    <w:rsid w:val="008C201C"/>
    <w:rsid w:val="008C2E7B"/>
    <w:rsid w:val="008C3389"/>
    <w:rsid w:val="008C35F5"/>
    <w:rsid w:val="008C3B3E"/>
    <w:rsid w:val="008C462C"/>
    <w:rsid w:val="008C4831"/>
    <w:rsid w:val="008C486C"/>
    <w:rsid w:val="008C5778"/>
    <w:rsid w:val="008D0C8E"/>
    <w:rsid w:val="008D3C76"/>
    <w:rsid w:val="008D40FE"/>
    <w:rsid w:val="008D44A6"/>
    <w:rsid w:val="008D5502"/>
    <w:rsid w:val="008D561F"/>
    <w:rsid w:val="008D6764"/>
    <w:rsid w:val="008D6AE9"/>
    <w:rsid w:val="008D792D"/>
    <w:rsid w:val="008E13D5"/>
    <w:rsid w:val="008E3C9E"/>
    <w:rsid w:val="008E4205"/>
    <w:rsid w:val="008E440F"/>
    <w:rsid w:val="008E459D"/>
    <w:rsid w:val="008E605F"/>
    <w:rsid w:val="008E7754"/>
    <w:rsid w:val="008F019A"/>
    <w:rsid w:val="008F3F27"/>
    <w:rsid w:val="008F425C"/>
    <w:rsid w:val="008F5D87"/>
    <w:rsid w:val="008F6541"/>
    <w:rsid w:val="008F669A"/>
    <w:rsid w:val="008F6AFA"/>
    <w:rsid w:val="008F7C92"/>
    <w:rsid w:val="008F7D1A"/>
    <w:rsid w:val="009002CF"/>
    <w:rsid w:val="009019EB"/>
    <w:rsid w:val="00902097"/>
    <w:rsid w:val="00903445"/>
    <w:rsid w:val="009035A2"/>
    <w:rsid w:val="00903CAD"/>
    <w:rsid w:val="00904F2D"/>
    <w:rsid w:val="009063E7"/>
    <w:rsid w:val="00907B36"/>
    <w:rsid w:val="00911E6D"/>
    <w:rsid w:val="00911EC2"/>
    <w:rsid w:val="0091372B"/>
    <w:rsid w:val="00913AFB"/>
    <w:rsid w:val="00915AEB"/>
    <w:rsid w:val="009172A2"/>
    <w:rsid w:val="00917857"/>
    <w:rsid w:val="00917F98"/>
    <w:rsid w:val="009219BC"/>
    <w:rsid w:val="009232BB"/>
    <w:rsid w:val="00923C17"/>
    <w:rsid w:val="00923DFD"/>
    <w:rsid w:val="00924527"/>
    <w:rsid w:val="00924F37"/>
    <w:rsid w:val="0092562D"/>
    <w:rsid w:val="00926352"/>
    <w:rsid w:val="00931AE8"/>
    <w:rsid w:val="00933D0C"/>
    <w:rsid w:val="00934086"/>
    <w:rsid w:val="0093431C"/>
    <w:rsid w:val="009356E6"/>
    <w:rsid w:val="0093634D"/>
    <w:rsid w:val="00936F4C"/>
    <w:rsid w:val="00937C7C"/>
    <w:rsid w:val="009401AB"/>
    <w:rsid w:val="0094096B"/>
    <w:rsid w:val="0094184E"/>
    <w:rsid w:val="00942355"/>
    <w:rsid w:val="00943155"/>
    <w:rsid w:val="00943B3E"/>
    <w:rsid w:val="00944743"/>
    <w:rsid w:val="00944E03"/>
    <w:rsid w:val="009455C7"/>
    <w:rsid w:val="00945A5A"/>
    <w:rsid w:val="00945D37"/>
    <w:rsid w:val="0095401B"/>
    <w:rsid w:val="0095469E"/>
    <w:rsid w:val="009546FA"/>
    <w:rsid w:val="00954CC7"/>
    <w:rsid w:val="009550FB"/>
    <w:rsid w:val="00960F09"/>
    <w:rsid w:val="00961025"/>
    <w:rsid w:val="00961C89"/>
    <w:rsid w:val="00963E8A"/>
    <w:rsid w:val="0096408B"/>
    <w:rsid w:val="0096523F"/>
    <w:rsid w:val="0096577B"/>
    <w:rsid w:val="0096586A"/>
    <w:rsid w:val="009661D8"/>
    <w:rsid w:val="00966D62"/>
    <w:rsid w:val="0096772B"/>
    <w:rsid w:val="009707D3"/>
    <w:rsid w:val="009717DC"/>
    <w:rsid w:val="00971C84"/>
    <w:rsid w:val="00973D02"/>
    <w:rsid w:val="00973F57"/>
    <w:rsid w:val="0097408E"/>
    <w:rsid w:val="009757FB"/>
    <w:rsid w:val="0097581E"/>
    <w:rsid w:val="00977B42"/>
    <w:rsid w:val="009805B6"/>
    <w:rsid w:val="009812FB"/>
    <w:rsid w:val="00982CA1"/>
    <w:rsid w:val="00983BD8"/>
    <w:rsid w:val="00983EB7"/>
    <w:rsid w:val="009851CF"/>
    <w:rsid w:val="00987241"/>
    <w:rsid w:val="00987B72"/>
    <w:rsid w:val="00990ACE"/>
    <w:rsid w:val="0099119E"/>
    <w:rsid w:val="00991C50"/>
    <w:rsid w:val="00994E1C"/>
    <w:rsid w:val="009953DA"/>
    <w:rsid w:val="00997501"/>
    <w:rsid w:val="00997D48"/>
    <w:rsid w:val="009A01A1"/>
    <w:rsid w:val="009A05B4"/>
    <w:rsid w:val="009A1026"/>
    <w:rsid w:val="009A26DA"/>
    <w:rsid w:val="009A2F73"/>
    <w:rsid w:val="009A3D54"/>
    <w:rsid w:val="009A5858"/>
    <w:rsid w:val="009A5B9F"/>
    <w:rsid w:val="009A63DE"/>
    <w:rsid w:val="009A6D66"/>
    <w:rsid w:val="009B0745"/>
    <w:rsid w:val="009B1D19"/>
    <w:rsid w:val="009B2B19"/>
    <w:rsid w:val="009B44FE"/>
    <w:rsid w:val="009B65FF"/>
    <w:rsid w:val="009B6700"/>
    <w:rsid w:val="009B767E"/>
    <w:rsid w:val="009C1A76"/>
    <w:rsid w:val="009C1CD0"/>
    <w:rsid w:val="009C2218"/>
    <w:rsid w:val="009C317F"/>
    <w:rsid w:val="009C76CB"/>
    <w:rsid w:val="009D0F9C"/>
    <w:rsid w:val="009D12F8"/>
    <w:rsid w:val="009D15FF"/>
    <w:rsid w:val="009D2660"/>
    <w:rsid w:val="009D2C63"/>
    <w:rsid w:val="009D3830"/>
    <w:rsid w:val="009D39F5"/>
    <w:rsid w:val="009D3AEF"/>
    <w:rsid w:val="009D421B"/>
    <w:rsid w:val="009D454F"/>
    <w:rsid w:val="009D47FF"/>
    <w:rsid w:val="009D51A8"/>
    <w:rsid w:val="009E034E"/>
    <w:rsid w:val="009E03EC"/>
    <w:rsid w:val="009E0A7A"/>
    <w:rsid w:val="009E10C0"/>
    <w:rsid w:val="009E24CB"/>
    <w:rsid w:val="009E2B78"/>
    <w:rsid w:val="009E6421"/>
    <w:rsid w:val="009E6815"/>
    <w:rsid w:val="009E7148"/>
    <w:rsid w:val="009E7514"/>
    <w:rsid w:val="009F04B9"/>
    <w:rsid w:val="009F168F"/>
    <w:rsid w:val="009F19C3"/>
    <w:rsid w:val="009F2DC9"/>
    <w:rsid w:val="009F4180"/>
    <w:rsid w:val="009F5B28"/>
    <w:rsid w:val="009F5C2E"/>
    <w:rsid w:val="009F6DBF"/>
    <w:rsid w:val="009F757B"/>
    <w:rsid w:val="009F7948"/>
    <w:rsid w:val="00A009F7"/>
    <w:rsid w:val="00A01DFD"/>
    <w:rsid w:val="00A022AC"/>
    <w:rsid w:val="00A0423C"/>
    <w:rsid w:val="00A0505C"/>
    <w:rsid w:val="00A067B2"/>
    <w:rsid w:val="00A06AC4"/>
    <w:rsid w:val="00A0776D"/>
    <w:rsid w:val="00A07E6E"/>
    <w:rsid w:val="00A1039F"/>
    <w:rsid w:val="00A110CB"/>
    <w:rsid w:val="00A1297B"/>
    <w:rsid w:val="00A12F3F"/>
    <w:rsid w:val="00A12FE6"/>
    <w:rsid w:val="00A1304B"/>
    <w:rsid w:val="00A133B3"/>
    <w:rsid w:val="00A135C1"/>
    <w:rsid w:val="00A13859"/>
    <w:rsid w:val="00A139BE"/>
    <w:rsid w:val="00A13EE0"/>
    <w:rsid w:val="00A140FC"/>
    <w:rsid w:val="00A14D57"/>
    <w:rsid w:val="00A14EBE"/>
    <w:rsid w:val="00A15DB0"/>
    <w:rsid w:val="00A17DAF"/>
    <w:rsid w:val="00A206E5"/>
    <w:rsid w:val="00A20D42"/>
    <w:rsid w:val="00A20E15"/>
    <w:rsid w:val="00A22B19"/>
    <w:rsid w:val="00A22EDD"/>
    <w:rsid w:val="00A231AE"/>
    <w:rsid w:val="00A23A26"/>
    <w:rsid w:val="00A23CD6"/>
    <w:rsid w:val="00A25586"/>
    <w:rsid w:val="00A261BA"/>
    <w:rsid w:val="00A264D5"/>
    <w:rsid w:val="00A27898"/>
    <w:rsid w:val="00A33917"/>
    <w:rsid w:val="00A34B44"/>
    <w:rsid w:val="00A35282"/>
    <w:rsid w:val="00A373A4"/>
    <w:rsid w:val="00A40F71"/>
    <w:rsid w:val="00A415F5"/>
    <w:rsid w:val="00A41BCB"/>
    <w:rsid w:val="00A41E16"/>
    <w:rsid w:val="00A43832"/>
    <w:rsid w:val="00A43DC1"/>
    <w:rsid w:val="00A45515"/>
    <w:rsid w:val="00A4581F"/>
    <w:rsid w:val="00A4595F"/>
    <w:rsid w:val="00A466D3"/>
    <w:rsid w:val="00A50701"/>
    <w:rsid w:val="00A50AE8"/>
    <w:rsid w:val="00A50FD4"/>
    <w:rsid w:val="00A5175B"/>
    <w:rsid w:val="00A522E7"/>
    <w:rsid w:val="00A52CF5"/>
    <w:rsid w:val="00A53356"/>
    <w:rsid w:val="00A540FA"/>
    <w:rsid w:val="00A553B3"/>
    <w:rsid w:val="00A5586F"/>
    <w:rsid w:val="00A560B4"/>
    <w:rsid w:val="00A5672A"/>
    <w:rsid w:val="00A57653"/>
    <w:rsid w:val="00A601B6"/>
    <w:rsid w:val="00A60679"/>
    <w:rsid w:val="00A62224"/>
    <w:rsid w:val="00A62591"/>
    <w:rsid w:val="00A6391F"/>
    <w:rsid w:val="00A639F6"/>
    <w:rsid w:val="00A640C6"/>
    <w:rsid w:val="00A66BE6"/>
    <w:rsid w:val="00A67BF2"/>
    <w:rsid w:val="00A67DE3"/>
    <w:rsid w:val="00A70002"/>
    <w:rsid w:val="00A700DC"/>
    <w:rsid w:val="00A70891"/>
    <w:rsid w:val="00A71694"/>
    <w:rsid w:val="00A7173F"/>
    <w:rsid w:val="00A72211"/>
    <w:rsid w:val="00A73227"/>
    <w:rsid w:val="00A73EE2"/>
    <w:rsid w:val="00A740FB"/>
    <w:rsid w:val="00A74173"/>
    <w:rsid w:val="00A746A3"/>
    <w:rsid w:val="00A74B20"/>
    <w:rsid w:val="00A74C43"/>
    <w:rsid w:val="00A74D3D"/>
    <w:rsid w:val="00A74F9C"/>
    <w:rsid w:val="00A751B5"/>
    <w:rsid w:val="00A80F72"/>
    <w:rsid w:val="00A81798"/>
    <w:rsid w:val="00A83A12"/>
    <w:rsid w:val="00A83F83"/>
    <w:rsid w:val="00A84669"/>
    <w:rsid w:val="00A850BE"/>
    <w:rsid w:val="00A856C5"/>
    <w:rsid w:val="00A863DD"/>
    <w:rsid w:val="00A87C8C"/>
    <w:rsid w:val="00A903A3"/>
    <w:rsid w:val="00A9096F"/>
    <w:rsid w:val="00A90B18"/>
    <w:rsid w:val="00A91EE0"/>
    <w:rsid w:val="00A921F2"/>
    <w:rsid w:val="00A92E4A"/>
    <w:rsid w:val="00A947D5"/>
    <w:rsid w:val="00A96260"/>
    <w:rsid w:val="00A96EE8"/>
    <w:rsid w:val="00AA030E"/>
    <w:rsid w:val="00AA09ED"/>
    <w:rsid w:val="00AA3143"/>
    <w:rsid w:val="00AA37B0"/>
    <w:rsid w:val="00AA3F9B"/>
    <w:rsid w:val="00AA42C7"/>
    <w:rsid w:val="00AA49CC"/>
    <w:rsid w:val="00AA4ED1"/>
    <w:rsid w:val="00AA5C83"/>
    <w:rsid w:val="00AA66B6"/>
    <w:rsid w:val="00AA6A0B"/>
    <w:rsid w:val="00AA7670"/>
    <w:rsid w:val="00AB555E"/>
    <w:rsid w:val="00AB5926"/>
    <w:rsid w:val="00AB758B"/>
    <w:rsid w:val="00AB7F35"/>
    <w:rsid w:val="00AC0D28"/>
    <w:rsid w:val="00AC1327"/>
    <w:rsid w:val="00AC153F"/>
    <w:rsid w:val="00AC1A60"/>
    <w:rsid w:val="00AC2340"/>
    <w:rsid w:val="00AC3FD1"/>
    <w:rsid w:val="00AC424A"/>
    <w:rsid w:val="00AC5810"/>
    <w:rsid w:val="00AC5FFB"/>
    <w:rsid w:val="00AC695E"/>
    <w:rsid w:val="00AC7ECD"/>
    <w:rsid w:val="00AD0933"/>
    <w:rsid w:val="00AD210E"/>
    <w:rsid w:val="00AD226F"/>
    <w:rsid w:val="00AD2370"/>
    <w:rsid w:val="00AD28B6"/>
    <w:rsid w:val="00AD303A"/>
    <w:rsid w:val="00AD441C"/>
    <w:rsid w:val="00AD46DE"/>
    <w:rsid w:val="00AD4FDE"/>
    <w:rsid w:val="00AD6904"/>
    <w:rsid w:val="00AD694B"/>
    <w:rsid w:val="00AD70F7"/>
    <w:rsid w:val="00AE2548"/>
    <w:rsid w:val="00AE3B00"/>
    <w:rsid w:val="00AE42D3"/>
    <w:rsid w:val="00AE5870"/>
    <w:rsid w:val="00AE630A"/>
    <w:rsid w:val="00AE6B42"/>
    <w:rsid w:val="00AE782E"/>
    <w:rsid w:val="00AE7BC9"/>
    <w:rsid w:val="00AF0CED"/>
    <w:rsid w:val="00AF31BD"/>
    <w:rsid w:val="00AF3C70"/>
    <w:rsid w:val="00AF3D89"/>
    <w:rsid w:val="00AF443A"/>
    <w:rsid w:val="00AF453E"/>
    <w:rsid w:val="00AF6438"/>
    <w:rsid w:val="00AF77C0"/>
    <w:rsid w:val="00AF79AE"/>
    <w:rsid w:val="00B01019"/>
    <w:rsid w:val="00B0131C"/>
    <w:rsid w:val="00B01F1C"/>
    <w:rsid w:val="00B02D24"/>
    <w:rsid w:val="00B02EA7"/>
    <w:rsid w:val="00B031CB"/>
    <w:rsid w:val="00B058B5"/>
    <w:rsid w:val="00B059B1"/>
    <w:rsid w:val="00B07171"/>
    <w:rsid w:val="00B073BC"/>
    <w:rsid w:val="00B07739"/>
    <w:rsid w:val="00B07C8A"/>
    <w:rsid w:val="00B10013"/>
    <w:rsid w:val="00B10322"/>
    <w:rsid w:val="00B10E1E"/>
    <w:rsid w:val="00B11708"/>
    <w:rsid w:val="00B11E3E"/>
    <w:rsid w:val="00B11F0D"/>
    <w:rsid w:val="00B11FF9"/>
    <w:rsid w:val="00B1217E"/>
    <w:rsid w:val="00B12333"/>
    <w:rsid w:val="00B1252E"/>
    <w:rsid w:val="00B12BE6"/>
    <w:rsid w:val="00B13A91"/>
    <w:rsid w:val="00B1419C"/>
    <w:rsid w:val="00B1687F"/>
    <w:rsid w:val="00B20276"/>
    <w:rsid w:val="00B20963"/>
    <w:rsid w:val="00B21DBF"/>
    <w:rsid w:val="00B221C0"/>
    <w:rsid w:val="00B24110"/>
    <w:rsid w:val="00B2434A"/>
    <w:rsid w:val="00B2464F"/>
    <w:rsid w:val="00B24C1A"/>
    <w:rsid w:val="00B2508D"/>
    <w:rsid w:val="00B258C4"/>
    <w:rsid w:val="00B27475"/>
    <w:rsid w:val="00B30AD4"/>
    <w:rsid w:val="00B30FF4"/>
    <w:rsid w:val="00B31AF4"/>
    <w:rsid w:val="00B31E2F"/>
    <w:rsid w:val="00B31EC3"/>
    <w:rsid w:val="00B3265D"/>
    <w:rsid w:val="00B329D3"/>
    <w:rsid w:val="00B33198"/>
    <w:rsid w:val="00B333F3"/>
    <w:rsid w:val="00B354FD"/>
    <w:rsid w:val="00B356C8"/>
    <w:rsid w:val="00B36A7C"/>
    <w:rsid w:val="00B400C5"/>
    <w:rsid w:val="00B4010B"/>
    <w:rsid w:val="00B413FD"/>
    <w:rsid w:val="00B41CCB"/>
    <w:rsid w:val="00B43544"/>
    <w:rsid w:val="00B43B34"/>
    <w:rsid w:val="00B4409E"/>
    <w:rsid w:val="00B450DE"/>
    <w:rsid w:val="00B458E5"/>
    <w:rsid w:val="00B46ADF"/>
    <w:rsid w:val="00B46B89"/>
    <w:rsid w:val="00B47B89"/>
    <w:rsid w:val="00B50697"/>
    <w:rsid w:val="00B50A8B"/>
    <w:rsid w:val="00B51BFB"/>
    <w:rsid w:val="00B52B3D"/>
    <w:rsid w:val="00B531F8"/>
    <w:rsid w:val="00B54B48"/>
    <w:rsid w:val="00B564FD"/>
    <w:rsid w:val="00B56C2B"/>
    <w:rsid w:val="00B56E20"/>
    <w:rsid w:val="00B5790D"/>
    <w:rsid w:val="00B57BD7"/>
    <w:rsid w:val="00B60FC4"/>
    <w:rsid w:val="00B61D63"/>
    <w:rsid w:val="00B6353F"/>
    <w:rsid w:val="00B63CA4"/>
    <w:rsid w:val="00B644CE"/>
    <w:rsid w:val="00B6478F"/>
    <w:rsid w:val="00B64E75"/>
    <w:rsid w:val="00B66126"/>
    <w:rsid w:val="00B678B6"/>
    <w:rsid w:val="00B705B5"/>
    <w:rsid w:val="00B70714"/>
    <w:rsid w:val="00B70C75"/>
    <w:rsid w:val="00B71709"/>
    <w:rsid w:val="00B717DC"/>
    <w:rsid w:val="00B720E3"/>
    <w:rsid w:val="00B727EA"/>
    <w:rsid w:val="00B7319D"/>
    <w:rsid w:val="00B73403"/>
    <w:rsid w:val="00B739A7"/>
    <w:rsid w:val="00B73E0B"/>
    <w:rsid w:val="00B755ED"/>
    <w:rsid w:val="00B77287"/>
    <w:rsid w:val="00B81DBE"/>
    <w:rsid w:val="00B82B91"/>
    <w:rsid w:val="00B833F4"/>
    <w:rsid w:val="00B8363B"/>
    <w:rsid w:val="00B8383F"/>
    <w:rsid w:val="00B83B74"/>
    <w:rsid w:val="00B85EF8"/>
    <w:rsid w:val="00B8668D"/>
    <w:rsid w:val="00B8687E"/>
    <w:rsid w:val="00B86D63"/>
    <w:rsid w:val="00B871D0"/>
    <w:rsid w:val="00B877E8"/>
    <w:rsid w:val="00B902DB"/>
    <w:rsid w:val="00B90445"/>
    <w:rsid w:val="00B90CE7"/>
    <w:rsid w:val="00B951D3"/>
    <w:rsid w:val="00B95A0E"/>
    <w:rsid w:val="00B96341"/>
    <w:rsid w:val="00B96AD3"/>
    <w:rsid w:val="00B97977"/>
    <w:rsid w:val="00B97F02"/>
    <w:rsid w:val="00BA148F"/>
    <w:rsid w:val="00BA252C"/>
    <w:rsid w:val="00BA36F9"/>
    <w:rsid w:val="00BA3B3A"/>
    <w:rsid w:val="00BA45F4"/>
    <w:rsid w:val="00BA4DB9"/>
    <w:rsid w:val="00BA4DE2"/>
    <w:rsid w:val="00BA7C9F"/>
    <w:rsid w:val="00BB06DD"/>
    <w:rsid w:val="00BB1A45"/>
    <w:rsid w:val="00BB241A"/>
    <w:rsid w:val="00BB27C8"/>
    <w:rsid w:val="00BB3868"/>
    <w:rsid w:val="00BB449E"/>
    <w:rsid w:val="00BB5041"/>
    <w:rsid w:val="00BB5419"/>
    <w:rsid w:val="00BB578C"/>
    <w:rsid w:val="00BB6398"/>
    <w:rsid w:val="00BB72E5"/>
    <w:rsid w:val="00BB77C6"/>
    <w:rsid w:val="00BB7AA9"/>
    <w:rsid w:val="00BB7CD1"/>
    <w:rsid w:val="00BC17B4"/>
    <w:rsid w:val="00BC206C"/>
    <w:rsid w:val="00BC2C8E"/>
    <w:rsid w:val="00BC34A4"/>
    <w:rsid w:val="00BC3B06"/>
    <w:rsid w:val="00BC4506"/>
    <w:rsid w:val="00BC4F53"/>
    <w:rsid w:val="00BC5E6F"/>
    <w:rsid w:val="00BC6B41"/>
    <w:rsid w:val="00BC7726"/>
    <w:rsid w:val="00BC784D"/>
    <w:rsid w:val="00BD00F3"/>
    <w:rsid w:val="00BD049D"/>
    <w:rsid w:val="00BD04F0"/>
    <w:rsid w:val="00BD068D"/>
    <w:rsid w:val="00BD11D3"/>
    <w:rsid w:val="00BD2170"/>
    <w:rsid w:val="00BD25B3"/>
    <w:rsid w:val="00BD3BC3"/>
    <w:rsid w:val="00BD4C0D"/>
    <w:rsid w:val="00BD6483"/>
    <w:rsid w:val="00BD75F9"/>
    <w:rsid w:val="00BE07A0"/>
    <w:rsid w:val="00BE1D65"/>
    <w:rsid w:val="00BE405F"/>
    <w:rsid w:val="00BE4129"/>
    <w:rsid w:val="00BE44E8"/>
    <w:rsid w:val="00BE471E"/>
    <w:rsid w:val="00BE5314"/>
    <w:rsid w:val="00BE5F2B"/>
    <w:rsid w:val="00BE66CD"/>
    <w:rsid w:val="00BE76E2"/>
    <w:rsid w:val="00BF0C84"/>
    <w:rsid w:val="00BF2121"/>
    <w:rsid w:val="00BF3222"/>
    <w:rsid w:val="00BF325C"/>
    <w:rsid w:val="00BF3445"/>
    <w:rsid w:val="00BF60AE"/>
    <w:rsid w:val="00BF6DA5"/>
    <w:rsid w:val="00BF6E09"/>
    <w:rsid w:val="00C03817"/>
    <w:rsid w:val="00C03ED8"/>
    <w:rsid w:val="00C040B6"/>
    <w:rsid w:val="00C04C8F"/>
    <w:rsid w:val="00C05C06"/>
    <w:rsid w:val="00C07536"/>
    <w:rsid w:val="00C07842"/>
    <w:rsid w:val="00C07925"/>
    <w:rsid w:val="00C101CD"/>
    <w:rsid w:val="00C11A1A"/>
    <w:rsid w:val="00C1205B"/>
    <w:rsid w:val="00C1212A"/>
    <w:rsid w:val="00C12356"/>
    <w:rsid w:val="00C13EF5"/>
    <w:rsid w:val="00C1583D"/>
    <w:rsid w:val="00C17027"/>
    <w:rsid w:val="00C1740C"/>
    <w:rsid w:val="00C174FC"/>
    <w:rsid w:val="00C17609"/>
    <w:rsid w:val="00C17F41"/>
    <w:rsid w:val="00C20367"/>
    <w:rsid w:val="00C204A1"/>
    <w:rsid w:val="00C20AD9"/>
    <w:rsid w:val="00C232BC"/>
    <w:rsid w:val="00C24074"/>
    <w:rsid w:val="00C2493B"/>
    <w:rsid w:val="00C25ADA"/>
    <w:rsid w:val="00C26995"/>
    <w:rsid w:val="00C27678"/>
    <w:rsid w:val="00C30504"/>
    <w:rsid w:val="00C31177"/>
    <w:rsid w:val="00C31346"/>
    <w:rsid w:val="00C31DC1"/>
    <w:rsid w:val="00C33162"/>
    <w:rsid w:val="00C33CC1"/>
    <w:rsid w:val="00C34216"/>
    <w:rsid w:val="00C3459B"/>
    <w:rsid w:val="00C3460D"/>
    <w:rsid w:val="00C349E0"/>
    <w:rsid w:val="00C36950"/>
    <w:rsid w:val="00C36FF2"/>
    <w:rsid w:val="00C41797"/>
    <w:rsid w:val="00C42C96"/>
    <w:rsid w:val="00C4415B"/>
    <w:rsid w:val="00C4452D"/>
    <w:rsid w:val="00C47DC3"/>
    <w:rsid w:val="00C51755"/>
    <w:rsid w:val="00C51E13"/>
    <w:rsid w:val="00C51E41"/>
    <w:rsid w:val="00C52765"/>
    <w:rsid w:val="00C53DB6"/>
    <w:rsid w:val="00C54167"/>
    <w:rsid w:val="00C541FB"/>
    <w:rsid w:val="00C54B89"/>
    <w:rsid w:val="00C54EB8"/>
    <w:rsid w:val="00C551E0"/>
    <w:rsid w:val="00C57C37"/>
    <w:rsid w:val="00C57E71"/>
    <w:rsid w:val="00C60816"/>
    <w:rsid w:val="00C60F04"/>
    <w:rsid w:val="00C61B31"/>
    <w:rsid w:val="00C61F0D"/>
    <w:rsid w:val="00C62285"/>
    <w:rsid w:val="00C635D2"/>
    <w:rsid w:val="00C63C49"/>
    <w:rsid w:val="00C6407F"/>
    <w:rsid w:val="00C65F2F"/>
    <w:rsid w:val="00C662A5"/>
    <w:rsid w:val="00C67595"/>
    <w:rsid w:val="00C677E7"/>
    <w:rsid w:val="00C70950"/>
    <w:rsid w:val="00C713EE"/>
    <w:rsid w:val="00C720E4"/>
    <w:rsid w:val="00C737F8"/>
    <w:rsid w:val="00C768CC"/>
    <w:rsid w:val="00C76ADF"/>
    <w:rsid w:val="00C76EBA"/>
    <w:rsid w:val="00C77E32"/>
    <w:rsid w:val="00C803CE"/>
    <w:rsid w:val="00C8084B"/>
    <w:rsid w:val="00C8193F"/>
    <w:rsid w:val="00C819F9"/>
    <w:rsid w:val="00C82BC8"/>
    <w:rsid w:val="00C82EDE"/>
    <w:rsid w:val="00C85AA3"/>
    <w:rsid w:val="00C85E77"/>
    <w:rsid w:val="00C86B5C"/>
    <w:rsid w:val="00C86E6D"/>
    <w:rsid w:val="00C911D4"/>
    <w:rsid w:val="00C9123F"/>
    <w:rsid w:val="00C91287"/>
    <w:rsid w:val="00C93521"/>
    <w:rsid w:val="00C93888"/>
    <w:rsid w:val="00C93BB4"/>
    <w:rsid w:val="00C93CE1"/>
    <w:rsid w:val="00C94090"/>
    <w:rsid w:val="00C947AD"/>
    <w:rsid w:val="00C94D3F"/>
    <w:rsid w:val="00C961D0"/>
    <w:rsid w:val="00C96459"/>
    <w:rsid w:val="00C96E38"/>
    <w:rsid w:val="00C9731B"/>
    <w:rsid w:val="00C97707"/>
    <w:rsid w:val="00C97C92"/>
    <w:rsid w:val="00CA0401"/>
    <w:rsid w:val="00CA0A89"/>
    <w:rsid w:val="00CA0B59"/>
    <w:rsid w:val="00CA1375"/>
    <w:rsid w:val="00CA179C"/>
    <w:rsid w:val="00CA48F1"/>
    <w:rsid w:val="00CA4C9C"/>
    <w:rsid w:val="00CA6289"/>
    <w:rsid w:val="00CA638C"/>
    <w:rsid w:val="00CA7C4D"/>
    <w:rsid w:val="00CA7D19"/>
    <w:rsid w:val="00CB2777"/>
    <w:rsid w:val="00CB2825"/>
    <w:rsid w:val="00CB333C"/>
    <w:rsid w:val="00CB478B"/>
    <w:rsid w:val="00CB4805"/>
    <w:rsid w:val="00CB54C8"/>
    <w:rsid w:val="00CB59D8"/>
    <w:rsid w:val="00CB6525"/>
    <w:rsid w:val="00CB68D2"/>
    <w:rsid w:val="00CB728B"/>
    <w:rsid w:val="00CB7A43"/>
    <w:rsid w:val="00CC027E"/>
    <w:rsid w:val="00CC26F5"/>
    <w:rsid w:val="00CC2C1B"/>
    <w:rsid w:val="00CC3B42"/>
    <w:rsid w:val="00CC40EA"/>
    <w:rsid w:val="00CC42AB"/>
    <w:rsid w:val="00CC44F4"/>
    <w:rsid w:val="00CC480D"/>
    <w:rsid w:val="00CC6461"/>
    <w:rsid w:val="00CC66B9"/>
    <w:rsid w:val="00CC6847"/>
    <w:rsid w:val="00CC6D78"/>
    <w:rsid w:val="00CC7E48"/>
    <w:rsid w:val="00CC7F46"/>
    <w:rsid w:val="00CC7F58"/>
    <w:rsid w:val="00CD088F"/>
    <w:rsid w:val="00CD14AE"/>
    <w:rsid w:val="00CD186C"/>
    <w:rsid w:val="00CD1FC9"/>
    <w:rsid w:val="00CD1FE4"/>
    <w:rsid w:val="00CD2837"/>
    <w:rsid w:val="00CD2E19"/>
    <w:rsid w:val="00CD2FC2"/>
    <w:rsid w:val="00CD3717"/>
    <w:rsid w:val="00CD3A53"/>
    <w:rsid w:val="00CD3B17"/>
    <w:rsid w:val="00CD3BC9"/>
    <w:rsid w:val="00CD4601"/>
    <w:rsid w:val="00CD4DF8"/>
    <w:rsid w:val="00CE0432"/>
    <w:rsid w:val="00CE19AB"/>
    <w:rsid w:val="00CE1C4C"/>
    <w:rsid w:val="00CE3A57"/>
    <w:rsid w:val="00CE6F12"/>
    <w:rsid w:val="00CE7812"/>
    <w:rsid w:val="00CE7D04"/>
    <w:rsid w:val="00CF0EA2"/>
    <w:rsid w:val="00CF29E3"/>
    <w:rsid w:val="00CF34B8"/>
    <w:rsid w:val="00CF39BB"/>
    <w:rsid w:val="00CF42C9"/>
    <w:rsid w:val="00CF4957"/>
    <w:rsid w:val="00CF6FCE"/>
    <w:rsid w:val="00CF7043"/>
    <w:rsid w:val="00CF727C"/>
    <w:rsid w:val="00CF754D"/>
    <w:rsid w:val="00CF77E7"/>
    <w:rsid w:val="00D013C8"/>
    <w:rsid w:val="00D02DFC"/>
    <w:rsid w:val="00D04651"/>
    <w:rsid w:val="00D04E21"/>
    <w:rsid w:val="00D073F3"/>
    <w:rsid w:val="00D077B7"/>
    <w:rsid w:val="00D10427"/>
    <w:rsid w:val="00D10A35"/>
    <w:rsid w:val="00D1209F"/>
    <w:rsid w:val="00D12713"/>
    <w:rsid w:val="00D12EC1"/>
    <w:rsid w:val="00D138E6"/>
    <w:rsid w:val="00D166EA"/>
    <w:rsid w:val="00D16CFB"/>
    <w:rsid w:val="00D16DE6"/>
    <w:rsid w:val="00D2077A"/>
    <w:rsid w:val="00D208A6"/>
    <w:rsid w:val="00D213E6"/>
    <w:rsid w:val="00D213F4"/>
    <w:rsid w:val="00D228BB"/>
    <w:rsid w:val="00D22F77"/>
    <w:rsid w:val="00D243A2"/>
    <w:rsid w:val="00D24B73"/>
    <w:rsid w:val="00D25DF2"/>
    <w:rsid w:val="00D26BAA"/>
    <w:rsid w:val="00D26F7E"/>
    <w:rsid w:val="00D2720E"/>
    <w:rsid w:val="00D2788C"/>
    <w:rsid w:val="00D27CFB"/>
    <w:rsid w:val="00D30090"/>
    <w:rsid w:val="00D31123"/>
    <w:rsid w:val="00D31207"/>
    <w:rsid w:val="00D3309D"/>
    <w:rsid w:val="00D335A0"/>
    <w:rsid w:val="00D337D4"/>
    <w:rsid w:val="00D34105"/>
    <w:rsid w:val="00D351A2"/>
    <w:rsid w:val="00D36209"/>
    <w:rsid w:val="00D36496"/>
    <w:rsid w:val="00D370DD"/>
    <w:rsid w:val="00D377D8"/>
    <w:rsid w:val="00D37D21"/>
    <w:rsid w:val="00D40186"/>
    <w:rsid w:val="00D40A92"/>
    <w:rsid w:val="00D435D8"/>
    <w:rsid w:val="00D460AC"/>
    <w:rsid w:val="00D460E5"/>
    <w:rsid w:val="00D46CD3"/>
    <w:rsid w:val="00D46D80"/>
    <w:rsid w:val="00D479A4"/>
    <w:rsid w:val="00D506E1"/>
    <w:rsid w:val="00D50CFD"/>
    <w:rsid w:val="00D510E0"/>
    <w:rsid w:val="00D534E2"/>
    <w:rsid w:val="00D54DEC"/>
    <w:rsid w:val="00D5534B"/>
    <w:rsid w:val="00D56E13"/>
    <w:rsid w:val="00D570F4"/>
    <w:rsid w:val="00D607C2"/>
    <w:rsid w:val="00D60871"/>
    <w:rsid w:val="00D61199"/>
    <w:rsid w:val="00D61F40"/>
    <w:rsid w:val="00D622EC"/>
    <w:rsid w:val="00D623AF"/>
    <w:rsid w:val="00D6284C"/>
    <w:rsid w:val="00D64197"/>
    <w:rsid w:val="00D65953"/>
    <w:rsid w:val="00D65A78"/>
    <w:rsid w:val="00D66F7E"/>
    <w:rsid w:val="00D678FF"/>
    <w:rsid w:val="00D73444"/>
    <w:rsid w:val="00D73633"/>
    <w:rsid w:val="00D73FDF"/>
    <w:rsid w:val="00D75813"/>
    <w:rsid w:val="00D76018"/>
    <w:rsid w:val="00D76083"/>
    <w:rsid w:val="00D76A87"/>
    <w:rsid w:val="00D7779A"/>
    <w:rsid w:val="00D8040E"/>
    <w:rsid w:val="00D808AE"/>
    <w:rsid w:val="00D82051"/>
    <w:rsid w:val="00D83251"/>
    <w:rsid w:val="00D83890"/>
    <w:rsid w:val="00D85744"/>
    <w:rsid w:val="00D863F8"/>
    <w:rsid w:val="00D90456"/>
    <w:rsid w:val="00D90682"/>
    <w:rsid w:val="00D90FDA"/>
    <w:rsid w:val="00D92D20"/>
    <w:rsid w:val="00D92FAC"/>
    <w:rsid w:val="00D943A3"/>
    <w:rsid w:val="00D96D49"/>
    <w:rsid w:val="00D97408"/>
    <w:rsid w:val="00D9761B"/>
    <w:rsid w:val="00D9780E"/>
    <w:rsid w:val="00DA049C"/>
    <w:rsid w:val="00DA1430"/>
    <w:rsid w:val="00DA2F03"/>
    <w:rsid w:val="00DA3CB0"/>
    <w:rsid w:val="00DA4E28"/>
    <w:rsid w:val="00DA657E"/>
    <w:rsid w:val="00DA68F6"/>
    <w:rsid w:val="00DA6F72"/>
    <w:rsid w:val="00DB03D9"/>
    <w:rsid w:val="00DB0ED2"/>
    <w:rsid w:val="00DB1159"/>
    <w:rsid w:val="00DB2DCF"/>
    <w:rsid w:val="00DB3587"/>
    <w:rsid w:val="00DB3A50"/>
    <w:rsid w:val="00DB4DC9"/>
    <w:rsid w:val="00DB52EA"/>
    <w:rsid w:val="00DB5427"/>
    <w:rsid w:val="00DB5510"/>
    <w:rsid w:val="00DB7330"/>
    <w:rsid w:val="00DB7BD6"/>
    <w:rsid w:val="00DC00D6"/>
    <w:rsid w:val="00DC01CF"/>
    <w:rsid w:val="00DC0304"/>
    <w:rsid w:val="00DC05AA"/>
    <w:rsid w:val="00DC05C9"/>
    <w:rsid w:val="00DC07E6"/>
    <w:rsid w:val="00DC2245"/>
    <w:rsid w:val="00DC3292"/>
    <w:rsid w:val="00DC34CA"/>
    <w:rsid w:val="00DC3758"/>
    <w:rsid w:val="00DC39F2"/>
    <w:rsid w:val="00DC5EF3"/>
    <w:rsid w:val="00DC7CD0"/>
    <w:rsid w:val="00DD0E73"/>
    <w:rsid w:val="00DD1CB4"/>
    <w:rsid w:val="00DD1D88"/>
    <w:rsid w:val="00DD1DFE"/>
    <w:rsid w:val="00DD22A5"/>
    <w:rsid w:val="00DD25AF"/>
    <w:rsid w:val="00DD4618"/>
    <w:rsid w:val="00DD4911"/>
    <w:rsid w:val="00DD4FA5"/>
    <w:rsid w:val="00DD63EA"/>
    <w:rsid w:val="00DD708E"/>
    <w:rsid w:val="00DD70C4"/>
    <w:rsid w:val="00DD7942"/>
    <w:rsid w:val="00DE0F91"/>
    <w:rsid w:val="00DE1EB2"/>
    <w:rsid w:val="00DE260A"/>
    <w:rsid w:val="00DE3126"/>
    <w:rsid w:val="00DE3142"/>
    <w:rsid w:val="00DE3271"/>
    <w:rsid w:val="00DE35BC"/>
    <w:rsid w:val="00DE4336"/>
    <w:rsid w:val="00DE4F7E"/>
    <w:rsid w:val="00DE51AF"/>
    <w:rsid w:val="00DE54A2"/>
    <w:rsid w:val="00DE54E1"/>
    <w:rsid w:val="00DE60D8"/>
    <w:rsid w:val="00DE6415"/>
    <w:rsid w:val="00DE6BFE"/>
    <w:rsid w:val="00DE75CE"/>
    <w:rsid w:val="00DF02CF"/>
    <w:rsid w:val="00DF054C"/>
    <w:rsid w:val="00DF0696"/>
    <w:rsid w:val="00DF10DE"/>
    <w:rsid w:val="00DF2554"/>
    <w:rsid w:val="00DF42F2"/>
    <w:rsid w:val="00DF48EB"/>
    <w:rsid w:val="00DF4BFB"/>
    <w:rsid w:val="00DF51F1"/>
    <w:rsid w:val="00DF5223"/>
    <w:rsid w:val="00DF5C64"/>
    <w:rsid w:val="00DF5E5E"/>
    <w:rsid w:val="00DF665C"/>
    <w:rsid w:val="00DF713B"/>
    <w:rsid w:val="00DF7250"/>
    <w:rsid w:val="00DF72A5"/>
    <w:rsid w:val="00DF7776"/>
    <w:rsid w:val="00DF7CD8"/>
    <w:rsid w:val="00E00549"/>
    <w:rsid w:val="00E00BCE"/>
    <w:rsid w:val="00E03633"/>
    <w:rsid w:val="00E04341"/>
    <w:rsid w:val="00E04D37"/>
    <w:rsid w:val="00E04F98"/>
    <w:rsid w:val="00E05BBE"/>
    <w:rsid w:val="00E060D6"/>
    <w:rsid w:val="00E06342"/>
    <w:rsid w:val="00E06AB9"/>
    <w:rsid w:val="00E07ED7"/>
    <w:rsid w:val="00E100B6"/>
    <w:rsid w:val="00E10188"/>
    <w:rsid w:val="00E10C8D"/>
    <w:rsid w:val="00E1153C"/>
    <w:rsid w:val="00E11A31"/>
    <w:rsid w:val="00E11B4B"/>
    <w:rsid w:val="00E13035"/>
    <w:rsid w:val="00E13287"/>
    <w:rsid w:val="00E13410"/>
    <w:rsid w:val="00E134B3"/>
    <w:rsid w:val="00E1363E"/>
    <w:rsid w:val="00E143C7"/>
    <w:rsid w:val="00E147E7"/>
    <w:rsid w:val="00E1529C"/>
    <w:rsid w:val="00E15D47"/>
    <w:rsid w:val="00E16995"/>
    <w:rsid w:val="00E16FE8"/>
    <w:rsid w:val="00E20949"/>
    <w:rsid w:val="00E21088"/>
    <w:rsid w:val="00E21B5B"/>
    <w:rsid w:val="00E22095"/>
    <w:rsid w:val="00E24F6E"/>
    <w:rsid w:val="00E25417"/>
    <w:rsid w:val="00E263BA"/>
    <w:rsid w:val="00E269EE"/>
    <w:rsid w:val="00E26DB6"/>
    <w:rsid w:val="00E26FF4"/>
    <w:rsid w:val="00E271C1"/>
    <w:rsid w:val="00E2760F"/>
    <w:rsid w:val="00E27C67"/>
    <w:rsid w:val="00E3064D"/>
    <w:rsid w:val="00E33458"/>
    <w:rsid w:val="00E33AFA"/>
    <w:rsid w:val="00E34D99"/>
    <w:rsid w:val="00E352DF"/>
    <w:rsid w:val="00E36CA0"/>
    <w:rsid w:val="00E37057"/>
    <w:rsid w:val="00E40836"/>
    <w:rsid w:val="00E41464"/>
    <w:rsid w:val="00E4185F"/>
    <w:rsid w:val="00E418A7"/>
    <w:rsid w:val="00E41E7D"/>
    <w:rsid w:val="00E430C1"/>
    <w:rsid w:val="00E4395B"/>
    <w:rsid w:val="00E4417C"/>
    <w:rsid w:val="00E45518"/>
    <w:rsid w:val="00E45D67"/>
    <w:rsid w:val="00E50D22"/>
    <w:rsid w:val="00E514E1"/>
    <w:rsid w:val="00E51D03"/>
    <w:rsid w:val="00E52070"/>
    <w:rsid w:val="00E56118"/>
    <w:rsid w:val="00E60023"/>
    <w:rsid w:val="00E600D6"/>
    <w:rsid w:val="00E605AE"/>
    <w:rsid w:val="00E61031"/>
    <w:rsid w:val="00E613A0"/>
    <w:rsid w:val="00E6158A"/>
    <w:rsid w:val="00E61920"/>
    <w:rsid w:val="00E6235E"/>
    <w:rsid w:val="00E62EC0"/>
    <w:rsid w:val="00E636C0"/>
    <w:rsid w:val="00E64383"/>
    <w:rsid w:val="00E64406"/>
    <w:rsid w:val="00E66B49"/>
    <w:rsid w:val="00E66C45"/>
    <w:rsid w:val="00E674E5"/>
    <w:rsid w:val="00E675D0"/>
    <w:rsid w:val="00E67606"/>
    <w:rsid w:val="00E6774E"/>
    <w:rsid w:val="00E702C4"/>
    <w:rsid w:val="00E70B8C"/>
    <w:rsid w:val="00E71EFD"/>
    <w:rsid w:val="00E73F60"/>
    <w:rsid w:val="00E74412"/>
    <w:rsid w:val="00E74EEC"/>
    <w:rsid w:val="00E74FFA"/>
    <w:rsid w:val="00E75977"/>
    <w:rsid w:val="00E76683"/>
    <w:rsid w:val="00E76F57"/>
    <w:rsid w:val="00E77481"/>
    <w:rsid w:val="00E80BE8"/>
    <w:rsid w:val="00E81AB3"/>
    <w:rsid w:val="00E8330D"/>
    <w:rsid w:val="00E83F56"/>
    <w:rsid w:val="00E8455F"/>
    <w:rsid w:val="00E874B4"/>
    <w:rsid w:val="00E87AF9"/>
    <w:rsid w:val="00E90434"/>
    <w:rsid w:val="00E90F8A"/>
    <w:rsid w:val="00E9259D"/>
    <w:rsid w:val="00E93101"/>
    <w:rsid w:val="00E9313E"/>
    <w:rsid w:val="00E93761"/>
    <w:rsid w:val="00E948A5"/>
    <w:rsid w:val="00E95067"/>
    <w:rsid w:val="00E95E3E"/>
    <w:rsid w:val="00E95E76"/>
    <w:rsid w:val="00E962F2"/>
    <w:rsid w:val="00E973D5"/>
    <w:rsid w:val="00EA010D"/>
    <w:rsid w:val="00EA0ED1"/>
    <w:rsid w:val="00EA1523"/>
    <w:rsid w:val="00EA2731"/>
    <w:rsid w:val="00EA279A"/>
    <w:rsid w:val="00EA2F8B"/>
    <w:rsid w:val="00EA3A1D"/>
    <w:rsid w:val="00EA445A"/>
    <w:rsid w:val="00EA57D0"/>
    <w:rsid w:val="00EA6445"/>
    <w:rsid w:val="00EA70CB"/>
    <w:rsid w:val="00EA7D98"/>
    <w:rsid w:val="00EB2483"/>
    <w:rsid w:val="00EB5B14"/>
    <w:rsid w:val="00EB683C"/>
    <w:rsid w:val="00EB734F"/>
    <w:rsid w:val="00EB75C2"/>
    <w:rsid w:val="00EB7981"/>
    <w:rsid w:val="00EC0019"/>
    <w:rsid w:val="00EC02A2"/>
    <w:rsid w:val="00EC0520"/>
    <w:rsid w:val="00EC070C"/>
    <w:rsid w:val="00EC0E05"/>
    <w:rsid w:val="00EC17B5"/>
    <w:rsid w:val="00EC23BF"/>
    <w:rsid w:val="00EC31CD"/>
    <w:rsid w:val="00EC3BFD"/>
    <w:rsid w:val="00EC3E45"/>
    <w:rsid w:val="00EC439B"/>
    <w:rsid w:val="00EC55ED"/>
    <w:rsid w:val="00EC7FDD"/>
    <w:rsid w:val="00ED0996"/>
    <w:rsid w:val="00ED1312"/>
    <w:rsid w:val="00ED1A64"/>
    <w:rsid w:val="00ED3E13"/>
    <w:rsid w:val="00ED5D0A"/>
    <w:rsid w:val="00ED6014"/>
    <w:rsid w:val="00ED64EE"/>
    <w:rsid w:val="00ED6A94"/>
    <w:rsid w:val="00EE0049"/>
    <w:rsid w:val="00EE01D0"/>
    <w:rsid w:val="00EE0E63"/>
    <w:rsid w:val="00EE10A5"/>
    <w:rsid w:val="00EE2AC6"/>
    <w:rsid w:val="00EE2EBF"/>
    <w:rsid w:val="00EE2EFE"/>
    <w:rsid w:val="00EE5274"/>
    <w:rsid w:val="00EE55CB"/>
    <w:rsid w:val="00EE6081"/>
    <w:rsid w:val="00EE62BE"/>
    <w:rsid w:val="00EE6375"/>
    <w:rsid w:val="00EE6A96"/>
    <w:rsid w:val="00EF05FD"/>
    <w:rsid w:val="00EF1219"/>
    <w:rsid w:val="00EF1B3B"/>
    <w:rsid w:val="00EF231F"/>
    <w:rsid w:val="00EF3C22"/>
    <w:rsid w:val="00EF4428"/>
    <w:rsid w:val="00EF4657"/>
    <w:rsid w:val="00EF4C37"/>
    <w:rsid w:val="00EF5378"/>
    <w:rsid w:val="00EF54AC"/>
    <w:rsid w:val="00EF59F0"/>
    <w:rsid w:val="00EF7795"/>
    <w:rsid w:val="00F007BC"/>
    <w:rsid w:val="00F008C6"/>
    <w:rsid w:val="00F0224B"/>
    <w:rsid w:val="00F033F2"/>
    <w:rsid w:val="00F045F2"/>
    <w:rsid w:val="00F051A2"/>
    <w:rsid w:val="00F05AF4"/>
    <w:rsid w:val="00F05C68"/>
    <w:rsid w:val="00F10B41"/>
    <w:rsid w:val="00F10CB6"/>
    <w:rsid w:val="00F10FAF"/>
    <w:rsid w:val="00F113B5"/>
    <w:rsid w:val="00F1154F"/>
    <w:rsid w:val="00F11C9D"/>
    <w:rsid w:val="00F11DDD"/>
    <w:rsid w:val="00F12106"/>
    <w:rsid w:val="00F13231"/>
    <w:rsid w:val="00F14039"/>
    <w:rsid w:val="00F15101"/>
    <w:rsid w:val="00F15307"/>
    <w:rsid w:val="00F1585E"/>
    <w:rsid w:val="00F15AB4"/>
    <w:rsid w:val="00F15ED8"/>
    <w:rsid w:val="00F16046"/>
    <w:rsid w:val="00F164E6"/>
    <w:rsid w:val="00F16DC2"/>
    <w:rsid w:val="00F178C8"/>
    <w:rsid w:val="00F17B63"/>
    <w:rsid w:val="00F17BE2"/>
    <w:rsid w:val="00F20119"/>
    <w:rsid w:val="00F20B5D"/>
    <w:rsid w:val="00F21756"/>
    <w:rsid w:val="00F2296F"/>
    <w:rsid w:val="00F22DC4"/>
    <w:rsid w:val="00F24D45"/>
    <w:rsid w:val="00F252E5"/>
    <w:rsid w:val="00F26804"/>
    <w:rsid w:val="00F302DA"/>
    <w:rsid w:val="00F30CF8"/>
    <w:rsid w:val="00F31C17"/>
    <w:rsid w:val="00F34292"/>
    <w:rsid w:val="00F35F54"/>
    <w:rsid w:val="00F362B5"/>
    <w:rsid w:val="00F36A77"/>
    <w:rsid w:val="00F36B91"/>
    <w:rsid w:val="00F37A4F"/>
    <w:rsid w:val="00F40A99"/>
    <w:rsid w:val="00F41060"/>
    <w:rsid w:val="00F41B6E"/>
    <w:rsid w:val="00F42C2D"/>
    <w:rsid w:val="00F43857"/>
    <w:rsid w:val="00F4438B"/>
    <w:rsid w:val="00F45D12"/>
    <w:rsid w:val="00F46E21"/>
    <w:rsid w:val="00F4723C"/>
    <w:rsid w:val="00F47F3F"/>
    <w:rsid w:val="00F50D7A"/>
    <w:rsid w:val="00F520A9"/>
    <w:rsid w:val="00F52F66"/>
    <w:rsid w:val="00F53AA0"/>
    <w:rsid w:val="00F54B7A"/>
    <w:rsid w:val="00F5519F"/>
    <w:rsid w:val="00F56FBA"/>
    <w:rsid w:val="00F5716E"/>
    <w:rsid w:val="00F57471"/>
    <w:rsid w:val="00F57672"/>
    <w:rsid w:val="00F57978"/>
    <w:rsid w:val="00F608E2"/>
    <w:rsid w:val="00F612B1"/>
    <w:rsid w:val="00F61E95"/>
    <w:rsid w:val="00F625BF"/>
    <w:rsid w:val="00F63934"/>
    <w:rsid w:val="00F64DD5"/>
    <w:rsid w:val="00F64F8E"/>
    <w:rsid w:val="00F65ED9"/>
    <w:rsid w:val="00F7014A"/>
    <w:rsid w:val="00F7077E"/>
    <w:rsid w:val="00F715BA"/>
    <w:rsid w:val="00F71832"/>
    <w:rsid w:val="00F72CAC"/>
    <w:rsid w:val="00F750A2"/>
    <w:rsid w:val="00F76109"/>
    <w:rsid w:val="00F76B24"/>
    <w:rsid w:val="00F76B4C"/>
    <w:rsid w:val="00F7719C"/>
    <w:rsid w:val="00F777F3"/>
    <w:rsid w:val="00F80155"/>
    <w:rsid w:val="00F804F9"/>
    <w:rsid w:val="00F8118E"/>
    <w:rsid w:val="00F84C34"/>
    <w:rsid w:val="00F8609A"/>
    <w:rsid w:val="00F86B1B"/>
    <w:rsid w:val="00F86F70"/>
    <w:rsid w:val="00F873D2"/>
    <w:rsid w:val="00F8764E"/>
    <w:rsid w:val="00F877ED"/>
    <w:rsid w:val="00F878A5"/>
    <w:rsid w:val="00F90589"/>
    <w:rsid w:val="00F90A8F"/>
    <w:rsid w:val="00F91D2F"/>
    <w:rsid w:val="00F923DE"/>
    <w:rsid w:val="00F93298"/>
    <w:rsid w:val="00F9332C"/>
    <w:rsid w:val="00F95529"/>
    <w:rsid w:val="00F96CC1"/>
    <w:rsid w:val="00F977F7"/>
    <w:rsid w:val="00FA108E"/>
    <w:rsid w:val="00FA2F73"/>
    <w:rsid w:val="00FA3EB0"/>
    <w:rsid w:val="00FA49D9"/>
    <w:rsid w:val="00FA4A08"/>
    <w:rsid w:val="00FA4DB9"/>
    <w:rsid w:val="00FA59B4"/>
    <w:rsid w:val="00FA60BF"/>
    <w:rsid w:val="00FA67E6"/>
    <w:rsid w:val="00FA7BA6"/>
    <w:rsid w:val="00FA7D6D"/>
    <w:rsid w:val="00FB13C0"/>
    <w:rsid w:val="00FB1622"/>
    <w:rsid w:val="00FB204D"/>
    <w:rsid w:val="00FB25FB"/>
    <w:rsid w:val="00FB271D"/>
    <w:rsid w:val="00FB296E"/>
    <w:rsid w:val="00FB2AE1"/>
    <w:rsid w:val="00FB2B7C"/>
    <w:rsid w:val="00FB338B"/>
    <w:rsid w:val="00FB3528"/>
    <w:rsid w:val="00FB38AF"/>
    <w:rsid w:val="00FB4486"/>
    <w:rsid w:val="00FB4BAB"/>
    <w:rsid w:val="00FB4C7F"/>
    <w:rsid w:val="00FB4DFC"/>
    <w:rsid w:val="00FB4E8D"/>
    <w:rsid w:val="00FB6F40"/>
    <w:rsid w:val="00FB6FB1"/>
    <w:rsid w:val="00FB7CD5"/>
    <w:rsid w:val="00FC057E"/>
    <w:rsid w:val="00FC09B6"/>
    <w:rsid w:val="00FC1ED9"/>
    <w:rsid w:val="00FC23EF"/>
    <w:rsid w:val="00FC55B3"/>
    <w:rsid w:val="00FC5AEB"/>
    <w:rsid w:val="00FC692E"/>
    <w:rsid w:val="00FD00AF"/>
    <w:rsid w:val="00FD0635"/>
    <w:rsid w:val="00FD2604"/>
    <w:rsid w:val="00FD2728"/>
    <w:rsid w:val="00FD2A1B"/>
    <w:rsid w:val="00FD326B"/>
    <w:rsid w:val="00FD5416"/>
    <w:rsid w:val="00FD6FA6"/>
    <w:rsid w:val="00FD7CE2"/>
    <w:rsid w:val="00FE0090"/>
    <w:rsid w:val="00FE0490"/>
    <w:rsid w:val="00FE14CB"/>
    <w:rsid w:val="00FE21E3"/>
    <w:rsid w:val="00FE25D0"/>
    <w:rsid w:val="00FE3C8C"/>
    <w:rsid w:val="00FE585E"/>
    <w:rsid w:val="00FE5999"/>
    <w:rsid w:val="00FE5A74"/>
    <w:rsid w:val="00FE5F13"/>
    <w:rsid w:val="00FE6508"/>
    <w:rsid w:val="00FE6905"/>
    <w:rsid w:val="00FE7EE4"/>
    <w:rsid w:val="00FF13A4"/>
    <w:rsid w:val="00FF1496"/>
    <w:rsid w:val="00FF32A1"/>
    <w:rsid w:val="00FF37E9"/>
    <w:rsid w:val="00FF3FA1"/>
    <w:rsid w:val="00FF5D23"/>
    <w:rsid w:val="00FF615D"/>
    <w:rsid w:val="00FF64BA"/>
    <w:rsid w:val="00FF6511"/>
    <w:rsid w:val="00FF7475"/>
    <w:rsid w:val="00FF7D2B"/>
    <w:rsid w:val="01142EFC"/>
    <w:rsid w:val="013C054E"/>
    <w:rsid w:val="01A32DD9"/>
    <w:rsid w:val="01D04155"/>
    <w:rsid w:val="024159EA"/>
    <w:rsid w:val="0277007C"/>
    <w:rsid w:val="028D5F69"/>
    <w:rsid w:val="02AA5B7D"/>
    <w:rsid w:val="02F26113"/>
    <w:rsid w:val="03AE5C78"/>
    <w:rsid w:val="04132AE5"/>
    <w:rsid w:val="0436735D"/>
    <w:rsid w:val="045B547B"/>
    <w:rsid w:val="048E122E"/>
    <w:rsid w:val="05645169"/>
    <w:rsid w:val="05860AA0"/>
    <w:rsid w:val="05B970E0"/>
    <w:rsid w:val="0627193B"/>
    <w:rsid w:val="06311428"/>
    <w:rsid w:val="07344756"/>
    <w:rsid w:val="07E35A5B"/>
    <w:rsid w:val="08415635"/>
    <w:rsid w:val="08557DD7"/>
    <w:rsid w:val="087D3A94"/>
    <w:rsid w:val="08D10652"/>
    <w:rsid w:val="08E30040"/>
    <w:rsid w:val="09064EE1"/>
    <w:rsid w:val="092A35DB"/>
    <w:rsid w:val="097339DB"/>
    <w:rsid w:val="09FE29B2"/>
    <w:rsid w:val="0A9357F1"/>
    <w:rsid w:val="0B255B35"/>
    <w:rsid w:val="0BC63A34"/>
    <w:rsid w:val="0C1B3CF0"/>
    <w:rsid w:val="0C5124B3"/>
    <w:rsid w:val="0C8E632B"/>
    <w:rsid w:val="0CDA4765"/>
    <w:rsid w:val="0D385B21"/>
    <w:rsid w:val="0E2E2851"/>
    <w:rsid w:val="0E547045"/>
    <w:rsid w:val="0F3747BA"/>
    <w:rsid w:val="0F5572C4"/>
    <w:rsid w:val="0F991E98"/>
    <w:rsid w:val="104A0632"/>
    <w:rsid w:val="11EA0D70"/>
    <w:rsid w:val="1216530A"/>
    <w:rsid w:val="128F5369"/>
    <w:rsid w:val="12C7072D"/>
    <w:rsid w:val="12F40645"/>
    <w:rsid w:val="132B2B4B"/>
    <w:rsid w:val="135C0C7A"/>
    <w:rsid w:val="1360648C"/>
    <w:rsid w:val="138E124B"/>
    <w:rsid w:val="13CF7DD3"/>
    <w:rsid w:val="13F71F55"/>
    <w:rsid w:val="140E5EE8"/>
    <w:rsid w:val="146411B3"/>
    <w:rsid w:val="14770F16"/>
    <w:rsid w:val="14B46DF6"/>
    <w:rsid w:val="14D507B4"/>
    <w:rsid w:val="14F43330"/>
    <w:rsid w:val="14F52FE5"/>
    <w:rsid w:val="15A15725"/>
    <w:rsid w:val="15D942D4"/>
    <w:rsid w:val="182E2909"/>
    <w:rsid w:val="185C1FA2"/>
    <w:rsid w:val="18E960C0"/>
    <w:rsid w:val="19152275"/>
    <w:rsid w:val="198A0323"/>
    <w:rsid w:val="19BD4967"/>
    <w:rsid w:val="19BE7EE6"/>
    <w:rsid w:val="19E04862"/>
    <w:rsid w:val="1A8A1ABB"/>
    <w:rsid w:val="1A9567B5"/>
    <w:rsid w:val="1B307D77"/>
    <w:rsid w:val="1BC31CAE"/>
    <w:rsid w:val="1D4E2C02"/>
    <w:rsid w:val="1E200CF1"/>
    <w:rsid w:val="1EEB72DF"/>
    <w:rsid w:val="1F821E85"/>
    <w:rsid w:val="1F9837C8"/>
    <w:rsid w:val="1FB42629"/>
    <w:rsid w:val="1FE1254C"/>
    <w:rsid w:val="206E3B8C"/>
    <w:rsid w:val="20BD6AE5"/>
    <w:rsid w:val="20F45535"/>
    <w:rsid w:val="210466A8"/>
    <w:rsid w:val="21167438"/>
    <w:rsid w:val="223F7B2D"/>
    <w:rsid w:val="22AF5CC8"/>
    <w:rsid w:val="23AE7D5A"/>
    <w:rsid w:val="23C860B3"/>
    <w:rsid w:val="23CF617A"/>
    <w:rsid w:val="24085B1D"/>
    <w:rsid w:val="24196F3D"/>
    <w:rsid w:val="24CE594B"/>
    <w:rsid w:val="24D64800"/>
    <w:rsid w:val="253669B8"/>
    <w:rsid w:val="25714529"/>
    <w:rsid w:val="27113E81"/>
    <w:rsid w:val="27635E3D"/>
    <w:rsid w:val="285B4B4B"/>
    <w:rsid w:val="287836C3"/>
    <w:rsid w:val="28A112BE"/>
    <w:rsid w:val="29055E8C"/>
    <w:rsid w:val="2A195064"/>
    <w:rsid w:val="2A7C3514"/>
    <w:rsid w:val="2AB772D9"/>
    <w:rsid w:val="2ADF3E44"/>
    <w:rsid w:val="2B6761B2"/>
    <w:rsid w:val="2BCA663C"/>
    <w:rsid w:val="2C0656DA"/>
    <w:rsid w:val="2CCE4485"/>
    <w:rsid w:val="2D230A44"/>
    <w:rsid w:val="2D3C541C"/>
    <w:rsid w:val="2D8C2805"/>
    <w:rsid w:val="2E544BF6"/>
    <w:rsid w:val="2E7035CF"/>
    <w:rsid w:val="2EB85A79"/>
    <w:rsid w:val="2EE30DF8"/>
    <w:rsid w:val="2F4957F8"/>
    <w:rsid w:val="2F4F4849"/>
    <w:rsid w:val="304F1246"/>
    <w:rsid w:val="30BD15E5"/>
    <w:rsid w:val="3121636C"/>
    <w:rsid w:val="31A252F1"/>
    <w:rsid w:val="31C50D87"/>
    <w:rsid w:val="31CF708E"/>
    <w:rsid w:val="31D57F7F"/>
    <w:rsid w:val="32033FC0"/>
    <w:rsid w:val="32AC094E"/>
    <w:rsid w:val="33034BA2"/>
    <w:rsid w:val="33351062"/>
    <w:rsid w:val="33917B72"/>
    <w:rsid w:val="33A27B38"/>
    <w:rsid w:val="357B753E"/>
    <w:rsid w:val="3595001D"/>
    <w:rsid w:val="35DE19DF"/>
    <w:rsid w:val="37340B1D"/>
    <w:rsid w:val="37F401F0"/>
    <w:rsid w:val="38507FCD"/>
    <w:rsid w:val="385A3AD0"/>
    <w:rsid w:val="38852A0E"/>
    <w:rsid w:val="38A17ABD"/>
    <w:rsid w:val="395104A1"/>
    <w:rsid w:val="3A3232F3"/>
    <w:rsid w:val="3B1654FE"/>
    <w:rsid w:val="3B383FAF"/>
    <w:rsid w:val="3B494567"/>
    <w:rsid w:val="3B6002E9"/>
    <w:rsid w:val="3BCE5DD9"/>
    <w:rsid w:val="3C267A21"/>
    <w:rsid w:val="3D561EA3"/>
    <w:rsid w:val="3E6D47F7"/>
    <w:rsid w:val="3E8D73B3"/>
    <w:rsid w:val="3E901FB2"/>
    <w:rsid w:val="3EE92F0F"/>
    <w:rsid w:val="3F2F5AEC"/>
    <w:rsid w:val="3F654595"/>
    <w:rsid w:val="3F7C70EB"/>
    <w:rsid w:val="3FD7750C"/>
    <w:rsid w:val="3FEE3BE1"/>
    <w:rsid w:val="406008AF"/>
    <w:rsid w:val="413173AF"/>
    <w:rsid w:val="418D1537"/>
    <w:rsid w:val="425A48CF"/>
    <w:rsid w:val="429A5801"/>
    <w:rsid w:val="42B75819"/>
    <w:rsid w:val="42DD0C8B"/>
    <w:rsid w:val="431B5BC3"/>
    <w:rsid w:val="444529B0"/>
    <w:rsid w:val="447A1CE8"/>
    <w:rsid w:val="4490385E"/>
    <w:rsid w:val="44C324A0"/>
    <w:rsid w:val="45235D66"/>
    <w:rsid w:val="452A1BFE"/>
    <w:rsid w:val="454A3D0E"/>
    <w:rsid w:val="45753046"/>
    <w:rsid w:val="458B301B"/>
    <w:rsid w:val="45C0082E"/>
    <w:rsid w:val="466E4440"/>
    <w:rsid w:val="46722452"/>
    <w:rsid w:val="46CE1383"/>
    <w:rsid w:val="47956AD2"/>
    <w:rsid w:val="48CE7418"/>
    <w:rsid w:val="49185677"/>
    <w:rsid w:val="49906376"/>
    <w:rsid w:val="49A87D57"/>
    <w:rsid w:val="4A720B87"/>
    <w:rsid w:val="4A72211A"/>
    <w:rsid w:val="4AEA6060"/>
    <w:rsid w:val="4B032EF2"/>
    <w:rsid w:val="4B3B30DB"/>
    <w:rsid w:val="4B421DA5"/>
    <w:rsid w:val="4C211F55"/>
    <w:rsid w:val="4C25217C"/>
    <w:rsid w:val="4CA14F0B"/>
    <w:rsid w:val="4D870D1C"/>
    <w:rsid w:val="4D893F5F"/>
    <w:rsid w:val="4DB62343"/>
    <w:rsid w:val="4DE26637"/>
    <w:rsid w:val="4E97682F"/>
    <w:rsid w:val="4ECC2C3D"/>
    <w:rsid w:val="4F6A50AB"/>
    <w:rsid w:val="4FA727D4"/>
    <w:rsid w:val="503A5393"/>
    <w:rsid w:val="508D4A32"/>
    <w:rsid w:val="51812DE0"/>
    <w:rsid w:val="51A17809"/>
    <w:rsid w:val="51EE0148"/>
    <w:rsid w:val="520C2352"/>
    <w:rsid w:val="531269EF"/>
    <w:rsid w:val="532145E9"/>
    <w:rsid w:val="536A55BB"/>
    <w:rsid w:val="53F71F19"/>
    <w:rsid w:val="53F87AA7"/>
    <w:rsid w:val="543734F7"/>
    <w:rsid w:val="543C33D0"/>
    <w:rsid w:val="54457F5D"/>
    <w:rsid w:val="54E46620"/>
    <w:rsid w:val="5508216F"/>
    <w:rsid w:val="55747599"/>
    <w:rsid w:val="55CC0C1E"/>
    <w:rsid w:val="56A95021"/>
    <w:rsid w:val="56BA41C9"/>
    <w:rsid w:val="56EC69C1"/>
    <w:rsid w:val="57965FC5"/>
    <w:rsid w:val="5867774F"/>
    <w:rsid w:val="598377BF"/>
    <w:rsid w:val="59AA17DC"/>
    <w:rsid w:val="59F83469"/>
    <w:rsid w:val="5A1610A0"/>
    <w:rsid w:val="5A4E2A6B"/>
    <w:rsid w:val="5A683F59"/>
    <w:rsid w:val="5D27015D"/>
    <w:rsid w:val="5D5B5065"/>
    <w:rsid w:val="5DF0765F"/>
    <w:rsid w:val="5E1201FB"/>
    <w:rsid w:val="5EB80508"/>
    <w:rsid w:val="61066393"/>
    <w:rsid w:val="61092A40"/>
    <w:rsid w:val="619F6626"/>
    <w:rsid w:val="61BA27D8"/>
    <w:rsid w:val="61BE21CF"/>
    <w:rsid w:val="61D511F3"/>
    <w:rsid w:val="62700640"/>
    <w:rsid w:val="628559C8"/>
    <w:rsid w:val="62AB0152"/>
    <w:rsid w:val="62C63D9D"/>
    <w:rsid w:val="63FA7440"/>
    <w:rsid w:val="642C3A58"/>
    <w:rsid w:val="644C495D"/>
    <w:rsid w:val="64607667"/>
    <w:rsid w:val="646421A6"/>
    <w:rsid w:val="64715C24"/>
    <w:rsid w:val="64B47567"/>
    <w:rsid w:val="65224C04"/>
    <w:rsid w:val="65707FB6"/>
    <w:rsid w:val="65800B1A"/>
    <w:rsid w:val="65FA31A1"/>
    <w:rsid w:val="665C267F"/>
    <w:rsid w:val="66A05066"/>
    <w:rsid w:val="67B039EE"/>
    <w:rsid w:val="67F83836"/>
    <w:rsid w:val="6807463D"/>
    <w:rsid w:val="68C46AF0"/>
    <w:rsid w:val="69DC778F"/>
    <w:rsid w:val="6B667D7B"/>
    <w:rsid w:val="6C4B6506"/>
    <w:rsid w:val="6C520652"/>
    <w:rsid w:val="6CD10439"/>
    <w:rsid w:val="6D45103B"/>
    <w:rsid w:val="6DD8026E"/>
    <w:rsid w:val="6E7E3037"/>
    <w:rsid w:val="6EA53FDE"/>
    <w:rsid w:val="6F0C1E15"/>
    <w:rsid w:val="6F1057E5"/>
    <w:rsid w:val="6F470184"/>
    <w:rsid w:val="70152865"/>
    <w:rsid w:val="70650505"/>
    <w:rsid w:val="70651D96"/>
    <w:rsid w:val="70812704"/>
    <w:rsid w:val="70945ECB"/>
    <w:rsid w:val="715E23FC"/>
    <w:rsid w:val="719C3D56"/>
    <w:rsid w:val="721C7497"/>
    <w:rsid w:val="722F3441"/>
    <w:rsid w:val="724265FE"/>
    <w:rsid w:val="729D1A86"/>
    <w:rsid w:val="72AE0BD2"/>
    <w:rsid w:val="72B9250E"/>
    <w:rsid w:val="73055389"/>
    <w:rsid w:val="732D5840"/>
    <w:rsid w:val="739A34AF"/>
    <w:rsid w:val="740F7653"/>
    <w:rsid w:val="748E78D8"/>
    <w:rsid w:val="753D175A"/>
    <w:rsid w:val="754C224F"/>
    <w:rsid w:val="76D04E2A"/>
    <w:rsid w:val="77396964"/>
    <w:rsid w:val="77B454A0"/>
    <w:rsid w:val="77C600FB"/>
    <w:rsid w:val="7968067D"/>
    <w:rsid w:val="798437AB"/>
    <w:rsid w:val="7B7A34C4"/>
    <w:rsid w:val="7BCC0CE6"/>
    <w:rsid w:val="7C3F770A"/>
    <w:rsid w:val="7C782CBB"/>
    <w:rsid w:val="7C8331C4"/>
    <w:rsid w:val="7D357AB4"/>
    <w:rsid w:val="7D6350C7"/>
    <w:rsid w:val="7D8B4F86"/>
    <w:rsid w:val="7DC31F48"/>
    <w:rsid w:val="7E133FBA"/>
    <w:rsid w:val="7E492BFE"/>
    <w:rsid w:val="7E575AE3"/>
    <w:rsid w:val="7F0D56AA"/>
    <w:rsid w:val="7F186204"/>
    <w:rsid w:val="7F1B7D47"/>
    <w:rsid w:val="7F2104A6"/>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1"/>
    <w:qFormat/>
    <w:uiPriority w:val="0"/>
    <w:pPr>
      <w:keepNext/>
      <w:keepLines/>
      <w:spacing w:before="340" w:after="330" w:line="578" w:lineRule="auto"/>
      <w:outlineLvl w:val="0"/>
    </w:pPr>
    <w:rPr>
      <w:b/>
      <w:bCs/>
      <w:kern w:val="44"/>
      <w:sz w:val="44"/>
      <w:szCs w:val="44"/>
    </w:rPr>
  </w:style>
  <w:style w:type="paragraph" w:styleId="3">
    <w:name w:val="heading 2"/>
    <w:basedOn w:val="2"/>
    <w:next w:val="1"/>
    <w:link w:val="132"/>
    <w:qFormat/>
    <w:uiPriority w:val="0"/>
    <w:pPr>
      <w:adjustRightInd w:val="0"/>
      <w:snapToGrid w:val="0"/>
      <w:spacing w:before="120" w:after="120" w:line="360" w:lineRule="auto"/>
      <w:jc w:val="center"/>
      <w:textAlignment w:val="baseline"/>
      <w:outlineLvl w:val="1"/>
    </w:pPr>
    <w:rPr>
      <w:rFonts w:ascii="仿宋_GB2312" w:eastAsia="仿宋_GB2312"/>
      <w:kern w:val="0"/>
      <w:sz w:val="36"/>
      <w:szCs w:val="20"/>
    </w:rPr>
  </w:style>
  <w:style w:type="paragraph" w:styleId="4">
    <w:name w:val="heading 3"/>
    <w:basedOn w:val="1"/>
    <w:next w:val="5"/>
    <w:link w:val="134"/>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7">
    <w:name w:val="heading 4"/>
    <w:basedOn w:val="1"/>
    <w:next w:val="1"/>
    <w:link w:val="135"/>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136"/>
    <w:qFormat/>
    <w:uiPriority w:val="0"/>
    <w:pPr>
      <w:keepNext/>
      <w:keepLines/>
      <w:spacing w:beforeLines="100" w:afterLines="100" w:line="360" w:lineRule="auto"/>
      <w:outlineLvl w:val="4"/>
    </w:pPr>
    <w:rPr>
      <w:b/>
      <w:bCs/>
      <w:sz w:val="28"/>
      <w:szCs w:val="28"/>
    </w:rPr>
  </w:style>
  <w:style w:type="paragraph" w:styleId="9">
    <w:name w:val="heading 6"/>
    <w:basedOn w:val="1"/>
    <w:next w:val="1"/>
    <w:link w:val="137"/>
    <w:qFormat/>
    <w:uiPriority w:val="0"/>
    <w:pPr>
      <w:keepNext/>
      <w:keepLines/>
      <w:spacing w:beforeLines="100" w:afterLines="100" w:line="360" w:lineRule="auto"/>
      <w:outlineLvl w:val="5"/>
    </w:pPr>
    <w:rPr>
      <w:rFonts w:ascii="Cambria" w:hAnsi="Cambria"/>
      <w:b/>
      <w:bCs/>
      <w:sz w:val="24"/>
    </w:rPr>
  </w:style>
  <w:style w:type="paragraph" w:styleId="10">
    <w:name w:val="heading 7"/>
    <w:basedOn w:val="1"/>
    <w:next w:val="1"/>
    <w:link w:val="138"/>
    <w:qFormat/>
    <w:uiPriority w:val="0"/>
    <w:pPr>
      <w:keepNext/>
      <w:keepLines/>
      <w:spacing w:beforeLines="100" w:afterLines="100" w:line="360" w:lineRule="auto"/>
      <w:outlineLvl w:val="6"/>
    </w:pPr>
    <w:rPr>
      <w:b/>
      <w:bCs/>
      <w:sz w:val="24"/>
    </w:rPr>
  </w:style>
  <w:style w:type="paragraph" w:styleId="11">
    <w:name w:val="heading 8"/>
    <w:basedOn w:val="1"/>
    <w:next w:val="1"/>
    <w:link w:val="139"/>
    <w:qFormat/>
    <w:uiPriority w:val="0"/>
    <w:pPr>
      <w:keepNext/>
      <w:keepLines/>
      <w:spacing w:beforeLines="100" w:afterLines="100" w:line="360" w:lineRule="auto"/>
      <w:outlineLvl w:val="7"/>
    </w:pPr>
    <w:rPr>
      <w:rFonts w:ascii="Cambria" w:hAnsi="Cambria"/>
      <w:b/>
      <w:sz w:val="24"/>
    </w:rPr>
  </w:style>
  <w:style w:type="paragraph" w:styleId="12">
    <w:name w:val="heading 9"/>
    <w:basedOn w:val="1"/>
    <w:next w:val="1"/>
    <w:link w:val="140"/>
    <w:qFormat/>
    <w:uiPriority w:val="0"/>
    <w:pPr>
      <w:keepNext/>
      <w:keepLines/>
      <w:spacing w:beforeLines="100" w:afterLines="100" w:line="360" w:lineRule="auto"/>
      <w:outlineLvl w:val="8"/>
    </w:pPr>
    <w:rPr>
      <w:rFonts w:ascii="Cambria" w:hAnsi="Cambria"/>
      <w:b/>
      <w:sz w:val="24"/>
      <w:szCs w:val="21"/>
    </w:rPr>
  </w:style>
  <w:style w:type="character" w:default="1" w:styleId="50">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33"/>
    <w:qFormat/>
    <w:uiPriority w:val="0"/>
    <w:pPr>
      <w:ind w:firstLine="420"/>
    </w:pPr>
    <w:rPr>
      <w:szCs w:val="20"/>
    </w:rPr>
  </w:style>
  <w:style w:type="paragraph" w:styleId="6">
    <w:name w:val="Body Text Indent"/>
    <w:basedOn w:val="1"/>
    <w:next w:val="5"/>
    <w:link w:val="146"/>
    <w:qFormat/>
    <w:uiPriority w:val="0"/>
    <w:pPr>
      <w:spacing w:line="200" w:lineRule="exact"/>
      <w:ind w:firstLine="301"/>
    </w:pPr>
    <w:rPr>
      <w:rFonts w:ascii="宋体" w:hAnsi="Courier New"/>
      <w:spacing w:val="-4"/>
      <w:sz w:val="18"/>
      <w:szCs w:val="20"/>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List Number"/>
    <w:basedOn w:val="1"/>
    <w:qFormat/>
    <w:uiPriority w:val="0"/>
    <w:pPr>
      <w:widowControl/>
      <w:tabs>
        <w:tab w:val="left" w:pos="454"/>
        <w:tab w:val="left" w:pos="720"/>
      </w:tabs>
      <w:spacing w:afterLines="50"/>
      <w:ind w:left="720" w:hanging="720"/>
      <w:jc w:val="left"/>
    </w:pPr>
    <w:rPr>
      <w:kern w:val="0"/>
      <w:sz w:val="24"/>
      <w:szCs w:val="20"/>
    </w:rPr>
  </w:style>
  <w:style w:type="paragraph" w:styleId="15">
    <w:name w:val="caption"/>
    <w:basedOn w:val="1"/>
    <w:next w:val="1"/>
    <w:link w:val="141"/>
    <w:qFormat/>
    <w:uiPriority w:val="0"/>
    <w:pPr>
      <w:spacing w:before="152" w:after="160"/>
    </w:pPr>
    <w:rPr>
      <w:rFonts w:ascii="Arial" w:hAnsi="Arial" w:eastAsia="黑体"/>
      <w:sz w:val="20"/>
      <w:szCs w:val="20"/>
    </w:rPr>
  </w:style>
  <w:style w:type="paragraph" w:styleId="16">
    <w:name w:val="Document Map"/>
    <w:basedOn w:val="1"/>
    <w:next w:val="17"/>
    <w:link w:val="142"/>
    <w:qFormat/>
    <w:uiPriority w:val="0"/>
    <w:pPr>
      <w:shd w:val="clear" w:color="auto" w:fill="000080"/>
    </w:pPr>
  </w:style>
  <w:style w:type="paragraph" w:styleId="17">
    <w:name w:val="annotation subject"/>
    <w:basedOn w:val="18"/>
    <w:next w:val="1"/>
    <w:link w:val="159"/>
    <w:qFormat/>
    <w:uiPriority w:val="0"/>
    <w:rPr>
      <w:b/>
      <w:bCs/>
    </w:rPr>
  </w:style>
  <w:style w:type="paragraph" w:styleId="18">
    <w:name w:val="annotation text"/>
    <w:basedOn w:val="1"/>
    <w:link w:val="143"/>
    <w:qFormat/>
    <w:uiPriority w:val="99"/>
    <w:pPr>
      <w:jc w:val="left"/>
    </w:pPr>
  </w:style>
  <w:style w:type="paragraph" w:styleId="19">
    <w:name w:val="Body Text 3"/>
    <w:basedOn w:val="1"/>
    <w:link w:val="144"/>
    <w:qFormat/>
    <w:uiPriority w:val="0"/>
    <w:pPr>
      <w:spacing w:after="120"/>
    </w:pPr>
    <w:rPr>
      <w:sz w:val="16"/>
      <w:szCs w:val="16"/>
    </w:rPr>
  </w:style>
  <w:style w:type="paragraph" w:styleId="20">
    <w:name w:val="Body Text"/>
    <w:basedOn w:val="1"/>
    <w:link w:val="145"/>
    <w:qFormat/>
    <w:uiPriority w:val="0"/>
    <w:pPr>
      <w:spacing w:after="120"/>
    </w:pPr>
  </w:style>
  <w:style w:type="paragraph" w:styleId="21">
    <w:name w:val="List Number 3"/>
    <w:basedOn w:val="1"/>
    <w:qFormat/>
    <w:uiPriority w:val="0"/>
    <w:pPr>
      <w:tabs>
        <w:tab w:val="left" w:pos="1200"/>
      </w:tabs>
      <w:ind w:left="1200" w:hanging="360"/>
    </w:pPr>
  </w:style>
  <w:style w:type="paragraph" w:styleId="22">
    <w:name w:val="List 2"/>
    <w:basedOn w:val="1"/>
    <w:qFormat/>
    <w:uiPriority w:val="0"/>
    <w:pPr>
      <w:ind w:left="566" w:hanging="283"/>
      <w:contextualSpacing/>
    </w:p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qFormat/>
    <w:uiPriority w:val="39"/>
    <w:pPr>
      <w:ind w:left="840" w:leftChars="400"/>
    </w:pPr>
  </w:style>
  <w:style w:type="paragraph" w:styleId="25">
    <w:name w:val="Plain Text"/>
    <w:basedOn w:val="1"/>
    <w:next w:val="5"/>
    <w:link w:val="147"/>
    <w:qFormat/>
    <w:uiPriority w:val="99"/>
    <w:rPr>
      <w:rFonts w:ascii="宋体" w:hAnsi="Courier New"/>
      <w:szCs w:val="20"/>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148"/>
    <w:qFormat/>
    <w:uiPriority w:val="0"/>
    <w:pPr>
      <w:ind w:left="2500" w:leftChars="2500"/>
    </w:pPr>
    <w:rPr>
      <w:rFonts w:eastAsia="楷体_GB2312"/>
      <w:sz w:val="32"/>
      <w:szCs w:val="20"/>
    </w:rPr>
  </w:style>
  <w:style w:type="paragraph" w:styleId="28">
    <w:name w:val="Body Text Indent 2"/>
    <w:basedOn w:val="1"/>
    <w:link w:val="149"/>
    <w:qFormat/>
    <w:uiPriority w:val="0"/>
    <w:pPr>
      <w:snapToGrid w:val="0"/>
      <w:ind w:firstLine="542" w:firstLineChars="225"/>
    </w:pPr>
    <w:rPr>
      <w:rFonts w:ascii="仿宋_GB2312" w:hAnsi="宋体"/>
      <w:b/>
      <w:bCs/>
      <w:color w:val="000000"/>
      <w:sz w:val="24"/>
    </w:rPr>
  </w:style>
  <w:style w:type="paragraph" w:styleId="29">
    <w:name w:val="Balloon Text"/>
    <w:basedOn w:val="1"/>
    <w:link w:val="150"/>
    <w:qFormat/>
    <w:uiPriority w:val="0"/>
    <w:rPr>
      <w:sz w:val="18"/>
      <w:szCs w:val="18"/>
    </w:rPr>
  </w:style>
  <w:style w:type="paragraph" w:styleId="30">
    <w:name w:val="footer"/>
    <w:basedOn w:val="1"/>
    <w:link w:val="151"/>
    <w:qFormat/>
    <w:uiPriority w:val="99"/>
    <w:pPr>
      <w:tabs>
        <w:tab w:val="center" w:pos="4153"/>
        <w:tab w:val="right" w:pos="8306"/>
      </w:tabs>
      <w:snapToGrid w:val="0"/>
      <w:jc w:val="left"/>
    </w:pPr>
    <w:rPr>
      <w:sz w:val="18"/>
      <w:szCs w:val="18"/>
    </w:rPr>
  </w:style>
  <w:style w:type="paragraph" w:styleId="31">
    <w:name w:val="header"/>
    <w:basedOn w:val="1"/>
    <w:link w:val="152"/>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style>
  <w:style w:type="paragraph" w:styleId="33">
    <w:name w:val="toc 4"/>
    <w:basedOn w:val="1"/>
    <w:next w:val="1"/>
    <w:unhideWhenUsed/>
    <w:qFormat/>
    <w:uiPriority w:val="39"/>
    <w:pPr>
      <w:ind w:left="1260" w:leftChars="600"/>
    </w:pPr>
    <w:rPr>
      <w:rFonts w:ascii="Calibri" w:hAnsi="Calibri"/>
      <w:szCs w:val="22"/>
    </w:rPr>
  </w:style>
  <w:style w:type="paragraph" w:styleId="34">
    <w:name w:val="Subtitle"/>
    <w:basedOn w:val="1"/>
    <w:next w:val="1"/>
    <w:link w:val="153"/>
    <w:qFormat/>
    <w:uiPriority w:val="0"/>
    <w:pPr>
      <w:spacing w:before="240" w:after="60" w:line="312" w:lineRule="auto"/>
      <w:jc w:val="center"/>
      <w:outlineLvl w:val="1"/>
    </w:pPr>
    <w:rPr>
      <w:rFonts w:ascii="Cambria" w:hAnsi="Cambria"/>
      <w:b/>
      <w:bCs/>
      <w:kern w:val="28"/>
      <w:sz w:val="32"/>
      <w:szCs w:val="32"/>
    </w:rPr>
  </w:style>
  <w:style w:type="paragraph" w:styleId="35">
    <w:name w:val="List"/>
    <w:basedOn w:val="1"/>
    <w:qFormat/>
    <w:uiPriority w:val="0"/>
    <w:pPr>
      <w:ind w:left="283" w:hanging="283"/>
      <w:contextualSpacing/>
    </w:pPr>
  </w:style>
  <w:style w:type="paragraph" w:styleId="36">
    <w:name w:val="footnote text"/>
    <w:basedOn w:val="1"/>
    <w:link w:val="154"/>
    <w:qFormat/>
    <w:uiPriority w:val="99"/>
    <w:pPr>
      <w:jc w:val="left"/>
    </w:pPr>
    <w:rPr>
      <w:kern w:val="1"/>
      <w:sz w:val="18"/>
      <w:szCs w:val="1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155"/>
    <w:qFormat/>
    <w:uiPriority w:val="0"/>
    <w:pPr>
      <w:snapToGrid w:val="0"/>
      <w:ind w:firstLine="480" w:firstLineChars="200"/>
      <w:jc w:val="left"/>
    </w:pPr>
    <w:rPr>
      <w:rFonts w:ascii="仿宋_GB2312" w:hAnsi="宋体" w:eastAsia="仿宋_GB2312"/>
      <w:color w:val="000000"/>
      <w:sz w:val="24"/>
    </w:rPr>
  </w:style>
  <w:style w:type="paragraph" w:styleId="39">
    <w:name w:val="toc 2"/>
    <w:basedOn w:val="1"/>
    <w:next w:val="1"/>
    <w:qFormat/>
    <w:uiPriority w:val="39"/>
    <w:pPr>
      <w:ind w:left="420" w:leftChars="200"/>
    </w:pPr>
  </w:style>
  <w:style w:type="paragraph" w:styleId="40">
    <w:name w:val="toc 9"/>
    <w:basedOn w:val="1"/>
    <w:next w:val="1"/>
    <w:unhideWhenUsed/>
    <w:qFormat/>
    <w:uiPriority w:val="39"/>
    <w:pPr>
      <w:ind w:left="3360" w:leftChars="1600"/>
    </w:pPr>
    <w:rPr>
      <w:rFonts w:ascii="Calibri" w:hAnsi="Calibri"/>
      <w:szCs w:val="22"/>
    </w:rPr>
  </w:style>
  <w:style w:type="paragraph" w:styleId="41">
    <w:name w:val="Body Text 2"/>
    <w:basedOn w:val="1"/>
    <w:link w:val="156"/>
    <w:qFormat/>
    <w:uiPriority w:val="0"/>
    <w:pPr>
      <w:widowControl/>
      <w:snapToGrid w:val="0"/>
      <w:spacing w:before="50" w:afterLines="50" w:line="400" w:lineRule="exact"/>
      <w:jc w:val="left"/>
    </w:pPr>
    <w:rPr>
      <w:rFonts w:ascii="宋体" w:hAnsi="宋体"/>
      <w:color w:val="000000"/>
      <w:sz w:val="24"/>
    </w:rPr>
  </w:style>
  <w:style w:type="paragraph" w:styleId="4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3">
    <w:name w:val="Normal (Web)"/>
    <w:basedOn w:val="1"/>
    <w:link w:val="157"/>
    <w:qFormat/>
    <w:uiPriority w:val="0"/>
    <w:pPr>
      <w:widowControl/>
      <w:spacing w:before="100" w:beforeAutospacing="1" w:after="100" w:afterAutospacing="1"/>
      <w:jc w:val="left"/>
    </w:pPr>
    <w:rPr>
      <w:rFonts w:ascii="宋体" w:hAnsi="宋体"/>
      <w:kern w:val="0"/>
      <w:sz w:val="24"/>
    </w:rPr>
  </w:style>
  <w:style w:type="paragraph" w:styleId="44">
    <w:name w:val="Title"/>
    <w:basedOn w:val="1"/>
    <w:next w:val="1"/>
    <w:link w:val="158"/>
    <w:qFormat/>
    <w:uiPriority w:val="0"/>
    <w:pPr>
      <w:spacing w:before="240" w:after="60"/>
      <w:jc w:val="center"/>
      <w:outlineLvl w:val="0"/>
    </w:pPr>
    <w:rPr>
      <w:rFonts w:ascii="Cambria" w:hAnsi="Cambria"/>
      <w:b/>
      <w:bCs/>
      <w:sz w:val="32"/>
      <w:szCs w:val="32"/>
    </w:rPr>
  </w:style>
  <w:style w:type="paragraph" w:styleId="45">
    <w:name w:val="Body Text First Indent"/>
    <w:basedOn w:val="20"/>
    <w:link w:val="160"/>
    <w:qFormat/>
    <w:uiPriority w:val="0"/>
    <w:pPr>
      <w:ind w:firstLine="420" w:firstLineChars="100"/>
    </w:pPr>
  </w:style>
  <w:style w:type="paragraph" w:styleId="46">
    <w:name w:val="Body Text First Indent 2"/>
    <w:basedOn w:val="6"/>
    <w:link w:val="161"/>
    <w:unhideWhenUsed/>
    <w:qFormat/>
    <w:uiPriority w:val="0"/>
    <w:pPr>
      <w:spacing w:after="120" w:line="360" w:lineRule="auto"/>
      <w:ind w:left="420" w:leftChars="200" w:firstLine="420" w:firstLineChars="200"/>
    </w:pPr>
    <w:rPr>
      <w:sz w:val="24"/>
    </w:rPr>
  </w:style>
  <w:style w:type="table" w:styleId="48">
    <w:name w:val="Table Grid"/>
    <w:basedOn w:val="4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9">
    <w:name w:val="Table Grid 8"/>
    <w:basedOn w:val="47"/>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Hyperlink"/>
    <w:qFormat/>
    <w:uiPriority w:val="99"/>
    <w:rPr>
      <w:color w:val="0000FF"/>
      <w:u w:val="single"/>
    </w:rPr>
  </w:style>
  <w:style w:type="character" w:styleId="55">
    <w:name w:val="annotation reference"/>
    <w:basedOn w:val="50"/>
    <w:qFormat/>
    <w:uiPriority w:val="0"/>
    <w:rPr>
      <w:sz w:val="21"/>
      <w:szCs w:val="21"/>
    </w:rPr>
  </w:style>
  <w:style w:type="character" w:styleId="56">
    <w:name w:val="footnote reference"/>
    <w:qFormat/>
    <w:uiPriority w:val="0"/>
    <w:rPr>
      <w:position w:val="-2"/>
      <w:vertAlign w:val="superscript"/>
    </w:rPr>
  </w:style>
  <w:style w:type="paragraph" w:customStyle="1" w:styleId="57">
    <w:name w:val="正"/>
    <w:qFormat/>
    <w:uiPriority w:val="0"/>
    <w:pPr>
      <w:widowControl w:val="0"/>
      <w:spacing w:line="360" w:lineRule="auto"/>
      <w:ind w:firstLine="480" w:firstLineChars="200"/>
      <w:contextualSpacing/>
      <w:jc w:val="both"/>
    </w:pPr>
    <w:rPr>
      <w:rFonts w:ascii="Times New Roman" w:hAnsi="Times New Roman" w:eastAsia="宋体" w:cs="Times New Roman"/>
      <w:sz w:val="24"/>
      <w:szCs w:val="24"/>
      <w:lang w:val="en-US" w:eastAsia="zh-CN" w:bidi="ar-SA"/>
    </w:rPr>
  </w:style>
  <w:style w:type="paragraph" w:customStyle="1" w:styleId="5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标准正文"/>
    <w:basedOn w:val="1"/>
    <w:qFormat/>
    <w:uiPriority w:val="0"/>
    <w:pPr>
      <w:spacing w:line="360" w:lineRule="auto"/>
      <w:ind w:firstLine="200" w:firstLineChars="200"/>
    </w:pPr>
    <w:rPr>
      <w:sz w:val="24"/>
      <w:szCs w:val="20"/>
    </w:rPr>
  </w:style>
  <w:style w:type="paragraph" w:customStyle="1" w:styleId="60">
    <w:name w:val="纯文本2"/>
    <w:basedOn w:val="1"/>
    <w:link w:val="182"/>
    <w:qFormat/>
    <w:uiPriority w:val="0"/>
    <w:pPr>
      <w:spacing w:afterLines="50"/>
    </w:pPr>
    <w:rPr>
      <w:rFonts w:ascii="宋体" w:hAnsi="Courier New"/>
      <w:kern w:val="0"/>
      <w:sz w:val="24"/>
    </w:rPr>
  </w:style>
  <w:style w:type="paragraph" w:customStyle="1" w:styleId="61">
    <w:name w:val="*正文"/>
    <w:basedOn w:val="1"/>
    <w:link w:val="185"/>
    <w:qFormat/>
    <w:uiPriority w:val="99"/>
    <w:pPr>
      <w:spacing w:line="360" w:lineRule="auto"/>
      <w:ind w:firstLine="482"/>
    </w:pPr>
    <w:rPr>
      <w:rFonts w:ascii="宋体" w:hAnsi="宋体"/>
      <w:kern w:val="0"/>
      <w:sz w:val="24"/>
      <w:szCs w:val="20"/>
    </w:rPr>
  </w:style>
  <w:style w:type="paragraph" w:customStyle="1" w:styleId="62">
    <w:name w:val="列出段落1"/>
    <w:basedOn w:val="1"/>
    <w:link w:val="194"/>
    <w:qFormat/>
    <w:uiPriority w:val="34"/>
    <w:pPr>
      <w:ind w:firstLine="420" w:firstLineChars="200"/>
    </w:pPr>
    <w:rPr>
      <w:szCs w:val="22"/>
    </w:rPr>
  </w:style>
  <w:style w:type="paragraph" w:customStyle="1" w:styleId="63">
    <w:name w:val="GW-正文"/>
    <w:link w:val="199"/>
    <w:qFormat/>
    <w:uiPriority w:val="0"/>
    <w:pPr>
      <w:spacing w:line="300" w:lineRule="auto"/>
      <w:ind w:firstLine="200" w:firstLineChars="200"/>
    </w:pPr>
    <w:rPr>
      <w:rFonts w:ascii="Times New Roman" w:hAnsi="Times New Roman" w:eastAsia="仿宋_GB2312" w:cs="Times New Roman"/>
      <w:sz w:val="24"/>
      <w:szCs w:val="24"/>
      <w:lang w:val="en-US" w:eastAsia="zh-CN" w:bidi="ar-SA"/>
    </w:rPr>
  </w:style>
  <w:style w:type="paragraph" w:customStyle="1" w:styleId="64">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5">
    <w:name w:val="表头文本"/>
    <w:qFormat/>
    <w:uiPriority w:val="0"/>
    <w:pPr>
      <w:jc w:val="center"/>
    </w:pPr>
    <w:rPr>
      <w:rFonts w:ascii="Arial" w:hAnsi="Arial" w:eastAsia="宋体" w:cs="Times New Roman"/>
      <w:b/>
      <w:sz w:val="21"/>
      <w:szCs w:val="21"/>
      <w:lang w:val="en-US" w:eastAsia="zh-CN" w:bidi="ar-SA"/>
    </w:rPr>
  </w:style>
  <w:style w:type="paragraph" w:customStyle="1" w:styleId="66">
    <w:name w:val="节"/>
    <w:basedOn w:val="3"/>
    <w:qFormat/>
    <w:uiPriority w:val="99"/>
    <w:pPr>
      <w:tabs>
        <w:tab w:val="left" w:pos="432"/>
        <w:tab w:val="left" w:pos="576"/>
      </w:tabs>
      <w:adjustRightInd/>
      <w:snapToGrid/>
      <w:spacing w:beforeLines="100" w:afterLines="100" w:line="240" w:lineRule="auto"/>
      <w:ind w:left="576" w:hanging="576"/>
      <w:jc w:val="both"/>
      <w:textAlignment w:val="auto"/>
    </w:pPr>
    <w:rPr>
      <w:rFonts w:ascii="黑体" w:hAnsi="Arial" w:eastAsia="黑体"/>
      <w:kern w:val="2"/>
      <w:sz w:val="28"/>
      <w:szCs w:val="28"/>
      <w:lang w:val="zh-CN"/>
    </w:rPr>
  </w:style>
  <w:style w:type="paragraph" w:customStyle="1" w:styleId="67">
    <w:name w:val="正文段"/>
    <w:basedOn w:val="1"/>
    <w:qFormat/>
    <w:uiPriority w:val="0"/>
    <w:pPr>
      <w:widowControl/>
      <w:snapToGrid w:val="0"/>
      <w:spacing w:afterLines="50"/>
      <w:ind w:firstLine="200" w:firstLineChars="200"/>
    </w:pPr>
    <w:rPr>
      <w:kern w:val="0"/>
      <w:sz w:val="24"/>
      <w:szCs w:val="20"/>
    </w:rPr>
  </w:style>
  <w:style w:type="paragraph" w:customStyle="1" w:styleId="68">
    <w:name w:val="--规划正文"/>
    <w:basedOn w:val="1"/>
    <w:qFormat/>
    <w:uiPriority w:val="0"/>
    <w:pPr>
      <w:widowControl/>
      <w:suppressAutoHyphens/>
      <w:spacing w:line="360" w:lineRule="auto"/>
      <w:ind w:firstLine="200"/>
      <w:jc w:val="left"/>
    </w:pPr>
    <w:rPr>
      <w:kern w:val="1"/>
      <w:szCs w:val="20"/>
      <w:lang w:eastAsia="ar-SA"/>
    </w:rPr>
  </w:style>
  <w:style w:type="paragraph" w:customStyle="1" w:styleId="69">
    <w:name w:val="Char Char Char Char Char Char Char"/>
    <w:basedOn w:val="1"/>
    <w:qFormat/>
    <w:uiPriority w:val="0"/>
    <w:rPr>
      <w:szCs w:val="21"/>
    </w:rPr>
  </w:style>
  <w:style w:type="paragraph" w:customStyle="1" w:styleId="70">
    <w:name w:val="_Style 2"/>
    <w:basedOn w:val="1"/>
    <w:qFormat/>
    <w:uiPriority w:val="0"/>
    <w:pPr>
      <w:adjustRightInd w:val="0"/>
      <w:snapToGrid w:val="0"/>
      <w:spacing w:line="360" w:lineRule="auto"/>
      <w:ind w:firstLine="200" w:firstLineChars="200"/>
      <w:jc w:val="center"/>
    </w:pPr>
    <w:rPr>
      <w:rFonts w:ascii="Calibri" w:hAnsi="Calibri" w:eastAsia="微软雅黑"/>
      <w:sz w:val="30"/>
    </w:rPr>
  </w:style>
  <w:style w:type="paragraph" w:customStyle="1" w:styleId="71">
    <w:name w:val="【正文】"/>
    <w:basedOn w:val="1"/>
    <w:qFormat/>
    <w:uiPriority w:val="0"/>
    <w:pPr>
      <w:spacing w:beforeAutospacing="1" w:afterAutospacing="1" w:line="360" w:lineRule="auto"/>
      <w:ind w:firstLine="200" w:firstLineChars="200"/>
      <w:contextualSpacing/>
    </w:pPr>
    <w:rPr>
      <w:rFonts w:ascii="Calibri" w:hAnsi="Calibri" w:cs="黑体"/>
      <w:sz w:val="24"/>
      <w:szCs w:val="22"/>
    </w:rPr>
  </w:style>
  <w:style w:type="paragraph" w:customStyle="1" w:styleId="72">
    <w:name w:val="样式 正文1 + 段前: 0.1 行"/>
    <w:basedOn w:val="1"/>
    <w:qFormat/>
    <w:uiPriority w:val="0"/>
    <w:pPr>
      <w:snapToGrid w:val="0"/>
      <w:spacing w:beforeLines="10" w:line="440" w:lineRule="atLeast"/>
      <w:ind w:firstLine="510"/>
    </w:pPr>
    <w:rPr>
      <w:sz w:val="24"/>
    </w:rPr>
  </w:style>
  <w:style w:type="paragraph" w:customStyle="1" w:styleId="73">
    <w:name w:val="图样式"/>
    <w:basedOn w:val="1"/>
    <w:qFormat/>
    <w:uiPriority w:val="0"/>
    <w:pPr>
      <w:keepNext/>
      <w:widowControl/>
      <w:autoSpaceDE w:val="0"/>
      <w:autoSpaceDN w:val="0"/>
      <w:adjustRightInd w:val="0"/>
      <w:spacing w:before="80" w:after="80" w:line="360" w:lineRule="auto"/>
      <w:jc w:val="center"/>
    </w:pPr>
    <w:rPr>
      <w:snapToGrid w:val="0"/>
      <w:kern w:val="0"/>
      <w:sz w:val="24"/>
      <w:szCs w:val="21"/>
    </w:rPr>
  </w:style>
  <w:style w:type="paragraph" w:customStyle="1" w:styleId="74">
    <w:name w:val="正文2"/>
    <w:basedOn w:val="1"/>
    <w:link w:val="215"/>
    <w:qFormat/>
    <w:uiPriority w:val="0"/>
    <w:pPr>
      <w:spacing w:before="156" w:line="360" w:lineRule="auto"/>
      <w:ind w:firstLine="510" w:firstLineChars="200"/>
    </w:pPr>
    <w:rPr>
      <w:sz w:val="24"/>
      <w:szCs w:val="20"/>
    </w:rPr>
  </w:style>
  <w:style w:type="paragraph" w:customStyle="1" w:styleId="75">
    <w:name w:val="列出段落111"/>
    <w:basedOn w:val="1"/>
    <w:link w:val="211"/>
    <w:qFormat/>
    <w:uiPriority w:val="0"/>
    <w:pPr>
      <w:ind w:firstLine="420" w:firstLineChars="200"/>
    </w:pPr>
    <w:rPr>
      <w:szCs w:val="21"/>
    </w:rPr>
  </w:style>
  <w:style w:type="paragraph" w:customStyle="1" w:styleId="76">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7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8">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79">
    <w:name w:val="6级标题"/>
    <w:basedOn w:val="1"/>
    <w:qFormat/>
    <w:uiPriority w:val="0"/>
    <w:pPr>
      <w:keepNext/>
      <w:spacing w:line="360" w:lineRule="auto"/>
      <w:ind w:left="1151" w:hanging="431"/>
      <w:jc w:val="center"/>
      <w:outlineLvl w:val="5"/>
    </w:pPr>
    <w:rPr>
      <w:rFonts w:ascii="黑体" w:hAnsi="宋体" w:eastAsia="微软雅黑"/>
      <w:b/>
      <w:bCs/>
      <w:sz w:val="24"/>
      <w:szCs w:val="52"/>
    </w:rPr>
  </w:style>
  <w:style w:type="paragraph" w:customStyle="1" w:styleId="8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1">
    <w:name w:val="_Style 58"/>
    <w:basedOn w:val="1"/>
    <w:next w:val="62"/>
    <w:qFormat/>
    <w:uiPriority w:val="0"/>
    <w:pPr>
      <w:ind w:firstLine="420" w:firstLineChars="200"/>
    </w:pPr>
    <w:rPr>
      <w:rFonts w:ascii="Calibri" w:hAnsi="Calibri"/>
      <w:szCs w:val="22"/>
    </w:rPr>
  </w:style>
  <w:style w:type="paragraph" w:customStyle="1" w:styleId="82">
    <w:name w:val="Body text|1"/>
    <w:basedOn w:val="1"/>
    <w:qFormat/>
    <w:uiPriority w:val="0"/>
    <w:pPr>
      <w:autoSpaceDE w:val="0"/>
      <w:autoSpaceDN w:val="0"/>
      <w:adjustRightInd w:val="0"/>
      <w:spacing w:after="200" w:line="314" w:lineRule="auto"/>
      <w:jc w:val="left"/>
    </w:pPr>
    <w:rPr>
      <w:rFonts w:ascii="MingLiU" w:hAnsi="MingLiU" w:eastAsia="MingLiU" w:cs="MingLiU"/>
      <w:snapToGrid w:val="0"/>
      <w:color w:val="000963"/>
      <w:kern w:val="0"/>
      <w:sz w:val="19"/>
      <w:szCs w:val="19"/>
      <w:lang w:val="zh-TW" w:eastAsia="zh-TW" w:bidi="zh-TW"/>
    </w:rPr>
  </w:style>
  <w:style w:type="paragraph" w:customStyle="1" w:styleId="83">
    <w:name w:val="纯文本1"/>
    <w:basedOn w:val="1"/>
    <w:qFormat/>
    <w:uiPriority w:val="0"/>
    <w:pPr>
      <w:adjustRightInd w:val="0"/>
      <w:textAlignment w:val="baseline"/>
    </w:pPr>
    <w:rPr>
      <w:rFonts w:ascii="宋体" w:hAnsi="Courier New" w:eastAsia="楷体_GB2312"/>
      <w:sz w:val="26"/>
      <w:szCs w:val="20"/>
    </w:rPr>
  </w:style>
  <w:style w:type="paragraph" w:customStyle="1" w:styleId="84">
    <w:name w:val="编写建议"/>
    <w:basedOn w:val="1"/>
    <w:qFormat/>
    <w:uiPriority w:val="0"/>
    <w:pPr>
      <w:autoSpaceDE w:val="0"/>
      <w:autoSpaceDN w:val="0"/>
      <w:adjustRightInd w:val="0"/>
      <w:spacing w:line="360" w:lineRule="auto"/>
      <w:ind w:firstLine="420"/>
      <w:jc w:val="left"/>
    </w:pPr>
    <w:rPr>
      <w:rFonts w:ascii="Arial" w:hAnsi="Arial" w:cs="Arial"/>
      <w:i/>
      <w:snapToGrid w:val="0"/>
      <w:color w:val="0000FF"/>
      <w:kern w:val="0"/>
      <w:sz w:val="24"/>
      <w:szCs w:val="21"/>
    </w:rPr>
  </w:style>
  <w:style w:type="paragraph" w:customStyle="1" w:styleId="85">
    <w:name w:val="CM11"/>
    <w:basedOn w:val="86"/>
    <w:next w:val="86"/>
    <w:unhideWhenUsed/>
    <w:qFormat/>
    <w:uiPriority w:val="99"/>
    <w:pPr>
      <w:spacing w:line="520" w:lineRule="atLeast"/>
    </w:pPr>
  </w:style>
  <w:style w:type="paragraph" w:customStyle="1" w:styleId="86">
    <w:name w:val="Default"/>
    <w:unhideWhenUsed/>
    <w:qFormat/>
    <w:uiPriority w:val="0"/>
    <w:pPr>
      <w:widowControl w:val="0"/>
      <w:autoSpaceDE w:val="0"/>
      <w:autoSpaceDN w:val="0"/>
      <w:adjustRightInd w:val="0"/>
    </w:pPr>
    <w:rPr>
      <w:rFonts w:hint="eastAsia" w:ascii="仿宋" w:hAnsi="Times New Roman" w:eastAsia="仿宋" w:cs="Times New Roman"/>
      <w:color w:val="000000"/>
      <w:sz w:val="24"/>
      <w:lang w:val="en-US" w:eastAsia="zh-CN" w:bidi="ar-SA"/>
    </w:rPr>
  </w:style>
  <w:style w:type="paragraph" w:customStyle="1" w:styleId="87">
    <w:name w:val="正文11"/>
    <w:basedOn w:val="1"/>
    <w:next w:val="1"/>
    <w:qFormat/>
    <w:uiPriority w:val="0"/>
    <w:pPr>
      <w:spacing w:before="120" w:line="360" w:lineRule="auto"/>
      <w:ind w:left="420" w:firstLine="527"/>
    </w:pPr>
    <w:rPr>
      <w:rFonts w:ascii="宋体" w:hAnsi="宋体"/>
    </w:rPr>
  </w:style>
  <w:style w:type="paragraph" w:customStyle="1" w:styleId="88">
    <w:name w:val="_Style 54"/>
    <w:basedOn w:val="1"/>
    <w:qFormat/>
    <w:uiPriority w:val="0"/>
    <w:pPr>
      <w:adjustRightInd w:val="0"/>
      <w:snapToGrid w:val="0"/>
      <w:spacing w:line="360" w:lineRule="auto"/>
      <w:ind w:firstLine="420" w:firstLineChars="200"/>
    </w:pPr>
    <w:rPr>
      <w:rFonts w:ascii="Calibri" w:hAnsi="Calibri"/>
      <w:sz w:val="24"/>
    </w:rPr>
  </w:style>
  <w:style w:type="paragraph" w:customStyle="1" w:styleId="89">
    <w:name w:val="注示头"/>
    <w:basedOn w:val="1"/>
    <w:qFormat/>
    <w:uiPriority w:val="0"/>
    <w:pPr>
      <w:pBdr>
        <w:top w:val="single" w:color="000000" w:sz="4" w:space="1"/>
      </w:pBdr>
      <w:autoSpaceDE w:val="0"/>
      <w:autoSpaceDN w:val="0"/>
      <w:adjustRightInd w:val="0"/>
      <w:spacing w:line="360" w:lineRule="auto"/>
    </w:pPr>
    <w:rPr>
      <w:rFonts w:ascii="Arial" w:hAnsi="Arial" w:eastAsia="黑体"/>
      <w:snapToGrid w:val="0"/>
      <w:kern w:val="0"/>
      <w:sz w:val="18"/>
      <w:szCs w:val="21"/>
    </w:rPr>
  </w:style>
  <w:style w:type="paragraph" w:customStyle="1" w:styleId="90">
    <w:name w:val="5级标题"/>
    <w:basedOn w:val="1"/>
    <w:qFormat/>
    <w:uiPriority w:val="0"/>
    <w:pPr>
      <w:keepNext/>
      <w:ind w:left="148" w:leftChars="-52" w:right="-7" w:rightChars="-7" w:hanging="200" w:hangingChars="200"/>
      <w:jc w:val="left"/>
      <w:outlineLvl w:val="4"/>
    </w:pPr>
    <w:rPr>
      <w:rFonts w:ascii="宋体" w:hAnsi="宋体"/>
      <w:bCs/>
      <w:sz w:val="24"/>
      <w:szCs w:val="30"/>
    </w:rPr>
  </w:style>
  <w:style w:type="paragraph" w:customStyle="1" w:styleId="91">
    <w:name w:val="表内文字"/>
    <w:basedOn w:val="1"/>
    <w:qFormat/>
    <w:uiPriority w:val="0"/>
    <w:pPr>
      <w:jc w:val="center"/>
    </w:pPr>
    <w:rPr>
      <w:rFonts w:ascii="仿宋_GB2312" w:eastAsia="仿宋_GB2312"/>
      <w:sz w:val="24"/>
    </w:rPr>
  </w:style>
  <w:style w:type="paragraph" w:customStyle="1" w:styleId="92">
    <w:name w:val="Char Char9 Char Char"/>
    <w:basedOn w:val="1"/>
    <w:qFormat/>
    <w:uiPriority w:val="0"/>
    <w:pPr>
      <w:tabs>
        <w:tab w:val="left" w:pos="360"/>
      </w:tabs>
    </w:pPr>
  </w:style>
  <w:style w:type="paragraph" w:customStyle="1" w:styleId="93">
    <w:name w:val="纯文本11"/>
    <w:basedOn w:val="1"/>
    <w:qFormat/>
    <w:uiPriority w:val="0"/>
    <w:pPr>
      <w:adjustRightInd w:val="0"/>
      <w:textAlignment w:val="baseline"/>
    </w:pPr>
    <w:rPr>
      <w:rFonts w:ascii="宋体" w:hAnsi="Courier New" w:eastAsia="楷体_GB2312"/>
      <w:sz w:val="26"/>
      <w:szCs w:val="20"/>
    </w:rPr>
  </w:style>
  <w:style w:type="paragraph" w:customStyle="1" w:styleId="94">
    <w:name w:val="正文（首行不缩进）"/>
    <w:basedOn w:val="1"/>
    <w:qFormat/>
    <w:uiPriority w:val="0"/>
    <w:pPr>
      <w:autoSpaceDE w:val="0"/>
      <w:autoSpaceDN w:val="0"/>
      <w:adjustRightInd w:val="0"/>
      <w:spacing w:line="360" w:lineRule="auto"/>
      <w:jc w:val="left"/>
    </w:pPr>
    <w:rPr>
      <w:snapToGrid w:val="0"/>
      <w:kern w:val="0"/>
      <w:sz w:val="24"/>
      <w:szCs w:val="21"/>
    </w:rPr>
  </w:style>
  <w:style w:type="paragraph" w:customStyle="1" w:styleId="95">
    <w:name w:val="封面标题"/>
    <w:qFormat/>
    <w:uiPriority w:val="0"/>
    <w:pPr>
      <w:spacing w:beforeLines="500" w:afterLines="300"/>
      <w:jc w:val="center"/>
    </w:pPr>
    <w:rPr>
      <w:rFonts w:ascii="Times New Roman" w:hAnsi="Times New Roman" w:eastAsia="黑体" w:cs="Times New Roman"/>
      <w:b/>
      <w:kern w:val="2"/>
      <w:sz w:val="52"/>
      <w:szCs w:val="22"/>
      <w:lang w:val="en-US" w:eastAsia="zh-CN" w:bidi="ar-SA"/>
    </w:rPr>
  </w:style>
  <w:style w:type="paragraph" w:customStyle="1" w:styleId="96">
    <w:name w:val="列出段落11"/>
    <w:basedOn w:val="1"/>
    <w:qFormat/>
    <w:uiPriority w:val="0"/>
    <w:pPr>
      <w:ind w:firstLine="420" w:firstLineChars="200"/>
    </w:pPr>
    <w:rPr>
      <w:rFonts w:ascii="Calibri" w:hAnsi="Calibri"/>
      <w:szCs w:val="20"/>
    </w:rPr>
  </w:style>
  <w:style w:type="paragraph" w:customStyle="1" w:styleId="97">
    <w:name w:val="FBY-表格文字"/>
    <w:basedOn w:val="1"/>
    <w:qFormat/>
    <w:uiPriority w:val="99"/>
    <w:pPr>
      <w:adjustRightInd w:val="0"/>
      <w:jc w:val="left"/>
      <w:textAlignment w:val="top"/>
    </w:pPr>
    <w:rPr>
      <w:szCs w:val="20"/>
    </w:rPr>
  </w:style>
  <w:style w:type="paragraph" w:customStyle="1" w:styleId="98">
    <w:name w:val="默认段落字体 Para Char Char Char Char Char Char Char Char Char1 Char Char Char Char"/>
    <w:basedOn w:val="1"/>
    <w:qFormat/>
    <w:uiPriority w:val="0"/>
    <w:rPr>
      <w:rFonts w:ascii="Tahoma" w:hAnsi="Tahoma"/>
      <w:sz w:val="24"/>
      <w:szCs w:val="20"/>
    </w:rPr>
  </w:style>
  <w:style w:type="paragraph" w:customStyle="1" w:styleId="99">
    <w:name w:val="文档标题"/>
    <w:basedOn w:val="1"/>
    <w:qFormat/>
    <w:uiPriority w:val="0"/>
    <w:pPr>
      <w:tabs>
        <w:tab w:val="left" w:pos="0"/>
      </w:tabs>
      <w:autoSpaceDE w:val="0"/>
      <w:autoSpaceDN w:val="0"/>
      <w:adjustRightInd w:val="0"/>
      <w:spacing w:before="300" w:after="300" w:line="360" w:lineRule="auto"/>
      <w:jc w:val="center"/>
    </w:pPr>
    <w:rPr>
      <w:rFonts w:ascii="Arial" w:hAnsi="Arial" w:eastAsia="黑体"/>
      <w:snapToGrid w:val="0"/>
      <w:kern w:val="0"/>
      <w:sz w:val="36"/>
      <w:szCs w:val="36"/>
    </w:rPr>
  </w:style>
  <w:style w:type="paragraph" w:customStyle="1" w:styleId="100">
    <w:name w:val="1 Char Char Char Char"/>
    <w:basedOn w:val="1"/>
    <w:qFormat/>
    <w:uiPriority w:val="0"/>
    <w:rPr>
      <w:rFonts w:ascii="Tahoma" w:hAnsi="Tahoma"/>
      <w:sz w:val="24"/>
      <w:szCs w:val="20"/>
    </w:rPr>
  </w:style>
  <w:style w:type="paragraph" w:customStyle="1" w:styleId="101">
    <w:name w:val="默认段落字体 Para Char Char Char Char"/>
    <w:basedOn w:val="1"/>
    <w:qFormat/>
    <w:uiPriority w:val="0"/>
    <w:rPr>
      <w:rFonts w:ascii="Arial" w:hAnsi="Arial" w:cs="Arial"/>
      <w:szCs w:val="21"/>
    </w:rPr>
  </w:style>
  <w:style w:type="paragraph" w:customStyle="1" w:styleId="102">
    <w:name w:val="注示文本"/>
    <w:basedOn w:val="1"/>
    <w:qFormat/>
    <w:uiPriority w:val="0"/>
    <w:pPr>
      <w:pBdr>
        <w:bottom w:val="single" w:color="000000" w:sz="4" w:space="1"/>
      </w:pBdr>
      <w:autoSpaceDE w:val="0"/>
      <w:autoSpaceDN w:val="0"/>
      <w:adjustRightInd w:val="0"/>
      <w:spacing w:line="360" w:lineRule="auto"/>
      <w:ind w:firstLine="360"/>
    </w:pPr>
    <w:rPr>
      <w:rFonts w:ascii="Arial" w:hAnsi="Arial" w:eastAsia="楷体_GB2312"/>
      <w:snapToGrid w:val="0"/>
      <w:kern w:val="0"/>
      <w:sz w:val="18"/>
      <w:szCs w:val="18"/>
    </w:rPr>
  </w:style>
  <w:style w:type="paragraph" w:customStyle="1" w:styleId="103">
    <w:name w:val="插图题注"/>
    <w:next w:val="1"/>
    <w:qFormat/>
    <w:uiPriority w:val="0"/>
    <w:pPr>
      <w:spacing w:afterLines="100"/>
      <w:ind w:left="1089" w:hanging="369"/>
      <w:jc w:val="center"/>
    </w:pPr>
    <w:rPr>
      <w:rFonts w:ascii="Arial" w:hAnsi="Arial" w:eastAsia="宋体" w:cs="Times New Roman"/>
      <w:sz w:val="18"/>
      <w:szCs w:val="18"/>
      <w:lang w:val="en-US" w:eastAsia="zh-CN" w:bidi="ar-SA"/>
    </w:rPr>
  </w:style>
  <w:style w:type="paragraph" w:customStyle="1" w:styleId="104">
    <w:name w:val="TOC 标题11"/>
    <w:basedOn w:val="2"/>
    <w:next w:val="1"/>
    <w:unhideWhenUsed/>
    <w:qFormat/>
    <w:uiPriority w:val="39"/>
    <w:pPr>
      <w:widowControl/>
      <w:spacing w:beforeLines="100" w:afterLines="100" w:line="259" w:lineRule="auto"/>
      <w:jc w:val="left"/>
      <w:outlineLvl w:val="9"/>
    </w:pPr>
    <w:rPr>
      <w:rFonts w:ascii="Cambria" w:hAnsi="Cambria"/>
      <w:b w:val="0"/>
      <w:bCs w:val="0"/>
      <w:color w:val="365F91"/>
      <w:kern w:val="0"/>
      <w:sz w:val="32"/>
      <w:szCs w:val="32"/>
    </w:rPr>
  </w:style>
  <w:style w:type="paragraph" w:customStyle="1" w:styleId="105">
    <w:name w:val="表格题注"/>
    <w:next w:val="1"/>
    <w:qFormat/>
    <w:uiPriority w:val="0"/>
    <w:pPr>
      <w:keepLines/>
      <w:spacing w:beforeLines="100"/>
      <w:ind w:left="1089" w:hanging="369"/>
      <w:jc w:val="center"/>
    </w:pPr>
    <w:rPr>
      <w:rFonts w:ascii="Arial" w:hAnsi="Arial" w:eastAsia="宋体" w:cs="Times New Roman"/>
      <w:sz w:val="18"/>
      <w:szCs w:val="18"/>
      <w:lang w:val="en-US" w:eastAsia="zh-CN" w:bidi="ar-SA"/>
    </w:rPr>
  </w:style>
  <w:style w:type="paragraph" w:customStyle="1" w:styleId="106">
    <w:name w:val="122222222"/>
    <w:basedOn w:val="5"/>
    <w:qFormat/>
    <w:uiPriority w:val="0"/>
    <w:pPr>
      <w:autoSpaceDE w:val="0"/>
      <w:autoSpaceDN w:val="0"/>
      <w:adjustRightInd w:val="0"/>
      <w:spacing w:line="360" w:lineRule="auto"/>
      <w:ind w:firstLine="552" w:firstLineChars="197"/>
      <w:textAlignment w:val="baseline"/>
    </w:pPr>
    <w:rPr>
      <w:rFonts w:ascii="Calibri" w:hAnsi="Calibri"/>
      <w:color w:val="000000"/>
    </w:rPr>
  </w:style>
  <w:style w:type="paragraph" w:customStyle="1" w:styleId="107">
    <w:name w:val="无间隔1"/>
    <w:link w:val="206"/>
    <w:qFormat/>
    <w:uiPriority w:val="1"/>
    <w:pPr>
      <w:widowControl w:val="0"/>
    </w:pPr>
    <w:rPr>
      <w:rFonts w:ascii="Times New Roman" w:hAnsi="Times New Roman" w:eastAsia="宋体" w:cs="Times New Roman"/>
      <w:kern w:val="2"/>
      <w:sz w:val="21"/>
      <w:szCs w:val="22"/>
      <w:lang w:val="en-US" w:eastAsia="zh-CN" w:bidi="ar-SA"/>
    </w:rPr>
  </w:style>
  <w:style w:type="paragraph" w:customStyle="1" w:styleId="108">
    <w:name w:val="表格文字"/>
    <w:basedOn w:val="1"/>
    <w:link w:val="207"/>
    <w:qFormat/>
    <w:uiPriority w:val="0"/>
    <w:pPr>
      <w:jc w:val="left"/>
      <w:textAlignment w:val="top"/>
    </w:pPr>
    <w:rPr>
      <w:sz w:val="18"/>
    </w:rPr>
  </w:style>
  <w:style w:type="paragraph" w:customStyle="1" w:styleId="109">
    <w:name w:val="金保标题2"/>
    <w:basedOn w:val="3"/>
    <w:next w:val="1"/>
    <w:link w:val="209"/>
    <w:qFormat/>
    <w:uiPriority w:val="0"/>
    <w:pPr>
      <w:tabs>
        <w:tab w:val="left" w:pos="709"/>
      </w:tabs>
      <w:adjustRightInd/>
      <w:snapToGrid/>
      <w:spacing w:before="240" w:after="0"/>
      <w:jc w:val="both"/>
      <w:textAlignment w:val="auto"/>
    </w:pPr>
    <w:rPr>
      <w:rFonts w:ascii="宋体" w:hAnsi="宋体" w:eastAsia="宋体"/>
      <w:sz w:val="24"/>
      <w:szCs w:val="24"/>
    </w:rPr>
  </w:style>
  <w:style w:type="paragraph" w:customStyle="1" w:styleId="110">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11">
    <w:name w:val="方案正文-样式 小四 行距: 1.5 倍行距"/>
    <w:basedOn w:val="1"/>
    <w:link w:val="212"/>
    <w:qFormat/>
    <w:uiPriority w:val="0"/>
    <w:pPr>
      <w:spacing w:line="360" w:lineRule="auto"/>
      <w:ind w:firstLine="480" w:firstLineChars="200"/>
    </w:pPr>
    <w:rPr>
      <w:sz w:val="24"/>
      <w:szCs w:val="20"/>
    </w:rPr>
  </w:style>
  <w:style w:type="paragraph" w:customStyle="1" w:styleId="112">
    <w:name w:val="正文JK"/>
    <w:basedOn w:val="1"/>
    <w:link w:val="213"/>
    <w:qFormat/>
    <w:uiPriority w:val="0"/>
    <w:pPr>
      <w:spacing w:line="360" w:lineRule="auto"/>
      <w:ind w:firstLine="200" w:firstLineChars="200"/>
    </w:pPr>
    <w:rPr>
      <w:rFonts w:ascii="Calibri" w:hAnsi="Calibri"/>
      <w:szCs w:val="21"/>
    </w:rPr>
  </w:style>
  <w:style w:type="paragraph" w:customStyle="1" w:styleId="113">
    <w:name w:val="投标书正文无序编号"/>
    <w:basedOn w:val="114"/>
    <w:link w:val="214"/>
    <w:qFormat/>
    <w:uiPriority w:val="0"/>
    <w:pPr>
      <w:tabs>
        <w:tab w:val="left" w:pos="780"/>
        <w:tab w:val="left" w:pos="902"/>
      </w:tabs>
      <w:adjustRightInd w:val="0"/>
      <w:ind w:left="1282" w:firstLine="0" w:firstLineChars="0"/>
    </w:pPr>
    <w:rPr>
      <w:rFonts w:eastAsia="宋体"/>
    </w:rPr>
  </w:style>
  <w:style w:type="paragraph" w:customStyle="1" w:styleId="114">
    <w:name w:val="投标书正文"/>
    <w:link w:val="216"/>
    <w:qFormat/>
    <w:uiPriority w:val="0"/>
    <w:pPr>
      <w:autoSpaceDE w:val="0"/>
      <w:spacing w:line="360" w:lineRule="auto"/>
      <w:ind w:firstLine="200" w:firstLineChars="200"/>
    </w:pPr>
    <w:rPr>
      <w:rFonts w:ascii="Times New Roman" w:hAnsi="Times New Roman" w:eastAsia="Times New Roman" w:cs="Times New Roman"/>
      <w:kern w:val="2"/>
      <w:sz w:val="24"/>
      <w:szCs w:val="24"/>
      <w:lang w:val="en-US" w:eastAsia="zh-CN" w:bidi="ar-SA"/>
    </w:rPr>
  </w:style>
  <w:style w:type="paragraph" w:customStyle="1" w:styleId="115">
    <w:name w:val="_Style 19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p16"/>
    <w:basedOn w:val="1"/>
    <w:qFormat/>
    <w:uiPriority w:val="0"/>
    <w:pPr>
      <w:widowControl/>
    </w:pPr>
    <w:rPr>
      <w:rFonts w:ascii="Calibri" w:hAnsi="Calibri"/>
      <w:kern w:val="0"/>
      <w:szCs w:val="21"/>
    </w:rPr>
  </w:style>
  <w:style w:type="paragraph" w:customStyle="1" w:styleId="117">
    <w:name w:val="z-窗体顶端1"/>
    <w:basedOn w:val="1"/>
    <w:next w:val="1"/>
    <w:link w:val="217"/>
    <w:qFormat/>
    <w:uiPriority w:val="0"/>
    <w:pPr>
      <w:pBdr>
        <w:bottom w:val="single" w:color="auto" w:sz="6" w:space="1"/>
      </w:pBdr>
      <w:jc w:val="center"/>
    </w:pPr>
    <w:rPr>
      <w:rFonts w:ascii="Arial" w:hAnsi="Calibri"/>
      <w:vanish/>
      <w:sz w:val="16"/>
    </w:rPr>
  </w:style>
  <w:style w:type="paragraph" w:customStyle="1" w:styleId="118">
    <w:name w:val="Char"/>
    <w:basedOn w:val="1"/>
    <w:qFormat/>
    <w:uiPriority w:val="0"/>
    <w:pPr>
      <w:tabs>
        <w:tab w:val="left" w:pos="360"/>
      </w:tabs>
    </w:pPr>
    <w:rPr>
      <w:rFonts w:ascii="Calibri" w:hAnsi="Calibri"/>
      <w:sz w:val="24"/>
    </w:rPr>
  </w:style>
  <w:style w:type="paragraph" w:customStyle="1" w:styleId="119">
    <w:name w:val="样式 标题 3 + 小三"/>
    <w:basedOn w:val="4"/>
    <w:next w:val="1"/>
    <w:qFormat/>
    <w:uiPriority w:val="0"/>
    <w:pPr>
      <w:tabs>
        <w:tab w:val="left" w:pos="540"/>
      </w:tabs>
      <w:ind w:firstLine="0" w:firstLineChars="0"/>
    </w:pPr>
    <w:rPr>
      <w:rFonts w:ascii="宋体" w:hAnsi="宋体" w:eastAsia="宋体"/>
      <w:sz w:val="28"/>
      <w:szCs w:val="28"/>
    </w:rPr>
  </w:style>
  <w:style w:type="paragraph" w:customStyle="1" w:styleId="120">
    <w:name w:val="TOC 标题2"/>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1">
    <w:name w:val="Char Char Char Char Char Char Char Char Char Char Char Char Char Char Char1 Char"/>
    <w:basedOn w:val="1"/>
    <w:qFormat/>
    <w:uiPriority w:val="0"/>
    <w:rPr>
      <w:rFonts w:ascii="Calibri" w:hAnsi="Calibri"/>
      <w:sz w:val="28"/>
      <w:szCs w:val="20"/>
    </w:rPr>
  </w:style>
  <w:style w:type="paragraph" w:customStyle="1" w:styleId="122">
    <w:name w:val="p17"/>
    <w:basedOn w:val="1"/>
    <w:qFormat/>
    <w:uiPriority w:val="0"/>
    <w:pPr>
      <w:widowControl/>
    </w:pPr>
    <w:rPr>
      <w:rFonts w:ascii="Calibri" w:hAnsi="Calibri"/>
      <w:kern w:val="0"/>
      <w:szCs w:val="21"/>
    </w:rPr>
  </w:style>
  <w:style w:type="paragraph" w:customStyle="1" w:styleId="123">
    <w:name w:val="无间隔111"/>
    <w:qFormat/>
    <w:uiPriority w:val="0"/>
    <w:rPr>
      <w:rFonts w:ascii="Calibri" w:hAnsi="Calibri" w:eastAsia="??" w:cs="宋体"/>
      <w:sz w:val="22"/>
      <w:szCs w:val="22"/>
      <w:lang w:val="en-US" w:eastAsia="en-US" w:bidi="ar-SA"/>
    </w:rPr>
  </w:style>
  <w:style w:type="paragraph" w:customStyle="1" w:styleId="124">
    <w:name w:val="z-窗体底端1"/>
    <w:basedOn w:val="1"/>
    <w:next w:val="1"/>
    <w:link w:val="218"/>
    <w:qFormat/>
    <w:uiPriority w:val="0"/>
    <w:pPr>
      <w:pBdr>
        <w:top w:val="single" w:color="auto" w:sz="6" w:space="1"/>
      </w:pBdr>
      <w:jc w:val="center"/>
    </w:pPr>
    <w:rPr>
      <w:rFonts w:ascii="Arial" w:hAnsi="Calibri"/>
      <w:vanish/>
      <w:sz w:val="16"/>
    </w:rPr>
  </w:style>
  <w:style w:type="paragraph" w:customStyle="1" w:styleId="125">
    <w:name w:val="无间隔11"/>
    <w:qFormat/>
    <w:uiPriority w:val="0"/>
    <w:rPr>
      <w:rFonts w:ascii="Calibri" w:hAnsi="Calibri" w:eastAsia="宋体" w:cs="Times New Roman"/>
      <w:sz w:val="22"/>
      <w:szCs w:val="22"/>
      <w:lang w:val="en-US" w:eastAsia="en-US" w:bidi="ar-SA"/>
    </w:rPr>
  </w:style>
  <w:style w:type="paragraph" w:customStyle="1" w:styleId="126">
    <w:name w:val="TableTitle"/>
    <w:basedOn w:val="20"/>
    <w:qFormat/>
    <w:uiPriority w:val="0"/>
    <w:pPr>
      <w:keepNext/>
      <w:widowControl/>
      <w:tabs>
        <w:tab w:val="left" w:pos="2558"/>
      </w:tabs>
      <w:spacing w:before="120"/>
      <w:jc w:val="center"/>
    </w:pPr>
    <w:rPr>
      <w:rFonts w:ascii="Calibri" w:hAnsi="Calibri"/>
      <w:b/>
      <w:kern w:val="0"/>
      <w:sz w:val="24"/>
      <w:szCs w:val="20"/>
    </w:rPr>
  </w:style>
  <w:style w:type="paragraph" w:customStyle="1" w:styleId="127">
    <w:name w:val="ParaAttribute6"/>
    <w:qFormat/>
    <w:uiPriority w:val="0"/>
    <w:pPr>
      <w:wordWrap w:val="0"/>
      <w:ind w:firstLine="941"/>
    </w:pPr>
    <w:rPr>
      <w:rFonts w:ascii="Calibri" w:hAnsi="Calibri" w:eastAsia="Batang" w:cs="Times New Roman"/>
      <w:sz w:val="21"/>
      <w:szCs w:val="22"/>
      <w:lang w:val="en-US" w:eastAsia="zh-CN" w:bidi="ar-SA"/>
    </w:rPr>
  </w:style>
  <w:style w:type="paragraph" w:customStyle="1" w:styleId="128">
    <w:name w:val="条款正文"/>
    <w:basedOn w:val="1"/>
    <w:qFormat/>
    <w:uiPriority w:val="0"/>
    <w:pPr>
      <w:adjustRightInd w:val="0"/>
      <w:snapToGrid w:val="0"/>
      <w:spacing w:line="360" w:lineRule="auto"/>
      <w:jc w:val="left"/>
    </w:pPr>
    <w:rPr>
      <w:sz w:val="28"/>
    </w:rPr>
  </w:style>
  <w:style w:type="paragraph" w:customStyle="1" w:styleId="129">
    <w:name w:val="列出段落2"/>
    <w:basedOn w:val="1"/>
    <w:qFormat/>
    <w:uiPriority w:val="99"/>
    <w:pPr>
      <w:ind w:firstLine="420" w:firstLineChars="200"/>
    </w:pPr>
  </w:style>
  <w:style w:type="paragraph" w:customStyle="1" w:styleId="13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1">
    <w:name w:val="标题 1 字符"/>
    <w:link w:val="2"/>
    <w:qFormat/>
    <w:uiPriority w:val="0"/>
    <w:rPr>
      <w:b/>
      <w:bCs/>
      <w:kern w:val="44"/>
      <w:sz w:val="44"/>
      <w:szCs w:val="44"/>
    </w:rPr>
  </w:style>
  <w:style w:type="character" w:customStyle="1" w:styleId="132">
    <w:name w:val="标题 2 字符"/>
    <w:link w:val="3"/>
    <w:qFormat/>
    <w:uiPriority w:val="9"/>
    <w:rPr>
      <w:rFonts w:ascii="仿宋_GB2312" w:eastAsia="仿宋_GB2312"/>
      <w:b/>
      <w:sz w:val="36"/>
    </w:rPr>
  </w:style>
  <w:style w:type="character" w:customStyle="1" w:styleId="133">
    <w:name w:val="正文缩进 字符"/>
    <w:link w:val="5"/>
    <w:qFormat/>
    <w:uiPriority w:val="0"/>
    <w:rPr>
      <w:kern w:val="2"/>
      <w:sz w:val="21"/>
    </w:rPr>
  </w:style>
  <w:style w:type="character" w:customStyle="1" w:styleId="134">
    <w:name w:val="标题 3 字符"/>
    <w:link w:val="4"/>
    <w:qFormat/>
    <w:uiPriority w:val="0"/>
    <w:rPr>
      <w:rFonts w:ascii="仿宋_GB2312" w:eastAsia="仿宋_GB2312"/>
      <w:b/>
      <w:bCs/>
      <w:kern w:val="2"/>
      <w:sz w:val="30"/>
    </w:rPr>
  </w:style>
  <w:style w:type="character" w:customStyle="1" w:styleId="135">
    <w:name w:val="标题 4 字符"/>
    <w:link w:val="7"/>
    <w:qFormat/>
    <w:uiPriority w:val="0"/>
    <w:rPr>
      <w:rFonts w:ascii="Cambria" w:hAnsi="Cambria" w:eastAsia="宋体" w:cs="Times New Roman"/>
      <w:b/>
      <w:bCs/>
      <w:kern w:val="2"/>
      <w:sz w:val="28"/>
      <w:szCs w:val="28"/>
    </w:rPr>
  </w:style>
  <w:style w:type="character" w:customStyle="1" w:styleId="136">
    <w:name w:val="标题 5 字符"/>
    <w:link w:val="8"/>
    <w:qFormat/>
    <w:uiPriority w:val="0"/>
    <w:rPr>
      <w:rFonts w:eastAsia="宋体"/>
      <w:b/>
      <w:bCs/>
      <w:kern w:val="2"/>
      <w:sz w:val="28"/>
      <w:szCs w:val="28"/>
    </w:rPr>
  </w:style>
  <w:style w:type="character" w:customStyle="1" w:styleId="137">
    <w:name w:val="标题 6 字符"/>
    <w:link w:val="9"/>
    <w:qFormat/>
    <w:uiPriority w:val="0"/>
    <w:rPr>
      <w:rFonts w:ascii="Cambria" w:hAnsi="Cambria" w:eastAsia="宋体" w:cs="Times New Roman"/>
      <w:b/>
      <w:bCs/>
      <w:kern w:val="2"/>
      <w:sz w:val="24"/>
      <w:szCs w:val="24"/>
    </w:rPr>
  </w:style>
  <w:style w:type="character" w:customStyle="1" w:styleId="138">
    <w:name w:val="标题 7 字符"/>
    <w:link w:val="10"/>
    <w:qFormat/>
    <w:uiPriority w:val="0"/>
    <w:rPr>
      <w:rFonts w:eastAsia="宋体"/>
      <w:b/>
      <w:bCs/>
      <w:kern w:val="2"/>
      <w:sz w:val="24"/>
      <w:szCs w:val="24"/>
    </w:rPr>
  </w:style>
  <w:style w:type="character" w:customStyle="1" w:styleId="139">
    <w:name w:val="标题 8 字符"/>
    <w:link w:val="11"/>
    <w:qFormat/>
    <w:uiPriority w:val="0"/>
    <w:rPr>
      <w:rFonts w:ascii="Cambria" w:hAnsi="Cambria" w:eastAsia="宋体" w:cs="Times New Roman"/>
      <w:b/>
      <w:kern w:val="2"/>
      <w:sz w:val="24"/>
      <w:szCs w:val="24"/>
    </w:rPr>
  </w:style>
  <w:style w:type="character" w:customStyle="1" w:styleId="140">
    <w:name w:val="标题 9 字符"/>
    <w:link w:val="12"/>
    <w:qFormat/>
    <w:uiPriority w:val="0"/>
    <w:rPr>
      <w:rFonts w:ascii="Cambria" w:hAnsi="Cambria" w:eastAsia="宋体" w:cs="Times New Roman"/>
      <w:b/>
      <w:kern w:val="2"/>
      <w:sz w:val="24"/>
      <w:szCs w:val="21"/>
    </w:rPr>
  </w:style>
  <w:style w:type="character" w:customStyle="1" w:styleId="141">
    <w:name w:val="题注 字符"/>
    <w:link w:val="15"/>
    <w:qFormat/>
    <w:locked/>
    <w:uiPriority w:val="0"/>
    <w:rPr>
      <w:rFonts w:ascii="Arial" w:hAnsi="Arial" w:eastAsia="黑体" w:cs="Arial"/>
      <w:kern w:val="2"/>
    </w:rPr>
  </w:style>
  <w:style w:type="character" w:customStyle="1" w:styleId="142">
    <w:name w:val="文档结构图 字符"/>
    <w:link w:val="16"/>
    <w:qFormat/>
    <w:uiPriority w:val="0"/>
    <w:rPr>
      <w:kern w:val="2"/>
      <w:sz w:val="21"/>
      <w:szCs w:val="24"/>
      <w:shd w:val="clear" w:color="auto" w:fill="000080"/>
    </w:rPr>
  </w:style>
  <w:style w:type="character" w:customStyle="1" w:styleId="143">
    <w:name w:val="批注文字 字符"/>
    <w:link w:val="18"/>
    <w:qFormat/>
    <w:uiPriority w:val="0"/>
    <w:rPr>
      <w:kern w:val="2"/>
      <w:sz w:val="21"/>
      <w:szCs w:val="24"/>
    </w:rPr>
  </w:style>
  <w:style w:type="character" w:customStyle="1" w:styleId="144">
    <w:name w:val="正文文本 3 字符"/>
    <w:link w:val="19"/>
    <w:qFormat/>
    <w:uiPriority w:val="0"/>
    <w:rPr>
      <w:kern w:val="2"/>
      <w:sz w:val="16"/>
      <w:szCs w:val="16"/>
    </w:rPr>
  </w:style>
  <w:style w:type="character" w:customStyle="1" w:styleId="145">
    <w:name w:val="正文文本 字符"/>
    <w:link w:val="20"/>
    <w:qFormat/>
    <w:uiPriority w:val="0"/>
    <w:rPr>
      <w:kern w:val="2"/>
      <w:sz w:val="21"/>
      <w:szCs w:val="24"/>
    </w:rPr>
  </w:style>
  <w:style w:type="character" w:customStyle="1" w:styleId="146">
    <w:name w:val="正文文本缩进 字符"/>
    <w:link w:val="6"/>
    <w:qFormat/>
    <w:uiPriority w:val="0"/>
    <w:rPr>
      <w:rFonts w:ascii="宋体" w:hAnsi="Courier New"/>
      <w:spacing w:val="-4"/>
      <w:kern w:val="2"/>
      <w:sz w:val="18"/>
    </w:rPr>
  </w:style>
  <w:style w:type="character" w:customStyle="1" w:styleId="147">
    <w:name w:val="纯文本 字符1"/>
    <w:link w:val="25"/>
    <w:qFormat/>
    <w:uiPriority w:val="0"/>
    <w:rPr>
      <w:rFonts w:ascii="宋体" w:hAnsi="Courier New"/>
      <w:kern w:val="2"/>
      <w:sz w:val="21"/>
    </w:rPr>
  </w:style>
  <w:style w:type="character" w:customStyle="1" w:styleId="148">
    <w:name w:val="日期 字符"/>
    <w:link w:val="27"/>
    <w:qFormat/>
    <w:uiPriority w:val="0"/>
    <w:rPr>
      <w:rFonts w:eastAsia="楷体_GB2312"/>
      <w:kern w:val="2"/>
      <w:sz w:val="32"/>
    </w:rPr>
  </w:style>
  <w:style w:type="character" w:customStyle="1" w:styleId="149">
    <w:name w:val="正文文本缩进 2 字符"/>
    <w:link w:val="28"/>
    <w:qFormat/>
    <w:uiPriority w:val="0"/>
    <w:rPr>
      <w:rFonts w:ascii="仿宋_GB2312" w:hAnsi="宋体" w:cs="Arial"/>
      <w:b/>
      <w:bCs/>
      <w:color w:val="000000"/>
      <w:kern w:val="2"/>
      <w:sz w:val="24"/>
      <w:szCs w:val="24"/>
    </w:rPr>
  </w:style>
  <w:style w:type="character" w:customStyle="1" w:styleId="150">
    <w:name w:val="批注框文本 字符"/>
    <w:link w:val="29"/>
    <w:qFormat/>
    <w:uiPriority w:val="0"/>
    <w:rPr>
      <w:kern w:val="2"/>
      <w:sz w:val="18"/>
      <w:szCs w:val="18"/>
    </w:rPr>
  </w:style>
  <w:style w:type="character" w:customStyle="1" w:styleId="151">
    <w:name w:val="页脚 字符"/>
    <w:link w:val="30"/>
    <w:qFormat/>
    <w:locked/>
    <w:uiPriority w:val="99"/>
    <w:rPr>
      <w:kern w:val="2"/>
      <w:sz w:val="18"/>
      <w:szCs w:val="18"/>
    </w:rPr>
  </w:style>
  <w:style w:type="character" w:customStyle="1" w:styleId="152">
    <w:name w:val="页眉 字符"/>
    <w:link w:val="31"/>
    <w:qFormat/>
    <w:uiPriority w:val="0"/>
    <w:rPr>
      <w:rFonts w:eastAsia="宋体"/>
      <w:kern w:val="2"/>
      <w:sz w:val="18"/>
      <w:szCs w:val="18"/>
      <w:lang w:val="en-US" w:eastAsia="zh-CN" w:bidi="ar-SA"/>
    </w:rPr>
  </w:style>
  <w:style w:type="character" w:customStyle="1" w:styleId="153">
    <w:name w:val="副标题 字符"/>
    <w:link w:val="34"/>
    <w:qFormat/>
    <w:uiPriority w:val="0"/>
    <w:rPr>
      <w:rFonts w:ascii="Cambria" w:hAnsi="Cambria"/>
      <w:b/>
      <w:bCs/>
      <w:kern w:val="28"/>
      <w:sz w:val="32"/>
      <w:szCs w:val="32"/>
    </w:rPr>
  </w:style>
  <w:style w:type="character" w:customStyle="1" w:styleId="154">
    <w:name w:val="脚注文本 字符"/>
    <w:basedOn w:val="50"/>
    <w:link w:val="36"/>
    <w:qFormat/>
    <w:uiPriority w:val="99"/>
    <w:rPr>
      <w:kern w:val="1"/>
      <w:sz w:val="18"/>
      <w:szCs w:val="18"/>
    </w:rPr>
  </w:style>
  <w:style w:type="character" w:customStyle="1" w:styleId="155">
    <w:name w:val="正文文本缩进 3 字符"/>
    <w:link w:val="38"/>
    <w:qFormat/>
    <w:uiPriority w:val="0"/>
    <w:rPr>
      <w:rFonts w:ascii="仿宋_GB2312" w:hAnsi="宋体" w:eastAsia="仿宋_GB2312"/>
      <w:color w:val="000000"/>
      <w:kern w:val="2"/>
      <w:sz w:val="24"/>
      <w:szCs w:val="24"/>
    </w:rPr>
  </w:style>
  <w:style w:type="character" w:customStyle="1" w:styleId="156">
    <w:name w:val="正文文本 2 字符"/>
    <w:link w:val="41"/>
    <w:qFormat/>
    <w:uiPriority w:val="0"/>
    <w:rPr>
      <w:rFonts w:ascii="宋体" w:hAnsi="宋体"/>
      <w:color w:val="000000"/>
      <w:kern w:val="2"/>
      <w:sz w:val="24"/>
      <w:szCs w:val="24"/>
    </w:rPr>
  </w:style>
  <w:style w:type="character" w:customStyle="1" w:styleId="157">
    <w:name w:val="普通(网站) 字符"/>
    <w:link w:val="43"/>
    <w:qFormat/>
    <w:locked/>
    <w:uiPriority w:val="0"/>
    <w:rPr>
      <w:rFonts w:ascii="宋体" w:hAnsi="宋体" w:cs="宋体"/>
      <w:sz w:val="24"/>
      <w:szCs w:val="24"/>
    </w:rPr>
  </w:style>
  <w:style w:type="character" w:customStyle="1" w:styleId="158">
    <w:name w:val="标题 字符"/>
    <w:link w:val="44"/>
    <w:qFormat/>
    <w:uiPriority w:val="0"/>
    <w:rPr>
      <w:rFonts w:ascii="Cambria" w:hAnsi="Cambria"/>
      <w:b/>
      <w:bCs/>
      <w:kern w:val="2"/>
      <w:sz w:val="32"/>
      <w:szCs w:val="32"/>
    </w:rPr>
  </w:style>
  <w:style w:type="character" w:customStyle="1" w:styleId="159">
    <w:name w:val="批注主题 字符"/>
    <w:link w:val="17"/>
    <w:qFormat/>
    <w:uiPriority w:val="0"/>
    <w:rPr>
      <w:b/>
      <w:bCs/>
      <w:kern w:val="2"/>
      <w:sz w:val="21"/>
      <w:szCs w:val="24"/>
    </w:rPr>
  </w:style>
  <w:style w:type="character" w:customStyle="1" w:styleId="160">
    <w:name w:val="正文文本首行缩进 字符"/>
    <w:basedOn w:val="145"/>
    <w:link w:val="45"/>
    <w:qFormat/>
    <w:uiPriority w:val="0"/>
    <w:rPr>
      <w:kern w:val="2"/>
      <w:sz w:val="21"/>
      <w:szCs w:val="24"/>
    </w:rPr>
  </w:style>
  <w:style w:type="character" w:customStyle="1" w:styleId="161">
    <w:name w:val="正文文本首行缩进 2 字符"/>
    <w:link w:val="46"/>
    <w:qFormat/>
    <w:uiPriority w:val="0"/>
    <w:rPr>
      <w:rFonts w:ascii="宋体" w:hAnsi="Courier New"/>
      <w:spacing w:val="-4"/>
      <w:kern w:val="2"/>
      <w:sz w:val="24"/>
    </w:rPr>
  </w:style>
  <w:style w:type="character" w:customStyle="1" w:styleId="162">
    <w:name w:val="页眉 Char1"/>
    <w:qFormat/>
    <w:uiPriority w:val="0"/>
    <w:rPr>
      <w:kern w:val="2"/>
      <w:sz w:val="18"/>
      <w:szCs w:val="18"/>
    </w:rPr>
  </w:style>
  <w:style w:type="character" w:customStyle="1" w:styleId="163">
    <w:name w:val="hover"/>
    <w:qFormat/>
    <w:uiPriority w:val="0"/>
    <w:rPr>
      <w:color w:val="4178BE"/>
    </w:rPr>
  </w:style>
  <w:style w:type="character" w:customStyle="1" w:styleId="164">
    <w:name w:val="页眉 字符1"/>
    <w:qFormat/>
    <w:uiPriority w:val="99"/>
    <w:rPr>
      <w:rFonts w:eastAsia="宋体"/>
      <w:sz w:val="18"/>
      <w:szCs w:val="18"/>
    </w:rPr>
  </w:style>
  <w:style w:type="character" w:customStyle="1" w:styleId="165">
    <w:name w:val="font111"/>
    <w:qFormat/>
    <w:uiPriority w:val="0"/>
    <w:rPr>
      <w:rFonts w:ascii="宋体" w:hAnsi="宋体" w:eastAsia="宋体" w:cs="宋体"/>
      <w:color w:val="FF0000"/>
      <w:sz w:val="18"/>
      <w:szCs w:val="18"/>
      <w:u w:val="none"/>
    </w:rPr>
  </w:style>
  <w:style w:type="character" w:customStyle="1" w:styleId="166">
    <w:name w:val="页脚 字符1"/>
    <w:qFormat/>
    <w:locked/>
    <w:uiPriority w:val="99"/>
    <w:rPr>
      <w:sz w:val="18"/>
      <w:szCs w:val="18"/>
    </w:rPr>
  </w:style>
  <w:style w:type="character" w:customStyle="1" w:styleId="167">
    <w:name w:val="font21"/>
    <w:qFormat/>
    <w:uiPriority w:val="0"/>
    <w:rPr>
      <w:rFonts w:hint="eastAsia" w:ascii="微软雅黑" w:hAnsi="微软雅黑" w:eastAsia="微软雅黑" w:cs="微软雅黑"/>
      <w:color w:val="000000"/>
      <w:sz w:val="18"/>
      <w:szCs w:val="18"/>
      <w:u w:val="none"/>
    </w:rPr>
  </w:style>
  <w:style w:type="character" w:customStyle="1" w:styleId="168">
    <w:name w:val="样式一"/>
    <w:qFormat/>
    <w:uiPriority w:val="0"/>
    <w:rPr>
      <w:rFonts w:ascii="宋体" w:hAnsi="宋体"/>
      <w:b/>
      <w:bCs/>
      <w:color w:val="000000"/>
      <w:sz w:val="36"/>
    </w:rPr>
  </w:style>
  <w:style w:type="character" w:customStyle="1" w:styleId="169">
    <w:name w:val="optnmoresets"/>
    <w:qFormat/>
    <w:uiPriority w:val="0"/>
    <w:rPr>
      <w:color w:val="5596E6"/>
    </w:rPr>
  </w:style>
  <w:style w:type="character" w:customStyle="1" w:styleId="170">
    <w:name w:val="ca-92"/>
    <w:basedOn w:val="50"/>
    <w:qFormat/>
    <w:uiPriority w:val="0"/>
  </w:style>
  <w:style w:type="character" w:customStyle="1" w:styleId="171">
    <w:name w:val="font91"/>
    <w:qFormat/>
    <w:uiPriority w:val="0"/>
    <w:rPr>
      <w:rFonts w:ascii="宋体" w:hAnsi="宋体" w:eastAsia="宋体" w:cs="宋体"/>
      <w:color w:val="auto"/>
      <w:sz w:val="18"/>
      <w:szCs w:val="18"/>
      <w:u w:val="none"/>
    </w:rPr>
  </w:style>
  <w:style w:type="character" w:customStyle="1" w:styleId="172">
    <w:name w:val="纯文本 Char3"/>
    <w:qFormat/>
    <w:uiPriority w:val="0"/>
    <w:rPr>
      <w:rFonts w:ascii="宋体" w:hAnsi="Courier New" w:eastAsia="宋体"/>
      <w:kern w:val="2"/>
      <w:sz w:val="24"/>
      <w:szCs w:val="24"/>
      <w:lang w:val="en-US" w:eastAsia="zh-CN" w:bidi="ar-SA"/>
    </w:rPr>
  </w:style>
  <w:style w:type="character" w:customStyle="1" w:styleId="173">
    <w:name w:val="列出段落 Char1"/>
    <w:qFormat/>
    <w:uiPriority w:val="34"/>
    <w:rPr>
      <w:sz w:val="24"/>
    </w:rPr>
  </w:style>
  <w:style w:type="character" w:customStyle="1" w:styleId="174">
    <w:name w:val="标题字符1"/>
    <w:qFormat/>
    <w:uiPriority w:val="0"/>
    <w:rPr>
      <w:rFonts w:ascii="Cambria" w:hAnsi="Cambria" w:cs="Times New Roman"/>
      <w:b/>
      <w:bCs/>
      <w:snapToGrid w:val="0"/>
      <w:sz w:val="32"/>
      <w:szCs w:val="32"/>
    </w:rPr>
  </w:style>
  <w:style w:type="character" w:customStyle="1" w:styleId="175">
    <w:name w:val="sub"/>
    <w:basedOn w:val="50"/>
    <w:qFormat/>
    <w:uiPriority w:val="0"/>
  </w:style>
  <w:style w:type="character" w:customStyle="1" w:styleId="176">
    <w:name w:val="lotusbtndisabled2"/>
    <w:basedOn w:val="50"/>
    <w:qFormat/>
    <w:uiPriority w:val="0"/>
  </w:style>
  <w:style w:type="character" w:customStyle="1" w:styleId="177">
    <w:name w:val="列出段落 Char"/>
    <w:qFormat/>
    <w:uiPriority w:val="34"/>
    <w:rPr>
      <w:kern w:val="2"/>
      <w:sz w:val="21"/>
      <w:szCs w:val="22"/>
    </w:rPr>
  </w:style>
  <w:style w:type="character" w:customStyle="1" w:styleId="178">
    <w:name w:val="dijitarrowbuttoninner"/>
    <w:qFormat/>
    <w:uiPriority w:val="0"/>
    <w:rPr>
      <w:vanish/>
    </w:rPr>
  </w:style>
  <w:style w:type="character" w:customStyle="1" w:styleId="179">
    <w:name w:val="hover21"/>
    <w:qFormat/>
    <w:uiPriority w:val="0"/>
    <w:rPr>
      <w:color w:val="4178BE"/>
    </w:rPr>
  </w:style>
  <w:style w:type="character" w:customStyle="1" w:styleId="180">
    <w:name w:val="普通文字 Char Char2"/>
    <w:qFormat/>
    <w:uiPriority w:val="0"/>
    <w:rPr>
      <w:rFonts w:ascii="宋体" w:hAnsi="Courier New" w:eastAsia="宋体"/>
      <w:kern w:val="2"/>
      <w:sz w:val="24"/>
      <w:szCs w:val="24"/>
      <w:lang w:val="en-US" w:eastAsia="zh-CN" w:bidi="ar-SA"/>
    </w:rPr>
  </w:style>
  <w:style w:type="character" w:customStyle="1" w:styleId="181">
    <w:name w:val="font11"/>
    <w:qFormat/>
    <w:uiPriority w:val="0"/>
    <w:rPr>
      <w:rFonts w:hint="eastAsia" w:ascii="微软雅黑" w:hAnsi="微软雅黑" w:eastAsia="微软雅黑" w:cs="微软雅黑"/>
      <w:color w:val="FF0000"/>
      <w:sz w:val="18"/>
      <w:szCs w:val="18"/>
      <w:u w:val="none"/>
    </w:rPr>
  </w:style>
  <w:style w:type="character" w:customStyle="1" w:styleId="182">
    <w:name w:val="纯文本 Char1"/>
    <w:link w:val="60"/>
    <w:qFormat/>
    <w:uiPriority w:val="99"/>
    <w:rPr>
      <w:rFonts w:ascii="宋体" w:hAnsi="Courier New" w:eastAsia="宋体" w:cs="Times New Roman"/>
      <w:sz w:val="24"/>
      <w:szCs w:val="24"/>
    </w:rPr>
  </w:style>
  <w:style w:type="character" w:customStyle="1" w:styleId="183">
    <w:name w:val="lotusalttext10"/>
    <w:basedOn w:val="50"/>
    <w:qFormat/>
    <w:uiPriority w:val="0"/>
  </w:style>
  <w:style w:type="character" w:customStyle="1" w:styleId="184">
    <w:name w:val="纯文本 字符"/>
    <w:qFormat/>
    <w:uiPriority w:val="0"/>
    <w:rPr>
      <w:rFonts w:ascii="宋体" w:hAnsi="Courier New" w:eastAsia="宋体" w:cs="Courier New"/>
      <w:kern w:val="2"/>
      <w:sz w:val="21"/>
      <w:szCs w:val="24"/>
    </w:rPr>
  </w:style>
  <w:style w:type="character" w:customStyle="1" w:styleId="185">
    <w:name w:val="*正文 Char"/>
    <w:link w:val="61"/>
    <w:qFormat/>
    <w:uiPriority w:val="99"/>
    <w:rPr>
      <w:rFonts w:ascii="宋体" w:hAnsi="宋体"/>
      <w:sz w:val="24"/>
    </w:rPr>
  </w:style>
  <w:style w:type="character" w:customStyle="1" w:styleId="186">
    <w:name w:val="before"/>
    <w:basedOn w:val="50"/>
    <w:qFormat/>
    <w:uiPriority w:val="0"/>
  </w:style>
  <w:style w:type="character" w:customStyle="1" w:styleId="187">
    <w:name w:val="font101"/>
    <w:qFormat/>
    <w:uiPriority w:val="0"/>
    <w:rPr>
      <w:rFonts w:ascii="Times New Roman" w:hAnsi="Times New Roman" w:cs="Times New Roman"/>
      <w:color w:val="auto"/>
      <w:sz w:val="24"/>
      <w:szCs w:val="24"/>
      <w:u w:val="none"/>
    </w:rPr>
  </w:style>
  <w:style w:type="character" w:customStyle="1" w:styleId="188">
    <w:name w:val="font81"/>
    <w:qFormat/>
    <w:uiPriority w:val="0"/>
    <w:rPr>
      <w:rFonts w:ascii="Times New Roman" w:hAnsi="Times New Roman" w:cs="Times New Roman"/>
      <w:color w:val="FF0000"/>
      <w:sz w:val="18"/>
      <w:szCs w:val="18"/>
      <w:u w:val="none"/>
    </w:rPr>
  </w:style>
  <w:style w:type="character" w:customStyle="1" w:styleId="189">
    <w:name w:val="正文文本缩进字符1"/>
    <w:semiHidden/>
    <w:qFormat/>
    <w:uiPriority w:val="0"/>
    <w:rPr>
      <w:snapToGrid w:val="0"/>
      <w:sz w:val="21"/>
      <w:szCs w:val="21"/>
    </w:rPr>
  </w:style>
  <w:style w:type="character" w:customStyle="1" w:styleId="190">
    <w:name w:val="before1"/>
    <w:qFormat/>
    <w:uiPriority w:val="0"/>
    <w:rPr>
      <w:shd w:val="clear" w:color="auto" w:fill="4178BE"/>
    </w:rPr>
  </w:style>
  <w:style w:type="character" w:customStyle="1" w:styleId="191">
    <w:name w:val="font51"/>
    <w:qFormat/>
    <w:uiPriority w:val="0"/>
    <w:rPr>
      <w:rFonts w:hint="eastAsia" w:ascii="微软雅黑" w:hAnsi="微软雅黑" w:eastAsia="微软雅黑" w:cs="微软雅黑"/>
      <w:i/>
      <w:color w:val="FF0000"/>
      <w:sz w:val="18"/>
      <w:szCs w:val="18"/>
      <w:u w:val="none"/>
    </w:rPr>
  </w:style>
  <w:style w:type="character" w:customStyle="1" w:styleId="192">
    <w:name w:val="optnless"/>
    <w:qFormat/>
    <w:uiPriority w:val="0"/>
    <w:rPr>
      <w:color w:val="5596E6"/>
    </w:rPr>
  </w:style>
  <w:style w:type="character" w:customStyle="1" w:styleId="193">
    <w:name w:val="font01"/>
    <w:qFormat/>
    <w:uiPriority w:val="0"/>
    <w:rPr>
      <w:rFonts w:hint="eastAsia" w:ascii="微软雅黑" w:hAnsi="微软雅黑" w:eastAsia="微软雅黑" w:cs="微软雅黑"/>
      <w:color w:val="000000"/>
      <w:sz w:val="18"/>
      <w:szCs w:val="18"/>
      <w:u w:val="none"/>
    </w:rPr>
  </w:style>
  <w:style w:type="character" w:customStyle="1" w:styleId="194">
    <w:name w:val="列出段落 Char2"/>
    <w:link w:val="62"/>
    <w:qFormat/>
    <w:uiPriority w:val="34"/>
    <w:rPr>
      <w:kern w:val="2"/>
      <w:sz w:val="21"/>
      <w:szCs w:val="22"/>
    </w:rPr>
  </w:style>
  <w:style w:type="character" w:customStyle="1" w:styleId="195">
    <w:name w:val="bookmark-item"/>
    <w:basedOn w:val="50"/>
    <w:qFormat/>
    <w:uiPriority w:val="0"/>
  </w:style>
  <w:style w:type="character" w:customStyle="1" w:styleId="196">
    <w:name w:val="lotusalttext"/>
    <w:basedOn w:val="50"/>
    <w:qFormat/>
    <w:uiPriority w:val="0"/>
  </w:style>
  <w:style w:type="character" w:customStyle="1" w:styleId="197">
    <w:name w:val="optnmore"/>
    <w:qFormat/>
    <w:uiPriority w:val="0"/>
    <w:rPr>
      <w:color w:val="5596E6"/>
    </w:rPr>
  </w:style>
  <w:style w:type="character" w:customStyle="1" w:styleId="198">
    <w:name w:val="纯文本字符1"/>
    <w:semiHidden/>
    <w:qFormat/>
    <w:uiPriority w:val="0"/>
    <w:rPr>
      <w:rFonts w:ascii="宋体" w:hAnsi="Courier"/>
      <w:snapToGrid w:val="0"/>
      <w:sz w:val="24"/>
      <w:szCs w:val="24"/>
    </w:rPr>
  </w:style>
  <w:style w:type="character" w:customStyle="1" w:styleId="199">
    <w:name w:val="GW-正文 Char"/>
    <w:link w:val="63"/>
    <w:qFormat/>
    <w:uiPriority w:val="0"/>
    <w:rPr>
      <w:rFonts w:eastAsia="仿宋_GB2312"/>
      <w:sz w:val="24"/>
      <w:szCs w:val="24"/>
      <w:lang w:val="en-US" w:eastAsia="zh-CN" w:bidi="ar-SA"/>
    </w:rPr>
  </w:style>
  <w:style w:type="character" w:customStyle="1" w:styleId="200">
    <w:name w:val="optnsets"/>
    <w:qFormat/>
    <w:uiPriority w:val="0"/>
    <w:rPr>
      <w:color w:val="5596E6"/>
    </w:rPr>
  </w:style>
  <w:style w:type="character" w:customStyle="1" w:styleId="201">
    <w:name w:val="批注文字 Char"/>
    <w:qFormat/>
    <w:uiPriority w:val="99"/>
    <w:rPr>
      <w:kern w:val="2"/>
      <w:sz w:val="21"/>
      <w:szCs w:val="24"/>
    </w:rPr>
  </w:style>
  <w:style w:type="character" w:customStyle="1" w:styleId="202">
    <w:name w:val="标题 Char3"/>
    <w:qFormat/>
    <w:uiPriority w:val="0"/>
    <w:rPr>
      <w:rFonts w:ascii="Calibri Light" w:hAnsi="Calibri Light"/>
      <w:b/>
      <w:bCs/>
      <w:kern w:val="2"/>
      <w:sz w:val="32"/>
      <w:szCs w:val="32"/>
    </w:rPr>
  </w:style>
  <w:style w:type="character" w:customStyle="1" w:styleId="203">
    <w:name w:val="样式二"/>
    <w:basedOn w:val="168"/>
    <w:qFormat/>
    <w:uiPriority w:val="0"/>
    <w:rPr>
      <w:rFonts w:ascii="宋体" w:hAnsi="宋体"/>
      <w:color w:val="000000"/>
      <w:sz w:val="36"/>
    </w:rPr>
  </w:style>
  <w:style w:type="character" w:customStyle="1" w:styleId="204">
    <w:name w:val="after1"/>
    <w:basedOn w:val="50"/>
    <w:qFormat/>
    <w:uiPriority w:val="0"/>
  </w:style>
  <w:style w:type="character" w:customStyle="1" w:styleId="205">
    <w:name w:val="after"/>
    <w:qFormat/>
    <w:uiPriority w:val="0"/>
    <w:rPr>
      <w:shd w:val="clear" w:color="auto" w:fill="008571"/>
    </w:rPr>
  </w:style>
  <w:style w:type="character" w:customStyle="1" w:styleId="206">
    <w:name w:val="无间隔 Char"/>
    <w:link w:val="107"/>
    <w:qFormat/>
    <w:uiPriority w:val="1"/>
    <w:rPr>
      <w:kern w:val="2"/>
      <w:sz w:val="21"/>
      <w:szCs w:val="22"/>
    </w:rPr>
  </w:style>
  <w:style w:type="character" w:customStyle="1" w:styleId="207">
    <w:name w:val="表格文字 Char"/>
    <w:link w:val="108"/>
    <w:qFormat/>
    <w:uiPriority w:val="0"/>
    <w:rPr>
      <w:kern w:val="2"/>
      <w:sz w:val="18"/>
      <w:szCs w:val="24"/>
    </w:rPr>
  </w:style>
  <w:style w:type="character" w:customStyle="1" w:styleId="208">
    <w:name w:val="纯文本 Char4"/>
    <w:qFormat/>
    <w:uiPriority w:val="0"/>
    <w:rPr>
      <w:rFonts w:ascii="宋体" w:hAnsi="Courier New" w:eastAsia="宋体" w:cs="Times New Roman"/>
      <w:kern w:val="2"/>
      <w:sz w:val="24"/>
      <w:szCs w:val="24"/>
      <w:lang w:val="en-US" w:eastAsia="zh-CN" w:bidi="ar-SA"/>
    </w:rPr>
  </w:style>
  <w:style w:type="character" w:customStyle="1" w:styleId="209">
    <w:name w:val="金保标题2 Char"/>
    <w:link w:val="109"/>
    <w:qFormat/>
    <w:uiPriority w:val="0"/>
    <w:rPr>
      <w:rFonts w:ascii="宋体" w:hAnsi="宋体"/>
      <w:b/>
      <w:sz w:val="24"/>
      <w:szCs w:val="24"/>
    </w:rPr>
  </w:style>
  <w:style w:type="character" w:customStyle="1" w:styleId="210">
    <w:name w:val="long_text1"/>
    <w:qFormat/>
    <w:uiPriority w:val="0"/>
    <w:rPr>
      <w:sz w:val="15"/>
      <w:szCs w:val="15"/>
    </w:rPr>
  </w:style>
  <w:style w:type="character" w:customStyle="1" w:styleId="211">
    <w:name w:val="List Paragraph Char"/>
    <w:link w:val="75"/>
    <w:qFormat/>
    <w:uiPriority w:val="0"/>
    <w:rPr>
      <w:kern w:val="2"/>
      <w:sz w:val="21"/>
      <w:szCs w:val="21"/>
    </w:rPr>
  </w:style>
  <w:style w:type="character" w:customStyle="1" w:styleId="212">
    <w:name w:val="方案正文-样式 小四 行距: 1.5 倍行距 Char Char"/>
    <w:link w:val="111"/>
    <w:qFormat/>
    <w:uiPriority w:val="0"/>
    <w:rPr>
      <w:kern w:val="2"/>
      <w:sz w:val="24"/>
    </w:rPr>
  </w:style>
  <w:style w:type="character" w:customStyle="1" w:styleId="213">
    <w:name w:val="正文JK Char"/>
    <w:link w:val="112"/>
    <w:qFormat/>
    <w:uiPriority w:val="0"/>
    <w:rPr>
      <w:rFonts w:ascii="Calibri" w:hAnsi="Calibri"/>
      <w:kern w:val="2"/>
      <w:sz w:val="21"/>
      <w:szCs w:val="21"/>
    </w:rPr>
  </w:style>
  <w:style w:type="character" w:customStyle="1" w:styleId="214">
    <w:name w:val="投标书正文无序编号 Char Char"/>
    <w:link w:val="113"/>
    <w:qFormat/>
    <w:uiPriority w:val="0"/>
    <w:rPr>
      <w:kern w:val="2"/>
      <w:sz w:val="24"/>
      <w:szCs w:val="24"/>
    </w:rPr>
  </w:style>
  <w:style w:type="character" w:customStyle="1" w:styleId="215">
    <w:name w:val="正文2 Char Char"/>
    <w:link w:val="74"/>
    <w:qFormat/>
    <w:uiPriority w:val="0"/>
    <w:rPr>
      <w:kern w:val="2"/>
      <w:sz w:val="24"/>
    </w:rPr>
  </w:style>
  <w:style w:type="character" w:customStyle="1" w:styleId="216">
    <w:name w:val="投标书正文 Char Char"/>
    <w:link w:val="114"/>
    <w:qFormat/>
    <w:uiPriority w:val="0"/>
    <w:rPr>
      <w:rFonts w:eastAsia="Times New Roman"/>
      <w:kern w:val="2"/>
      <w:sz w:val="24"/>
      <w:szCs w:val="24"/>
    </w:rPr>
  </w:style>
  <w:style w:type="character" w:customStyle="1" w:styleId="217">
    <w:name w:val="z-窗体顶端 Char"/>
    <w:basedOn w:val="50"/>
    <w:link w:val="117"/>
    <w:qFormat/>
    <w:uiPriority w:val="0"/>
    <w:rPr>
      <w:rFonts w:ascii="Arial" w:hAnsi="Calibri"/>
      <w:vanish/>
      <w:kern w:val="2"/>
      <w:sz w:val="16"/>
      <w:szCs w:val="24"/>
    </w:rPr>
  </w:style>
  <w:style w:type="character" w:customStyle="1" w:styleId="218">
    <w:name w:val="z-窗体底端 Char"/>
    <w:basedOn w:val="50"/>
    <w:link w:val="124"/>
    <w:qFormat/>
    <w:uiPriority w:val="0"/>
    <w:rPr>
      <w:rFonts w:ascii="Arial" w:hAnsi="Calibri"/>
      <w:vanish/>
      <w:kern w:val="2"/>
      <w:sz w:val="16"/>
      <w:szCs w:val="24"/>
    </w:rPr>
  </w:style>
  <w:style w:type="character" w:customStyle="1" w:styleId="219">
    <w:name w:val="正文2 Char"/>
    <w:qFormat/>
    <w:uiPriority w:val="0"/>
    <w:rPr>
      <w:rFonts w:eastAsia="宋体"/>
      <w:kern w:val="2"/>
      <w:sz w:val="24"/>
      <w:lang w:val="en-US" w:eastAsia="zh-CN" w:bidi="ar-SA"/>
    </w:rPr>
  </w:style>
  <w:style w:type="table" w:customStyle="1" w:styleId="220">
    <w:name w:val="表样式"/>
    <w:basedOn w:val="47"/>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221">
    <w:name w:val="浅色列表1"/>
    <w:basedOn w:val="47"/>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22">
    <w:name w:val="Table Normal"/>
    <w:qFormat/>
    <w:uiPriority w:val="0"/>
    <w:tblPr>
      <w:tblCellMar>
        <w:top w:w="0" w:type="dxa"/>
        <w:left w:w="0" w:type="dxa"/>
        <w:bottom w:w="0" w:type="dxa"/>
        <w:right w:w="0" w:type="dxa"/>
      </w:tblCellMar>
    </w:tblPr>
  </w:style>
  <w:style w:type="paragraph" w:styleId="223">
    <w:name w:val="List Paragraph"/>
    <w:basedOn w:val="1"/>
    <w:qFormat/>
    <w:uiPriority w:val="99"/>
    <w:pPr>
      <w:spacing w:line="360" w:lineRule="auto"/>
      <w:ind w:firstLine="420" w:firstLineChars="200"/>
    </w:pPr>
    <w:rPr>
      <w:rFonts w:eastAsiaTheme="minorEastAsia" w:cstheme="minorBidi"/>
      <w:sz w:val="24"/>
      <w:szCs w:val="22"/>
    </w:rPr>
  </w:style>
  <w:style w:type="paragraph" w:customStyle="1" w:styleId="224">
    <w:name w:val="正文缩进2格"/>
    <w:basedOn w:val="1"/>
    <w:qFormat/>
    <w:uiPriority w:val="0"/>
    <w:pPr>
      <w:widowControl/>
      <w:spacing w:line="600" w:lineRule="exact"/>
      <w:ind w:firstLine="639" w:firstLineChars="206"/>
      <w:jc w:val="left"/>
    </w:pPr>
    <w:rPr>
      <w:rFonts w:ascii="仿宋_GB2312" w:hAnsi="宋体" w:eastAsia="仿宋_GB2312"/>
      <w:kern w:val="0"/>
      <w:sz w:val="31"/>
      <w:szCs w:val="28"/>
    </w:rPr>
  </w:style>
  <w:style w:type="paragraph" w:customStyle="1" w:styleId="225">
    <w:name w:val="正文 A"/>
    <w:qFormat/>
    <w:uiPriority w:val="0"/>
    <w:pPr>
      <w:widowControl w:val="0"/>
      <w:jc w:val="both"/>
    </w:pPr>
    <w:rPr>
      <w:rFonts w:ascii="Times New Roman" w:hAnsi="Times New Roman" w:eastAsia="宋体" w:cs="Times New Roman"/>
      <w:color w:val="000000"/>
      <w:kern w:val="2"/>
      <w:sz w:val="28"/>
      <w:szCs w:val="28"/>
      <w:u w:color="000000"/>
      <w:lang w:val="en-US" w:eastAsia="zh-CN" w:bidi="ar-SA"/>
    </w:rPr>
  </w:style>
  <w:style w:type="paragraph" w:customStyle="1" w:styleId="226">
    <w:name w:val="纯文本3"/>
    <w:basedOn w:val="1"/>
    <w:qFormat/>
    <w:uiPriority w:val="0"/>
    <w:pPr>
      <w:adjustRightInd w:val="0"/>
      <w:textAlignment w:val="baseline"/>
    </w:pPr>
    <w:rPr>
      <w:rFonts w:ascii="宋体" w:hAnsi="Courier New" w:eastAsia="楷体_GB2312"/>
      <w:sz w:val="26"/>
    </w:rPr>
  </w:style>
  <w:style w:type="character" w:customStyle="1" w:styleId="227">
    <w:name w:val="未处理的提及1"/>
    <w:basedOn w:val="5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B80418-A190-4E42-A032-AB54341F373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4844</Words>
  <Characters>27616</Characters>
  <Lines>230</Lines>
  <Paragraphs>64</Paragraphs>
  <TotalTime>0</TotalTime>
  <ScaleCrop>false</ScaleCrop>
  <LinksUpToDate>false</LinksUpToDate>
  <CharactersWithSpaces>32396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2023-07-17T12:02:00Z</dcterms:created>
  <dc:creator>微软用户</dc:creator>
  <cp:lastModifiedBy>王胤琛</cp:lastModifiedBy>
  <cp:lastPrinted>2023-09-12T02:16:00Z</cp:lastPrinted>
  <dcterms:modified xsi:type="dcterms:W3CDTF">2023-09-13T08:53:37Z</dcterms:modified>
  <dc:title>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8A4E4593C61144D6AFA2EE334BB957C4_13</vt:lpwstr>
  </property>
</Properties>
</file>