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r>
        <w:rPr>
          <w:rFonts w:hint="eastAsia"/>
          <w:b/>
          <w:sz w:val="44"/>
          <w:szCs w:val="44"/>
        </w:rPr>
        <w:t>更正函</w:t>
      </w:r>
    </w:p>
    <w:p>
      <w:pPr>
        <w:spacing w:line="420" w:lineRule="exact"/>
        <w:rPr>
          <w:rFonts w:hint="eastAsia"/>
          <w:sz w:val="28"/>
          <w:szCs w:val="28"/>
          <w:lang w:val="en-US" w:eastAsia="zh-CN"/>
        </w:rPr>
      </w:pPr>
      <w:r>
        <w:rPr>
          <w:rFonts w:hint="eastAsia"/>
          <w:sz w:val="28"/>
          <w:szCs w:val="28"/>
          <w:lang w:val="en-US" w:eastAsia="zh-CN"/>
        </w:rPr>
        <w:t>各投标供应商：</w:t>
      </w:r>
    </w:p>
    <w:p>
      <w:pPr>
        <w:spacing w:line="420" w:lineRule="exact"/>
        <w:ind w:firstLine="411" w:firstLineChars="147"/>
        <w:rPr>
          <w:rFonts w:hint="eastAsia" w:ascii="Times New Roman" w:hAnsi="Times New Roman" w:eastAsia="宋体" w:cs="Times New Roman"/>
          <w:sz w:val="28"/>
          <w:szCs w:val="28"/>
          <w:lang w:val="en-US" w:eastAsia="zh-CN"/>
        </w:rPr>
      </w:pPr>
    </w:p>
    <w:p>
      <w:pPr>
        <w:spacing w:line="420" w:lineRule="exact"/>
        <w:ind w:firstLine="411" w:firstLineChars="147"/>
        <w:rPr>
          <w:rFonts w:hint="eastAsia"/>
          <w:sz w:val="28"/>
          <w:szCs w:val="28"/>
          <w:lang w:val="en-US" w:eastAsia="zh-CN"/>
        </w:rPr>
      </w:pPr>
      <w:r>
        <w:rPr>
          <w:rFonts w:hint="eastAsia"/>
          <w:sz w:val="28"/>
          <w:szCs w:val="28"/>
          <w:lang w:val="en-US" w:eastAsia="zh-CN"/>
        </w:rPr>
        <w:t>安吉县医疗保障事业管理服务中心医保综合信息系统维护项目 （PWCS2022-005</w:t>
      </w:r>
      <w:r>
        <w:rPr>
          <w:rFonts w:hint="eastAsia"/>
          <w:sz w:val="28"/>
          <w:szCs w:val="28"/>
          <w:lang w:val="en-US" w:eastAsia="zh-CN"/>
        </w:rPr>
        <w:t>）作如下更正：</w:t>
      </w:r>
    </w:p>
    <w:p>
      <w:pPr>
        <w:spacing w:line="420" w:lineRule="exact"/>
        <w:ind w:firstLine="411" w:firstLineChars="147"/>
        <w:rPr>
          <w:rFonts w:hint="eastAsia"/>
          <w:b w:val="0"/>
          <w:bCs w:val="0"/>
          <w:kern w:val="2"/>
          <w:sz w:val="28"/>
          <w:szCs w:val="28"/>
          <w:lang w:val="en-US" w:eastAsia="zh-CN" w:bidi="ar-SA"/>
        </w:rPr>
      </w:pPr>
    </w:p>
    <w:p>
      <w:pPr>
        <w:spacing w:line="420" w:lineRule="exact"/>
        <w:ind w:firstLine="411" w:firstLineChars="147"/>
        <w:rPr>
          <w:rFonts w:hint="default"/>
          <w:b w:val="0"/>
          <w:bCs w:val="0"/>
          <w:kern w:val="2"/>
          <w:sz w:val="28"/>
          <w:szCs w:val="28"/>
          <w:lang w:val="en-US" w:eastAsia="zh-CN" w:bidi="ar-SA"/>
        </w:rPr>
      </w:pPr>
      <w:r>
        <w:rPr>
          <w:rFonts w:hint="eastAsia"/>
          <w:b w:val="0"/>
          <w:bCs w:val="0"/>
          <w:kern w:val="2"/>
          <w:sz w:val="28"/>
          <w:szCs w:val="28"/>
          <w:lang w:val="en-US" w:eastAsia="zh-CN" w:bidi="ar-SA"/>
        </w:rPr>
        <w:t>更正事项1：P23评分细则</w:t>
      </w:r>
    </w:p>
    <w:p>
      <w:pPr>
        <w:spacing w:line="420" w:lineRule="exact"/>
        <w:ind w:firstLine="691" w:firstLineChars="247"/>
        <w:rPr>
          <w:rFonts w:hint="eastAsia"/>
          <w:lang w:val="en-US" w:eastAsia="zh-CN"/>
        </w:rPr>
      </w:pPr>
      <w:r>
        <w:rPr>
          <w:rFonts w:hint="eastAsia"/>
          <w:b w:val="0"/>
          <w:bCs w:val="0"/>
          <w:kern w:val="2"/>
          <w:sz w:val="28"/>
          <w:szCs w:val="28"/>
          <w:lang w:val="en-US" w:eastAsia="zh-CN" w:bidi="ar-SA"/>
        </w:rPr>
        <w:t>更正前：</w:t>
      </w:r>
    </w:p>
    <w:tbl>
      <w:tblPr>
        <w:tblStyle w:val="7"/>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6"/>
        <w:gridCol w:w="6662"/>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67" w:type="dxa"/>
            <w:vAlign w:val="center"/>
          </w:tcPr>
          <w:p>
            <w:pPr>
              <w:spacing w:line="360" w:lineRule="auto"/>
              <w:jc w:val="center"/>
              <w:rPr>
                <w:rFonts w:ascii="宋体" w:hAnsi="宋体" w:eastAsia="宋体"/>
                <w:b/>
                <w:bCs/>
                <w:sz w:val="22"/>
              </w:rPr>
            </w:pPr>
            <w:r>
              <w:rPr>
                <w:rFonts w:hint="eastAsia" w:ascii="宋体" w:hAnsi="宋体" w:eastAsia="宋体"/>
                <w:b/>
                <w:bCs/>
                <w:sz w:val="22"/>
              </w:rPr>
              <w:t>序号</w:t>
            </w:r>
          </w:p>
        </w:tc>
        <w:tc>
          <w:tcPr>
            <w:tcW w:w="1276" w:type="dxa"/>
            <w:vAlign w:val="center"/>
          </w:tcPr>
          <w:p>
            <w:pPr>
              <w:spacing w:line="360" w:lineRule="auto"/>
              <w:jc w:val="center"/>
              <w:rPr>
                <w:rFonts w:ascii="宋体" w:hAnsi="宋体" w:eastAsia="宋体"/>
                <w:sz w:val="22"/>
              </w:rPr>
            </w:pPr>
            <w:r>
              <w:rPr>
                <w:rFonts w:hint="eastAsia" w:ascii="宋体" w:hAnsi="宋体" w:eastAsia="宋体"/>
                <w:b/>
                <w:bCs/>
                <w:sz w:val="22"/>
              </w:rPr>
              <w:t>评分因素</w:t>
            </w:r>
          </w:p>
        </w:tc>
        <w:tc>
          <w:tcPr>
            <w:tcW w:w="6662" w:type="dxa"/>
            <w:vAlign w:val="center"/>
          </w:tcPr>
          <w:p>
            <w:pPr>
              <w:spacing w:line="360" w:lineRule="auto"/>
              <w:jc w:val="center"/>
              <w:rPr>
                <w:rFonts w:ascii="宋体" w:hAnsi="宋体" w:eastAsia="宋体"/>
                <w:sz w:val="22"/>
              </w:rPr>
            </w:pPr>
            <w:r>
              <w:rPr>
                <w:rFonts w:hint="eastAsia" w:ascii="宋体" w:hAnsi="宋体" w:eastAsia="宋体"/>
                <w:b/>
                <w:bCs/>
                <w:sz w:val="22"/>
              </w:rPr>
              <w:t>评分细则</w:t>
            </w:r>
          </w:p>
        </w:tc>
        <w:tc>
          <w:tcPr>
            <w:tcW w:w="567" w:type="dxa"/>
            <w:vAlign w:val="center"/>
          </w:tcPr>
          <w:p>
            <w:pPr>
              <w:spacing w:line="360" w:lineRule="auto"/>
              <w:jc w:val="center"/>
              <w:rPr>
                <w:rFonts w:ascii="宋体" w:hAnsi="宋体" w:eastAsia="宋体"/>
                <w:sz w:val="22"/>
              </w:rPr>
            </w:pPr>
            <w:r>
              <w:rPr>
                <w:rFonts w:hint="eastAsia" w:ascii="宋体" w:hAnsi="宋体" w:eastAsia="宋体" w:cs="宋体"/>
                <w:b/>
                <w:bCs/>
                <w:kern w:val="0"/>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67" w:type="dxa"/>
            <w:vAlign w:val="center"/>
          </w:tcPr>
          <w:p>
            <w:pPr>
              <w:pStyle w:val="11"/>
              <w:numPr>
                <w:ilvl w:val="0"/>
                <w:numId w:val="1"/>
              </w:numPr>
              <w:spacing w:line="360" w:lineRule="auto"/>
              <w:ind w:left="0" w:firstLine="0" w:firstLineChars="0"/>
              <w:rPr>
                <w:rFonts w:hint="eastAsia" w:ascii="微软雅黑" w:hAnsi="微软雅黑" w:eastAsia="微软雅黑" w:cs="Times New Roman"/>
                <w:kern w:val="2"/>
                <w:sz w:val="21"/>
                <w:szCs w:val="21"/>
                <w:lang w:val="en-US" w:eastAsia="zh-CN" w:bidi="ar-SA"/>
              </w:rPr>
            </w:pPr>
          </w:p>
        </w:tc>
        <w:tc>
          <w:tcPr>
            <w:tcW w:w="1276" w:type="dxa"/>
            <w:vAlign w:val="center"/>
          </w:tcPr>
          <w:p>
            <w:pPr>
              <w:spacing w:line="360" w:lineRule="auto"/>
              <w:jc w:val="center"/>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项目理解</w:t>
            </w:r>
          </w:p>
        </w:tc>
        <w:tc>
          <w:tcPr>
            <w:tcW w:w="6662" w:type="dxa"/>
            <w:vAlign w:val="center"/>
          </w:tcPr>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1、根据供应商对市医保信息系统（包含医保综合系统、医保支付系统）业务功能的了解情况进行综合评分，非常了解得4-5分，较了解得2-3分，一般得0-1分，不提供不得分。</w:t>
            </w:r>
          </w:p>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2、根据供应商对市医保信息系统技术架构、系统架构、部署架构的了解情况进行综合评分，非常了解得4-5分，较了解得2-3分，一般得0-1分，不提供不得分。</w:t>
            </w:r>
          </w:p>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3、根据供应商对市医保信息系统核心数据库表的了解情况进行综合评分，非常了解得4-5分，较了解得2-3分，一般得0-1分，不提供不得分。</w:t>
            </w:r>
          </w:p>
        </w:tc>
        <w:tc>
          <w:tcPr>
            <w:tcW w:w="567" w:type="dxa"/>
            <w:vAlign w:val="center"/>
          </w:tcPr>
          <w:p>
            <w:pPr>
              <w:spacing w:line="360" w:lineRule="auto"/>
              <w:jc w:val="center"/>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67" w:type="dxa"/>
            <w:vAlign w:val="center"/>
          </w:tcPr>
          <w:p>
            <w:pPr>
              <w:pStyle w:val="11"/>
              <w:numPr>
                <w:ilvl w:val="0"/>
                <w:numId w:val="1"/>
              </w:numPr>
              <w:spacing w:line="360" w:lineRule="auto"/>
              <w:ind w:left="0" w:firstLine="0" w:firstLineChars="0"/>
              <w:rPr>
                <w:rFonts w:hint="eastAsia" w:ascii="微软雅黑" w:hAnsi="微软雅黑" w:eastAsia="微软雅黑" w:cs="Times New Roman"/>
                <w:kern w:val="2"/>
                <w:sz w:val="21"/>
                <w:szCs w:val="21"/>
                <w:lang w:val="en-US" w:eastAsia="zh-CN" w:bidi="ar-SA"/>
              </w:rPr>
            </w:pPr>
          </w:p>
        </w:tc>
        <w:tc>
          <w:tcPr>
            <w:tcW w:w="1276" w:type="dxa"/>
            <w:vAlign w:val="center"/>
          </w:tcPr>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磋商响应方案总体的完整性、科学性和合理性</w:t>
            </w:r>
          </w:p>
        </w:tc>
        <w:tc>
          <w:tcPr>
            <w:tcW w:w="6662" w:type="dxa"/>
            <w:vAlign w:val="center"/>
          </w:tcPr>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1、供应商提供的响应方案完全满足招标技术要求的得5分，每一项不满足的扣1分，扣完为止，0-5分。</w:t>
            </w:r>
          </w:p>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2、根据供应商提供的运行服务保障应急预案以及方案对可能遇到的问题及其应对措施的考虑情况综合评分，0-5分。</w:t>
            </w:r>
          </w:p>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3、根据供应商提供的定期巡检制度和系统软件运行情况报告制度，定期出具巡检和系统软件运行情况报告综合评分，0-5分。</w:t>
            </w:r>
          </w:p>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4、供应商具有完善的保密管理制度且具有国家保密局“涉密信息系统集成资质证书”软件开发类甲级证书的得5分，乙级证书得2分，其他不得。</w:t>
            </w:r>
          </w:p>
        </w:tc>
        <w:tc>
          <w:tcPr>
            <w:tcW w:w="567" w:type="dxa"/>
            <w:vAlign w:val="center"/>
          </w:tcPr>
          <w:p>
            <w:pPr>
              <w:spacing w:line="360" w:lineRule="auto"/>
              <w:jc w:val="center"/>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7" w:type="dxa"/>
            <w:vAlign w:val="center"/>
          </w:tcPr>
          <w:p>
            <w:pPr>
              <w:pStyle w:val="11"/>
              <w:numPr>
                <w:ilvl w:val="0"/>
                <w:numId w:val="1"/>
              </w:numPr>
              <w:spacing w:line="360" w:lineRule="auto"/>
              <w:ind w:left="0" w:firstLine="0" w:firstLineChars="0"/>
              <w:rPr>
                <w:rFonts w:hint="eastAsia" w:ascii="微软雅黑" w:hAnsi="微软雅黑" w:eastAsia="微软雅黑" w:cs="Times New Roman"/>
                <w:kern w:val="2"/>
                <w:sz w:val="21"/>
                <w:szCs w:val="21"/>
                <w:lang w:val="en-US" w:eastAsia="zh-CN" w:bidi="ar-SA"/>
              </w:rPr>
            </w:pPr>
          </w:p>
        </w:tc>
        <w:tc>
          <w:tcPr>
            <w:tcW w:w="1276" w:type="dxa"/>
            <w:vAlign w:val="center"/>
          </w:tcPr>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维护服务方案的优势情况</w:t>
            </w:r>
          </w:p>
        </w:tc>
        <w:tc>
          <w:tcPr>
            <w:tcW w:w="6662" w:type="dxa"/>
            <w:vAlign w:val="center"/>
          </w:tcPr>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1、供应商对维护需求中有关维护服务是否提供7×24小时服务，以确保维保服务标准和质量（3分）。</w:t>
            </w:r>
          </w:p>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2、供应商的后续技术支持、维护能力（3分）；服务承诺的可行性、完整性以及服务承诺惩罚措施等（3分）。</w:t>
            </w:r>
          </w:p>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3、供应商具有自主开发的运维信息化系统作为本次项目运维支撑（3分）</w:t>
            </w:r>
            <w:r>
              <w:rPr>
                <w:rFonts w:hint="eastAsia" w:ascii="微软雅黑" w:hAnsi="微软雅黑" w:eastAsia="微软雅黑" w:cs="Times New Roman"/>
                <w:b/>
                <w:bCs/>
                <w:kern w:val="2"/>
                <w:sz w:val="21"/>
                <w:szCs w:val="21"/>
                <w:lang w:val="en-US" w:eastAsia="zh-CN" w:bidi="ar-SA"/>
              </w:rPr>
              <w:t>（需提供系统相关页面的截图）</w:t>
            </w:r>
          </w:p>
        </w:tc>
        <w:tc>
          <w:tcPr>
            <w:tcW w:w="567" w:type="dxa"/>
            <w:vAlign w:val="center"/>
          </w:tcPr>
          <w:p>
            <w:pPr>
              <w:spacing w:line="360" w:lineRule="auto"/>
              <w:jc w:val="center"/>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567" w:type="dxa"/>
            <w:vAlign w:val="center"/>
          </w:tcPr>
          <w:p>
            <w:pPr>
              <w:pStyle w:val="11"/>
              <w:numPr>
                <w:ilvl w:val="0"/>
                <w:numId w:val="1"/>
              </w:numPr>
              <w:spacing w:line="360" w:lineRule="auto"/>
              <w:ind w:left="0" w:firstLine="0" w:firstLineChars="0"/>
              <w:rPr>
                <w:rFonts w:hint="eastAsia" w:ascii="微软雅黑" w:hAnsi="微软雅黑" w:eastAsia="微软雅黑" w:cs="Times New Roman"/>
                <w:kern w:val="2"/>
                <w:sz w:val="21"/>
                <w:szCs w:val="21"/>
                <w:lang w:val="en-US" w:eastAsia="zh-CN" w:bidi="ar-SA"/>
              </w:rPr>
            </w:pPr>
          </w:p>
        </w:tc>
        <w:tc>
          <w:tcPr>
            <w:tcW w:w="1276" w:type="dxa"/>
            <w:vAlign w:val="center"/>
          </w:tcPr>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组织实施方案</w:t>
            </w:r>
          </w:p>
        </w:tc>
        <w:tc>
          <w:tcPr>
            <w:tcW w:w="6662" w:type="dxa"/>
            <w:vAlign w:val="center"/>
          </w:tcPr>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1、供应商提供的项目组织实施方案的科学性、合理性、规范性和可操作性，方案包括：组织机构（1分）、工作时间进度表（1分）、工作程序和步骤（1分）、管理和协调方法（1分）；</w:t>
            </w:r>
          </w:p>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2、供应商提供的培训计划的合理性、可行性等，计划内容需包括：培训内容、时间、地点、人次等（3分）；</w:t>
            </w:r>
          </w:p>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3、供应商提出的验收方案的合理性、可行性情况等（3分）。</w:t>
            </w:r>
          </w:p>
        </w:tc>
        <w:tc>
          <w:tcPr>
            <w:tcW w:w="567" w:type="dxa"/>
            <w:vAlign w:val="center"/>
          </w:tcPr>
          <w:p>
            <w:pPr>
              <w:spacing w:line="360" w:lineRule="auto"/>
              <w:jc w:val="center"/>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2" w:hRule="atLeast"/>
        </w:trPr>
        <w:tc>
          <w:tcPr>
            <w:tcW w:w="567" w:type="dxa"/>
            <w:vAlign w:val="center"/>
          </w:tcPr>
          <w:p>
            <w:pPr>
              <w:pStyle w:val="11"/>
              <w:numPr>
                <w:ilvl w:val="0"/>
                <w:numId w:val="1"/>
              </w:numPr>
              <w:spacing w:line="360" w:lineRule="auto"/>
              <w:ind w:left="0" w:firstLine="0" w:firstLineChars="0"/>
              <w:rPr>
                <w:rFonts w:hint="eastAsia" w:ascii="微软雅黑" w:hAnsi="微软雅黑" w:eastAsia="微软雅黑" w:cs="Times New Roman"/>
                <w:kern w:val="2"/>
                <w:sz w:val="21"/>
                <w:szCs w:val="21"/>
                <w:lang w:val="en-US" w:eastAsia="zh-CN" w:bidi="ar-SA"/>
              </w:rPr>
            </w:pPr>
          </w:p>
        </w:tc>
        <w:tc>
          <w:tcPr>
            <w:tcW w:w="1276" w:type="dxa"/>
            <w:vAlign w:val="center"/>
          </w:tcPr>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维护团队人员情况</w:t>
            </w:r>
          </w:p>
        </w:tc>
        <w:tc>
          <w:tcPr>
            <w:tcW w:w="6662" w:type="dxa"/>
            <w:vAlign w:val="center"/>
          </w:tcPr>
          <w:p>
            <w:pPr>
              <w:spacing w:line="360" w:lineRule="auto"/>
              <w:rPr>
                <w:rFonts w:hint="eastAsia" w:ascii="微软雅黑" w:hAnsi="微软雅黑" w:eastAsia="微软雅黑" w:cs="Times New Roman"/>
                <w:b/>
                <w:bCs/>
                <w:kern w:val="2"/>
                <w:sz w:val="21"/>
                <w:szCs w:val="21"/>
                <w:lang w:val="en-US" w:eastAsia="zh-CN" w:bidi="ar-SA"/>
              </w:rPr>
            </w:pPr>
            <w:r>
              <w:rPr>
                <w:rFonts w:hint="eastAsia" w:ascii="微软雅黑" w:hAnsi="微软雅黑" w:eastAsia="微软雅黑" w:cs="Times New Roman"/>
                <w:kern w:val="2"/>
                <w:sz w:val="21"/>
                <w:szCs w:val="21"/>
                <w:lang w:val="en-US" w:eastAsia="zh-CN" w:bidi="ar-SA"/>
              </w:rPr>
              <w:t>1、供应商提供的项目经理具有信息系统项目管理师证书和OCP证书的，每提供一类证书得1分，最高得2分，没有的不得分。</w:t>
            </w:r>
            <w:r>
              <w:rPr>
                <w:rFonts w:hint="eastAsia" w:ascii="微软雅黑" w:hAnsi="微软雅黑" w:eastAsia="微软雅黑" w:cs="Times New Roman"/>
                <w:b/>
                <w:bCs/>
                <w:kern w:val="2"/>
                <w:sz w:val="21"/>
                <w:szCs w:val="21"/>
                <w:lang w:val="en-US" w:eastAsia="zh-CN" w:bidi="ar-SA"/>
              </w:rPr>
              <w:t>（需提供社保缴费证明和证书复印件加盖公章）；</w:t>
            </w:r>
          </w:p>
          <w:p>
            <w:pPr>
              <w:spacing w:line="360" w:lineRule="auto"/>
              <w:rPr>
                <w:rFonts w:hint="eastAsia" w:ascii="微软雅黑" w:hAnsi="微软雅黑" w:eastAsia="微软雅黑" w:cs="Times New Roman"/>
                <w:b/>
                <w:bCs/>
                <w:kern w:val="2"/>
                <w:sz w:val="21"/>
                <w:szCs w:val="21"/>
                <w:lang w:val="en-US" w:eastAsia="zh-CN" w:bidi="ar-SA"/>
              </w:rPr>
            </w:pPr>
            <w:r>
              <w:rPr>
                <w:rFonts w:hint="eastAsia" w:ascii="微软雅黑" w:hAnsi="微软雅黑" w:eastAsia="微软雅黑" w:cs="Times New Roman"/>
                <w:kern w:val="2"/>
                <w:sz w:val="21"/>
                <w:szCs w:val="21"/>
                <w:lang w:val="en-US" w:eastAsia="zh-CN" w:bidi="ar-SA"/>
              </w:rPr>
              <w:t>2、供应商提供的技术负责人具有信息系统项目管理师证书和高级程序员证书，每提供一类证书得1分，最高得2分，没有的不得分。</w:t>
            </w:r>
            <w:r>
              <w:rPr>
                <w:rFonts w:hint="eastAsia" w:ascii="微软雅黑" w:hAnsi="微软雅黑" w:eastAsia="微软雅黑" w:cs="Times New Roman"/>
                <w:b/>
                <w:bCs/>
                <w:kern w:val="2"/>
                <w:sz w:val="21"/>
                <w:szCs w:val="21"/>
                <w:lang w:val="en-US" w:eastAsia="zh-CN" w:bidi="ar-SA"/>
              </w:rPr>
              <w:t>（需提供社保缴费证明和证书复印件加盖公章）；</w:t>
            </w:r>
          </w:p>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3、供应商提供的技术团队人员中具有PMP证书、BEA证书、ITIL专家认证证书、OCM认证工程师证书的，每提供一类证书得1分，最高得4分</w:t>
            </w:r>
            <w:r>
              <w:rPr>
                <w:rFonts w:hint="eastAsia" w:ascii="微软雅黑" w:hAnsi="微软雅黑" w:eastAsia="微软雅黑" w:cs="Times New Roman"/>
                <w:b/>
                <w:bCs/>
                <w:kern w:val="2"/>
                <w:sz w:val="21"/>
                <w:szCs w:val="21"/>
                <w:lang w:val="en-US" w:eastAsia="zh-CN" w:bidi="ar-SA"/>
              </w:rPr>
              <w:t>（需提供社保缴费证明和证书复印件加盖公章）</w:t>
            </w:r>
          </w:p>
        </w:tc>
        <w:tc>
          <w:tcPr>
            <w:tcW w:w="567" w:type="dxa"/>
            <w:vAlign w:val="center"/>
          </w:tcPr>
          <w:p>
            <w:pPr>
              <w:spacing w:line="360" w:lineRule="auto"/>
              <w:jc w:val="center"/>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67" w:type="dxa"/>
            <w:vAlign w:val="center"/>
          </w:tcPr>
          <w:p>
            <w:pPr>
              <w:pStyle w:val="11"/>
              <w:numPr>
                <w:ilvl w:val="0"/>
                <w:numId w:val="1"/>
              </w:numPr>
              <w:spacing w:line="360" w:lineRule="auto"/>
              <w:ind w:left="0" w:firstLine="0" w:firstLineChars="0"/>
              <w:rPr>
                <w:rFonts w:hint="eastAsia" w:ascii="微软雅黑" w:hAnsi="微软雅黑" w:eastAsia="微软雅黑" w:cs="Times New Roman"/>
                <w:kern w:val="2"/>
                <w:sz w:val="21"/>
                <w:szCs w:val="21"/>
                <w:lang w:val="en-US" w:eastAsia="zh-CN" w:bidi="ar-SA"/>
              </w:rPr>
            </w:pPr>
          </w:p>
        </w:tc>
        <w:tc>
          <w:tcPr>
            <w:tcW w:w="1276" w:type="dxa"/>
            <w:vAlign w:val="center"/>
          </w:tcPr>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szCs w:val="21"/>
                <w:lang w:val="en-US" w:eastAsia="zh-CN"/>
              </w:rPr>
              <w:t>技术服务团队</w:t>
            </w:r>
          </w:p>
        </w:tc>
        <w:tc>
          <w:tcPr>
            <w:tcW w:w="6662" w:type="dxa"/>
            <w:vAlign w:val="center"/>
          </w:tcPr>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szCs w:val="21"/>
              </w:rPr>
              <w:t>根据中标后在职人员入驻的及时响应情况，承诺合同签订后一个星期入驻的得</w:t>
            </w:r>
            <w:r>
              <w:rPr>
                <w:rFonts w:hint="eastAsia" w:ascii="微软雅黑" w:hAnsi="微软雅黑" w:eastAsia="微软雅黑" w:cs="Times New Roman"/>
                <w:szCs w:val="21"/>
                <w:lang w:val="en-US" w:eastAsia="zh-CN"/>
              </w:rPr>
              <w:t>3</w:t>
            </w:r>
            <w:r>
              <w:rPr>
                <w:rFonts w:hint="eastAsia" w:ascii="微软雅黑" w:hAnsi="微软雅黑" w:eastAsia="微软雅黑" w:cs="Times New Roman"/>
                <w:szCs w:val="21"/>
              </w:rPr>
              <w:t>分，半个月入驻的得</w:t>
            </w:r>
            <w:r>
              <w:rPr>
                <w:rFonts w:hint="eastAsia" w:ascii="微软雅黑" w:hAnsi="微软雅黑" w:eastAsia="微软雅黑" w:cs="Times New Roman"/>
                <w:szCs w:val="21"/>
                <w:lang w:val="en-US" w:eastAsia="zh-CN"/>
              </w:rPr>
              <w:t>2</w:t>
            </w:r>
            <w:r>
              <w:rPr>
                <w:rFonts w:hint="eastAsia" w:ascii="微软雅黑" w:hAnsi="微软雅黑" w:eastAsia="微软雅黑" w:cs="Times New Roman"/>
                <w:szCs w:val="21"/>
              </w:rPr>
              <w:t>分，不承诺不得分。</w:t>
            </w:r>
          </w:p>
        </w:tc>
        <w:tc>
          <w:tcPr>
            <w:tcW w:w="567" w:type="dxa"/>
            <w:vAlign w:val="center"/>
          </w:tcPr>
          <w:p>
            <w:pPr>
              <w:spacing w:line="360" w:lineRule="auto"/>
              <w:jc w:val="center"/>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67" w:type="dxa"/>
            <w:vAlign w:val="center"/>
          </w:tcPr>
          <w:p>
            <w:pPr>
              <w:pStyle w:val="11"/>
              <w:numPr>
                <w:ilvl w:val="0"/>
                <w:numId w:val="1"/>
              </w:numPr>
              <w:spacing w:line="360" w:lineRule="auto"/>
              <w:ind w:left="0" w:firstLine="0" w:firstLineChars="0"/>
              <w:rPr>
                <w:rFonts w:hint="eastAsia" w:ascii="微软雅黑" w:hAnsi="微软雅黑" w:eastAsia="微软雅黑" w:cs="Times New Roman"/>
                <w:kern w:val="2"/>
                <w:sz w:val="21"/>
                <w:szCs w:val="21"/>
                <w:lang w:val="en-US" w:eastAsia="zh-CN" w:bidi="ar-SA"/>
              </w:rPr>
            </w:pPr>
          </w:p>
        </w:tc>
        <w:tc>
          <w:tcPr>
            <w:tcW w:w="1276" w:type="dxa"/>
            <w:vAlign w:val="center"/>
          </w:tcPr>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改进措施和合理化建议</w:t>
            </w:r>
          </w:p>
        </w:tc>
        <w:tc>
          <w:tcPr>
            <w:tcW w:w="6662" w:type="dxa"/>
            <w:vAlign w:val="center"/>
          </w:tcPr>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 xml:space="preserve">供应商针对本次维护需求，提出有效的改进措施和合理化建议。 </w:t>
            </w:r>
          </w:p>
        </w:tc>
        <w:tc>
          <w:tcPr>
            <w:tcW w:w="567" w:type="dxa"/>
            <w:vAlign w:val="center"/>
          </w:tcPr>
          <w:p>
            <w:pPr>
              <w:spacing w:line="360" w:lineRule="auto"/>
              <w:jc w:val="center"/>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67" w:type="dxa"/>
            <w:vAlign w:val="center"/>
          </w:tcPr>
          <w:p>
            <w:pPr>
              <w:pStyle w:val="11"/>
              <w:numPr>
                <w:ilvl w:val="0"/>
                <w:numId w:val="1"/>
              </w:numPr>
              <w:spacing w:line="360" w:lineRule="auto"/>
              <w:ind w:left="0" w:firstLine="0" w:firstLineChars="0"/>
              <w:rPr>
                <w:rFonts w:hint="eastAsia" w:ascii="微软雅黑" w:hAnsi="微软雅黑" w:eastAsia="微软雅黑" w:cs="Times New Roman"/>
                <w:kern w:val="2"/>
                <w:sz w:val="21"/>
                <w:szCs w:val="21"/>
                <w:lang w:val="en-US" w:eastAsia="zh-CN" w:bidi="ar-SA"/>
              </w:rPr>
            </w:pPr>
          </w:p>
        </w:tc>
        <w:tc>
          <w:tcPr>
            <w:tcW w:w="1276" w:type="dxa"/>
            <w:vAlign w:val="center"/>
          </w:tcPr>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企业总体情况</w:t>
            </w:r>
          </w:p>
        </w:tc>
        <w:tc>
          <w:tcPr>
            <w:tcW w:w="6662" w:type="dxa"/>
            <w:vAlign w:val="center"/>
          </w:tcPr>
          <w:p>
            <w:pPr>
              <w:spacing w:line="360" w:lineRule="auto"/>
              <w:rPr>
                <w:rFonts w:hint="eastAsia" w:ascii="微软雅黑" w:hAnsi="微软雅黑" w:eastAsia="微软雅黑" w:cs="Times New Roman"/>
                <w:b/>
                <w:bCs/>
                <w:kern w:val="2"/>
                <w:sz w:val="21"/>
                <w:szCs w:val="21"/>
                <w:lang w:val="en-US" w:eastAsia="zh-CN" w:bidi="ar-SA"/>
              </w:rPr>
            </w:pPr>
            <w:r>
              <w:rPr>
                <w:rFonts w:hint="eastAsia" w:ascii="微软雅黑" w:hAnsi="微软雅黑" w:eastAsia="微软雅黑" w:cs="Times New Roman"/>
                <w:kern w:val="2"/>
                <w:sz w:val="21"/>
                <w:szCs w:val="21"/>
                <w:lang w:val="en-US" w:eastAsia="zh-CN" w:bidi="ar-SA"/>
              </w:rPr>
              <w:t>1、供应商具有有效的ITSS信息技术服务运行维护标准二级及以上证书得3分，二级以下证书得1分，没有不得分</w:t>
            </w:r>
            <w:r>
              <w:rPr>
                <w:rFonts w:hint="eastAsia" w:ascii="微软雅黑" w:hAnsi="微软雅黑" w:eastAsia="微软雅黑" w:cs="Times New Roman"/>
                <w:b/>
                <w:bCs/>
                <w:kern w:val="2"/>
                <w:sz w:val="21"/>
                <w:szCs w:val="21"/>
                <w:lang w:val="en-US" w:eastAsia="zh-CN" w:bidi="ar-SA"/>
              </w:rPr>
              <w:t>（提供证书复印件加盖单位公章；</w:t>
            </w:r>
          </w:p>
          <w:p>
            <w:pPr>
              <w:spacing w:line="360" w:lineRule="auto"/>
              <w:rPr>
                <w:rFonts w:hint="eastAsia" w:ascii="微软雅黑" w:hAnsi="微软雅黑" w:eastAsia="微软雅黑" w:cs="Times New Roman"/>
                <w:b/>
                <w:bCs/>
                <w:kern w:val="2"/>
                <w:sz w:val="21"/>
                <w:szCs w:val="21"/>
                <w:lang w:val="en-US" w:eastAsia="zh-CN" w:bidi="ar-SA"/>
              </w:rPr>
            </w:pPr>
            <w:r>
              <w:rPr>
                <w:rFonts w:hint="eastAsia" w:ascii="微软雅黑" w:hAnsi="微软雅黑" w:eastAsia="微软雅黑" w:cs="Times New Roman"/>
                <w:kern w:val="2"/>
                <w:sz w:val="21"/>
                <w:szCs w:val="21"/>
                <w:lang w:val="en-US" w:eastAsia="zh-CN" w:bidi="ar-SA"/>
              </w:rPr>
              <w:t>2、供应商具有有效的信息安全管理体系认证证书、IT服务管理体系认证证书、质量管理体系认证证书的，每提供一个得1分，最高得3分</w:t>
            </w:r>
            <w:r>
              <w:rPr>
                <w:rFonts w:hint="eastAsia" w:ascii="微软雅黑" w:hAnsi="微软雅黑" w:eastAsia="微软雅黑" w:cs="Times New Roman"/>
                <w:b/>
                <w:bCs/>
                <w:kern w:val="2"/>
                <w:sz w:val="21"/>
                <w:szCs w:val="21"/>
                <w:lang w:val="en-US" w:eastAsia="zh-CN" w:bidi="ar-SA"/>
              </w:rPr>
              <w:t>（提供证书复印件加盖单位公章）；</w:t>
            </w:r>
          </w:p>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3、供应商具有有效的软件成熟度模型CMMI5级证书得3分，CMMI5以下得1分，没有不得分</w:t>
            </w:r>
            <w:r>
              <w:rPr>
                <w:rFonts w:hint="eastAsia" w:ascii="微软雅黑" w:hAnsi="微软雅黑" w:eastAsia="微软雅黑" w:cs="Times New Roman"/>
                <w:b/>
                <w:bCs/>
                <w:kern w:val="2"/>
                <w:sz w:val="21"/>
                <w:szCs w:val="21"/>
                <w:lang w:val="en-US" w:eastAsia="zh-CN" w:bidi="ar-SA"/>
              </w:rPr>
              <w:t>（提供证书复印件加盖单位公章）；</w:t>
            </w:r>
          </w:p>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4、信息系统建设和服务能力评估体系CS4级及以上的证书得3分，CS4级以下得1分，没有不得分</w:t>
            </w:r>
            <w:r>
              <w:rPr>
                <w:rFonts w:hint="eastAsia" w:ascii="微软雅黑" w:hAnsi="微软雅黑" w:eastAsia="微软雅黑" w:cs="Times New Roman"/>
                <w:b/>
                <w:bCs/>
                <w:kern w:val="2"/>
                <w:sz w:val="21"/>
                <w:szCs w:val="21"/>
                <w:lang w:val="en-US" w:eastAsia="zh-CN" w:bidi="ar-SA"/>
              </w:rPr>
              <w:t>（提供证书复印件加盖单位公章）</w:t>
            </w:r>
            <w:r>
              <w:rPr>
                <w:rFonts w:hint="eastAsia" w:ascii="微软雅黑" w:hAnsi="微软雅黑" w:eastAsia="微软雅黑" w:cs="Times New Roman"/>
                <w:kern w:val="2"/>
                <w:sz w:val="21"/>
                <w:szCs w:val="21"/>
                <w:lang w:val="en-US" w:eastAsia="zh-CN" w:bidi="ar-SA"/>
              </w:rPr>
              <w:t>；</w:t>
            </w:r>
          </w:p>
        </w:tc>
        <w:tc>
          <w:tcPr>
            <w:tcW w:w="567" w:type="dxa"/>
            <w:vAlign w:val="center"/>
          </w:tcPr>
          <w:p>
            <w:pPr>
              <w:spacing w:line="360" w:lineRule="auto"/>
              <w:jc w:val="center"/>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67" w:type="dxa"/>
            <w:vAlign w:val="center"/>
          </w:tcPr>
          <w:p>
            <w:pPr>
              <w:pStyle w:val="11"/>
              <w:numPr>
                <w:ilvl w:val="0"/>
                <w:numId w:val="1"/>
              </w:numPr>
              <w:spacing w:line="360" w:lineRule="auto"/>
              <w:ind w:left="0" w:firstLine="0" w:firstLineChars="0"/>
              <w:rPr>
                <w:rFonts w:hint="eastAsia" w:ascii="微软雅黑" w:hAnsi="微软雅黑" w:eastAsia="微软雅黑" w:cs="Times New Roman"/>
                <w:kern w:val="2"/>
                <w:sz w:val="21"/>
                <w:szCs w:val="21"/>
                <w:lang w:val="en-US" w:eastAsia="zh-CN" w:bidi="ar-SA"/>
              </w:rPr>
            </w:pPr>
          </w:p>
        </w:tc>
        <w:tc>
          <w:tcPr>
            <w:tcW w:w="1276" w:type="dxa"/>
            <w:vAlign w:val="center"/>
          </w:tcPr>
          <w:p>
            <w:pPr>
              <w:adjustRightInd w:val="0"/>
              <w:snapToGrid w:val="0"/>
              <w:spacing w:line="380" w:lineRule="exact"/>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szCs w:val="21"/>
              </w:rPr>
              <w:t>成功案例及业绩</w:t>
            </w:r>
            <w:r>
              <w:rPr>
                <w:rFonts w:hint="eastAsia" w:ascii="微软雅黑" w:hAnsi="微软雅黑" w:eastAsia="微软雅黑" w:cs="Times New Roman"/>
                <w:szCs w:val="21"/>
                <w:lang w:val="en-US" w:eastAsia="zh-CN"/>
              </w:rPr>
              <w:t>1</w:t>
            </w:r>
            <w:r>
              <w:rPr>
                <w:rFonts w:hint="eastAsia" w:ascii="微软雅黑" w:hAnsi="微软雅黑" w:eastAsia="微软雅黑" w:cs="Times New Roman"/>
                <w:szCs w:val="21"/>
              </w:rPr>
              <w:t>分</w:t>
            </w:r>
          </w:p>
        </w:tc>
        <w:tc>
          <w:tcPr>
            <w:tcW w:w="6662" w:type="dxa"/>
            <w:vAlign w:val="top"/>
          </w:tcPr>
          <w:p>
            <w:pPr>
              <w:adjustRightInd w:val="0"/>
              <w:snapToGrid w:val="0"/>
              <w:spacing w:line="380" w:lineRule="exact"/>
              <w:ind w:firstLine="420" w:firstLineChars="200"/>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szCs w:val="21"/>
              </w:rPr>
              <w:t>投标人具有201</w:t>
            </w:r>
            <w:r>
              <w:rPr>
                <w:rFonts w:hint="eastAsia" w:ascii="微软雅黑" w:hAnsi="微软雅黑" w:eastAsia="微软雅黑" w:cs="Times New Roman"/>
                <w:szCs w:val="21"/>
                <w:lang w:val="en-US" w:eastAsia="zh-CN"/>
              </w:rPr>
              <w:t>9</w:t>
            </w:r>
            <w:r>
              <w:rPr>
                <w:rFonts w:hint="eastAsia" w:ascii="微软雅黑" w:hAnsi="微软雅黑" w:eastAsia="微软雅黑" w:cs="Times New Roman"/>
                <w:szCs w:val="21"/>
              </w:rPr>
              <w:t>年1月1日起至今</w:t>
            </w:r>
            <w:r>
              <w:rPr>
                <w:rFonts w:hint="eastAsia" w:ascii="微软雅黑" w:hAnsi="微软雅黑" w:eastAsia="微软雅黑" w:cs="Times New Roman"/>
                <w:szCs w:val="21"/>
                <w:lang w:val="en-US" w:eastAsia="zh-CN"/>
              </w:rPr>
              <w:t>完成</w:t>
            </w:r>
            <w:r>
              <w:rPr>
                <w:rFonts w:hint="eastAsia" w:ascii="微软雅黑" w:hAnsi="微软雅黑" w:eastAsia="微软雅黑" w:cs="Times New Roman"/>
                <w:szCs w:val="21"/>
              </w:rPr>
              <w:t>同类项目案例每提供一份得1分,最高得</w:t>
            </w:r>
            <w:r>
              <w:rPr>
                <w:rFonts w:hint="eastAsia" w:ascii="微软雅黑" w:hAnsi="微软雅黑" w:eastAsia="微软雅黑" w:cs="Times New Roman"/>
                <w:szCs w:val="21"/>
                <w:lang w:val="en-US" w:eastAsia="zh-CN"/>
              </w:rPr>
              <w:t>1</w:t>
            </w:r>
            <w:r>
              <w:rPr>
                <w:rFonts w:hint="eastAsia" w:ascii="微软雅黑" w:hAnsi="微软雅黑" w:eastAsia="微软雅黑" w:cs="Times New Roman"/>
                <w:szCs w:val="21"/>
              </w:rPr>
              <w:t>分。（提供合同复印件并加盖公章，未提供不得分）</w:t>
            </w:r>
          </w:p>
        </w:tc>
        <w:tc>
          <w:tcPr>
            <w:tcW w:w="567" w:type="dxa"/>
            <w:vAlign w:val="center"/>
          </w:tcPr>
          <w:p>
            <w:pPr>
              <w:spacing w:line="360" w:lineRule="auto"/>
              <w:jc w:val="center"/>
              <w:rPr>
                <w:rFonts w:hint="default"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1</w:t>
            </w:r>
          </w:p>
        </w:tc>
      </w:tr>
    </w:tbl>
    <w:p>
      <w:pPr>
        <w:pStyle w:val="10"/>
        <w:rPr>
          <w:rFonts w:hint="eastAsia" w:ascii="Times New Roman" w:hAnsi="Times New Roman" w:eastAsia="宋体" w:cs="Times New Roman"/>
          <w:kern w:val="2"/>
          <w:sz w:val="28"/>
          <w:szCs w:val="28"/>
          <w:lang w:val="en-US" w:eastAsia="zh-CN" w:bidi="ar-SA"/>
        </w:rPr>
      </w:pPr>
      <w:r>
        <w:rPr>
          <w:rFonts w:hint="eastAsia"/>
          <w:b w:val="0"/>
          <w:bCs w:val="0"/>
          <w:kern w:val="2"/>
          <w:sz w:val="28"/>
          <w:szCs w:val="28"/>
          <w:lang w:val="en-US" w:eastAsia="zh-CN" w:bidi="ar-SA"/>
        </w:rPr>
        <w:t>更正后：</w:t>
      </w:r>
    </w:p>
    <w:tbl>
      <w:tblPr>
        <w:tblStyle w:val="7"/>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6"/>
        <w:gridCol w:w="6662"/>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67" w:type="dxa"/>
            <w:vAlign w:val="center"/>
          </w:tcPr>
          <w:p>
            <w:pPr>
              <w:spacing w:line="360" w:lineRule="auto"/>
              <w:jc w:val="center"/>
              <w:rPr>
                <w:rFonts w:ascii="宋体" w:hAnsi="宋体"/>
                <w:b/>
                <w:bCs/>
                <w:sz w:val="22"/>
              </w:rPr>
            </w:pPr>
            <w:r>
              <w:rPr>
                <w:rFonts w:hint="eastAsia" w:ascii="宋体" w:hAnsi="宋体"/>
                <w:b/>
                <w:bCs/>
                <w:sz w:val="22"/>
              </w:rPr>
              <w:t>序号</w:t>
            </w:r>
          </w:p>
        </w:tc>
        <w:tc>
          <w:tcPr>
            <w:tcW w:w="1276" w:type="dxa"/>
            <w:vAlign w:val="center"/>
          </w:tcPr>
          <w:p>
            <w:pPr>
              <w:spacing w:line="360" w:lineRule="auto"/>
              <w:jc w:val="center"/>
              <w:rPr>
                <w:rFonts w:ascii="宋体" w:hAnsi="宋体"/>
                <w:sz w:val="22"/>
              </w:rPr>
            </w:pPr>
            <w:r>
              <w:rPr>
                <w:rFonts w:hint="eastAsia" w:ascii="宋体" w:hAnsi="宋体"/>
                <w:b/>
                <w:bCs/>
                <w:sz w:val="22"/>
              </w:rPr>
              <w:t>评分因素</w:t>
            </w:r>
          </w:p>
        </w:tc>
        <w:tc>
          <w:tcPr>
            <w:tcW w:w="6662" w:type="dxa"/>
            <w:vAlign w:val="center"/>
          </w:tcPr>
          <w:p>
            <w:pPr>
              <w:spacing w:line="360" w:lineRule="auto"/>
              <w:jc w:val="center"/>
              <w:rPr>
                <w:rFonts w:ascii="宋体" w:hAnsi="宋体"/>
                <w:sz w:val="22"/>
              </w:rPr>
            </w:pPr>
            <w:r>
              <w:rPr>
                <w:rFonts w:hint="eastAsia" w:ascii="宋体" w:hAnsi="宋体"/>
                <w:b/>
                <w:bCs/>
                <w:sz w:val="22"/>
              </w:rPr>
              <w:t>评分细则</w:t>
            </w:r>
          </w:p>
        </w:tc>
        <w:tc>
          <w:tcPr>
            <w:tcW w:w="567" w:type="dxa"/>
            <w:vAlign w:val="center"/>
          </w:tcPr>
          <w:p>
            <w:pPr>
              <w:spacing w:line="360" w:lineRule="auto"/>
              <w:jc w:val="center"/>
              <w:rPr>
                <w:rFonts w:ascii="宋体" w:hAnsi="宋体"/>
                <w:sz w:val="22"/>
              </w:rPr>
            </w:pPr>
            <w:r>
              <w:rPr>
                <w:rFonts w:hint="eastAsia" w:ascii="宋体" w:hAnsi="宋体" w:cs="宋体"/>
                <w:b/>
                <w:bCs/>
                <w:kern w:val="0"/>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67" w:type="dxa"/>
            <w:vAlign w:val="center"/>
          </w:tcPr>
          <w:p>
            <w:pPr>
              <w:pStyle w:val="11"/>
              <w:numPr>
                <w:ilvl w:val="0"/>
                <w:numId w:val="1"/>
              </w:numPr>
              <w:spacing w:line="360" w:lineRule="auto"/>
              <w:ind w:left="0" w:firstLine="0" w:firstLineChars="0"/>
              <w:rPr>
                <w:rFonts w:ascii="微软雅黑" w:hAnsi="微软雅黑" w:eastAsia="微软雅黑"/>
                <w:szCs w:val="21"/>
              </w:rPr>
            </w:pPr>
          </w:p>
        </w:tc>
        <w:tc>
          <w:tcPr>
            <w:tcW w:w="1276" w:type="dxa"/>
            <w:vAlign w:val="center"/>
          </w:tcPr>
          <w:p>
            <w:pPr>
              <w:spacing w:line="360" w:lineRule="auto"/>
              <w:jc w:val="center"/>
              <w:rPr>
                <w:rFonts w:ascii="微软雅黑" w:hAnsi="微软雅黑" w:eastAsia="微软雅黑"/>
                <w:szCs w:val="21"/>
              </w:rPr>
            </w:pPr>
            <w:r>
              <w:rPr>
                <w:rFonts w:hint="eastAsia" w:ascii="微软雅黑" w:hAnsi="微软雅黑" w:eastAsia="微软雅黑"/>
                <w:szCs w:val="21"/>
              </w:rPr>
              <w:t>项目理解</w:t>
            </w:r>
          </w:p>
        </w:tc>
        <w:tc>
          <w:tcPr>
            <w:tcW w:w="6662" w:type="dxa"/>
            <w:vAlign w:val="center"/>
          </w:tcPr>
          <w:p>
            <w:pPr>
              <w:spacing w:line="360" w:lineRule="auto"/>
              <w:rPr>
                <w:rFonts w:ascii="微软雅黑" w:hAnsi="微软雅黑" w:eastAsia="微软雅黑"/>
                <w:szCs w:val="21"/>
              </w:rPr>
            </w:pPr>
            <w:r>
              <w:rPr>
                <w:rFonts w:hint="eastAsia" w:ascii="微软雅黑" w:hAnsi="微软雅黑" w:eastAsia="微软雅黑"/>
                <w:szCs w:val="21"/>
              </w:rPr>
              <w:t>1、根据供应商对市医保信息系统（包含医保综合系统、医保支付系统）业务功能的了解情况进行综合评分，非常了解得4-</w:t>
            </w:r>
            <w:r>
              <w:rPr>
                <w:rFonts w:ascii="微软雅黑" w:hAnsi="微软雅黑" w:eastAsia="微软雅黑"/>
                <w:szCs w:val="21"/>
              </w:rPr>
              <w:t>5</w:t>
            </w:r>
            <w:r>
              <w:rPr>
                <w:rFonts w:hint="eastAsia" w:ascii="微软雅黑" w:hAnsi="微软雅黑" w:eastAsia="微软雅黑"/>
                <w:szCs w:val="21"/>
              </w:rPr>
              <w:t>分，较了解得2-3分，一般得0-1分，不提供不得分。</w:t>
            </w:r>
          </w:p>
          <w:p>
            <w:pPr>
              <w:spacing w:line="360" w:lineRule="auto"/>
              <w:rPr>
                <w:rFonts w:ascii="微软雅黑" w:hAnsi="微软雅黑" w:eastAsia="微软雅黑"/>
                <w:szCs w:val="21"/>
              </w:rPr>
            </w:pPr>
            <w:r>
              <w:rPr>
                <w:rFonts w:hint="eastAsia" w:ascii="微软雅黑" w:hAnsi="微软雅黑" w:eastAsia="微软雅黑"/>
                <w:szCs w:val="21"/>
              </w:rPr>
              <w:t>2、根据供应商对市医保信息系统技术架构、系统架构、部署架构的了解情况进行综合评分，非常了解得4-</w:t>
            </w:r>
            <w:r>
              <w:rPr>
                <w:rFonts w:ascii="微软雅黑" w:hAnsi="微软雅黑" w:eastAsia="微软雅黑"/>
                <w:szCs w:val="21"/>
              </w:rPr>
              <w:t>5</w:t>
            </w:r>
            <w:r>
              <w:rPr>
                <w:rFonts w:hint="eastAsia" w:ascii="微软雅黑" w:hAnsi="微软雅黑" w:eastAsia="微软雅黑"/>
                <w:szCs w:val="21"/>
              </w:rPr>
              <w:t>分，较了解得2-</w:t>
            </w:r>
            <w:r>
              <w:rPr>
                <w:rFonts w:ascii="微软雅黑" w:hAnsi="微软雅黑" w:eastAsia="微软雅黑"/>
                <w:szCs w:val="21"/>
              </w:rPr>
              <w:t>3</w:t>
            </w:r>
            <w:r>
              <w:rPr>
                <w:rFonts w:hint="eastAsia" w:ascii="微软雅黑" w:hAnsi="微软雅黑" w:eastAsia="微软雅黑"/>
                <w:szCs w:val="21"/>
              </w:rPr>
              <w:t>分，一般得0-1分，不提供不得分。</w:t>
            </w:r>
          </w:p>
          <w:p>
            <w:pPr>
              <w:spacing w:line="360" w:lineRule="auto"/>
              <w:rPr>
                <w:rFonts w:ascii="微软雅黑" w:hAnsi="微软雅黑" w:eastAsia="微软雅黑"/>
                <w:szCs w:val="21"/>
              </w:rPr>
            </w:pPr>
            <w:r>
              <w:rPr>
                <w:rFonts w:hint="eastAsia" w:ascii="微软雅黑" w:hAnsi="微软雅黑" w:eastAsia="微软雅黑"/>
                <w:szCs w:val="21"/>
              </w:rPr>
              <w:t>3、根据供应商对市医保信息系统核心数据库表的了解情况进行综合评分，非常了解得4-</w:t>
            </w:r>
            <w:r>
              <w:rPr>
                <w:rFonts w:ascii="微软雅黑" w:hAnsi="微软雅黑" w:eastAsia="微软雅黑"/>
                <w:szCs w:val="21"/>
              </w:rPr>
              <w:t>5</w:t>
            </w:r>
            <w:r>
              <w:rPr>
                <w:rFonts w:hint="eastAsia" w:ascii="微软雅黑" w:hAnsi="微软雅黑" w:eastAsia="微软雅黑"/>
                <w:szCs w:val="21"/>
              </w:rPr>
              <w:t>分，较了解得2-3分，一般得0-1分，不提供不得分。</w:t>
            </w:r>
          </w:p>
          <w:p>
            <w:pPr>
              <w:spacing w:line="360" w:lineRule="auto"/>
            </w:pPr>
            <w:r>
              <w:rPr>
                <w:rFonts w:hint="eastAsia" w:ascii="微软雅黑" w:hAnsi="微软雅黑" w:eastAsia="微软雅黑"/>
                <w:szCs w:val="21"/>
              </w:rPr>
              <w:t>4、供应商已经在用户现场进行实地勘探的，得</w:t>
            </w:r>
            <w:r>
              <w:rPr>
                <w:rFonts w:ascii="微软雅黑" w:hAnsi="微软雅黑" w:eastAsia="微软雅黑"/>
                <w:szCs w:val="21"/>
              </w:rPr>
              <w:t>5</w:t>
            </w:r>
            <w:r>
              <w:rPr>
                <w:rFonts w:hint="eastAsia" w:ascii="微软雅黑" w:hAnsi="微软雅黑" w:eastAsia="微软雅黑"/>
                <w:szCs w:val="21"/>
              </w:rPr>
              <w:t>分，需要出具用户盖章确认的现场勘探证明，不提供不得分。</w:t>
            </w:r>
          </w:p>
        </w:tc>
        <w:tc>
          <w:tcPr>
            <w:tcW w:w="567" w:type="dxa"/>
            <w:vAlign w:val="center"/>
          </w:tcPr>
          <w:p>
            <w:pPr>
              <w:spacing w:line="360" w:lineRule="auto"/>
              <w:jc w:val="center"/>
              <w:rPr>
                <w:rFonts w:ascii="微软雅黑" w:hAnsi="微软雅黑" w:eastAsia="微软雅黑"/>
                <w:szCs w:val="21"/>
              </w:rPr>
            </w:pPr>
            <w:r>
              <w:rPr>
                <w:rFonts w:ascii="微软雅黑" w:hAnsi="微软雅黑" w:eastAsia="微软雅黑"/>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67" w:type="dxa"/>
            <w:vAlign w:val="center"/>
          </w:tcPr>
          <w:p>
            <w:pPr>
              <w:pStyle w:val="11"/>
              <w:numPr>
                <w:ilvl w:val="0"/>
                <w:numId w:val="1"/>
              </w:numPr>
              <w:spacing w:line="360" w:lineRule="auto"/>
              <w:ind w:left="0" w:firstLine="0" w:firstLineChars="0"/>
              <w:rPr>
                <w:rFonts w:ascii="微软雅黑" w:hAnsi="微软雅黑" w:eastAsia="微软雅黑"/>
                <w:szCs w:val="21"/>
              </w:rPr>
            </w:pPr>
          </w:p>
        </w:tc>
        <w:tc>
          <w:tcPr>
            <w:tcW w:w="1276" w:type="dxa"/>
            <w:vAlign w:val="center"/>
          </w:tcPr>
          <w:p>
            <w:pPr>
              <w:spacing w:line="360" w:lineRule="auto"/>
              <w:rPr>
                <w:rFonts w:ascii="微软雅黑" w:hAnsi="微软雅黑" w:eastAsia="微软雅黑"/>
                <w:szCs w:val="21"/>
              </w:rPr>
            </w:pPr>
            <w:r>
              <w:rPr>
                <w:rFonts w:hint="eastAsia" w:ascii="微软雅黑" w:hAnsi="微软雅黑" w:eastAsia="微软雅黑"/>
                <w:szCs w:val="21"/>
              </w:rPr>
              <w:t>磋商响应方案总体的完整性、科学性和合理性</w:t>
            </w:r>
          </w:p>
        </w:tc>
        <w:tc>
          <w:tcPr>
            <w:tcW w:w="6662" w:type="dxa"/>
            <w:vAlign w:val="center"/>
          </w:tcPr>
          <w:p>
            <w:pPr>
              <w:spacing w:line="360" w:lineRule="auto"/>
              <w:rPr>
                <w:rFonts w:ascii="微软雅黑" w:hAnsi="微软雅黑" w:eastAsia="微软雅黑"/>
                <w:szCs w:val="21"/>
              </w:rPr>
            </w:pPr>
            <w:r>
              <w:rPr>
                <w:rFonts w:hint="eastAsia" w:ascii="微软雅黑" w:hAnsi="微软雅黑" w:eastAsia="微软雅黑"/>
                <w:szCs w:val="21"/>
              </w:rPr>
              <w:t>1、供应商提供的响应方案完全满足招标技术要求的得</w:t>
            </w:r>
            <w:r>
              <w:rPr>
                <w:rFonts w:ascii="微软雅黑" w:hAnsi="微软雅黑" w:eastAsia="微软雅黑"/>
                <w:szCs w:val="21"/>
              </w:rPr>
              <w:t>4</w:t>
            </w:r>
            <w:r>
              <w:rPr>
                <w:rFonts w:hint="eastAsia" w:ascii="微软雅黑" w:hAnsi="微软雅黑" w:eastAsia="微软雅黑"/>
                <w:szCs w:val="21"/>
              </w:rPr>
              <w:t>分，每一项不满足的扣1分，扣完为止，0-</w:t>
            </w:r>
            <w:r>
              <w:rPr>
                <w:rFonts w:ascii="微软雅黑" w:hAnsi="微软雅黑" w:eastAsia="微软雅黑"/>
                <w:szCs w:val="21"/>
              </w:rPr>
              <w:t>4</w:t>
            </w:r>
            <w:r>
              <w:rPr>
                <w:rFonts w:hint="eastAsia" w:ascii="微软雅黑" w:hAnsi="微软雅黑" w:eastAsia="微软雅黑"/>
                <w:szCs w:val="21"/>
              </w:rPr>
              <w:t>分。</w:t>
            </w:r>
          </w:p>
          <w:p>
            <w:pPr>
              <w:spacing w:line="360" w:lineRule="auto"/>
              <w:rPr>
                <w:rFonts w:ascii="微软雅黑" w:hAnsi="微软雅黑" w:eastAsia="微软雅黑"/>
                <w:szCs w:val="21"/>
              </w:rPr>
            </w:pPr>
            <w:r>
              <w:rPr>
                <w:rFonts w:hint="eastAsia" w:ascii="微软雅黑" w:hAnsi="微软雅黑" w:eastAsia="微软雅黑"/>
                <w:szCs w:val="21"/>
              </w:rPr>
              <w:t>2、根据供应商提供的运行服务保障应急预案以及方案对可能遇到的问题及其应对措施的考虑情况综合评分，0-</w:t>
            </w:r>
            <w:r>
              <w:rPr>
                <w:rFonts w:ascii="微软雅黑" w:hAnsi="微软雅黑" w:eastAsia="微软雅黑"/>
                <w:szCs w:val="21"/>
              </w:rPr>
              <w:t>4</w:t>
            </w:r>
            <w:r>
              <w:rPr>
                <w:rFonts w:hint="eastAsia" w:ascii="微软雅黑" w:hAnsi="微软雅黑" w:eastAsia="微软雅黑"/>
                <w:szCs w:val="21"/>
              </w:rPr>
              <w:t>分。</w:t>
            </w:r>
          </w:p>
          <w:p>
            <w:pPr>
              <w:spacing w:line="360" w:lineRule="auto"/>
              <w:rPr>
                <w:rFonts w:ascii="微软雅黑" w:hAnsi="微软雅黑" w:eastAsia="微软雅黑"/>
                <w:szCs w:val="21"/>
              </w:rPr>
            </w:pPr>
            <w:r>
              <w:rPr>
                <w:rFonts w:hint="eastAsia" w:ascii="微软雅黑" w:hAnsi="微软雅黑" w:eastAsia="微软雅黑"/>
                <w:szCs w:val="21"/>
              </w:rPr>
              <w:t>3、根据供应商提供的定期巡检制度和系统软件运行情况报告制度，定期出具巡检和系统软件运行情况报告综合评分，0-</w:t>
            </w:r>
            <w:r>
              <w:rPr>
                <w:rFonts w:ascii="微软雅黑" w:hAnsi="微软雅黑" w:eastAsia="微软雅黑"/>
                <w:szCs w:val="21"/>
              </w:rPr>
              <w:t>4</w:t>
            </w:r>
            <w:r>
              <w:rPr>
                <w:rFonts w:hint="eastAsia" w:ascii="微软雅黑" w:hAnsi="微软雅黑" w:eastAsia="微软雅黑"/>
                <w:szCs w:val="21"/>
              </w:rPr>
              <w:t>分。</w:t>
            </w:r>
          </w:p>
          <w:p>
            <w:pPr>
              <w:spacing w:line="360" w:lineRule="auto"/>
              <w:rPr>
                <w:rFonts w:ascii="微软雅黑" w:hAnsi="微软雅黑" w:eastAsia="微软雅黑"/>
                <w:szCs w:val="21"/>
              </w:rPr>
            </w:pPr>
            <w:r>
              <w:rPr>
                <w:rFonts w:hint="eastAsia" w:ascii="微软雅黑" w:hAnsi="微软雅黑" w:eastAsia="微软雅黑"/>
                <w:szCs w:val="21"/>
              </w:rPr>
              <w:t>4、根据供应商提供的项目保密管理措施内容综合评分，0-</w:t>
            </w:r>
            <w:r>
              <w:rPr>
                <w:rFonts w:ascii="微软雅黑" w:hAnsi="微软雅黑" w:eastAsia="微软雅黑"/>
                <w:szCs w:val="21"/>
              </w:rPr>
              <w:t>4</w:t>
            </w:r>
            <w:r>
              <w:rPr>
                <w:rFonts w:hint="eastAsia" w:ascii="微软雅黑" w:hAnsi="微软雅黑" w:eastAsia="微软雅黑"/>
                <w:szCs w:val="21"/>
              </w:rPr>
              <w:t>分。</w:t>
            </w:r>
          </w:p>
        </w:tc>
        <w:tc>
          <w:tcPr>
            <w:tcW w:w="567" w:type="dxa"/>
            <w:vAlign w:val="center"/>
          </w:tcPr>
          <w:p>
            <w:pPr>
              <w:spacing w:line="360" w:lineRule="auto"/>
              <w:jc w:val="center"/>
              <w:rPr>
                <w:rFonts w:ascii="微软雅黑" w:hAnsi="微软雅黑" w:eastAsia="微软雅黑"/>
                <w:szCs w:val="21"/>
              </w:rPr>
            </w:pPr>
            <w:r>
              <w:rPr>
                <w:rFonts w:ascii="微软雅黑" w:hAnsi="微软雅黑" w:eastAsia="微软雅黑"/>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7" w:type="dxa"/>
            <w:vAlign w:val="center"/>
          </w:tcPr>
          <w:p>
            <w:pPr>
              <w:pStyle w:val="11"/>
              <w:numPr>
                <w:ilvl w:val="0"/>
                <w:numId w:val="1"/>
              </w:numPr>
              <w:spacing w:line="360" w:lineRule="auto"/>
              <w:ind w:left="0" w:firstLine="0" w:firstLineChars="0"/>
              <w:rPr>
                <w:rFonts w:ascii="微软雅黑" w:hAnsi="微软雅黑" w:eastAsia="微软雅黑"/>
                <w:szCs w:val="21"/>
              </w:rPr>
            </w:pPr>
          </w:p>
        </w:tc>
        <w:tc>
          <w:tcPr>
            <w:tcW w:w="1276" w:type="dxa"/>
            <w:vAlign w:val="center"/>
          </w:tcPr>
          <w:p>
            <w:pPr>
              <w:spacing w:line="360" w:lineRule="auto"/>
              <w:rPr>
                <w:rFonts w:ascii="微软雅黑" w:hAnsi="微软雅黑" w:eastAsia="微软雅黑"/>
                <w:szCs w:val="21"/>
              </w:rPr>
            </w:pPr>
            <w:r>
              <w:rPr>
                <w:rFonts w:hint="eastAsia" w:ascii="微软雅黑" w:hAnsi="微软雅黑" w:eastAsia="微软雅黑"/>
                <w:szCs w:val="21"/>
              </w:rPr>
              <w:t>维护服务方案的优势情况</w:t>
            </w:r>
          </w:p>
        </w:tc>
        <w:tc>
          <w:tcPr>
            <w:tcW w:w="6662" w:type="dxa"/>
            <w:vAlign w:val="center"/>
          </w:tcPr>
          <w:p>
            <w:pPr>
              <w:spacing w:line="360" w:lineRule="auto"/>
              <w:rPr>
                <w:rFonts w:ascii="微软雅黑" w:hAnsi="微软雅黑" w:eastAsia="微软雅黑"/>
                <w:szCs w:val="21"/>
              </w:rPr>
            </w:pPr>
            <w:r>
              <w:rPr>
                <w:rFonts w:hint="eastAsia" w:ascii="微软雅黑" w:hAnsi="微软雅黑" w:eastAsia="微软雅黑"/>
                <w:szCs w:val="21"/>
              </w:rPr>
              <w:t>1、供应商对维护需求中有关维护服务是否提供7×24小时服务，以确保维保服务标准和质量（3分）。</w:t>
            </w:r>
          </w:p>
          <w:p>
            <w:pPr>
              <w:spacing w:line="360" w:lineRule="auto"/>
              <w:rPr>
                <w:rFonts w:ascii="微软雅黑" w:hAnsi="微软雅黑" w:eastAsia="微软雅黑"/>
                <w:szCs w:val="21"/>
              </w:rPr>
            </w:pPr>
            <w:r>
              <w:rPr>
                <w:rFonts w:hint="eastAsia" w:ascii="微软雅黑" w:hAnsi="微软雅黑" w:eastAsia="微软雅黑"/>
                <w:szCs w:val="21"/>
              </w:rPr>
              <w:t>2、供应商的后续技术支持、维护能力（3分）；服务承诺的可行性、完整性以及服务承诺惩罚措施等（3分）。</w:t>
            </w:r>
          </w:p>
          <w:p>
            <w:pPr>
              <w:spacing w:line="360" w:lineRule="auto"/>
              <w:rPr>
                <w:rFonts w:ascii="微软雅黑" w:hAnsi="微软雅黑" w:eastAsia="微软雅黑"/>
                <w:szCs w:val="21"/>
              </w:rPr>
            </w:pPr>
            <w:r>
              <w:rPr>
                <w:rFonts w:hint="eastAsia" w:ascii="微软雅黑" w:hAnsi="微软雅黑" w:eastAsia="微软雅黑"/>
                <w:szCs w:val="21"/>
              </w:rPr>
              <w:t>3、供应商具有运维信息系统作为本次项目运维支撑（3分）（需提供系统相关页面的截图）</w:t>
            </w:r>
          </w:p>
          <w:p>
            <w:pPr>
              <w:spacing w:line="360" w:lineRule="auto"/>
              <w:rPr>
                <w:rFonts w:ascii="微软雅黑" w:hAnsi="微软雅黑" w:eastAsia="微软雅黑"/>
                <w:szCs w:val="21"/>
              </w:rPr>
            </w:pPr>
            <w:r>
              <w:rPr>
                <w:rFonts w:hint="eastAsia" w:ascii="微软雅黑" w:hAnsi="微软雅黑" w:eastAsia="微软雅黑"/>
                <w:szCs w:val="21"/>
              </w:rPr>
              <w:t>4、根据供应商相关自主知识产权的获得情况来评估其技术成熟度：具有服务化技术平台软件、数据治理平台软件、业务协同平台软件、微服务管理软件著作权登记证书的。每提供1个证书得</w:t>
            </w:r>
            <w:r>
              <w:rPr>
                <w:rFonts w:ascii="微软雅黑" w:hAnsi="微软雅黑" w:eastAsia="微软雅黑"/>
                <w:szCs w:val="21"/>
              </w:rPr>
              <w:t>2</w:t>
            </w:r>
            <w:r>
              <w:rPr>
                <w:rFonts w:hint="eastAsia" w:ascii="微软雅黑" w:hAnsi="微软雅黑" w:eastAsia="微软雅黑"/>
                <w:szCs w:val="21"/>
              </w:rPr>
              <w:t>分，最多得</w:t>
            </w:r>
            <w:r>
              <w:rPr>
                <w:rFonts w:ascii="微软雅黑" w:hAnsi="微软雅黑" w:eastAsia="微软雅黑"/>
                <w:szCs w:val="21"/>
              </w:rPr>
              <w:t>8</w:t>
            </w:r>
            <w:r>
              <w:rPr>
                <w:rFonts w:hint="eastAsia" w:ascii="微软雅黑" w:hAnsi="微软雅黑" w:eastAsia="微软雅黑"/>
                <w:szCs w:val="21"/>
              </w:rPr>
              <w:t>分。（须提供在本项目公告发布前获得的上述有效证书复印件并加盖公章）</w:t>
            </w:r>
          </w:p>
        </w:tc>
        <w:tc>
          <w:tcPr>
            <w:tcW w:w="567" w:type="dxa"/>
            <w:vAlign w:val="center"/>
          </w:tcPr>
          <w:p>
            <w:pPr>
              <w:spacing w:line="360" w:lineRule="auto"/>
              <w:jc w:val="center"/>
              <w:rPr>
                <w:rFonts w:ascii="微软雅黑" w:hAnsi="微软雅黑" w:eastAsia="微软雅黑"/>
                <w:szCs w:val="21"/>
              </w:rPr>
            </w:pPr>
            <w:r>
              <w:rPr>
                <w:rFonts w:ascii="微软雅黑" w:hAnsi="微软雅黑" w:eastAsia="微软雅黑"/>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567" w:type="dxa"/>
            <w:vAlign w:val="center"/>
          </w:tcPr>
          <w:p>
            <w:pPr>
              <w:pStyle w:val="11"/>
              <w:numPr>
                <w:ilvl w:val="0"/>
                <w:numId w:val="1"/>
              </w:numPr>
              <w:spacing w:line="360" w:lineRule="auto"/>
              <w:ind w:left="0" w:firstLine="0" w:firstLineChars="0"/>
              <w:rPr>
                <w:rFonts w:ascii="微软雅黑" w:hAnsi="微软雅黑" w:eastAsia="微软雅黑"/>
                <w:szCs w:val="21"/>
              </w:rPr>
            </w:pPr>
          </w:p>
        </w:tc>
        <w:tc>
          <w:tcPr>
            <w:tcW w:w="1276" w:type="dxa"/>
            <w:vAlign w:val="center"/>
          </w:tcPr>
          <w:p>
            <w:pPr>
              <w:spacing w:line="360" w:lineRule="auto"/>
              <w:rPr>
                <w:rFonts w:ascii="微软雅黑" w:hAnsi="微软雅黑" w:eastAsia="微软雅黑"/>
                <w:szCs w:val="21"/>
              </w:rPr>
            </w:pPr>
            <w:r>
              <w:rPr>
                <w:rFonts w:hint="eastAsia" w:ascii="微软雅黑" w:hAnsi="微软雅黑" w:eastAsia="微软雅黑"/>
                <w:szCs w:val="21"/>
              </w:rPr>
              <w:t>组织实施方案</w:t>
            </w:r>
          </w:p>
        </w:tc>
        <w:tc>
          <w:tcPr>
            <w:tcW w:w="6662" w:type="dxa"/>
            <w:vAlign w:val="center"/>
          </w:tcPr>
          <w:p>
            <w:pPr>
              <w:spacing w:line="360" w:lineRule="auto"/>
              <w:rPr>
                <w:rFonts w:ascii="微软雅黑" w:hAnsi="微软雅黑" w:eastAsia="微软雅黑"/>
                <w:szCs w:val="21"/>
              </w:rPr>
            </w:pPr>
            <w:r>
              <w:rPr>
                <w:rFonts w:hint="eastAsia" w:ascii="微软雅黑" w:hAnsi="微软雅黑" w:eastAsia="微软雅黑"/>
                <w:szCs w:val="21"/>
              </w:rPr>
              <w:t>1、供应商提供的项目组织实施方案的科学性、合理性、规范性和可操作性，方案包括：组织机构（</w:t>
            </w:r>
            <w:r>
              <w:rPr>
                <w:rFonts w:ascii="微软雅黑" w:hAnsi="微软雅黑" w:eastAsia="微软雅黑"/>
                <w:szCs w:val="21"/>
              </w:rPr>
              <w:t>1</w:t>
            </w:r>
            <w:r>
              <w:rPr>
                <w:rFonts w:hint="eastAsia" w:ascii="微软雅黑" w:hAnsi="微软雅黑" w:eastAsia="微软雅黑"/>
                <w:szCs w:val="21"/>
              </w:rPr>
              <w:t>分）、工作时间进度表（</w:t>
            </w:r>
            <w:r>
              <w:rPr>
                <w:rFonts w:ascii="微软雅黑" w:hAnsi="微软雅黑" w:eastAsia="微软雅黑"/>
                <w:szCs w:val="21"/>
              </w:rPr>
              <w:t>1</w:t>
            </w:r>
            <w:r>
              <w:rPr>
                <w:rFonts w:hint="eastAsia" w:ascii="微软雅黑" w:hAnsi="微软雅黑" w:eastAsia="微软雅黑"/>
                <w:szCs w:val="21"/>
              </w:rPr>
              <w:t>分）、工作程序和步骤（</w:t>
            </w:r>
            <w:r>
              <w:rPr>
                <w:rFonts w:ascii="微软雅黑" w:hAnsi="微软雅黑" w:eastAsia="微软雅黑"/>
                <w:szCs w:val="21"/>
              </w:rPr>
              <w:t>1</w:t>
            </w:r>
            <w:r>
              <w:rPr>
                <w:rFonts w:hint="eastAsia" w:ascii="微软雅黑" w:hAnsi="微软雅黑" w:eastAsia="微软雅黑"/>
                <w:szCs w:val="21"/>
              </w:rPr>
              <w:t>分）、管理和协调方法（</w:t>
            </w:r>
            <w:r>
              <w:rPr>
                <w:rFonts w:ascii="微软雅黑" w:hAnsi="微软雅黑" w:eastAsia="微软雅黑"/>
                <w:szCs w:val="21"/>
              </w:rPr>
              <w:t>1</w:t>
            </w:r>
            <w:r>
              <w:rPr>
                <w:rFonts w:hint="eastAsia" w:ascii="微软雅黑" w:hAnsi="微软雅黑" w:eastAsia="微软雅黑"/>
                <w:szCs w:val="21"/>
              </w:rPr>
              <w:t>分）；</w:t>
            </w:r>
          </w:p>
          <w:p>
            <w:pPr>
              <w:spacing w:line="360" w:lineRule="auto"/>
              <w:rPr>
                <w:rFonts w:ascii="微软雅黑" w:hAnsi="微软雅黑" w:eastAsia="微软雅黑"/>
                <w:szCs w:val="21"/>
              </w:rPr>
            </w:pPr>
            <w:r>
              <w:rPr>
                <w:rFonts w:hint="eastAsia" w:ascii="微软雅黑" w:hAnsi="微软雅黑" w:eastAsia="微软雅黑"/>
                <w:szCs w:val="21"/>
              </w:rPr>
              <w:t>2、供应商提供的培训计划的合理性、可行性等，计划内容需包括：培训内容、时间、地点、人次等（</w:t>
            </w:r>
            <w:r>
              <w:rPr>
                <w:rFonts w:ascii="微软雅黑" w:hAnsi="微软雅黑" w:eastAsia="微软雅黑"/>
                <w:szCs w:val="21"/>
              </w:rPr>
              <w:t>2</w:t>
            </w:r>
            <w:r>
              <w:rPr>
                <w:rFonts w:hint="eastAsia" w:ascii="微软雅黑" w:hAnsi="微软雅黑" w:eastAsia="微软雅黑"/>
                <w:szCs w:val="21"/>
              </w:rPr>
              <w:t>分）；</w:t>
            </w:r>
          </w:p>
          <w:p>
            <w:pPr>
              <w:spacing w:line="360" w:lineRule="auto"/>
              <w:rPr>
                <w:rFonts w:ascii="微软雅黑" w:hAnsi="微软雅黑" w:eastAsia="微软雅黑"/>
                <w:szCs w:val="21"/>
              </w:rPr>
            </w:pPr>
            <w:r>
              <w:rPr>
                <w:rFonts w:hint="eastAsia" w:ascii="微软雅黑" w:hAnsi="微软雅黑" w:eastAsia="微软雅黑"/>
                <w:szCs w:val="21"/>
              </w:rPr>
              <w:t>3、供应商提出的验收方案的合理性、可行性情况等（</w:t>
            </w:r>
            <w:r>
              <w:rPr>
                <w:rFonts w:ascii="微软雅黑" w:hAnsi="微软雅黑" w:eastAsia="微软雅黑"/>
                <w:szCs w:val="21"/>
              </w:rPr>
              <w:t>2</w:t>
            </w:r>
            <w:r>
              <w:rPr>
                <w:rFonts w:hint="eastAsia" w:ascii="微软雅黑" w:hAnsi="微软雅黑" w:eastAsia="微软雅黑"/>
                <w:szCs w:val="21"/>
              </w:rPr>
              <w:t>分）。</w:t>
            </w:r>
          </w:p>
        </w:tc>
        <w:tc>
          <w:tcPr>
            <w:tcW w:w="567" w:type="dxa"/>
            <w:vAlign w:val="center"/>
          </w:tcPr>
          <w:p>
            <w:pPr>
              <w:spacing w:line="360" w:lineRule="auto"/>
              <w:jc w:val="center"/>
              <w:rPr>
                <w:rFonts w:ascii="微软雅黑" w:hAnsi="微软雅黑" w:eastAsia="微软雅黑"/>
                <w:szCs w:val="21"/>
              </w:rPr>
            </w:pPr>
            <w:r>
              <w:rPr>
                <w:rFonts w:ascii="微软雅黑" w:hAnsi="微软雅黑" w:eastAsia="微软雅黑"/>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567" w:type="dxa"/>
            <w:vAlign w:val="center"/>
          </w:tcPr>
          <w:p>
            <w:pPr>
              <w:pStyle w:val="11"/>
              <w:numPr>
                <w:ilvl w:val="0"/>
                <w:numId w:val="1"/>
              </w:numPr>
              <w:spacing w:line="360" w:lineRule="auto"/>
              <w:ind w:left="0" w:firstLine="0" w:firstLineChars="0"/>
              <w:rPr>
                <w:rFonts w:ascii="微软雅黑" w:hAnsi="微软雅黑" w:eastAsia="微软雅黑"/>
                <w:szCs w:val="21"/>
              </w:rPr>
            </w:pPr>
          </w:p>
        </w:tc>
        <w:tc>
          <w:tcPr>
            <w:tcW w:w="1276" w:type="dxa"/>
            <w:vAlign w:val="center"/>
          </w:tcPr>
          <w:p>
            <w:pPr>
              <w:spacing w:line="360" w:lineRule="auto"/>
              <w:rPr>
                <w:rFonts w:ascii="微软雅黑" w:hAnsi="微软雅黑" w:eastAsia="微软雅黑"/>
                <w:szCs w:val="21"/>
              </w:rPr>
            </w:pPr>
            <w:r>
              <w:rPr>
                <w:rFonts w:hint="eastAsia" w:ascii="微软雅黑" w:hAnsi="微软雅黑" w:eastAsia="微软雅黑"/>
                <w:szCs w:val="21"/>
              </w:rPr>
              <w:t>维护团队人员情况</w:t>
            </w:r>
          </w:p>
        </w:tc>
        <w:tc>
          <w:tcPr>
            <w:tcW w:w="6662" w:type="dxa"/>
            <w:vAlign w:val="center"/>
          </w:tcPr>
          <w:p>
            <w:pPr>
              <w:spacing w:line="360" w:lineRule="auto"/>
              <w:rPr>
                <w:rFonts w:ascii="微软雅黑" w:hAnsi="微软雅黑" w:eastAsia="微软雅黑"/>
                <w:szCs w:val="21"/>
              </w:rPr>
            </w:pPr>
            <w:r>
              <w:rPr>
                <w:rFonts w:hint="eastAsia" w:ascii="微软雅黑" w:hAnsi="微软雅黑" w:eastAsia="微软雅黑"/>
                <w:szCs w:val="21"/>
              </w:rPr>
              <w:t>1、供应商提供的项目经理具有</w:t>
            </w:r>
            <w:r>
              <w:rPr>
                <w:rFonts w:ascii="微软雅黑" w:hAnsi="微软雅黑" w:eastAsia="微软雅黑"/>
                <w:szCs w:val="21"/>
              </w:rPr>
              <w:t>PMP</w:t>
            </w:r>
            <w:r>
              <w:rPr>
                <w:rFonts w:hint="eastAsia" w:ascii="微软雅黑" w:hAnsi="微软雅黑" w:eastAsia="微软雅黑"/>
                <w:szCs w:val="21"/>
              </w:rPr>
              <w:t>证书的，得</w:t>
            </w:r>
            <w:r>
              <w:rPr>
                <w:rFonts w:ascii="微软雅黑" w:hAnsi="微软雅黑" w:eastAsia="微软雅黑"/>
                <w:szCs w:val="21"/>
              </w:rPr>
              <w:t>4</w:t>
            </w:r>
            <w:r>
              <w:rPr>
                <w:rFonts w:hint="eastAsia" w:ascii="微软雅黑" w:hAnsi="微软雅黑" w:eastAsia="微软雅黑"/>
                <w:szCs w:val="21"/>
              </w:rPr>
              <w:t>分，没有的不得分。</w:t>
            </w:r>
            <w:r>
              <w:rPr>
                <w:rFonts w:hint="eastAsia" w:ascii="微软雅黑" w:hAnsi="微软雅黑" w:eastAsia="微软雅黑"/>
                <w:b/>
                <w:bCs/>
                <w:szCs w:val="21"/>
              </w:rPr>
              <w:t>（需提供社保缴费证明和证书复印件加盖公章）</w:t>
            </w:r>
            <w:r>
              <w:rPr>
                <w:rFonts w:hint="eastAsia" w:ascii="微软雅黑" w:hAnsi="微软雅黑" w:eastAsia="微软雅黑"/>
                <w:szCs w:val="21"/>
              </w:rPr>
              <w:t>；</w:t>
            </w:r>
          </w:p>
          <w:p>
            <w:pPr>
              <w:spacing w:line="360" w:lineRule="auto"/>
              <w:rPr>
                <w:rFonts w:ascii="微软雅黑" w:hAnsi="微软雅黑" w:eastAsia="微软雅黑"/>
                <w:b/>
                <w:bCs/>
                <w:szCs w:val="21"/>
              </w:rPr>
            </w:pPr>
            <w:r>
              <w:rPr>
                <w:rFonts w:hint="eastAsia" w:ascii="微软雅黑" w:hAnsi="微软雅黑" w:eastAsia="微软雅黑"/>
                <w:szCs w:val="21"/>
              </w:rPr>
              <w:t>2、供应商提供的项目团队成员中具有中级软件设计师证书的，得</w:t>
            </w:r>
            <w:r>
              <w:rPr>
                <w:rFonts w:ascii="微软雅黑" w:hAnsi="微软雅黑" w:eastAsia="微软雅黑"/>
                <w:szCs w:val="21"/>
              </w:rPr>
              <w:t>4</w:t>
            </w:r>
            <w:r>
              <w:rPr>
                <w:rFonts w:hint="eastAsia" w:ascii="微软雅黑" w:hAnsi="微软雅黑" w:eastAsia="微软雅黑"/>
                <w:szCs w:val="21"/>
              </w:rPr>
              <w:t>分，没有的不得分。</w:t>
            </w:r>
            <w:r>
              <w:rPr>
                <w:rFonts w:hint="eastAsia" w:ascii="微软雅黑" w:hAnsi="微软雅黑" w:eastAsia="微软雅黑"/>
                <w:b/>
                <w:bCs/>
                <w:szCs w:val="21"/>
              </w:rPr>
              <w:t>（需提供社保缴费证明和证书复印件加盖公章）</w:t>
            </w:r>
            <w:r>
              <w:rPr>
                <w:rFonts w:hint="eastAsia" w:ascii="微软雅黑" w:hAnsi="微软雅黑" w:eastAsia="微软雅黑"/>
                <w:szCs w:val="21"/>
              </w:rPr>
              <w:t>；</w:t>
            </w:r>
          </w:p>
        </w:tc>
        <w:tc>
          <w:tcPr>
            <w:tcW w:w="567" w:type="dxa"/>
            <w:vAlign w:val="center"/>
          </w:tcPr>
          <w:p>
            <w:pPr>
              <w:spacing w:line="360" w:lineRule="auto"/>
              <w:jc w:val="center"/>
              <w:rPr>
                <w:rFonts w:ascii="微软雅黑" w:hAnsi="微软雅黑" w:eastAsia="微软雅黑"/>
                <w:szCs w:val="21"/>
              </w:rPr>
            </w:pPr>
            <w:r>
              <w:rPr>
                <w:rFonts w:ascii="微软雅黑" w:hAnsi="微软雅黑" w:eastAsia="微软雅黑"/>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67" w:type="dxa"/>
            <w:vAlign w:val="center"/>
          </w:tcPr>
          <w:p>
            <w:pPr>
              <w:pStyle w:val="11"/>
              <w:numPr>
                <w:ilvl w:val="0"/>
                <w:numId w:val="1"/>
              </w:numPr>
              <w:spacing w:line="360" w:lineRule="auto"/>
              <w:ind w:left="0" w:firstLine="0" w:firstLineChars="0"/>
              <w:rPr>
                <w:rFonts w:ascii="微软雅黑" w:hAnsi="微软雅黑" w:eastAsia="微软雅黑"/>
                <w:szCs w:val="21"/>
              </w:rPr>
            </w:pPr>
          </w:p>
        </w:tc>
        <w:tc>
          <w:tcPr>
            <w:tcW w:w="1276" w:type="dxa"/>
            <w:vAlign w:val="center"/>
          </w:tcPr>
          <w:p>
            <w:pPr>
              <w:spacing w:line="360" w:lineRule="auto"/>
              <w:rPr>
                <w:rFonts w:ascii="微软雅黑" w:hAnsi="微软雅黑" w:eastAsia="微软雅黑"/>
                <w:szCs w:val="21"/>
              </w:rPr>
            </w:pPr>
            <w:r>
              <w:rPr>
                <w:rFonts w:hint="eastAsia" w:ascii="微软雅黑" w:hAnsi="微软雅黑" w:eastAsia="微软雅黑"/>
                <w:szCs w:val="21"/>
              </w:rPr>
              <w:t>技术服务团队</w:t>
            </w:r>
          </w:p>
        </w:tc>
        <w:tc>
          <w:tcPr>
            <w:tcW w:w="6662" w:type="dxa"/>
            <w:vAlign w:val="center"/>
          </w:tcPr>
          <w:p>
            <w:pPr>
              <w:spacing w:line="360" w:lineRule="auto"/>
              <w:rPr>
                <w:rFonts w:ascii="微软雅黑" w:hAnsi="微软雅黑" w:eastAsia="微软雅黑"/>
                <w:szCs w:val="21"/>
              </w:rPr>
            </w:pPr>
            <w:r>
              <w:rPr>
                <w:rFonts w:hint="eastAsia" w:ascii="微软雅黑" w:hAnsi="微软雅黑" w:eastAsia="微软雅黑"/>
                <w:szCs w:val="21"/>
              </w:rPr>
              <w:t>根据中标后在职人员入驻的及时响应情况，承诺合同签订后一个星期入驻的得3分，半个月入驻的得2分，不承诺不得分。</w:t>
            </w:r>
          </w:p>
        </w:tc>
        <w:tc>
          <w:tcPr>
            <w:tcW w:w="567" w:type="dxa"/>
            <w:vAlign w:val="center"/>
          </w:tcPr>
          <w:p>
            <w:pPr>
              <w:spacing w:line="360" w:lineRule="auto"/>
              <w:jc w:val="center"/>
              <w:rPr>
                <w:rFonts w:ascii="微软雅黑" w:hAnsi="微软雅黑" w:eastAsia="微软雅黑"/>
                <w:szCs w:val="21"/>
              </w:rPr>
            </w:pPr>
            <w:r>
              <w:rPr>
                <w:rFonts w:hint="eastAsia" w:ascii="微软雅黑" w:hAnsi="微软雅黑" w:eastAsia="微软雅黑"/>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67" w:type="dxa"/>
            <w:vAlign w:val="center"/>
          </w:tcPr>
          <w:p>
            <w:pPr>
              <w:pStyle w:val="11"/>
              <w:numPr>
                <w:ilvl w:val="0"/>
                <w:numId w:val="1"/>
              </w:numPr>
              <w:spacing w:line="360" w:lineRule="auto"/>
              <w:ind w:left="0" w:firstLine="0" w:firstLineChars="0"/>
              <w:rPr>
                <w:rFonts w:ascii="微软雅黑" w:hAnsi="微软雅黑" w:eastAsia="微软雅黑"/>
                <w:szCs w:val="21"/>
              </w:rPr>
            </w:pPr>
          </w:p>
        </w:tc>
        <w:tc>
          <w:tcPr>
            <w:tcW w:w="1276" w:type="dxa"/>
            <w:vAlign w:val="center"/>
          </w:tcPr>
          <w:p>
            <w:pPr>
              <w:spacing w:line="360" w:lineRule="auto"/>
              <w:rPr>
                <w:rFonts w:ascii="微软雅黑" w:hAnsi="微软雅黑" w:eastAsia="微软雅黑"/>
                <w:szCs w:val="21"/>
              </w:rPr>
            </w:pPr>
            <w:r>
              <w:rPr>
                <w:rFonts w:hint="eastAsia" w:ascii="微软雅黑" w:hAnsi="微软雅黑" w:eastAsia="微软雅黑"/>
                <w:szCs w:val="21"/>
              </w:rPr>
              <w:t>改进措施和合理化建议</w:t>
            </w:r>
          </w:p>
        </w:tc>
        <w:tc>
          <w:tcPr>
            <w:tcW w:w="6662" w:type="dxa"/>
            <w:vAlign w:val="center"/>
          </w:tcPr>
          <w:p>
            <w:pPr>
              <w:spacing w:line="360" w:lineRule="auto"/>
              <w:rPr>
                <w:rFonts w:ascii="微软雅黑" w:hAnsi="微软雅黑" w:eastAsia="微软雅黑"/>
                <w:szCs w:val="21"/>
              </w:rPr>
            </w:pPr>
            <w:r>
              <w:rPr>
                <w:rFonts w:hint="eastAsia" w:ascii="微软雅黑" w:hAnsi="微软雅黑" w:eastAsia="微软雅黑"/>
                <w:szCs w:val="21"/>
              </w:rPr>
              <w:t xml:space="preserve">供应商针对本次维护需求，提出有效的改进措施和合理化建议。 </w:t>
            </w:r>
          </w:p>
        </w:tc>
        <w:tc>
          <w:tcPr>
            <w:tcW w:w="567" w:type="dxa"/>
            <w:vAlign w:val="center"/>
          </w:tcPr>
          <w:p>
            <w:pPr>
              <w:spacing w:line="360" w:lineRule="auto"/>
              <w:jc w:val="center"/>
              <w:rPr>
                <w:rFonts w:ascii="微软雅黑" w:hAnsi="微软雅黑" w:eastAsia="微软雅黑"/>
                <w:szCs w:val="21"/>
              </w:rPr>
            </w:pPr>
            <w:r>
              <w:rPr>
                <w:rFonts w:ascii="微软雅黑" w:hAnsi="微软雅黑" w:eastAsia="微软雅黑"/>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67" w:type="dxa"/>
            <w:vAlign w:val="center"/>
          </w:tcPr>
          <w:p>
            <w:pPr>
              <w:pStyle w:val="11"/>
              <w:numPr>
                <w:ilvl w:val="0"/>
                <w:numId w:val="1"/>
              </w:numPr>
              <w:spacing w:line="360" w:lineRule="auto"/>
              <w:ind w:left="0" w:firstLine="0" w:firstLineChars="0"/>
              <w:rPr>
                <w:rFonts w:ascii="微软雅黑" w:hAnsi="微软雅黑" w:eastAsia="微软雅黑"/>
                <w:szCs w:val="21"/>
              </w:rPr>
            </w:pPr>
          </w:p>
        </w:tc>
        <w:tc>
          <w:tcPr>
            <w:tcW w:w="1276" w:type="dxa"/>
            <w:vAlign w:val="center"/>
          </w:tcPr>
          <w:p>
            <w:pPr>
              <w:spacing w:line="360" w:lineRule="auto"/>
              <w:rPr>
                <w:rFonts w:ascii="微软雅黑" w:hAnsi="微软雅黑" w:eastAsia="微软雅黑"/>
                <w:szCs w:val="21"/>
              </w:rPr>
            </w:pPr>
            <w:r>
              <w:rPr>
                <w:rFonts w:hint="eastAsia" w:ascii="微软雅黑" w:hAnsi="微软雅黑" w:eastAsia="微软雅黑"/>
                <w:szCs w:val="21"/>
              </w:rPr>
              <w:t>企业总体情况</w:t>
            </w:r>
          </w:p>
        </w:tc>
        <w:tc>
          <w:tcPr>
            <w:tcW w:w="6662" w:type="dxa"/>
            <w:vAlign w:val="center"/>
          </w:tcPr>
          <w:p>
            <w:pPr>
              <w:spacing w:line="360" w:lineRule="auto"/>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、供应商具有有效的I</w:t>
            </w:r>
            <w:r>
              <w:rPr>
                <w:rFonts w:ascii="微软雅黑" w:hAnsi="微软雅黑" w:eastAsia="微软雅黑"/>
                <w:szCs w:val="21"/>
              </w:rPr>
              <w:t>SO9001</w:t>
            </w:r>
            <w:r>
              <w:rPr>
                <w:rFonts w:hint="eastAsia" w:ascii="微软雅黑" w:hAnsi="微软雅黑" w:eastAsia="微软雅黑"/>
                <w:szCs w:val="21"/>
              </w:rPr>
              <w:t>质量管理体系认证证书的，得</w:t>
            </w:r>
            <w:r>
              <w:rPr>
                <w:rFonts w:ascii="微软雅黑" w:hAnsi="微软雅黑" w:eastAsia="微软雅黑"/>
                <w:szCs w:val="21"/>
              </w:rPr>
              <w:t>2</w:t>
            </w:r>
            <w:r>
              <w:rPr>
                <w:rFonts w:hint="eastAsia" w:ascii="微软雅黑" w:hAnsi="微软雅黑" w:eastAsia="微软雅黑"/>
                <w:szCs w:val="21"/>
              </w:rPr>
              <w:t>分（提供证书复印件加盖单位公章）；</w:t>
            </w:r>
          </w:p>
          <w:p>
            <w:pPr>
              <w:spacing w:line="360" w:lineRule="auto"/>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、供应商具有有效的软件成熟度模型CMMI5级证书得</w:t>
            </w:r>
            <w:r>
              <w:rPr>
                <w:rFonts w:ascii="微软雅黑" w:hAnsi="微软雅黑" w:eastAsia="微软雅黑"/>
                <w:szCs w:val="21"/>
              </w:rPr>
              <w:t>2</w:t>
            </w:r>
            <w:r>
              <w:rPr>
                <w:rFonts w:hint="eastAsia" w:ascii="微软雅黑" w:hAnsi="微软雅黑" w:eastAsia="微软雅黑"/>
                <w:szCs w:val="21"/>
              </w:rPr>
              <w:t>分，没有不得分（提供证书复印件加盖单位公章）；</w:t>
            </w:r>
          </w:p>
          <w:p>
            <w:pPr>
              <w:spacing w:line="360" w:lineRule="auto"/>
              <w:rPr>
                <w:rFonts w:hint="eastAsia" w:ascii="微软雅黑" w:hAnsi="微软雅黑" w:eastAsia="微软雅黑"/>
                <w:szCs w:val="21"/>
              </w:rPr>
            </w:pPr>
            <w:r>
              <w:rPr>
                <w:rFonts w:ascii="微软雅黑" w:hAnsi="微软雅黑" w:eastAsia="微软雅黑"/>
                <w:szCs w:val="21"/>
              </w:rPr>
              <w:t>3</w:t>
            </w:r>
            <w:r>
              <w:rPr>
                <w:rFonts w:hint="eastAsia" w:ascii="微软雅黑" w:hAnsi="微软雅黑" w:eastAsia="微软雅黑"/>
                <w:szCs w:val="21"/>
              </w:rPr>
              <w:t>、信息系统建设和服务能力评估体系CS4级及以上的证书得</w:t>
            </w:r>
            <w:r>
              <w:rPr>
                <w:rFonts w:ascii="微软雅黑" w:hAnsi="微软雅黑" w:eastAsia="微软雅黑"/>
                <w:szCs w:val="21"/>
              </w:rPr>
              <w:t>2</w:t>
            </w:r>
            <w:r>
              <w:rPr>
                <w:rFonts w:hint="eastAsia" w:ascii="微软雅黑" w:hAnsi="微软雅黑" w:eastAsia="微软雅黑"/>
                <w:szCs w:val="21"/>
              </w:rPr>
              <w:t>分，没有不得分（提供证书复印件加盖单位公章）；</w:t>
            </w:r>
          </w:p>
        </w:tc>
        <w:tc>
          <w:tcPr>
            <w:tcW w:w="567" w:type="dxa"/>
            <w:vAlign w:val="center"/>
          </w:tcPr>
          <w:p>
            <w:pPr>
              <w:spacing w:line="360" w:lineRule="auto"/>
              <w:jc w:val="center"/>
              <w:rPr>
                <w:rFonts w:ascii="微软雅黑" w:hAnsi="微软雅黑" w:eastAsia="微软雅黑"/>
                <w:szCs w:val="21"/>
              </w:rPr>
            </w:pPr>
            <w:r>
              <w:rPr>
                <w:rFonts w:ascii="微软雅黑" w:hAnsi="微软雅黑" w:eastAsia="微软雅黑"/>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67" w:type="dxa"/>
            <w:vAlign w:val="center"/>
          </w:tcPr>
          <w:p>
            <w:pPr>
              <w:pStyle w:val="11"/>
              <w:numPr>
                <w:ilvl w:val="0"/>
                <w:numId w:val="1"/>
              </w:numPr>
              <w:spacing w:line="360" w:lineRule="auto"/>
              <w:ind w:left="0" w:firstLine="0" w:firstLineChars="0"/>
              <w:rPr>
                <w:rFonts w:ascii="微软雅黑" w:hAnsi="微软雅黑" w:eastAsia="微软雅黑"/>
                <w:szCs w:val="21"/>
              </w:rPr>
            </w:pPr>
          </w:p>
        </w:tc>
        <w:tc>
          <w:tcPr>
            <w:tcW w:w="1276" w:type="dxa"/>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成功案例及业绩1分</w:t>
            </w:r>
          </w:p>
        </w:tc>
        <w:tc>
          <w:tcPr>
            <w:tcW w:w="6662" w:type="dxa"/>
          </w:tcPr>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投标人具有2019年1月1日起至今完成同类项目案例每提供一份得1分,最高得1分。</w:t>
            </w:r>
            <w:r>
              <w:rPr>
                <w:rFonts w:hint="eastAsia" w:ascii="微软雅黑" w:hAnsi="微软雅黑" w:eastAsia="微软雅黑"/>
                <w:b/>
                <w:bCs/>
                <w:szCs w:val="21"/>
              </w:rPr>
              <w:t>（提供合同复印件并加盖公章，未提供不得分）</w:t>
            </w:r>
          </w:p>
        </w:tc>
        <w:tc>
          <w:tcPr>
            <w:tcW w:w="567" w:type="dxa"/>
            <w:vAlign w:val="center"/>
          </w:tcPr>
          <w:p>
            <w:pPr>
              <w:spacing w:line="360" w:lineRule="auto"/>
              <w:jc w:val="center"/>
              <w:rPr>
                <w:rFonts w:ascii="微软雅黑" w:hAnsi="微软雅黑" w:eastAsia="微软雅黑"/>
                <w:szCs w:val="21"/>
              </w:rPr>
            </w:pPr>
            <w:r>
              <w:rPr>
                <w:rFonts w:hint="eastAsia" w:ascii="微软雅黑" w:hAnsi="微软雅黑" w:eastAsia="微软雅黑"/>
                <w:szCs w:val="21"/>
              </w:rPr>
              <w:t>1</w:t>
            </w:r>
          </w:p>
        </w:tc>
      </w:tr>
    </w:tbl>
    <w:p>
      <w:pPr>
        <w:pStyle w:val="10"/>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投标时间不变。</w:t>
      </w:r>
    </w:p>
    <w:p>
      <w:pPr>
        <w:spacing w:line="420" w:lineRule="exact"/>
        <w:ind w:firstLine="411" w:firstLineChars="147"/>
        <w:rPr>
          <w:rFonts w:hint="eastAsia"/>
          <w:sz w:val="28"/>
          <w:szCs w:val="28"/>
        </w:rPr>
      </w:pPr>
      <w:r>
        <w:rPr>
          <w:rFonts w:hint="eastAsia"/>
          <w:sz w:val="28"/>
          <w:szCs w:val="28"/>
        </w:rPr>
        <w:t>此函是招标文件的组成部分，与招标文件具有同等法律效力,未涉及部分，仍以原招标文件为准,至今未提出质疑的,视为完全理解和接受.望各投标单位遵照执行，否则后果自负。</w:t>
      </w:r>
    </w:p>
    <w:p>
      <w:pPr>
        <w:spacing w:line="420" w:lineRule="exact"/>
        <w:ind w:firstLine="837" w:firstLineChars="299"/>
        <w:rPr>
          <w:rFonts w:hint="eastAsia"/>
          <w:sz w:val="28"/>
          <w:szCs w:val="28"/>
        </w:rPr>
      </w:pPr>
      <w:r>
        <w:rPr>
          <w:rFonts w:hint="eastAsia"/>
          <w:sz w:val="28"/>
          <w:szCs w:val="28"/>
        </w:rPr>
        <w:t>致 函！谢谢各投标单位对我们</w:t>
      </w:r>
      <w:bookmarkStart w:id="0" w:name="_GoBack"/>
      <w:bookmarkEnd w:id="0"/>
      <w:r>
        <w:rPr>
          <w:rFonts w:hint="eastAsia"/>
          <w:sz w:val="28"/>
          <w:szCs w:val="28"/>
        </w:rPr>
        <w:t>工作的支持和理解！</w:t>
      </w:r>
    </w:p>
    <w:p>
      <w:pPr>
        <w:spacing w:line="420" w:lineRule="exact"/>
        <w:ind w:right="480"/>
        <w:rPr>
          <w:rFonts w:hint="eastAsia"/>
          <w:sz w:val="28"/>
          <w:szCs w:val="28"/>
        </w:rPr>
      </w:pPr>
    </w:p>
    <w:p>
      <w:pPr>
        <w:spacing w:line="420" w:lineRule="exact"/>
        <w:ind w:firstLine="837" w:firstLineChars="299"/>
        <w:jc w:val="right"/>
        <w:rPr>
          <w:rFonts w:hint="eastAsia" w:ascii="Times New Roman" w:hAnsi="Times New Roman" w:eastAsia="宋体" w:cs="Times New Roman"/>
          <w:sz w:val="28"/>
          <w:szCs w:val="28"/>
          <w:lang w:eastAsia="zh-CN"/>
        </w:rPr>
      </w:pPr>
    </w:p>
    <w:p>
      <w:pPr>
        <w:spacing w:line="420" w:lineRule="exact"/>
        <w:ind w:firstLine="837" w:firstLineChars="299"/>
        <w:jc w:val="right"/>
        <w:rPr>
          <w:rFonts w:hint="eastAsia"/>
          <w:sz w:val="28"/>
          <w:szCs w:val="28"/>
          <w:lang w:val="en-US" w:eastAsia="zh-CN"/>
        </w:rPr>
      </w:pPr>
      <w:r>
        <w:rPr>
          <w:rFonts w:hint="eastAsia"/>
          <w:sz w:val="28"/>
          <w:szCs w:val="28"/>
          <w:lang w:eastAsia="zh-CN"/>
        </w:rPr>
        <w:t>安吉县医疗保障事业管理服务中心</w:t>
      </w:r>
    </w:p>
    <w:p>
      <w:pPr>
        <w:spacing w:line="420" w:lineRule="exact"/>
        <w:ind w:firstLine="837" w:firstLineChars="299"/>
        <w:jc w:val="right"/>
        <w:rPr>
          <w:rFonts w:hint="eastAsia"/>
          <w:sz w:val="28"/>
          <w:szCs w:val="28"/>
        </w:rPr>
      </w:pPr>
      <w:r>
        <w:rPr>
          <w:rFonts w:hint="eastAsia"/>
          <w:sz w:val="28"/>
          <w:szCs w:val="28"/>
        </w:rPr>
        <w:t>安吉品位采购服务有限公司</w:t>
      </w:r>
    </w:p>
    <w:p>
      <w:pPr>
        <w:spacing w:line="420" w:lineRule="exact"/>
        <w:ind w:firstLine="837" w:firstLineChars="299"/>
        <w:jc w:val="right"/>
        <w:rPr>
          <w:rFonts w:hint="eastAsia"/>
          <w:sz w:val="28"/>
          <w:szCs w:val="28"/>
        </w:rPr>
      </w:pPr>
      <w:r>
        <w:rPr>
          <w:rFonts w:hint="eastAsia"/>
          <w:sz w:val="28"/>
          <w:szCs w:val="28"/>
        </w:rPr>
        <w:t>20</w:t>
      </w:r>
      <w:r>
        <w:rPr>
          <w:rFonts w:hint="eastAsia"/>
          <w:sz w:val="28"/>
          <w:szCs w:val="28"/>
          <w:lang w:val="en-US" w:eastAsia="zh-CN"/>
        </w:rPr>
        <w:t>22</w:t>
      </w:r>
      <w:r>
        <w:rPr>
          <w:rFonts w:hint="eastAsia"/>
          <w:sz w:val="28"/>
          <w:szCs w:val="28"/>
        </w:rPr>
        <w:t>年</w:t>
      </w:r>
      <w:r>
        <w:rPr>
          <w:rFonts w:hint="eastAsia"/>
          <w:sz w:val="28"/>
          <w:szCs w:val="28"/>
          <w:lang w:val="en-US" w:eastAsia="zh-CN"/>
        </w:rPr>
        <w:t>8</w:t>
      </w:r>
      <w:r>
        <w:rPr>
          <w:rFonts w:hint="eastAsia"/>
          <w:sz w:val="28"/>
          <w:szCs w:val="28"/>
        </w:rPr>
        <w:t>月</w:t>
      </w:r>
      <w:r>
        <w:rPr>
          <w:rFonts w:hint="eastAsia"/>
          <w:sz w:val="28"/>
          <w:szCs w:val="28"/>
          <w:lang w:val="en-US" w:eastAsia="zh-CN"/>
        </w:rPr>
        <w:t>18</w:t>
      </w:r>
      <w:r>
        <w:rPr>
          <w:rFonts w:hint="eastAsia"/>
          <w:sz w:val="28"/>
          <w:szCs w:val="28"/>
        </w:rPr>
        <w:t>日</w:t>
      </w:r>
    </w:p>
    <w:p>
      <w:pPr>
        <w:rPr>
          <w:rFonts w:hint="eastAsia" w:eastAsiaTheme="minorEastAsia"/>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panose1 w:val="020B0504020202030204"/>
    <w:charset w:val="00"/>
    <w:family w:val="swiss"/>
    <w:pitch w:val="default"/>
    <w:sig w:usb0="00000007" w:usb1="00000000" w:usb2="00000000" w:usb3="00000000" w:csb0="00000093"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F57BC"/>
    <w:multiLevelType w:val="multilevel"/>
    <w:tmpl w:val="247F57BC"/>
    <w:lvl w:ilvl="0" w:tentative="0">
      <w:start w:val="1"/>
      <w:numFmt w:val="decimal"/>
      <w:lvlText w:val="%1"/>
      <w:lvlJc w:val="left"/>
      <w:pPr>
        <w:ind w:left="840" w:hanging="420"/>
      </w:pPr>
      <w:rPr>
        <w:rFonts w:hint="eastAsia"/>
        <w:b w:val="0"/>
        <w:bCs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4NmQzZjUzZmMzNTEwMzhlNmZkYjNhMzgxYmY5ZjkifQ=="/>
  </w:docVars>
  <w:rsids>
    <w:rsidRoot w:val="00000000"/>
    <w:rsid w:val="32BC4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qFormat/>
    <w:uiPriority w:val="9"/>
    <w:pPr>
      <w:keepNext/>
      <w:keepLines/>
      <w:widowControl w:val="0"/>
      <w:spacing w:before="40"/>
      <w:outlineLvl w:val="2"/>
    </w:pPr>
    <w:rPr>
      <w:rFonts w:ascii="Cambria" w:hAnsi="Cambria" w:eastAsia="宋体" w:cs="Times New Roman"/>
      <w:color w:val="244061"/>
      <w:sz w:val="24"/>
      <w:lang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6">
    <w:name w:val="Title"/>
    <w:basedOn w:val="1"/>
    <w:next w:val="1"/>
    <w:qFormat/>
    <w:uiPriority w:val="0"/>
    <w:pPr>
      <w:spacing w:before="240" w:after="60"/>
      <w:jc w:val="center"/>
      <w:outlineLvl w:val="0"/>
    </w:pPr>
    <w:rPr>
      <w:rFonts w:ascii="Cambria" w:hAnsi="Cambria"/>
      <w:b/>
      <w:bCs/>
      <w:sz w:val="32"/>
      <w:szCs w:val="32"/>
    </w:rPr>
  </w:style>
  <w:style w:type="character" w:styleId="9">
    <w:name w:val="Hyperlink"/>
    <w:basedOn w:val="8"/>
    <w:qFormat/>
    <w:uiPriority w:val="0"/>
    <w:rPr>
      <w:color w:val="0000FF"/>
      <w:u w:val="single"/>
    </w:rPr>
  </w:style>
  <w:style w:type="paragraph" w:customStyle="1" w:styleId="10">
    <w:name w:val="章正文"/>
    <w:basedOn w:val="1"/>
    <w:qFormat/>
    <w:uiPriority w:val="0"/>
    <w:pPr>
      <w:spacing w:before="156" w:beforeLines="50" w:after="120" w:afterLines="0" w:line="300" w:lineRule="auto"/>
      <w:ind w:firstLine="480"/>
    </w:pPr>
    <w:rPr>
      <w:rFonts w:ascii="Helvetica" w:hAnsi="Helvetica"/>
      <w:kern w:val="0"/>
      <w:sz w:val="24"/>
    </w:rPr>
  </w:style>
  <w:style w:type="paragraph" w:customStyle="1" w:styleId="11">
    <w:name w:val="列表段落1"/>
    <w:basedOn w:val="1"/>
    <w:qFormat/>
    <w:uiPriority w:val="99"/>
    <w:pPr>
      <w:ind w:firstLine="420" w:firstLineChars="200"/>
    </w:pPr>
    <w:rPr>
      <w:rFonts w:ascii="Calibri" w:hAnsi="Calibri"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874</Words>
  <Characters>1092</Characters>
  <Lines>0</Lines>
  <Paragraphs>0</Paragraphs>
  <TotalTime>1</TotalTime>
  <ScaleCrop>false</ScaleCrop>
  <LinksUpToDate>false</LinksUpToDate>
  <CharactersWithSpaces>1100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2022-08-18T07:29:43Z</dcterms:created>
  <dc:creator>Administrator</dc:creator>
  <cp:lastModifiedBy>WPS_1540348732</cp:lastModifiedBy>
  <dcterms:modified xsi:type="dcterms:W3CDTF">2022-08-18T07:39:06Z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14366EF4B2DA4A1BBDEDEA9A25AADF60</vt:lpwstr>
  </property>
</Properties>
</file>