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7"/>
        <w:jc w:val="both"/>
        <w:rPr>
          <w:rFonts w:hint="eastAsia" w:ascii="宋体" w:hAnsi="宋体" w:eastAsia="宋体" w:cs="宋体"/>
          <w:color w:val="auto"/>
          <w:sz w:val="52"/>
          <w:highlight w:val="none"/>
        </w:rPr>
      </w:pPr>
      <w:r>
        <w:rPr>
          <w:rFonts w:hint="eastAsia" w:ascii="宋体" w:hAnsi="宋体" w:eastAsia="宋体" w:cs="宋体"/>
          <w:color w:val="auto"/>
          <w:sz w:val="52"/>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AAA9
</w:fldData>
        </w:fldChar>
      </w:r>
      <w:r>
        <w:rPr>
          <w:rFonts w:hint="eastAsia" w:ascii="宋体" w:hAnsi="宋体" w:eastAsia="宋体" w:cs="宋体"/>
          <w:color w:val="auto"/>
          <w:sz w:val="52"/>
          <w:highlight w:val="none"/>
        </w:rPr>
        <w:instrText xml:space="preserve">ADDIN CNKISM.UserStyle</w:instrText>
      </w:r>
      <w:r>
        <w:rPr>
          <w:rFonts w:hint="eastAsia" w:ascii="宋体" w:hAnsi="宋体" w:eastAsia="宋体" w:cs="宋体"/>
          <w:color w:val="auto"/>
          <w:sz w:val="52"/>
          <w:highlight w:val="none"/>
        </w:rPr>
        <w:fldChar w:fldCharType="end"/>
      </w:r>
    </w:p>
    <w:p>
      <w:pPr>
        <w:pStyle w:val="27"/>
        <w:keepNext w:val="0"/>
        <w:keepLines w:val="0"/>
        <w:pageBreakBefore w:val="0"/>
        <w:widowControl w:val="0"/>
        <w:kinsoku/>
        <w:wordWrap/>
        <w:overflowPunct/>
        <w:topLinePunct w:val="0"/>
        <w:autoSpaceDE/>
        <w:autoSpaceDN/>
        <w:bidi w:val="0"/>
        <w:adjustRightInd/>
        <w:snapToGrid/>
        <w:spacing w:line="720" w:lineRule="auto"/>
        <w:ind w:left="0" w:leftChars="0" w:right="0" w:rightChars="0"/>
        <w:textAlignment w:val="auto"/>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lang w:eastAsia="zh-CN"/>
        </w:rPr>
        <w:t>嘉兴市南湖区综合行政执法局南湖区开店一件事项目</w:t>
      </w:r>
    </w:p>
    <w:p>
      <w:pPr>
        <w:pStyle w:val="27"/>
        <w:spacing w:line="600" w:lineRule="exact"/>
        <w:rPr>
          <w:rFonts w:hint="eastAsia" w:ascii="宋体" w:hAnsi="宋体" w:eastAsia="宋体" w:cs="宋体"/>
          <w:color w:val="auto"/>
          <w:sz w:val="48"/>
          <w:szCs w:val="48"/>
          <w:highlight w:val="none"/>
        </w:rPr>
      </w:pPr>
    </w:p>
    <w:p>
      <w:pPr>
        <w:pStyle w:val="27"/>
        <w:spacing w:line="600" w:lineRule="exact"/>
        <w:rPr>
          <w:rFonts w:hint="eastAsia" w:ascii="宋体" w:hAnsi="宋体" w:eastAsia="宋体" w:cs="宋体"/>
          <w:color w:val="auto"/>
          <w:sz w:val="48"/>
          <w:szCs w:val="48"/>
          <w:highlight w:val="none"/>
        </w:rPr>
      </w:pPr>
    </w:p>
    <w:p>
      <w:pPr>
        <w:pStyle w:val="27"/>
        <w:spacing w:line="600" w:lineRule="exact"/>
        <w:jc w:val="both"/>
        <w:rPr>
          <w:rFonts w:hint="eastAsia" w:ascii="宋体" w:hAnsi="宋体" w:eastAsia="宋体" w:cs="宋体"/>
          <w:color w:val="auto"/>
          <w:sz w:val="48"/>
          <w:szCs w:val="48"/>
          <w:highlight w:val="none"/>
        </w:rPr>
      </w:pPr>
    </w:p>
    <w:p>
      <w:pPr>
        <w:pStyle w:val="27"/>
        <w:spacing w:line="600" w:lineRule="exact"/>
        <w:rPr>
          <w:rFonts w:hint="eastAsia" w:ascii="宋体" w:hAnsi="宋体" w:eastAsia="宋体" w:cs="宋体"/>
          <w:color w:val="auto"/>
          <w:sz w:val="48"/>
          <w:szCs w:val="48"/>
          <w:highlight w:val="none"/>
        </w:rPr>
      </w:pPr>
    </w:p>
    <w:p>
      <w:pPr>
        <w:pStyle w:val="27"/>
        <w:spacing w:line="600" w:lineRule="exact"/>
        <w:rPr>
          <w:rFonts w:hint="eastAsia" w:ascii="宋体" w:hAnsi="宋体" w:eastAsia="宋体" w:cs="宋体"/>
          <w:color w:val="auto"/>
          <w:sz w:val="48"/>
          <w:szCs w:val="48"/>
          <w:highlight w:val="none"/>
        </w:rPr>
      </w:pPr>
    </w:p>
    <w:p>
      <w:pPr>
        <w:pStyle w:val="27"/>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color w:val="auto"/>
          <w:spacing w:val="57"/>
          <w:sz w:val="52"/>
          <w:szCs w:val="52"/>
          <w:highlight w:val="none"/>
        </w:rPr>
      </w:pPr>
      <w:r>
        <w:rPr>
          <w:rFonts w:hint="eastAsia" w:ascii="宋体" w:hAnsi="宋体" w:eastAsia="宋体" w:cs="宋体"/>
          <w:b/>
          <w:color w:val="auto"/>
          <w:spacing w:val="57"/>
          <w:sz w:val="52"/>
          <w:szCs w:val="52"/>
          <w:highlight w:val="none"/>
        </w:rPr>
        <w:t>竞争性磋商文件</w:t>
      </w:r>
    </w:p>
    <w:p>
      <w:pPr>
        <w:pStyle w:val="2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52"/>
          <w:highlight w:val="none"/>
        </w:rPr>
      </w:pPr>
    </w:p>
    <w:p>
      <w:pPr>
        <w:pStyle w:val="27"/>
        <w:rPr>
          <w:rFonts w:hint="eastAsia" w:ascii="宋体" w:hAnsi="宋体" w:eastAsia="宋体" w:cs="宋体"/>
          <w:color w:val="auto"/>
          <w:sz w:val="52"/>
          <w:highlight w:val="none"/>
        </w:rPr>
      </w:pPr>
    </w:p>
    <w:p>
      <w:pPr>
        <w:pStyle w:val="63"/>
        <w:rPr>
          <w:rFonts w:hint="eastAsia" w:ascii="宋体" w:hAnsi="宋体" w:eastAsia="宋体" w:cs="宋体"/>
          <w:color w:val="auto"/>
          <w:highlight w:val="none"/>
        </w:rPr>
      </w:pPr>
    </w:p>
    <w:p>
      <w:pPr>
        <w:spacing w:line="600" w:lineRule="exact"/>
        <w:rPr>
          <w:rFonts w:hint="eastAsia" w:ascii="宋体" w:hAnsi="宋体" w:eastAsia="宋体" w:cs="宋体"/>
          <w:b/>
          <w:color w:val="auto"/>
          <w:sz w:val="32"/>
          <w:szCs w:val="32"/>
          <w:highlight w:val="none"/>
        </w:rPr>
      </w:pPr>
    </w:p>
    <w:p>
      <w:pPr>
        <w:spacing w:line="600" w:lineRule="exact"/>
        <w:rPr>
          <w:rFonts w:hint="eastAsia" w:ascii="宋体" w:hAnsi="宋体" w:eastAsia="宋体" w:cs="宋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r>
        <w:rPr>
          <w:rFonts w:hint="eastAsia" w:ascii="宋体" w:hAnsi="宋体" w:eastAsia="宋体" w:cs="宋体"/>
          <w:b/>
          <w:color w:val="auto"/>
          <w:sz w:val="28"/>
          <w:szCs w:val="28"/>
          <w:highlight w:val="none"/>
          <w:lang w:eastAsia="zh-CN"/>
        </w:rPr>
        <w:t>SHHR-2022-052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采购单位：</w:t>
      </w:r>
      <w:r>
        <w:rPr>
          <w:rFonts w:hint="eastAsia" w:ascii="宋体" w:hAnsi="宋体" w:eastAsia="宋体" w:cs="宋体"/>
          <w:b/>
          <w:color w:val="auto"/>
          <w:sz w:val="28"/>
          <w:szCs w:val="28"/>
          <w:highlight w:val="none"/>
          <w:lang w:eastAsia="zh-CN"/>
        </w:rPr>
        <w:t>嘉兴市南湖区综合行政执法局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代理单位：</w:t>
      </w:r>
      <w:r>
        <w:rPr>
          <w:rFonts w:hint="eastAsia" w:ascii="宋体" w:hAnsi="宋体" w:eastAsia="宋体" w:cs="宋体"/>
          <w:b/>
          <w:color w:val="auto"/>
          <w:sz w:val="28"/>
          <w:szCs w:val="28"/>
          <w:highlight w:val="none"/>
          <w:lang w:eastAsia="zh-CN"/>
        </w:rPr>
        <w:t>上海华瑞建设经济咨询有限公司</w:t>
      </w:r>
    </w:p>
    <w:p>
      <w:pPr>
        <w:spacing w:line="600" w:lineRule="exact"/>
        <w:jc w:val="center"/>
        <w:rPr>
          <w:rFonts w:hint="eastAsia" w:ascii="宋体" w:hAnsi="宋体" w:eastAsia="宋体" w:cs="宋体"/>
          <w:b/>
          <w:color w:val="auto"/>
          <w:sz w:val="28"/>
          <w:szCs w:val="28"/>
          <w:highlight w:val="none"/>
        </w:rPr>
        <w:sectPr>
          <w:footerReference r:id="rId3" w:type="default"/>
          <w:pgSz w:w="11906" w:h="16838"/>
          <w:pgMar w:top="1134" w:right="1474" w:bottom="113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b/>
          <w:color w:val="auto"/>
          <w:sz w:val="28"/>
          <w:szCs w:val="28"/>
          <w:highlight w:val="none"/>
        </w:rPr>
        <w:t>2022年</w:t>
      </w:r>
      <w:r>
        <w:rPr>
          <w:rFonts w:hint="eastAsia" w:ascii="宋体" w:hAnsi="宋体" w:eastAsia="宋体" w:cs="宋体"/>
          <w:b/>
          <w:color w:val="auto"/>
          <w:sz w:val="28"/>
          <w:szCs w:val="28"/>
          <w:highlight w:val="none"/>
          <w:lang w:val="en-US" w:eastAsia="zh-CN"/>
        </w:rPr>
        <w:t>11月</w:t>
      </w:r>
    </w:p>
    <w:p>
      <w:pPr>
        <w:spacing w:line="600" w:lineRule="exact"/>
        <w:rPr>
          <w:rFonts w:hint="eastAsia" w:ascii="宋体" w:hAnsi="宋体" w:eastAsia="宋体" w:cs="宋体"/>
          <w:b/>
          <w:color w:val="auto"/>
          <w:sz w:val="32"/>
          <w:szCs w:val="32"/>
          <w:highlight w:val="none"/>
        </w:rPr>
      </w:pPr>
    </w:p>
    <w:p>
      <w:pPr>
        <w:pStyle w:val="16"/>
        <w:spacing w:before="120" w:after="120"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sdt>
      <w:sdtPr>
        <w:rPr>
          <w:rFonts w:hint="eastAsia" w:ascii="宋体" w:hAnsi="宋体" w:eastAsia="宋体" w:cs="宋体"/>
          <w:color w:val="auto"/>
          <w:kern w:val="2"/>
          <w:sz w:val="21"/>
          <w:szCs w:val="24"/>
          <w:highlight w:val="none"/>
          <w:lang w:val="en-US" w:eastAsia="zh-CN" w:bidi="ar-SA"/>
        </w:rPr>
        <w:id w:val="147473346"/>
        <w15:color w:val="DBDBDB"/>
      </w:sdtPr>
      <w:sdtEndPr>
        <w:rPr>
          <w:rFonts w:hint="eastAsia" w:ascii="宋体" w:hAnsi="宋体" w:eastAsia="宋体" w:cs="宋体"/>
          <w:color w:val="auto"/>
          <w:kern w:val="2"/>
          <w:sz w:val="21"/>
          <w:szCs w:val="24"/>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color w:val="auto"/>
              <w:highlight w:val="none"/>
            </w:rPr>
          </w:pPr>
        </w:p>
        <w:p>
          <w:pPr>
            <w:pStyle w:val="79"/>
            <w:keepNext w:val="0"/>
            <w:keepLines w:val="0"/>
            <w:pageBreakBefore w:val="0"/>
            <w:widowControl/>
            <w:tabs>
              <w:tab w:val="right" w:leader="dot" w:pos="9184"/>
            </w:tabs>
            <w:kinsoku/>
            <w:wordWrap/>
            <w:overflowPunct/>
            <w:topLinePunct w:val="0"/>
            <w:autoSpaceDE/>
            <w:autoSpaceDN/>
            <w:bidi w:val="0"/>
            <w:adjustRightInd/>
            <w:snapToGrid/>
            <w:spacing w:line="600" w:lineRule="auto"/>
            <w:textAlignment w:val="auto"/>
            <w:rPr>
              <w:rFonts w:hint="eastAsia" w:ascii="宋体" w:hAnsi="宋体" w:eastAsia="宋体" w:cs="宋体"/>
              <w:b w:val="0"/>
              <w:bCs w:val="0"/>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HYPERLINK \l _Toc14315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第一章  竞争性磋商公告</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PAGEREF _Toc14315 \h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3</w:t>
          </w:r>
          <w:r>
            <w:rPr>
              <w:rFonts w:hint="eastAsia" w:ascii="宋体" w:hAnsi="宋体" w:eastAsia="宋体" w:cs="宋体"/>
              <w:b w:val="0"/>
              <w:bCs w:val="0"/>
              <w:color w:val="auto"/>
              <w:sz w:val="30"/>
              <w:szCs w:val="30"/>
              <w:highlight w:val="none"/>
            </w:rPr>
            <w:fldChar w:fldCharType="end"/>
          </w:r>
          <w:r>
            <w:rPr>
              <w:rFonts w:hint="eastAsia" w:ascii="宋体" w:hAnsi="宋体" w:eastAsia="宋体" w:cs="宋体"/>
              <w:b w:val="0"/>
              <w:bCs w:val="0"/>
              <w:color w:val="auto"/>
              <w:sz w:val="30"/>
              <w:szCs w:val="30"/>
              <w:highlight w:val="none"/>
            </w:rPr>
            <w:fldChar w:fldCharType="end"/>
          </w:r>
        </w:p>
        <w:p>
          <w:pPr>
            <w:pStyle w:val="79"/>
            <w:keepNext w:val="0"/>
            <w:keepLines w:val="0"/>
            <w:pageBreakBefore w:val="0"/>
            <w:widowControl/>
            <w:tabs>
              <w:tab w:val="right" w:leader="dot" w:pos="9184"/>
            </w:tabs>
            <w:kinsoku/>
            <w:wordWrap/>
            <w:overflowPunct/>
            <w:topLinePunct w:val="0"/>
            <w:autoSpaceDE/>
            <w:autoSpaceDN/>
            <w:bidi w:val="0"/>
            <w:adjustRightInd/>
            <w:snapToGrid/>
            <w:spacing w:line="600" w:lineRule="auto"/>
            <w:textAlignment w:val="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HYPERLINK \l _Toc13097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 xml:space="preserve">第二章 </w:t>
          </w:r>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rPr>
            <w:t>采购需求</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PAGEREF _Toc13097 \h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6</w:t>
          </w:r>
          <w:r>
            <w:rPr>
              <w:rFonts w:hint="eastAsia" w:ascii="宋体" w:hAnsi="宋体" w:eastAsia="宋体" w:cs="宋体"/>
              <w:b w:val="0"/>
              <w:bCs w:val="0"/>
              <w:color w:val="auto"/>
              <w:sz w:val="30"/>
              <w:szCs w:val="30"/>
              <w:highlight w:val="none"/>
            </w:rPr>
            <w:fldChar w:fldCharType="end"/>
          </w:r>
          <w:r>
            <w:rPr>
              <w:rFonts w:hint="eastAsia" w:ascii="宋体" w:hAnsi="宋体" w:eastAsia="宋体" w:cs="宋体"/>
              <w:b w:val="0"/>
              <w:bCs w:val="0"/>
              <w:color w:val="auto"/>
              <w:sz w:val="30"/>
              <w:szCs w:val="30"/>
              <w:highlight w:val="none"/>
            </w:rPr>
            <w:fldChar w:fldCharType="end"/>
          </w:r>
        </w:p>
        <w:p>
          <w:pPr>
            <w:pStyle w:val="79"/>
            <w:keepNext w:val="0"/>
            <w:keepLines w:val="0"/>
            <w:pageBreakBefore w:val="0"/>
            <w:widowControl/>
            <w:tabs>
              <w:tab w:val="right" w:leader="dot" w:pos="9184"/>
            </w:tabs>
            <w:kinsoku/>
            <w:wordWrap/>
            <w:overflowPunct/>
            <w:topLinePunct w:val="0"/>
            <w:autoSpaceDE/>
            <w:autoSpaceDN/>
            <w:bidi w:val="0"/>
            <w:adjustRightInd/>
            <w:snapToGrid/>
            <w:spacing w:line="600" w:lineRule="auto"/>
            <w:textAlignment w:val="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HYPERLINK \l _Toc6607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第三章  供应商须知</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PAGEREF _Toc6607 \h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13</w:t>
          </w:r>
          <w:r>
            <w:rPr>
              <w:rFonts w:hint="eastAsia" w:ascii="宋体" w:hAnsi="宋体" w:eastAsia="宋体" w:cs="宋体"/>
              <w:b w:val="0"/>
              <w:bCs w:val="0"/>
              <w:color w:val="auto"/>
              <w:sz w:val="30"/>
              <w:szCs w:val="30"/>
              <w:highlight w:val="none"/>
            </w:rPr>
            <w:fldChar w:fldCharType="end"/>
          </w:r>
          <w:r>
            <w:rPr>
              <w:rFonts w:hint="eastAsia" w:ascii="宋体" w:hAnsi="宋体" w:eastAsia="宋体" w:cs="宋体"/>
              <w:b w:val="0"/>
              <w:bCs w:val="0"/>
              <w:color w:val="auto"/>
              <w:sz w:val="30"/>
              <w:szCs w:val="30"/>
              <w:highlight w:val="none"/>
            </w:rPr>
            <w:fldChar w:fldCharType="end"/>
          </w:r>
        </w:p>
        <w:p>
          <w:pPr>
            <w:pStyle w:val="79"/>
            <w:keepNext w:val="0"/>
            <w:keepLines w:val="0"/>
            <w:pageBreakBefore w:val="0"/>
            <w:widowControl/>
            <w:tabs>
              <w:tab w:val="right" w:leader="dot" w:pos="9184"/>
            </w:tabs>
            <w:kinsoku/>
            <w:wordWrap/>
            <w:overflowPunct/>
            <w:topLinePunct w:val="0"/>
            <w:autoSpaceDE/>
            <w:autoSpaceDN/>
            <w:bidi w:val="0"/>
            <w:adjustRightInd/>
            <w:snapToGrid/>
            <w:spacing w:line="600" w:lineRule="auto"/>
            <w:textAlignment w:val="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HYPERLINK \l _Toc10302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第四章  评标办法及评分标准</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PAGEREF _Toc10302 \h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27</w:t>
          </w:r>
          <w:r>
            <w:rPr>
              <w:rFonts w:hint="eastAsia" w:ascii="宋体" w:hAnsi="宋体" w:eastAsia="宋体" w:cs="宋体"/>
              <w:b w:val="0"/>
              <w:bCs w:val="0"/>
              <w:color w:val="auto"/>
              <w:sz w:val="30"/>
              <w:szCs w:val="30"/>
              <w:highlight w:val="none"/>
            </w:rPr>
            <w:fldChar w:fldCharType="end"/>
          </w:r>
          <w:r>
            <w:rPr>
              <w:rFonts w:hint="eastAsia" w:ascii="宋体" w:hAnsi="宋体" w:eastAsia="宋体" w:cs="宋体"/>
              <w:b w:val="0"/>
              <w:bCs w:val="0"/>
              <w:color w:val="auto"/>
              <w:sz w:val="30"/>
              <w:szCs w:val="30"/>
              <w:highlight w:val="none"/>
            </w:rPr>
            <w:fldChar w:fldCharType="end"/>
          </w:r>
        </w:p>
        <w:p>
          <w:pPr>
            <w:pStyle w:val="79"/>
            <w:keepNext w:val="0"/>
            <w:keepLines w:val="0"/>
            <w:pageBreakBefore w:val="0"/>
            <w:widowControl/>
            <w:tabs>
              <w:tab w:val="right" w:leader="dot" w:pos="9184"/>
            </w:tabs>
            <w:kinsoku/>
            <w:wordWrap/>
            <w:overflowPunct/>
            <w:topLinePunct w:val="0"/>
            <w:autoSpaceDE/>
            <w:autoSpaceDN/>
            <w:bidi w:val="0"/>
            <w:adjustRightInd/>
            <w:snapToGrid/>
            <w:spacing w:line="600" w:lineRule="auto"/>
            <w:textAlignment w:val="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HYPERLINK \l _Toc8751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第五章  政府采购合同主要条款</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PAGEREF _Toc8751 \h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29</w:t>
          </w:r>
          <w:r>
            <w:rPr>
              <w:rFonts w:hint="eastAsia" w:ascii="宋体" w:hAnsi="宋体" w:eastAsia="宋体" w:cs="宋体"/>
              <w:b w:val="0"/>
              <w:bCs w:val="0"/>
              <w:color w:val="auto"/>
              <w:sz w:val="30"/>
              <w:szCs w:val="30"/>
              <w:highlight w:val="none"/>
            </w:rPr>
            <w:fldChar w:fldCharType="end"/>
          </w:r>
          <w:r>
            <w:rPr>
              <w:rFonts w:hint="eastAsia" w:ascii="宋体" w:hAnsi="宋体" w:eastAsia="宋体" w:cs="宋体"/>
              <w:b w:val="0"/>
              <w:bCs w:val="0"/>
              <w:color w:val="auto"/>
              <w:sz w:val="30"/>
              <w:szCs w:val="30"/>
              <w:highlight w:val="none"/>
            </w:rPr>
            <w:fldChar w:fldCharType="end"/>
          </w:r>
        </w:p>
        <w:p>
          <w:pPr>
            <w:pStyle w:val="79"/>
            <w:keepNext w:val="0"/>
            <w:keepLines w:val="0"/>
            <w:pageBreakBefore w:val="0"/>
            <w:widowControl/>
            <w:tabs>
              <w:tab w:val="right" w:leader="dot" w:pos="9184"/>
            </w:tabs>
            <w:kinsoku/>
            <w:wordWrap/>
            <w:overflowPunct/>
            <w:topLinePunct w:val="0"/>
            <w:autoSpaceDE/>
            <w:autoSpaceDN/>
            <w:bidi w:val="0"/>
            <w:adjustRightInd/>
            <w:snapToGrid/>
            <w:spacing w:line="600" w:lineRule="auto"/>
            <w:textAlignment w:val="auto"/>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HYPERLINK \l _Toc15306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 xml:space="preserve">第六章  </w:t>
          </w:r>
          <w:r>
            <w:rPr>
              <w:rFonts w:hint="eastAsia" w:ascii="宋体" w:hAnsi="宋体" w:eastAsia="宋体" w:cs="宋体"/>
              <w:b w:val="0"/>
              <w:bCs w:val="0"/>
              <w:color w:val="auto"/>
              <w:sz w:val="30"/>
              <w:szCs w:val="30"/>
              <w:highlight w:val="none"/>
              <w:lang w:eastAsia="zh-CN"/>
            </w:rPr>
            <w:t>响应文件</w:t>
          </w:r>
          <w:r>
            <w:rPr>
              <w:rFonts w:hint="eastAsia" w:ascii="宋体" w:hAnsi="宋体" w:eastAsia="宋体" w:cs="宋体"/>
              <w:b w:val="0"/>
              <w:bCs w:val="0"/>
              <w:color w:val="auto"/>
              <w:sz w:val="30"/>
              <w:szCs w:val="30"/>
              <w:highlight w:val="none"/>
            </w:rPr>
            <w:t>格式</w:t>
          </w:r>
          <w:r>
            <w:rPr>
              <w:rFonts w:hint="eastAsia" w:ascii="宋体" w:hAnsi="宋体" w:eastAsia="宋体" w:cs="宋体"/>
              <w:b w:val="0"/>
              <w:bCs w:val="0"/>
              <w:color w:val="auto"/>
              <w:sz w:val="30"/>
              <w:szCs w:val="30"/>
              <w:highlight w:val="none"/>
            </w:rPr>
            <w:tab/>
          </w: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 PAGEREF _Toc15306 \h </w:instrText>
          </w:r>
          <w:r>
            <w:rPr>
              <w:rFonts w:hint="eastAsia" w:ascii="宋体" w:hAnsi="宋体" w:eastAsia="宋体" w:cs="宋体"/>
              <w:b w:val="0"/>
              <w:bCs w:val="0"/>
              <w:color w:val="auto"/>
              <w:sz w:val="30"/>
              <w:szCs w:val="30"/>
              <w:highlight w:val="none"/>
            </w:rPr>
            <w:fldChar w:fldCharType="separate"/>
          </w:r>
          <w:r>
            <w:rPr>
              <w:rFonts w:hint="eastAsia" w:ascii="宋体" w:hAnsi="宋体" w:eastAsia="宋体" w:cs="宋体"/>
              <w:b w:val="0"/>
              <w:bCs w:val="0"/>
              <w:color w:val="auto"/>
              <w:sz w:val="30"/>
              <w:szCs w:val="30"/>
              <w:highlight w:val="none"/>
            </w:rPr>
            <w:t>31</w:t>
          </w:r>
          <w:r>
            <w:rPr>
              <w:rFonts w:hint="eastAsia" w:ascii="宋体" w:hAnsi="宋体" w:eastAsia="宋体" w:cs="宋体"/>
              <w:b w:val="0"/>
              <w:bCs w:val="0"/>
              <w:color w:val="auto"/>
              <w:sz w:val="30"/>
              <w:szCs w:val="30"/>
              <w:highlight w:val="none"/>
            </w:rPr>
            <w:fldChar w:fldCharType="end"/>
          </w:r>
          <w:r>
            <w:rPr>
              <w:rFonts w:hint="eastAsia" w:ascii="宋体" w:hAnsi="宋体" w:eastAsia="宋体" w:cs="宋体"/>
              <w:b w:val="0"/>
              <w:bCs w:val="0"/>
              <w:color w:val="auto"/>
              <w:sz w:val="30"/>
              <w:szCs w:val="30"/>
              <w:highlight w:val="none"/>
            </w:rPr>
            <w:fldChar w:fldCharType="end"/>
          </w:r>
        </w:p>
        <w:p>
          <w:pPr>
            <w:pStyle w:val="79"/>
            <w:keepNext w:val="0"/>
            <w:keepLines w:val="0"/>
            <w:pageBreakBefore w:val="0"/>
            <w:tabs>
              <w:tab w:val="right" w:leader="dot" w:pos="9184"/>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0"/>
              <w:szCs w:val="30"/>
              <w:highlight w:val="none"/>
            </w:rPr>
          </w:pPr>
        </w:p>
        <w:p>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r>
            <w:rPr>
              <w:rFonts w:hint="eastAsia" w:ascii="宋体" w:hAnsi="宋体" w:eastAsia="宋体" w:cs="宋体"/>
              <w:color w:val="auto"/>
              <w:sz w:val="30"/>
              <w:szCs w:val="30"/>
              <w:highlight w:val="none"/>
            </w:rPr>
            <w:fldChar w:fldCharType="end"/>
          </w:r>
        </w:p>
      </w:sdtContent>
    </w:sdt>
    <w:p>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br w:type="page"/>
      </w:r>
      <w:bookmarkStart w:id="0" w:name="_Toc14315"/>
      <w:r>
        <w:rPr>
          <w:rFonts w:hint="eastAsia" w:ascii="宋体" w:hAnsi="宋体" w:eastAsia="宋体" w:cs="宋体"/>
          <w:b/>
          <w:bCs/>
          <w:color w:val="auto"/>
          <w:sz w:val="32"/>
          <w:szCs w:val="32"/>
          <w:highlight w:val="none"/>
        </w:rPr>
        <w:t>第一章  竞争性磋商公告</w:t>
      </w:r>
      <w:bookmarkEnd w:id="0"/>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根据《中华人民共和国政府采购法》、《中华人民共和国政府采购法实施条例》和《政府采购货物和服务磋商投标管理办法》、《浙江省政府采购项目电子交易管理暂行办法》等规定，上海华瑞建设经济咨询有限公司</w:t>
      </w:r>
      <w:r>
        <w:rPr>
          <w:rFonts w:hint="eastAsia" w:ascii="宋体" w:hAnsi="宋体" w:eastAsia="宋体" w:cs="宋体"/>
          <w:color w:val="auto"/>
          <w:szCs w:val="21"/>
          <w:highlight w:val="none"/>
        </w:rPr>
        <w:t>受</w:t>
      </w:r>
      <w:r>
        <w:rPr>
          <w:rFonts w:hint="eastAsia" w:ascii="宋体" w:hAnsi="宋体" w:eastAsia="宋体" w:cs="宋体"/>
          <w:color w:val="auto"/>
          <w:szCs w:val="21"/>
          <w:highlight w:val="none"/>
          <w:lang w:eastAsia="zh-CN"/>
        </w:rPr>
        <w:t>嘉兴市南湖区综合行政执法局</w:t>
      </w:r>
      <w:r>
        <w:rPr>
          <w:rFonts w:hint="eastAsia" w:ascii="宋体" w:hAnsi="宋体" w:eastAsia="宋体" w:cs="宋体"/>
          <w:color w:val="auto"/>
          <w:szCs w:val="21"/>
          <w:highlight w:val="none"/>
        </w:rPr>
        <w:t>委托，并经</w:t>
      </w:r>
      <w:r>
        <w:rPr>
          <w:rFonts w:hint="eastAsia" w:ascii="宋体" w:hAnsi="宋体" w:eastAsia="宋体" w:cs="宋体"/>
          <w:color w:val="auto"/>
          <w:szCs w:val="21"/>
          <w:highlight w:val="none"/>
          <w:lang w:eastAsia="zh-CN"/>
        </w:rPr>
        <w:t>临[2022]4208号</w:t>
      </w:r>
      <w:r>
        <w:rPr>
          <w:rFonts w:hint="eastAsia" w:ascii="宋体" w:hAnsi="宋体" w:eastAsia="宋体" w:cs="宋体"/>
          <w:color w:val="auto"/>
          <w:szCs w:val="21"/>
          <w:highlight w:val="none"/>
        </w:rPr>
        <w:t>确认书批准，现就</w:t>
      </w:r>
      <w:r>
        <w:rPr>
          <w:rFonts w:hint="eastAsia" w:ascii="宋体" w:hAnsi="宋体" w:eastAsia="宋体" w:cs="宋体"/>
          <w:color w:val="auto"/>
          <w:szCs w:val="21"/>
          <w:highlight w:val="none"/>
          <w:lang w:eastAsia="zh-CN"/>
        </w:rPr>
        <w:t>嘉兴市南湖区综合行政执法局南湖区开店一件事项目</w:t>
      </w:r>
      <w:r>
        <w:rPr>
          <w:rFonts w:hint="eastAsia" w:ascii="宋体" w:hAnsi="宋体" w:eastAsia="宋体" w:cs="宋体"/>
          <w:color w:val="auto"/>
          <w:szCs w:val="21"/>
          <w:highlight w:val="none"/>
        </w:rPr>
        <w:t>进行竞争性磋商，欢迎国内合格的投标人前来投标，现将有关事项公告如下：</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一、</w:t>
      </w:r>
      <w:r>
        <w:rPr>
          <w:rFonts w:hint="eastAsia" w:ascii="宋体" w:hAnsi="宋体" w:eastAsia="宋体" w:cs="宋体"/>
          <w:b/>
          <w:bCs/>
          <w:color w:val="auto"/>
          <w:szCs w:val="21"/>
          <w:highlight w:val="none"/>
        </w:rPr>
        <w:t>项目编号：</w:t>
      </w:r>
      <w:r>
        <w:rPr>
          <w:rFonts w:hint="eastAsia" w:ascii="宋体" w:hAnsi="宋体" w:eastAsia="宋体" w:cs="宋体"/>
          <w:color w:val="auto"/>
          <w:szCs w:val="21"/>
          <w:highlight w:val="none"/>
          <w:lang w:eastAsia="zh-CN"/>
        </w:rPr>
        <w:t>SHHR-2022-052</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w:t>
      </w:r>
      <w:r>
        <w:rPr>
          <w:rFonts w:hint="eastAsia" w:ascii="宋体" w:hAnsi="宋体" w:eastAsia="宋体" w:cs="宋体"/>
          <w:b/>
          <w:color w:val="auto"/>
          <w:szCs w:val="21"/>
          <w:highlight w:val="none"/>
        </w:rPr>
        <w:t>采购组织类型：</w:t>
      </w:r>
      <w:r>
        <w:rPr>
          <w:rFonts w:hint="eastAsia" w:ascii="宋体" w:hAnsi="宋体" w:eastAsia="宋体" w:cs="宋体"/>
          <w:color w:val="auto"/>
          <w:szCs w:val="21"/>
          <w:highlight w:val="none"/>
        </w:rPr>
        <w:t>分散采购</w:t>
      </w:r>
      <w:r>
        <w:rPr>
          <w:rFonts w:hint="eastAsia" w:ascii="宋体" w:hAnsi="宋体" w:eastAsia="宋体" w:cs="宋体"/>
          <w:color w:val="auto"/>
          <w:szCs w:val="21"/>
          <w:highlight w:val="none"/>
          <w:lang w:eastAsia="zh-CN"/>
        </w:rPr>
        <w:t>委托代理</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三、采购方式：</w:t>
      </w:r>
      <w:r>
        <w:rPr>
          <w:rFonts w:hint="eastAsia" w:ascii="宋体" w:hAnsi="宋体" w:eastAsia="宋体" w:cs="宋体"/>
          <w:color w:val="auto"/>
          <w:szCs w:val="21"/>
          <w:highlight w:val="none"/>
        </w:rPr>
        <w:t>竞争性磋商</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四、</w:t>
      </w:r>
      <w:r>
        <w:rPr>
          <w:rFonts w:hint="eastAsia" w:ascii="宋体" w:hAnsi="宋体" w:eastAsia="宋体" w:cs="宋体"/>
          <w:b/>
          <w:bCs/>
          <w:color w:val="auto"/>
          <w:szCs w:val="21"/>
          <w:highlight w:val="none"/>
        </w:rPr>
        <w:t>采购内容及预算</w:t>
      </w: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lang w:eastAsia="zh-CN"/>
        </w:rPr>
        <w:t>建设</w:t>
      </w:r>
      <w:r>
        <w:rPr>
          <w:rFonts w:hint="eastAsia" w:ascii="宋体" w:hAnsi="宋体" w:eastAsia="宋体" w:cs="宋体"/>
          <w:color w:val="auto"/>
          <w:szCs w:val="21"/>
          <w:highlight w:val="none"/>
          <w:lang w:val="en-US" w:eastAsia="zh-CN"/>
        </w:rPr>
        <w:t>嘉兴市南湖区综合行政执法局南湖区开店一件事项目平台</w:t>
      </w:r>
      <w:r>
        <w:rPr>
          <w:rStyle w:val="78"/>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具体详见采购需求。</w:t>
      </w:r>
      <w:r>
        <w:rPr>
          <w:rFonts w:hint="eastAsia" w:ascii="宋体" w:hAnsi="宋体" w:eastAsia="宋体" w:cs="宋体"/>
          <w:b/>
          <w:bCs/>
          <w:color w:val="auto"/>
          <w:szCs w:val="21"/>
          <w:highlight w:val="none"/>
        </w:rPr>
        <w:t>预算金额：人民币</w:t>
      </w:r>
      <w:r>
        <w:rPr>
          <w:rFonts w:hint="eastAsia" w:ascii="宋体" w:hAnsi="宋体" w:eastAsia="宋体" w:cs="宋体"/>
          <w:b/>
          <w:bCs/>
          <w:color w:val="auto"/>
          <w:szCs w:val="21"/>
          <w:highlight w:val="none"/>
          <w:lang w:eastAsia="zh-CN"/>
        </w:rPr>
        <w:t>120.0000</w:t>
      </w:r>
      <w:r>
        <w:rPr>
          <w:rFonts w:hint="eastAsia" w:ascii="宋体" w:hAnsi="宋体" w:eastAsia="宋体" w:cs="宋体"/>
          <w:b/>
          <w:bCs/>
          <w:color w:val="auto"/>
          <w:szCs w:val="21"/>
          <w:highlight w:val="none"/>
        </w:rPr>
        <w:t>万元。</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五、合格投标人的资格要求：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1、符合《中华人民共和国政府采购法》第二十二条的规定。</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供应商提交首次响应文件时可提供自磋商公告发布之日起至提交首次响应文件截止日内任意时间的“信用中国”网站（www.creditchina.gov.cn）和中国政府采购网（www.ccgp.gov.cn）供应商信用查询网页截图。）</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3、本项目属于预留份额专门面向中小企业采购。（中小企业划分标准对应行业为“软件和信息技术服务业”）。</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4、本项目谢绝联合体投标。</w:t>
      </w:r>
    </w:p>
    <w:p>
      <w:pPr>
        <w:keepNext w:val="0"/>
        <w:keepLines w:val="0"/>
        <w:pageBreakBefore w:val="0"/>
        <w:widowControl w:val="0"/>
        <w:kinsoku/>
        <w:wordWrap/>
        <w:overflowPunct/>
        <w:topLinePunct w:val="0"/>
        <w:bidi w:val="0"/>
        <w:adjustRightInd w:val="0"/>
        <w:snapToGrid w:val="0"/>
        <w:spacing w:line="360"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注：本采购项目，中标单位与采购单位签订的政府采购合同适用于嘉兴市政府采购贷款政策，简称“政采贷”，具体内容可参阅政府采购贷款流程：</w:t>
      </w:r>
    </w:p>
    <w:p>
      <w:pPr>
        <w:keepNext w:val="0"/>
        <w:keepLines w:val="0"/>
        <w:pageBreakBefore w:val="0"/>
        <w:widowControl w:val="0"/>
        <w:kinsoku/>
        <w:wordWrap/>
        <w:overflowPunct/>
        <w:topLinePunct w:val="0"/>
        <w:bidi w:val="0"/>
        <w:adjustRightInd w:val="0"/>
        <w:snapToGrid w:val="0"/>
        <w:spacing w:line="360"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"http://www.jxzbtb.cn/zxfw/005012/20181016/7e541bf4-ad29-4286-ace8-d12c1b2c54fc.html?tdsourcetag=s_pcqq_aiomsg"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http://www.jxzbtb.cn/zxfw/005012/20181016/7e541bf4-ad29-4286-ace8-d12c1b2c54fc.html?tdsourcetag=s_pcqq_aiomsg</w:t>
      </w:r>
      <w:r>
        <w:rPr>
          <w:rFonts w:hint="eastAsia" w:ascii="宋体" w:hAnsi="宋体" w:eastAsia="宋体" w:cs="宋体"/>
          <w:color w:val="auto"/>
          <w:szCs w:val="21"/>
          <w:highlight w:val="none"/>
        </w:rPr>
        <w:fldChar w:fldCharType="end"/>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kern w:val="2"/>
          <w:szCs w:val="21"/>
          <w:highlight w:val="none"/>
          <w:u w:val="single"/>
        </w:rPr>
      </w:pPr>
      <w:r>
        <w:rPr>
          <w:rFonts w:hint="eastAsia" w:ascii="宋体" w:hAnsi="宋体" w:eastAsia="宋体" w:cs="宋体"/>
          <w:b/>
          <w:color w:val="auto"/>
          <w:kern w:val="2"/>
          <w:szCs w:val="21"/>
          <w:highlight w:val="none"/>
        </w:rPr>
        <w:t>六、公告期限：</w:t>
      </w:r>
      <w:r>
        <w:rPr>
          <w:rFonts w:hint="eastAsia" w:ascii="宋体" w:hAnsi="宋体" w:eastAsia="宋体" w:cs="宋体"/>
          <w:color w:val="auto"/>
          <w:kern w:val="2"/>
          <w:szCs w:val="21"/>
          <w:highlight w:val="none"/>
        </w:rPr>
        <w:t xml:space="preserve"> </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cyan"/>
          <w:u w:val="single"/>
        </w:rPr>
        <w:t>自公告发布之日起</w:t>
      </w:r>
      <w:r>
        <w:rPr>
          <w:rFonts w:hint="eastAsia" w:ascii="宋体" w:hAnsi="宋体" w:cs="宋体"/>
          <w:color w:val="auto"/>
          <w:kern w:val="2"/>
          <w:szCs w:val="21"/>
          <w:highlight w:val="cyan"/>
          <w:u w:val="single"/>
          <w:lang w:val="en-US" w:eastAsia="zh-CN"/>
        </w:rPr>
        <w:t>5</w:t>
      </w:r>
      <w:r>
        <w:rPr>
          <w:rFonts w:hint="eastAsia" w:ascii="宋体" w:hAnsi="宋体" w:eastAsia="宋体" w:cs="宋体"/>
          <w:color w:val="auto"/>
          <w:kern w:val="2"/>
          <w:szCs w:val="21"/>
          <w:highlight w:val="cyan"/>
          <w:u w:val="single"/>
        </w:rPr>
        <w:t>个工作日</w:t>
      </w:r>
      <w:r>
        <w:rPr>
          <w:rFonts w:hint="eastAsia" w:ascii="宋体" w:hAnsi="宋体" w:eastAsia="宋体" w:cs="宋体"/>
          <w:color w:val="auto"/>
          <w:kern w:val="2"/>
          <w:szCs w:val="21"/>
          <w:highlight w:val="none"/>
          <w:u w:val="single"/>
        </w:rPr>
        <w:t xml:space="preserve">   </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七、磋商说明：</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一）本项目按照《浙江省财政厅关于印发浙江省政府采购项电子交易管理暂行办法的通知》实行电子交易。供应商在使用系统过程中遇到涉及平台使用的任何问题，可致电政采云平台技术支持热线咨询，联系方式：400-881-7190。</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（二）获取磋商文件（报名）：</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获取方式：磋商公告发布后，在政采云平台已完成注册的供应商登陆系统，申请获取磋商文件，待审核通过后，可下载磋商文件。如果“已申请”标签页显示状态为“审核通过”即为报名成功。路径：用户中心——项目采购——获取磋商文件管理。在“已获取”的状态下，供应商可下载查看磋商文件。</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2.获取网址：浙江政府采购网https://login.zcygov.cn/login</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3.获取时间： 2022年</w:t>
      </w:r>
      <w:r>
        <w:rPr>
          <w:rFonts w:hint="eastAsia" w:ascii="宋体" w:hAnsi="宋体" w:cs="宋体"/>
          <w:color w:val="auto"/>
          <w:kern w:val="2"/>
          <w:szCs w:val="21"/>
          <w:highlight w:val="none"/>
          <w:lang w:eastAsia="zh-CN"/>
        </w:rPr>
        <w:t>11月16日</w:t>
      </w:r>
      <w:r>
        <w:rPr>
          <w:rFonts w:hint="eastAsia" w:ascii="宋体" w:hAnsi="宋体" w:eastAsia="宋体" w:cs="宋体"/>
          <w:color w:val="auto"/>
          <w:kern w:val="2"/>
          <w:szCs w:val="21"/>
          <w:highlight w:val="none"/>
        </w:rPr>
        <w:t>至2022年</w:t>
      </w:r>
      <w:r>
        <w:rPr>
          <w:rFonts w:hint="eastAsia" w:ascii="宋体" w:hAnsi="宋体" w:cs="宋体"/>
          <w:color w:val="auto"/>
          <w:kern w:val="2"/>
          <w:szCs w:val="21"/>
          <w:highlight w:val="none"/>
          <w:lang w:eastAsia="zh-CN"/>
        </w:rPr>
        <w:t>11月28日</w:t>
      </w:r>
      <w:r>
        <w:rPr>
          <w:rFonts w:hint="eastAsia" w:ascii="宋体" w:hAnsi="宋体" w:eastAsia="宋体" w:cs="宋体"/>
          <w:color w:val="auto"/>
          <w:kern w:val="2"/>
          <w:szCs w:val="21"/>
          <w:highlight w:val="none"/>
        </w:rPr>
        <w:t>上午</w:t>
      </w:r>
      <w:r>
        <w:rPr>
          <w:rFonts w:hint="eastAsia" w:ascii="宋体" w:hAnsi="宋体" w:cs="宋体"/>
          <w:color w:val="auto"/>
          <w:kern w:val="2"/>
          <w:szCs w:val="21"/>
          <w:highlight w:val="none"/>
          <w:lang w:eastAsia="zh-CN"/>
        </w:rPr>
        <w:t>9：30</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在上述时间内供应商均可获取磋商文件。</w:t>
      </w:r>
    </w:p>
    <w:p>
      <w:pPr>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4.供应商注册网址：</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"https://middle.zcygov.cn/settle-front/" \l "/registry"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21"/>
          <w:highlight w:val="none"/>
        </w:rPr>
        <w:t>https://middle.zcygov.cn/settle-front/#/registry</w:t>
      </w:r>
      <w:r>
        <w:rPr>
          <w:rFonts w:hint="eastAsia" w:ascii="宋体" w:hAnsi="宋体" w:eastAsia="宋体" w:cs="宋体"/>
          <w:color w:val="auto"/>
          <w:kern w:val="2"/>
          <w:szCs w:val="21"/>
          <w:highlight w:val="none"/>
        </w:rPr>
        <w:fldChar w:fldCharType="end"/>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政采云咨询电话：400-881-7190</w:t>
      </w:r>
      <w:r>
        <w:rPr>
          <w:rFonts w:hint="eastAsia" w:ascii="宋体" w:hAnsi="宋体" w:eastAsia="宋体" w:cs="宋体"/>
          <w:color w:val="auto"/>
          <w:kern w:val="2"/>
          <w:szCs w:val="21"/>
          <w:highlight w:val="none"/>
        </w:rPr>
        <w:t>，政采云平台服务中心：</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"https://service.zcygov.cn/" \l "/"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Cs w:val="21"/>
          <w:highlight w:val="none"/>
        </w:rPr>
        <w:t>https://service.zcygov.cn/#/</w:t>
      </w:r>
      <w:r>
        <w:rPr>
          <w:rFonts w:hint="eastAsia" w:ascii="宋体" w:hAnsi="宋体" w:eastAsia="宋体" w:cs="宋体"/>
          <w:color w:val="auto"/>
          <w:kern w:val="2"/>
          <w:szCs w:val="21"/>
          <w:highlight w:val="none"/>
        </w:rPr>
        <w:fldChar w:fldCharType="end"/>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汇信（ＣＡ）客服电话：400-888-4636</w:t>
      </w:r>
    </w:p>
    <w:p>
      <w:pPr>
        <w:pStyle w:val="83"/>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5.响应文件制作注意事项：</w:t>
      </w:r>
    </w:p>
    <w:p>
      <w:pPr>
        <w:pStyle w:val="83"/>
        <w:keepNext w:val="0"/>
        <w:keepLines w:val="0"/>
        <w:pageBreakBefore w:val="0"/>
        <w:widowControl w:val="0"/>
        <w:kinsoku/>
        <w:wordWrap/>
        <w:overflowPunct/>
        <w:topLinePunct w:val="0"/>
        <w:bidi w:val="0"/>
        <w:adjustRightInd w:val="0"/>
        <w:snapToGrid w:val="0"/>
        <w:spacing w:line="360" w:lineRule="auto"/>
        <w:ind w:firstLine="210" w:firstLineChars="1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5.1供应商将政采云电子交易客户端下载、安装完成后，可通过账号密码或CA登录客户端进行投标文件制作。</w:t>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highlight w:val="none"/>
          <w:shd w:val="clear" w:color="auto" w:fill="FFFFFF"/>
        </w:rPr>
        <w:t>　　</w:t>
      </w:r>
      <w:r>
        <w:rPr>
          <w:rFonts w:hint="eastAsia" w:ascii="宋体" w:hAnsi="宋体" w:eastAsia="宋体" w:cs="宋体"/>
          <w:color w:val="auto"/>
          <w:kern w:val="2"/>
          <w:sz w:val="21"/>
          <w:szCs w:val="21"/>
          <w:highlight w:val="none"/>
        </w:rPr>
        <w:t>注：供应商先要申领CA，拿到CA后需要在政采云平台进行绑定，CA相关操作可参考《CA申领操作指南》和《CA管理操作指南》。完成CA数字证书办理在资料齐全的情况下预计7个工作日左右，建议供应商获取招标文件后立即办理。　　　</w:t>
      </w:r>
    </w:p>
    <w:p>
      <w:pPr>
        <w:pStyle w:val="83"/>
        <w:keepNext w:val="0"/>
        <w:keepLines w:val="0"/>
        <w:pageBreakBefore w:val="0"/>
        <w:widowControl w:val="0"/>
        <w:kinsoku/>
        <w:wordWrap/>
        <w:overflowPunct/>
        <w:topLinePunct w:val="0"/>
        <w:bidi w:val="0"/>
        <w:adjustRightInd w:val="0"/>
        <w:snapToGrid w:val="0"/>
        <w:spacing w:line="360" w:lineRule="auto"/>
        <w:ind w:firstLine="315" w:firstLineChars="15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5.2电子交易操作指南：</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"https://help.zcygov.cn/web/site_2/2018/12-28/2573.html"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 w:val="21"/>
          <w:szCs w:val="21"/>
          <w:highlight w:val="none"/>
        </w:rPr>
        <w:t>https://help.zcygov.cn/web/site_2/2018/12-28/2573.html</w:t>
      </w:r>
      <w:r>
        <w:rPr>
          <w:rFonts w:hint="eastAsia"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《CA申领操作指南》：</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"https://help.zcygov.cn/web/site_2/2018/11-29/2452.html"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 w:val="21"/>
          <w:szCs w:val="21"/>
          <w:highlight w:val="none"/>
        </w:rPr>
        <w:t>https://help.zcygov.cn/web/site_2/2018/11-29/2452.html</w:t>
      </w:r>
      <w:r>
        <w:rPr>
          <w:rFonts w:hint="eastAsia"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《CA管理操作指南》：</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"https://help.zcygov.cn/web/site_2/2019/08-20/3405.html"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 w:val="21"/>
          <w:szCs w:val="21"/>
          <w:highlight w:val="none"/>
        </w:rPr>
        <w:t>https://help.zcygov.cn/web/site_2/2019/08-20/3405.html</w:t>
      </w:r>
      <w:r>
        <w:rPr>
          <w:rFonts w:hint="eastAsia"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《CA驱动和申领流程》</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"http://www.zjzfcg.gov.cn/bidClientTemplate/2019-05-27/12945.html" \t "_blank" </w:instrText>
      </w:r>
      <w:r>
        <w:rPr>
          <w:rFonts w:hint="eastAsia" w:ascii="宋体" w:hAnsi="宋体" w:eastAsia="宋体" w:cs="宋体"/>
          <w:color w:val="auto"/>
          <w:highlight w:val="none"/>
        </w:rPr>
        <w:fldChar w:fldCharType="separate"/>
      </w:r>
      <w:r>
        <w:rPr>
          <w:rFonts w:hint="eastAsia" w:ascii="宋体" w:hAnsi="宋体" w:eastAsia="宋体" w:cs="宋体"/>
          <w:color w:val="auto"/>
          <w:kern w:val="2"/>
          <w:sz w:val="21"/>
          <w:szCs w:val="21"/>
          <w:highlight w:val="none"/>
        </w:rPr>
        <w:t>http://www.zjzfcg.gov.cn/bidClientTemplate/2019-05-27/12945.html</w:t>
      </w:r>
      <w:r>
        <w:rPr>
          <w:rFonts w:hint="eastAsia" w:ascii="宋体" w:hAnsi="宋体" w:eastAsia="宋体" w:cs="宋体"/>
          <w:color w:val="auto"/>
          <w:kern w:val="2"/>
          <w:sz w:val="21"/>
          <w:szCs w:val="21"/>
          <w:highlight w:val="none"/>
        </w:rPr>
        <w:fldChar w:fldCharType="end"/>
      </w:r>
      <w:r>
        <w:rPr>
          <w:rFonts w:hint="eastAsia" w:ascii="宋体" w:hAnsi="宋体" w:eastAsia="宋体" w:cs="宋体"/>
          <w:color w:val="auto"/>
          <w:kern w:val="2"/>
          <w:sz w:val="21"/>
          <w:szCs w:val="21"/>
          <w:highlight w:val="none"/>
        </w:rPr>
        <w:br w:type="textWrapping"/>
      </w:r>
      <w:r>
        <w:rPr>
          <w:rFonts w:hint="eastAsia" w:ascii="宋体" w:hAnsi="宋体" w:eastAsia="宋体" w:cs="宋体"/>
          <w:color w:val="auto"/>
          <w:kern w:val="2"/>
          <w:sz w:val="21"/>
          <w:szCs w:val="21"/>
          <w:highlight w:val="none"/>
        </w:rPr>
        <w:t>注：ＣＡ证书遗失补办、延期、解锁、质保等业务可以在联连客户端上进行操作；使用政采云投标客户端时，建议使用WIN7及以上操作系统。</w:t>
      </w:r>
    </w:p>
    <w:p>
      <w:pPr>
        <w:pStyle w:val="83"/>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八、提交首次响应文件截止时间及注意事项：</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（一）开标时间及地点：本次招标将于2022年</w:t>
      </w:r>
      <w:r>
        <w:rPr>
          <w:rFonts w:hint="eastAsia" w:ascii="宋体" w:hAnsi="宋体" w:cs="宋体"/>
          <w:color w:val="auto"/>
          <w:kern w:val="2"/>
          <w:szCs w:val="21"/>
          <w:highlight w:val="none"/>
          <w:lang w:eastAsia="zh-CN"/>
        </w:rPr>
        <w:t>11月28日</w:t>
      </w:r>
      <w:r>
        <w:rPr>
          <w:rFonts w:hint="eastAsia" w:ascii="宋体" w:hAnsi="宋体" w:eastAsia="宋体" w:cs="宋体"/>
          <w:color w:val="auto"/>
          <w:kern w:val="2"/>
          <w:szCs w:val="21"/>
          <w:highlight w:val="none"/>
        </w:rPr>
        <w:t>9</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lang w:val="en-US" w:eastAsia="zh-CN"/>
        </w:rPr>
        <w:t>30</w:t>
      </w:r>
      <w:r>
        <w:rPr>
          <w:rFonts w:hint="eastAsia" w:ascii="宋体" w:hAnsi="宋体" w:eastAsia="宋体" w:cs="宋体"/>
          <w:color w:val="auto"/>
          <w:kern w:val="2"/>
          <w:szCs w:val="21"/>
          <w:highlight w:val="none"/>
        </w:rPr>
        <w:t>时整在</w:t>
      </w:r>
      <w:r>
        <w:rPr>
          <w:rFonts w:hint="eastAsia" w:ascii="宋体" w:hAnsi="宋体" w:eastAsia="宋体" w:cs="宋体"/>
          <w:color w:val="auto"/>
          <w:szCs w:val="21"/>
          <w:highlight w:val="none"/>
          <w:lang w:eastAsia="zh-CN"/>
        </w:rPr>
        <w:t>嘉兴市马塘路500号晶晖广场南楼11楼</w:t>
      </w:r>
      <w:r>
        <w:rPr>
          <w:rFonts w:hint="eastAsia" w:ascii="宋体" w:hAnsi="宋体" w:eastAsia="宋体" w:cs="宋体"/>
          <w:bCs/>
          <w:color w:val="auto"/>
          <w:szCs w:val="21"/>
          <w:highlight w:val="none"/>
          <w:lang w:eastAsia="zh-CN"/>
        </w:rPr>
        <w:t>上海华瑞建设经济咨询有限公司</w:t>
      </w:r>
      <w:r>
        <w:rPr>
          <w:rFonts w:hint="eastAsia" w:ascii="宋体" w:hAnsi="宋体" w:eastAsia="宋体" w:cs="宋体"/>
          <w:color w:val="auto"/>
          <w:kern w:val="2"/>
          <w:szCs w:val="21"/>
          <w:highlight w:val="none"/>
        </w:rPr>
        <w:t>开标。</w:t>
      </w:r>
    </w:p>
    <w:p>
      <w:pPr>
        <w:keepNext w:val="0"/>
        <w:keepLines w:val="0"/>
        <w:pageBreakBefore w:val="0"/>
        <w:widowControl w:val="0"/>
        <w:kinsoku/>
        <w:wordWrap/>
        <w:overflowPunct/>
        <w:topLinePunct w:val="0"/>
        <w:bidi w:val="0"/>
        <w:adjustRightInd w:val="0"/>
        <w:snapToGrid w:val="0"/>
        <w:spacing w:line="360" w:lineRule="auto"/>
        <w:ind w:firstLine="630" w:firstLineChars="300"/>
        <w:textAlignment w:val="auto"/>
        <w:rPr>
          <w:rFonts w:hint="eastAsia" w:ascii="宋体" w:hAnsi="宋体" w:eastAsia="宋体" w:cs="宋体"/>
          <w:color w:val="auto"/>
          <w:kern w:val="2"/>
          <w:szCs w:val="21"/>
          <w:highlight w:val="none"/>
          <w:lang w:eastAsia="zh-CN"/>
        </w:rPr>
      </w:pPr>
      <w:r>
        <w:rPr>
          <w:rFonts w:hint="eastAsia" w:ascii="宋体" w:hAnsi="宋体" w:eastAsia="宋体" w:cs="宋体"/>
          <w:color w:val="auto"/>
          <w:kern w:val="2"/>
          <w:szCs w:val="21"/>
          <w:highlight w:val="none"/>
        </w:rPr>
        <w:t>提交首次响应文件截止时间：2022年</w:t>
      </w:r>
      <w:r>
        <w:rPr>
          <w:rFonts w:hint="eastAsia" w:ascii="宋体" w:hAnsi="宋体" w:cs="宋体"/>
          <w:color w:val="auto"/>
          <w:kern w:val="2"/>
          <w:szCs w:val="21"/>
          <w:highlight w:val="none"/>
          <w:lang w:eastAsia="zh-CN"/>
        </w:rPr>
        <w:t>11月28日9：30</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（二）注意事项</w:t>
      </w:r>
    </w:p>
    <w:p>
      <w:pPr>
        <w:keepNext w:val="0"/>
        <w:keepLines w:val="0"/>
        <w:pageBreakBefore w:val="0"/>
        <w:widowControl w:val="0"/>
        <w:kinsoku/>
        <w:wordWrap/>
        <w:overflowPunct/>
        <w:topLinePunct w:val="0"/>
        <w:bidi w:val="0"/>
        <w:adjustRightInd w:val="0"/>
        <w:snapToGrid w:val="0"/>
        <w:spacing w:line="360" w:lineRule="auto"/>
        <w:ind w:firstLine="411" w:firstLineChars="196"/>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1.供应商进行电子投标应安装客户端软件，并按照招标文件和电子交易平台的要求编制并加密投标文件。供应商未按规定加密的投标文件，代理机构应当拒收。</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供应商应当在提交首次响应文件截止时间前完成电子响应文件的传输，提交首次响应文件截止时间前可以补充、修改或者撤回电子响应文件。补充或者修改电子响应文件的，应当先行撤回原文件，补充、修改后重新传输递交。提交首次响应文件截止时间前未完成传输的，视为撤回响应文件。投标截止时间后提交的响应文件，视为无效。</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九、磋商公告发布于</w:t>
      </w:r>
      <w:r>
        <w:rPr>
          <w:rFonts w:hint="eastAsia" w:ascii="宋体" w:hAnsi="宋体" w:eastAsia="宋体" w:cs="宋体"/>
          <w:color w:val="auto"/>
          <w:kern w:val="2"/>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 </w:instrText>
      </w:r>
      <w:r>
        <w:rPr>
          <w:rFonts w:hint="eastAsia" w:ascii="宋体" w:hAnsi="宋体" w:eastAsia="宋体" w:cs="宋体"/>
          <w:color w:val="auto"/>
          <w:highlight w:val="none"/>
        </w:rPr>
        <w:fldChar w:fldCharType="separate"/>
      </w:r>
      <w:r>
        <w:rPr>
          <w:rStyle w:val="37"/>
          <w:rFonts w:hint="eastAsia" w:ascii="宋体" w:hAnsi="宋体" w:eastAsia="宋体" w:cs="宋体"/>
          <w:color w:val="auto"/>
          <w:kern w:val="2"/>
          <w:szCs w:val="21"/>
          <w:highlight w:val="none"/>
        </w:rPr>
        <w:t>http://www.zjzfcg.gov.cn/</w:t>
      </w:r>
      <w:r>
        <w:rPr>
          <w:rStyle w:val="37"/>
          <w:rFonts w:hint="eastAsia" w:ascii="宋体" w:hAnsi="宋体" w:eastAsia="宋体" w:cs="宋体"/>
          <w:color w:val="auto"/>
          <w:kern w:val="2"/>
          <w:szCs w:val="21"/>
          <w:highlight w:val="none"/>
        </w:rPr>
        <w:fldChar w:fldCharType="end"/>
      </w:r>
      <w:r>
        <w:rPr>
          <w:rFonts w:hint="eastAsia" w:ascii="宋体" w:hAnsi="宋体" w:eastAsia="宋体" w:cs="宋体"/>
          <w:color w:val="auto"/>
          <w:kern w:val="2"/>
          <w:szCs w:val="21"/>
          <w:highlight w:val="none"/>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color w:val="auto"/>
          <w:kern w:val="2"/>
          <w:szCs w:val="21"/>
          <w:highlight w:val="none"/>
        </w:rPr>
      </w:pPr>
      <w:r>
        <w:rPr>
          <w:rFonts w:hint="eastAsia" w:ascii="宋体" w:hAnsi="宋体" w:eastAsia="宋体" w:cs="宋体"/>
          <w:b/>
          <w:color w:val="auto"/>
          <w:kern w:val="2"/>
          <w:szCs w:val="21"/>
          <w:highlight w:val="none"/>
        </w:rPr>
        <w:t>十、开标时间及地点：</w:t>
      </w:r>
      <w:r>
        <w:rPr>
          <w:rFonts w:hint="eastAsia" w:ascii="宋体" w:hAnsi="宋体" w:eastAsia="宋体" w:cs="宋体"/>
          <w:color w:val="auto"/>
          <w:kern w:val="2"/>
          <w:szCs w:val="21"/>
          <w:highlight w:val="none"/>
        </w:rPr>
        <w:t>本次招标将于2022年</w:t>
      </w:r>
      <w:r>
        <w:rPr>
          <w:rFonts w:hint="eastAsia" w:ascii="宋体" w:hAnsi="宋体" w:cs="宋体"/>
          <w:color w:val="auto"/>
          <w:kern w:val="2"/>
          <w:szCs w:val="21"/>
          <w:highlight w:val="none"/>
          <w:lang w:eastAsia="zh-CN"/>
        </w:rPr>
        <w:t>11月28日</w:t>
      </w:r>
      <w:r>
        <w:rPr>
          <w:rFonts w:hint="eastAsia" w:ascii="宋体" w:hAnsi="宋体" w:eastAsia="宋体" w:cs="宋体"/>
          <w:color w:val="auto"/>
          <w:kern w:val="2"/>
          <w:szCs w:val="21"/>
          <w:highlight w:val="none"/>
        </w:rPr>
        <w:t>9</w:t>
      </w: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lang w:val="en-US" w:eastAsia="zh-CN"/>
        </w:rPr>
        <w:t>30</w:t>
      </w:r>
      <w:r>
        <w:rPr>
          <w:rFonts w:hint="eastAsia" w:ascii="宋体" w:hAnsi="宋体" w:eastAsia="宋体" w:cs="宋体"/>
          <w:color w:val="auto"/>
          <w:kern w:val="2"/>
          <w:szCs w:val="21"/>
          <w:highlight w:val="none"/>
        </w:rPr>
        <w:t>时在</w:t>
      </w:r>
      <w:r>
        <w:rPr>
          <w:rFonts w:hint="eastAsia" w:ascii="宋体" w:hAnsi="宋体" w:eastAsia="宋体" w:cs="宋体"/>
          <w:color w:val="auto"/>
          <w:szCs w:val="21"/>
          <w:highlight w:val="none"/>
          <w:lang w:eastAsia="zh-CN"/>
        </w:rPr>
        <w:t>嘉兴市马塘路500号晶晖广场南楼11楼</w:t>
      </w:r>
      <w:r>
        <w:rPr>
          <w:rFonts w:hint="eastAsia" w:ascii="宋体" w:hAnsi="宋体" w:eastAsia="宋体" w:cs="宋体"/>
          <w:bCs/>
          <w:color w:val="auto"/>
          <w:szCs w:val="21"/>
          <w:highlight w:val="none"/>
          <w:lang w:eastAsia="zh-CN"/>
        </w:rPr>
        <w:t>上海华瑞建设经济咨询有限公司</w:t>
      </w:r>
      <w:r>
        <w:rPr>
          <w:rFonts w:hint="eastAsia" w:ascii="宋体" w:hAnsi="宋体" w:eastAsia="宋体" w:cs="宋体"/>
          <w:color w:val="auto"/>
          <w:kern w:val="2"/>
          <w:szCs w:val="21"/>
          <w:highlight w:val="none"/>
        </w:rPr>
        <w:t>开标。</w:t>
      </w:r>
      <w:r>
        <w:rPr>
          <w:rFonts w:hint="eastAsia" w:ascii="宋体" w:hAnsi="宋体" w:eastAsia="宋体" w:cs="宋体"/>
          <w:b/>
          <w:color w:val="auto"/>
          <w:kern w:val="2"/>
          <w:szCs w:val="21"/>
          <w:highlight w:val="none"/>
          <w:u w:val="single"/>
        </w:rPr>
        <w:t>供应商无需到开标现场，但须准时在线参加，直至评审结束。</w:t>
      </w:r>
      <w:r>
        <w:rPr>
          <w:rFonts w:hint="eastAsia" w:ascii="宋体" w:hAnsi="宋体" w:eastAsia="宋体" w:cs="宋体"/>
          <w:color w:val="auto"/>
          <w:kern w:val="2"/>
          <w:szCs w:val="21"/>
          <w:highlight w:val="none"/>
        </w:rPr>
        <w:t>开标时间后半小时内供应商可以登录“政采云”平台，用“项目采购-开标评标”功能进行解密投标文件。若供应商在规定时间内投标文件无法解密或解密失败（含未提交），则投标无效。</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十一、社保要求：</w:t>
      </w:r>
    </w:p>
    <w:p>
      <w:pPr>
        <w:keepNext w:val="0"/>
        <w:keepLines w:val="0"/>
        <w:pageBreakBefore w:val="0"/>
        <w:widowControl w:val="0"/>
        <w:kinsoku/>
        <w:wordWrap/>
        <w:overflowPunct/>
        <w:topLinePunct w:val="0"/>
        <w:bidi w:val="0"/>
        <w:adjustRightInd w:val="0"/>
        <w:snapToGrid w:val="0"/>
        <w:spacing w:line="360" w:lineRule="auto"/>
        <w:ind w:firstLine="315" w:firstLineChars="150"/>
        <w:textAlignment w:val="auto"/>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rPr>
        <w:t>供应商应按磋商文件要求，提供社保缴纳证明材料。若社保缴纳地点为</w:t>
      </w:r>
      <w:r>
        <w:rPr>
          <w:rFonts w:hint="eastAsia" w:ascii="宋体" w:hAnsi="宋体" w:eastAsia="宋体" w:cs="宋体"/>
          <w:b/>
          <w:color w:val="auto"/>
          <w:kern w:val="2"/>
          <w:szCs w:val="21"/>
          <w:highlight w:val="none"/>
        </w:rPr>
        <w:t>嘉兴市[含五县（市）]范围内的人员</w:t>
      </w:r>
      <w:r>
        <w:rPr>
          <w:rFonts w:hint="eastAsia" w:ascii="宋体" w:hAnsi="宋体" w:eastAsia="宋体" w:cs="宋体"/>
          <w:color w:val="auto"/>
          <w:kern w:val="2"/>
          <w:szCs w:val="21"/>
          <w:highlight w:val="none"/>
        </w:rPr>
        <w:t>，供应商只需提供本项目所涉人员社保缴纳承诺函（格式详见第六章）即可，无需再提供纸质社保缴纳证明。供应商应对提交资料的真实性负责，若核实存在造假情形，监管部门将记录企业不良信用并予以公示。</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、业务咨询：</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bookmarkStart w:id="1" w:name="OLE_LINK33"/>
      <w:r>
        <w:rPr>
          <w:rFonts w:hint="eastAsia" w:ascii="宋体" w:hAnsi="宋体" w:eastAsia="宋体" w:cs="宋体"/>
          <w:color w:val="auto"/>
          <w:szCs w:val="21"/>
          <w:highlight w:val="none"/>
        </w:rPr>
        <w:t>采购单位：</w:t>
      </w:r>
      <w:bookmarkEnd w:id="1"/>
      <w:r>
        <w:rPr>
          <w:rFonts w:hint="eastAsia" w:ascii="宋体" w:hAnsi="宋体" w:eastAsia="宋体" w:cs="宋体"/>
          <w:color w:val="auto"/>
          <w:szCs w:val="21"/>
          <w:highlight w:val="none"/>
          <w:lang w:eastAsia="zh-CN"/>
        </w:rPr>
        <w:t>嘉兴市南湖区综合行政执法局</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val="en-US" w:eastAsia="zh-CN"/>
        </w:rPr>
      </w:pPr>
      <w:bookmarkStart w:id="2" w:name="OLE_LINK34"/>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嘉兴市</w:t>
      </w:r>
      <w:r>
        <w:rPr>
          <w:rFonts w:hint="eastAsia" w:ascii="宋体" w:hAnsi="宋体" w:eastAsia="宋体" w:cs="宋体"/>
          <w:color w:val="auto"/>
          <w:szCs w:val="21"/>
          <w:highlight w:val="none"/>
          <w:lang w:eastAsia="zh-CN"/>
        </w:rPr>
        <w:t>南湖区湘溪路22号</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经办联系人：</w:t>
      </w:r>
      <w:r>
        <w:rPr>
          <w:rFonts w:hint="eastAsia" w:ascii="宋体" w:hAnsi="宋体" w:eastAsia="宋体" w:cs="宋体"/>
          <w:color w:val="auto"/>
          <w:szCs w:val="21"/>
          <w:highlight w:val="none"/>
          <w:lang w:val="en-US" w:eastAsia="zh-CN"/>
        </w:rPr>
        <w:t>陈洪</w:t>
      </w:r>
      <w:r>
        <w:rPr>
          <w:rFonts w:hint="eastAsia" w:ascii="宋体" w:hAnsi="宋体" w:eastAsia="宋体" w:cs="宋体"/>
          <w:color w:val="auto"/>
          <w:szCs w:val="21"/>
          <w:highlight w:val="none"/>
        </w:rPr>
        <w:t xml:space="preserve">          联系电话：0573-</w:t>
      </w:r>
      <w:r>
        <w:rPr>
          <w:rFonts w:hint="eastAsia" w:ascii="宋体" w:hAnsi="宋体" w:eastAsia="宋体" w:cs="宋体"/>
          <w:color w:val="auto"/>
          <w:szCs w:val="21"/>
          <w:highlight w:val="none"/>
          <w:lang w:eastAsia="zh-CN"/>
        </w:rPr>
        <w:t>82227556</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陈洪</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联系电话：0573-</w:t>
      </w:r>
      <w:r>
        <w:rPr>
          <w:rFonts w:hint="eastAsia" w:ascii="宋体" w:hAnsi="宋体" w:eastAsia="宋体" w:cs="宋体"/>
          <w:color w:val="auto"/>
          <w:szCs w:val="21"/>
          <w:highlight w:val="none"/>
          <w:lang w:eastAsia="zh-CN"/>
        </w:rPr>
        <w:t>82227556</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eastAsia="zh-CN"/>
        </w:rPr>
        <w:t>上海华瑞建设经济咨询有限公司</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eastAsia="zh-CN"/>
        </w:rPr>
        <w:t>嘉兴市南湖区马塘路500号晶晖广场南楼11楼</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经办联系人：</w:t>
      </w:r>
      <w:r>
        <w:rPr>
          <w:rFonts w:hint="eastAsia" w:ascii="宋体" w:hAnsi="宋体" w:eastAsia="宋体" w:cs="宋体"/>
          <w:color w:val="auto"/>
          <w:szCs w:val="21"/>
          <w:highlight w:val="none"/>
          <w:lang w:eastAsia="zh-CN"/>
        </w:rPr>
        <w:t>戴文娥</w:t>
      </w:r>
      <w:r>
        <w:rPr>
          <w:rFonts w:hint="eastAsia" w:ascii="宋体" w:hAnsi="宋体" w:eastAsia="宋体" w:cs="宋体"/>
          <w:color w:val="auto"/>
          <w:szCs w:val="21"/>
          <w:highlight w:val="none"/>
        </w:rPr>
        <w:t xml:space="preserve">        联系电话：</w:t>
      </w:r>
      <w:r>
        <w:rPr>
          <w:rFonts w:hint="eastAsia" w:ascii="宋体" w:hAnsi="宋体" w:eastAsia="宋体" w:cs="宋体"/>
          <w:color w:val="auto"/>
          <w:szCs w:val="21"/>
          <w:highlight w:val="none"/>
          <w:lang w:eastAsia="zh-CN"/>
        </w:rPr>
        <w:t>15706709350</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周斌</w:t>
      </w:r>
      <w:r>
        <w:rPr>
          <w:rFonts w:hint="eastAsia" w:ascii="宋体" w:hAnsi="宋体" w:eastAsia="宋体" w:cs="宋体"/>
          <w:color w:val="auto"/>
          <w:szCs w:val="21"/>
          <w:highlight w:val="none"/>
        </w:rPr>
        <w:t xml:space="preserve">          联系电话：0573-</w:t>
      </w:r>
      <w:bookmarkEnd w:id="2"/>
      <w:r>
        <w:rPr>
          <w:rFonts w:hint="eastAsia" w:ascii="宋体" w:hAnsi="宋体" w:eastAsia="宋体" w:cs="宋体"/>
          <w:color w:val="auto"/>
          <w:szCs w:val="21"/>
          <w:highlight w:val="none"/>
          <w:lang w:eastAsia="zh-CN"/>
        </w:rPr>
        <w:t>82211997</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政府采购行政监管及投诉受理部门：嘉兴市南湖区财政局    </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联系人：乔先生          联系电话： 0573-82838543       </w:t>
      </w:r>
    </w:p>
    <w:p>
      <w:pPr>
        <w:keepNext w:val="0"/>
        <w:keepLines w:val="0"/>
        <w:pageBreakBefore w:val="0"/>
        <w:widowControl w:val="0"/>
        <w:kinsoku/>
        <w:wordWrap/>
        <w:overflowPunct/>
        <w:topLinePunct w:val="0"/>
        <w:bidi w:val="0"/>
        <w:adjustRightInd w:val="0"/>
        <w:snapToGrid w:val="0"/>
        <w:spacing w:line="360" w:lineRule="auto"/>
        <w:ind w:firstLine="105" w:firstLineChars="50"/>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十三、其他事项：</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本项目公告期限为5个工作日，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根据《浙江省财政厅关于进一步促进政府采购公平竞争打造最优营商环境的通知》（浙财采监（2021）22号）文件关于“健全行政裁决机制”要求，供应商在线提起询问，路径为：政采云-项目采购-询问质疑投诉-询问列表:供应商在线提起质疑，路径为：政采云-项目采购-询问质疑投诉-质疑列表。质疑供应商对在线质疑答复不满意的，可在线提起投诉，路径为：浙江政府服务网-政府采购投诉处理-在线办理。</w:t>
      </w:r>
      <w:r>
        <w:rPr>
          <w:rFonts w:hint="eastAsia" w:ascii="宋体" w:hAnsi="宋体" w:eastAsia="宋体" w:cs="宋体"/>
          <w:b/>
          <w:color w:val="auto"/>
          <w:sz w:val="30"/>
          <w:szCs w:val="30"/>
          <w:highlight w:val="none"/>
        </w:rPr>
        <w:br w:type="page"/>
      </w:r>
    </w:p>
    <w:p>
      <w:pPr>
        <w:keepNext w:val="0"/>
        <w:keepLines w:val="0"/>
        <w:pageBreakBefore w:val="0"/>
        <w:numPr>
          <w:ilvl w:val="0"/>
          <w:numId w:val="4"/>
        </w:numPr>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color w:val="auto"/>
          <w:sz w:val="32"/>
          <w:szCs w:val="32"/>
          <w:highlight w:val="none"/>
        </w:rPr>
      </w:pPr>
      <w:bookmarkStart w:id="3" w:name="_Toc13097"/>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采购</w:t>
      </w:r>
      <w:r>
        <w:rPr>
          <w:rFonts w:hint="eastAsia" w:ascii="宋体" w:hAnsi="宋体" w:eastAsia="宋体" w:cs="宋体"/>
          <w:b/>
          <w:color w:val="auto"/>
          <w:sz w:val="32"/>
          <w:szCs w:val="32"/>
          <w:highlight w:val="none"/>
        </w:rPr>
        <w:t>需求</w:t>
      </w:r>
      <w:bookmarkEnd w:id="3"/>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Style w:val="44"/>
          <w:rFonts w:hint="eastAsia" w:ascii="宋体" w:hAnsi="宋体" w:eastAsia="宋体" w:cs="宋体"/>
          <w:color w:val="auto"/>
          <w:szCs w:val="21"/>
          <w:highlight w:val="none"/>
          <w:u w:color="000000"/>
        </w:rPr>
      </w:pPr>
    </w:p>
    <w:p>
      <w:pPr>
        <w:pStyle w:val="5"/>
        <w:keepNext w:val="0"/>
        <w:keepLines w:val="0"/>
        <w:pageBreakBefore w:val="0"/>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一</w:t>
      </w:r>
      <w:bookmarkStart w:id="4" w:name="_Toc22140"/>
      <w:bookmarkStart w:id="5" w:name="_Toc31384"/>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项目背景</w:t>
      </w:r>
      <w:bookmarkEnd w:id="4"/>
      <w:bookmarkEnd w:id="5"/>
    </w:p>
    <w:p>
      <w:pPr>
        <w:pStyle w:val="32"/>
        <w:keepNext w:val="0"/>
        <w:keepLines w:val="0"/>
        <w:pageBreakBefore w:val="0"/>
        <w:kinsoku/>
        <w:wordWrap/>
        <w:overflowPunct/>
        <w:topLinePunct w:val="0"/>
        <w:autoSpaceDE/>
        <w:autoSpaceDN/>
        <w:bidi w:val="0"/>
        <w:adjustRightInd w:val="0"/>
        <w:snapToGrid w:val="0"/>
        <w:spacing w:after="0" w:line="360" w:lineRule="auto"/>
        <w:ind w:left="0" w:leftChars="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深入贯彻落实浙江省高质量发展建设共同富裕示范区的总体工作要求，南湖区聚焦基层治理的痛点堵点，依托数字化改革、政务服务转型升级的整体思路，以群众需要为切入点，以政府服务管理能力提升为突破口，率先提出实行“</w:t>
      </w:r>
      <w:r>
        <w:rPr>
          <w:rFonts w:hint="eastAsia" w:ascii="宋体" w:hAnsi="宋体" w:eastAsia="宋体" w:cs="宋体"/>
          <w:color w:val="auto"/>
          <w:sz w:val="21"/>
          <w:szCs w:val="21"/>
          <w:highlight w:val="none"/>
          <w:lang w:eastAsia="zh-CN"/>
        </w:rPr>
        <w:t>开店一件事</w:t>
      </w:r>
      <w:r>
        <w:rPr>
          <w:rFonts w:hint="eastAsia" w:ascii="宋体" w:hAnsi="宋体" w:eastAsia="宋体" w:cs="宋体"/>
          <w:color w:val="auto"/>
          <w:sz w:val="21"/>
          <w:szCs w:val="21"/>
          <w:highlight w:val="none"/>
        </w:rPr>
        <w:t>”场景应用试点工作构想，围绕激发小微市场主体活力，应对疫情影响，稳增长稳就业、保供给保民生，开发“开店一件事”应用，以店铺为基本单元，以店铺的经营责任人为管理服务对象，从店铺的选址、入驻、装修、经营各环节各流程入手，政府管理部门全程介入、提供菜单式一站式精准管理服务，着眼共治共享，通过多跨协同的数字化场景应用，提前服务，事前预判，靠前指挥，构建以店铺为主体的全生命周期管理；创新推进城市管理“721”工作法，实现70%的问题用服务来解决、20%的问题用管理来解决、10%的问题用执法来解决。</w:t>
      </w:r>
      <w:r>
        <w:rPr>
          <w:rFonts w:hint="eastAsia" w:ascii="宋体" w:hAnsi="宋体" w:eastAsia="宋体" w:cs="宋体"/>
          <w:color w:val="auto"/>
          <w:sz w:val="21"/>
          <w:szCs w:val="21"/>
          <w:highlight w:val="none"/>
          <w:lang w:val="en-US" w:eastAsia="zh-CN"/>
        </w:rPr>
        <w:t>通过</w:t>
      </w:r>
      <w:r>
        <w:rPr>
          <w:rFonts w:hint="eastAsia" w:ascii="宋体" w:hAnsi="宋体" w:eastAsia="宋体" w:cs="宋体"/>
          <w:color w:val="auto"/>
          <w:sz w:val="21"/>
          <w:szCs w:val="21"/>
          <w:highlight w:val="none"/>
        </w:rPr>
        <w:t>完成场景搭建并逐步推广实施，为提升基层智慧化治理能力，提供南湖经验。</w:t>
      </w:r>
    </w:p>
    <w:p>
      <w:pPr>
        <w:pStyle w:val="5"/>
        <w:keepNext w:val="0"/>
        <w:keepLines w:val="0"/>
        <w:pageBreakBefore w:val="0"/>
        <w:numPr>
          <w:ilvl w:val="0"/>
          <w:numId w:val="5"/>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color w:val="auto"/>
          <w:sz w:val="21"/>
          <w:szCs w:val="21"/>
          <w:highlight w:val="none"/>
          <w:lang w:val="en-US" w:eastAsia="zh-CN"/>
        </w:rPr>
      </w:pPr>
      <w:bookmarkStart w:id="6" w:name="_Toc29117"/>
      <w:r>
        <w:rPr>
          <w:rFonts w:hint="eastAsia" w:ascii="宋体" w:hAnsi="宋体" w:eastAsia="宋体" w:cs="宋体"/>
          <w:b/>
          <w:bCs/>
          <w:color w:val="auto"/>
          <w:sz w:val="21"/>
          <w:szCs w:val="21"/>
          <w:highlight w:val="none"/>
          <w:lang w:val="en-US" w:eastAsia="zh-CN"/>
        </w:rPr>
        <w:t>建设目标</w:t>
      </w:r>
    </w:p>
    <w:p>
      <w:pPr>
        <w:pStyle w:val="32"/>
        <w:keepNext w:val="0"/>
        <w:keepLines w:val="0"/>
        <w:pageBreakBefore w:val="0"/>
        <w:kinsoku/>
        <w:wordWrap/>
        <w:overflowPunct/>
        <w:topLinePunct w:val="0"/>
        <w:autoSpaceDE/>
        <w:autoSpaceDN/>
        <w:bidi w:val="0"/>
        <w:adjustRightInd w:val="0"/>
        <w:snapToGrid w:val="0"/>
        <w:spacing w:after="0" w:line="360" w:lineRule="auto"/>
        <w:ind w:left="0" w:leftChars="0"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准确把握政府数字化转型及政务服务转型升级内涵和关键，依托大数据、云计算、AI人工智能、5G等前沿科技，创新店铺门责主动式服务、精细化管理、非接触执法模式，确保数字化转型项目实战管用、基层爱用、群众受用，把“</w:t>
      </w:r>
      <w:r>
        <w:rPr>
          <w:rFonts w:hint="eastAsia" w:ascii="宋体" w:hAnsi="宋体" w:eastAsia="宋体" w:cs="宋体"/>
          <w:color w:val="auto"/>
          <w:sz w:val="21"/>
          <w:szCs w:val="21"/>
          <w:highlight w:val="none"/>
          <w:lang w:eastAsia="zh-CN"/>
        </w:rPr>
        <w:t>开店一件事</w:t>
      </w:r>
      <w:r>
        <w:rPr>
          <w:rFonts w:hint="eastAsia" w:ascii="宋体" w:hAnsi="宋体" w:eastAsia="宋体" w:cs="宋体"/>
          <w:color w:val="auto"/>
          <w:sz w:val="21"/>
          <w:szCs w:val="21"/>
          <w:highlight w:val="none"/>
        </w:rPr>
        <w:t>”场景应用打造成为嘉兴乃至浙江省数字化应用标杆和典范。</w:t>
      </w:r>
    </w:p>
    <w:p>
      <w:pPr>
        <w:pStyle w:val="5"/>
        <w:keepNext w:val="0"/>
        <w:keepLines w:val="0"/>
        <w:pageBreakBefore w:val="0"/>
        <w:numPr>
          <w:ilvl w:val="0"/>
          <w:numId w:val="5"/>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建设内容</w:t>
      </w:r>
      <w:bookmarkEnd w:id="6"/>
    </w:p>
    <w:p>
      <w:pPr>
        <w:keepNext w:val="0"/>
        <w:keepLines w:val="0"/>
        <w:pageBreakBefore w:val="0"/>
        <w:numPr>
          <w:ilvl w:val="0"/>
          <w:numId w:val="6"/>
        </w:numPr>
        <w:tabs>
          <w:tab w:val="left" w:pos="6842"/>
        </w:tabs>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服务一件事场景</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以服务为导向，转变观念，主动作为、靠前服务，让“数据跑路”替代“人工跑路”，实实在在为市民</w:t>
      </w:r>
      <w:r>
        <w:rPr>
          <w:rFonts w:hint="eastAsia" w:ascii="宋体" w:hAnsi="宋体" w:eastAsia="宋体" w:cs="宋体"/>
          <w:color w:val="auto"/>
          <w:sz w:val="21"/>
          <w:szCs w:val="21"/>
          <w:highlight w:val="none"/>
          <w:lang w:eastAsia="zh-Hans"/>
        </w:rPr>
        <w:t>提供便利</w:t>
      </w:r>
      <w:r>
        <w:rPr>
          <w:rFonts w:hint="eastAsia" w:ascii="宋体" w:hAnsi="宋体" w:eastAsia="宋体" w:cs="宋体"/>
          <w:color w:val="auto"/>
          <w:sz w:val="21"/>
          <w:szCs w:val="21"/>
          <w:highlight w:val="none"/>
        </w:rPr>
        <w:t>。</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店前信息查询服务。通过政府多部门数据汇聚融合及日常巡查更新形成区域店铺基本信息，市民可以通过GIS地图选定空置店铺查看该店铺周边配套设施、同类店铺数量、需办理流程、办理地址或链接、区域联系人及联系方式、店铺禁止开设类型、店铺“</w:t>
      </w:r>
      <w:r>
        <w:rPr>
          <w:rFonts w:hint="eastAsia" w:ascii="宋体" w:hAnsi="宋体" w:eastAsia="宋体" w:cs="宋体"/>
          <w:color w:val="auto"/>
          <w:sz w:val="21"/>
          <w:szCs w:val="21"/>
          <w:highlight w:val="none"/>
          <w:lang w:eastAsia="zh-CN"/>
        </w:rPr>
        <w:t>门前五包</w:t>
      </w:r>
      <w:r>
        <w:rPr>
          <w:rFonts w:hint="eastAsia" w:ascii="宋体" w:hAnsi="宋体" w:eastAsia="宋体" w:cs="宋体"/>
          <w:color w:val="auto"/>
          <w:sz w:val="21"/>
          <w:szCs w:val="21"/>
          <w:highlight w:val="none"/>
        </w:rPr>
        <w:t>”责任与承诺等，为市民开店提供选择依据，规避风险。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Hans"/>
        </w:rPr>
        <w:t>选址开店功能</w:t>
      </w:r>
      <w:r>
        <w:rPr>
          <w:rFonts w:hint="eastAsia" w:ascii="宋体" w:hAnsi="宋体" w:eastAsia="宋体" w:cs="宋体"/>
          <w:color w:val="auto"/>
          <w:sz w:val="21"/>
          <w:szCs w:val="21"/>
          <w:highlight w:val="none"/>
          <w:lang w:val="en-US" w:eastAsia="zh-CN"/>
        </w:rPr>
        <w:t>（需软件演示）</w:t>
      </w:r>
      <w:r>
        <w:rPr>
          <w:rFonts w:hint="eastAsia" w:ascii="宋体" w:hAnsi="宋体" w:eastAsia="宋体" w:cs="宋体"/>
          <w:color w:val="auto"/>
          <w:sz w:val="21"/>
          <w:szCs w:val="21"/>
          <w:highlight w:val="none"/>
          <w:lang w:eastAsia="zh-Hans"/>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Hans"/>
        </w:rPr>
        <w:t>周边业态信息</w:t>
      </w:r>
      <w:r>
        <w:rPr>
          <w:rFonts w:hint="eastAsia" w:ascii="宋体" w:hAnsi="宋体" w:eastAsia="宋体" w:cs="宋体"/>
          <w:color w:val="auto"/>
          <w:sz w:val="21"/>
          <w:szCs w:val="21"/>
          <w:highlight w:val="none"/>
          <w:lang w:val="en-US" w:eastAsia="zh-CN"/>
        </w:rPr>
        <w:t>查询</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根据定位点显示半径</w:t>
      </w:r>
      <w:r>
        <w:rPr>
          <w:rFonts w:hint="eastAsia" w:ascii="宋体" w:hAnsi="宋体" w:eastAsia="宋体" w:cs="宋体"/>
          <w:color w:val="auto"/>
          <w:sz w:val="21"/>
          <w:szCs w:val="21"/>
          <w:highlight w:val="none"/>
          <w:lang w:eastAsia="zh-Hans"/>
        </w:rPr>
        <w:t>100</w:t>
      </w:r>
      <w:r>
        <w:rPr>
          <w:rFonts w:hint="eastAsia" w:ascii="宋体" w:hAnsi="宋体" w:eastAsia="宋体" w:cs="宋体"/>
          <w:color w:val="auto"/>
          <w:sz w:val="21"/>
          <w:szCs w:val="21"/>
          <w:highlight w:val="none"/>
          <w:lang w:val="en-US" w:eastAsia="zh-Hans"/>
        </w:rPr>
        <w:t>米范围内业态信息</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包括周边人口规模</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可租店铺数量</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住宅区数量</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写字楼数量</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商业区数量</w:t>
      </w:r>
      <w:r>
        <w:rPr>
          <w:rFonts w:hint="eastAsia" w:ascii="宋体" w:hAnsi="宋体" w:eastAsia="宋体" w:cs="宋体"/>
          <w:color w:val="auto"/>
          <w:sz w:val="21"/>
          <w:szCs w:val="21"/>
          <w:highlight w:val="none"/>
          <w:lang w:eastAsia="zh-Hans"/>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Hans"/>
        </w:rPr>
        <w:t>商户查询分布</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服务端通过定位或查询功能在地图上显示重点监管店铺类型分布情况</w:t>
      </w:r>
      <w:r>
        <w:rPr>
          <w:rFonts w:hint="eastAsia" w:ascii="宋体" w:hAnsi="宋体" w:eastAsia="宋体" w:cs="宋体"/>
          <w:color w:val="auto"/>
          <w:sz w:val="21"/>
          <w:szCs w:val="21"/>
          <w:highlight w:val="none"/>
          <w:lang w:eastAsia="zh-Hans"/>
        </w:rPr>
        <w:t>，</w:t>
      </w:r>
      <w:r>
        <w:rPr>
          <w:rFonts w:hint="eastAsia" w:ascii="宋体" w:hAnsi="宋体" w:cs="宋体"/>
          <w:szCs w:val="21"/>
          <w:highlight w:val="yellow"/>
        </w:rPr>
        <w:t>包括餐饮店、非机动车店、洗车/修车店、</w:t>
      </w:r>
      <w:r>
        <w:rPr>
          <w:rFonts w:hint="eastAsia" w:ascii="宋体" w:hAnsi="宋体" w:cs="宋体"/>
          <w:b/>
          <w:szCs w:val="21"/>
          <w:highlight w:val="yellow"/>
        </w:rPr>
        <w:t>生鲜水果</w:t>
      </w:r>
      <w:r>
        <w:rPr>
          <w:rFonts w:hint="eastAsia" w:ascii="宋体" w:hAnsi="宋体" w:cs="宋体"/>
          <w:szCs w:val="21"/>
          <w:highlight w:val="yellow"/>
        </w:rPr>
        <w:t>、花店、其他等。</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Hans"/>
        </w:rPr>
        <w:t>经营中店铺</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通过点选店铺图标可以查看当前选中店铺详情</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包括店铺基本信息</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店铺星级评价</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监管评分</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文明城市参与度</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公众评分</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周边信息</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停车场</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公交站</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大型超市</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购物中心</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商业街</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商场等分布位置</w:t>
      </w:r>
      <w:r>
        <w:rPr>
          <w:rFonts w:hint="eastAsia" w:ascii="宋体" w:hAnsi="宋体" w:eastAsia="宋体" w:cs="宋体"/>
          <w:color w:val="auto"/>
          <w:sz w:val="21"/>
          <w:szCs w:val="21"/>
          <w:highlight w:val="none"/>
          <w:lang w:eastAsia="zh-Hans"/>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Hans"/>
        </w:rPr>
        <w:t>出租中店铺</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通过点选出租中店铺图标可以查看当前选中店面详情</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包括</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店铺基本信息</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可开设类型</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禁止开设信息</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正面清单</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住宅区</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写字楼</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商户</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商业区</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公交站</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停车场</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学校</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景点</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周边商户画像</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历史开店类型</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历史开店时长</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历史审批风险</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个体工商户登记</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店招店牌备案</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环保审批</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卫生许可</w:t>
      </w:r>
      <w:r>
        <w:rPr>
          <w:rFonts w:hint="eastAsia" w:ascii="宋体" w:hAnsi="宋体" w:eastAsia="宋体" w:cs="宋体"/>
          <w:color w:val="auto"/>
          <w:sz w:val="21"/>
          <w:szCs w:val="21"/>
          <w:highlight w:val="none"/>
          <w:lang w:eastAsia="zh-Hans"/>
        </w:rPr>
        <w:t>）；</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店中信息推送服务。引导店铺责任人根据开店进度清单完成开店流程涉及的全部事项。推送浙里办个体工商户登记入口，并告知不同类型的个体工商户前置审批事项及所需材料清单。同时，主动推送店铺日常行政审批（备案）及监管事项内容，如店招店牌备案、临时占道审批、临时堆放审批、市容市貌责任与义务告知、店铺“</w:t>
      </w:r>
      <w:r>
        <w:rPr>
          <w:rFonts w:hint="eastAsia" w:ascii="宋体" w:hAnsi="宋体" w:eastAsia="宋体" w:cs="宋体"/>
          <w:color w:val="auto"/>
          <w:sz w:val="21"/>
          <w:szCs w:val="21"/>
          <w:highlight w:val="none"/>
          <w:lang w:eastAsia="zh-CN"/>
        </w:rPr>
        <w:t>门前五包</w:t>
      </w:r>
      <w:r>
        <w:rPr>
          <w:rFonts w:hint="eastAsia" w:ascii="宋体" w:hAnsi="宋体" w:eastAsia="宋体" w:cs="宋体"/>
          <w:color w:val="auto"/>
          <w:sz w:val="21"/>
          <w:szCs w:val="21"/>
          <w:highlight w:val="none"/>
        </w:rPr>
        <w:t>”协议等，将开店涉及到的各部门各职能相关事项主动告知，并提供浙里办服务入口一键在线办理，为市民开店提供菜单式引导服务。</w:t>
      </w:r>
      <w:r>
        <w:rPr>
          <w:rFonts w:hint="eastAsia" w:ascii="宋体" w:hAnsi="宋体" w:eastAsia="宋体" w:cs="宋体"/>
          <w:color w:val="auto"/>
          <w:sz w:val="21"/>
          <w:szCs w:val="21"/>
          <w:highlight w:val="none"/>
          <w:lang w:val="en-US" w:eastAsia="zh-CN"/>
        </w:rPr>
        <w:t>为市民开店提供</w:t>
      </w:r>
      <w:r>
        <w:rPr>
          <w:rFonts w:hint="eastAsia" w:ascii="宋体" w:hAnsi="宋体" w:eastAsia="宋体" w:cs="宋体"/>
          <w:color w:val="auto"/>
          <w:sz w:val="21"/>
          <w:szCs w:val="21"/>
          <w:highlight w:val="none"/>
        </w:rPr>
        <w:t>开店进度展示，开店事项推送包括（个体工商户登记、店招店牌备案、门前五包等）事项办事指南及在线办理途径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需软件演示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店铺管理</w:t>
      </w:r>
      <w:r>
        <w:rPr>
          <w:rFonts w:hint="eastAsia" w:ascii="宋体" w:hAnsi="宋体" w:eastAsia="宋体" w:cs="宋体"/>
          <w:color w:val="auto"/>
          <w:sz w:val="21"/>
          <w:szCs w:val="21"/>
          <w:highlight w:val="none"/>
          <w:lang w:eastAsia="zh-CN"/>
        </w:rPr>
        <w:t>：业主和店主可以通过浙里办进入该模块，对店铺信息进行更新操作，包括：店铺状态（经营中、出租中）、地图位置、门头照片、经营时间、联系电话等。</w:t>
      </w:r>
    </w:p>
    <w:p>
      <w:pPr>
        <w:keepNext w:val="0"/>
        <w:keepLines w:val="0"/>
        <w:pageBreakBefore w:val="0"/>
        <w:numPr>
          <w:ilvl w:val="0"/>
          <w:numId w:val="7"/>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店铺责任人意见建议反馈。依托店铺星级积分机制鼓励店铺责任人主动参与城市管理、咨询涉店相关事项、建言献策，形成共管共治，提高市民的参与度。</w:t>
      </w:r>
    </w:p>
    <w:p>
      <w:pPr>
        <w:keepNext w:val="0"/>
        <w:keepLines w:val="0"/>
        <w:pageBreakBefore w:val="0"/>
        <w:numPr>
          <w:ilvl w:val="0"/>
          <w:numId w:val="6"/>
        </w:numPr>
        <w:tabs>
          <w:tab w:val="left" w:pos="6842"/>
        </w:tabs>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管理一件事场景</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充分利用前沿科技，梳理店铺门责涉及的所有监管事项，重塑涉店管理流程，通过科技手段赋能业务开展。推进跨部门资源整合，共建共享，部门联动，将店铺门责涉及的职能部门和单位纳入协同网络，实现“</w:t>
      </w:r>
      <w:r>
        <w:rPr>
          <w:rFonts w:hint="eastAsia" w:ascii="宋体" w:hAnsi="宋体" w:eastAsia="宋体" w:cs="宋体"/>
          <w:color w:val="auto"/>
          <w:sz w:val="21"/>
          <w:szCs w:val="21"/>
          <w:highlight w:val="none"/>
          <w:lang w:eastAsia="zh-CN"/>
        </w:rPr>
        <w:t>开店一件事</w:t>
      </w:r>
      <w:r>
        <w:rPr>
          <w:rFonts w:hint="eastAsia" w:ascii="宋体" w:hAnsi="宋体" w:eastAsia="宋体" w:cs="宋体"/>
          <w:color w:val="auto"/>
          <w:sz w:val="21"/>
          <w:szCs w:val="21"/>
          <w:highlight w:val="none"/>
        </w:rPr>
        <w:t>”创新管理。</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精细化管理对象，一户一档。以店铺为基本单元，汇聚融合各职能部门日常管理服务过程中的基础数据，通过应用交互和数据交互对掌握的相关数据进行清洗、分析、应用、共享、更新和维护，包括店铺基础数据、政务审批数据、周边停车场库数据、营业执照数据，店铺日常门责履行情况，部门联合检查情况，行政处罚情况等，形成一户一档，便于管理部门精准施策，提供最佳管理服务方案。</w:t>
      </w:r>
    </w:p>
    <w:p>
      <w:pPr>
        <w:keepNext w:val="0"/>
        <w:keepLines w:val="0"/>
        <w:pageBreakBefore w:val="0"/>
        <w:numPr>
          <w:ilvl w:val="0"/>
          <w:numId w:val="8"/>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智慧化闭环流程，科技赋能。建立城市精细化管理共治机制，利用社会面监控、基层网格员、数字城管、市民投诉举报等各类问题发现途径，拓展智慧感知应用，实现店铺“</w:t>
      </w:r>
      <w:r>
        <w:rPr>
          <w:rFonts w:hint="eastAsia" w:ascii="宋体" w:hAnsi="宋体" w:eastAsia="宋体" w:cs="宋体"/>
          <w:color w:val="auto"/>
          <w:sz w:val="21"/>
          <w:szCs w:val="21"/>
          <w:highlight w:val="none"/>
          <w:lang w:eastAsia="zh-CN"/>
        </w:rPr>
        <w:t>门前五包</w:t>
      </w:r>
      <w:r>
        <w:rPr>
          <w:rFonts w:hint="eastAsia" w:ascii="宋体" w:hAnsi="宋体" w:eastAsia="宋体" w:cs="宋体"/>
          <w:color w:val="auto"/>
          <w:sz w:val="21"/>
          <w:szCs w:val="21"/>
          <w:highlight w:val="none"/>
        </w:rPr>
        <w:t>”及越店经营、乱堆物料、暴露垃圾、店招破损、垃圾分类、车辆违停等行为的智慧感知及预警，感知设备自动抓拍固定违法证据后平台向店铺责任人发送提醒信息，提出整改时限、标准和要求，责令整改。从问题发现、预警、立案、派遣、处置、结案等环节形成自动化、智慧化闭环流程。</w:t>
      </w:r>
    </w:p>
    <w:p>
      <w:pPr>
        <w:keepNext w:val="0"/>
        <w:keepLines w:val="0"/>
        <w:pageBreakBefore w:val="0"/>
        <w:numPr>
          <w:ilvl w:val="0"/>
          <w:numId w:val="6"/>
        </w:numPr>
        <w:tabs>
          <w:tab w:val="left" w:pos="6842"/>
        </w:tabs>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执法一件事场景</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智慧感知情况，及时掌握店铺经营违章热力图，精准有效执法高发频发的违法违章行为。基于事不过三原则，发现商户第一次出现违规违法行为，可以通过浙里办或短信进行警告责令整改。如果拒不整改或发现违规三次以上，则将证据上传至第三方公证平台固定证据，将案件转至执法办案平台作为案源进行立案处理。</w:t>
      </w:r>
    </w:p>
    <w:p>
      <w:pPr>
        <w:keepNext w:val="0"/>
        <w:keepLines w:val="0"/>
        <w:pageBreakBefore w:val="0"/>
        <w:numPr>
          <w:ilvl w:val="0"/>
          <w:numId w:val="6"/>
        </w:numPr>
        <w:tabs>
          <w:tab w:val="left" w:pos="6842"/>
        </w:tabs>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大数据可视化</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建立大数据可视化平台包括信息专题应用、工作表管理、可视化分析模块：</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信息专题应用：</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信息专题应用是针对业务管理需要，设置不同的信息专题，通过信息专题详细展示信息内容。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按照本期项目的要求和业务管理的需要，集成展现中心需要建立以下信息专题：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1、综合执法专题：针对综合执法案件进行信息展示，向用户提供案件基本属性、案件分布以及与案件相关的责任单位处置过程信息；</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2、商户建模：通过数据融合汇聚，将商户原始的基本信息情况入库管理，形成“店铺一户一档”，细分商户行业类型，实现事件类对象的精细化管理，通过分散在各系统的碎片化数据，形成商户业务建模。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三维GIS数据展示：包括本项目涉及的餐饮店、非机动车店、洗车/修车店、生鲜水果、花店、其他等6类重点监管商户的分类显示，及商区、餐饮禁设区域展示功能。（需软件演示）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商户建模展示：包括本项目涉及的餐饮店、非机动车店、洗车/修车店、生鲜水果、花店、其他等6类重点监管商户类型的建模展示，及商户基本信息、商户评价、违规记录、店招店牌数据的展示。（需软件演示）</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可视化分析：</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数据平台提供丰富的数据可视化技术组件及GIS引擎。通过拖拽指标和维度的方式，加以数据配置，即可快速完成数据分析展示大屏。包括:拖拽分析、维度、对比和数值、多层钻取、高级计算等。分析展示数据包括本项目所涉及的服务一件事、管理一件事、执法一件等数据内容。（需软件演示）</w:t>
      </w:r>
    </w:p>
    <w:p>
      <w:pPr>
        <w:keepNext w:val="0"/>
        <w:keepLines w:val="0"/>
        <w:pageBreakBefore w:val="0"/>
        <w:numPr>
          <w:ilvl w:val="0"/>
          <w:numId w:val="6"/>
        </w:numPr>
        <w:tabs>
          <w:tab w:val="left" w:pos="6842"/>
        </w:tabs>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对接需求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本项目建成后需与南湖区综合行政执法局智慧城管、广告管理系统及浙江省“大综合一体化”执法监管数字应用进行对接，实现数据贯通。</w:t>
      </w:r>
    </w:p>
    <w:p>
      <w:pPr>
        <w:keepNext w:val="0"/>
        <w:keepLines w:val="0"/>
        <w:pageBreakBefore w:val="0"/>
        <w:numPr>
          <w:ilvl w:val="0"/>
          <w:numId w:val="6"/>
        </w:numPr>
        <w:tabs>
          <w:tab w:val="left" w:pos="6842"/>
        </w:tabs>
        <w:kinsoku/>
        <w:wordWrap/>
        <w:overflowPunct/>
        <w:topLinePunct w:val="0"/>
        <w:autoSpaceDE/>
        <w:autoSpaceDN/>
        <w:bidi w:val="0"/>
        <w:adjustRightInd w:val="0"/>
        <w:snapToGrid w:val="0"/>
        <w:spacing w:line="360" w:lineRule="auto"/>
        <w:ind w:left="0" w:leftChars="0" w:firstLine="367" w:firstLineChars="175"/>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安全需求</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本系统确保身份鉴别、访问控制、安全设计、软件容错、资源控制、剩余信息保护、数据完整性、数据保密性、数据备份恢复等方面的应用安全。</w:t>
      </w:r>
    </w:p>
    <w:p>
      <w:pPr>
        <w:keepNext w:val="0"/>
        <w:keepLines w:val="0"/>
        <w:pageBreakBefore w:val="0"/>
        <w:numPr>
          <w:ilvl w:val="0"/>
          <w:numId w:val="9"/>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本系统确保满足等保三级评测的要求。</w:t>
      </w:r>
    </w:p>
    <w:p>
      <w:pPr>
        <w:pStyle w:val="2"/>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highlight w:val="none"/>
          <w:lang w:val="en-US" w:eastAsia="zh-CN"/>
        </w:rPr>
      </w:pPr>
    </w:p>
    <w:p>
      <w:pPr>
        <w:pStyle w:val="5"/>
        <w:keepNext w:val="0"/>
        <w:keepLines w:val="0"/>
        <w:pageBreakBefore w:val="0"/>
        <w:numPr>
          <w:ilvl w:val="0"/>
          <w:numId w:val="5"/>
        </w:numPr>
        <w:kinsoku/>
        <w:wordWrap/>
        <w:overflowPunct/>
        <w:topLinePunct w:val="0"/>
        <w:autoSpaceDE/>
        <w:autoSpaceDN/>
        <w:bidi w:val="0"/>
        <w:adjustRightInd w:val="0"/>
        <w:snapToGrid w:val="0"/>
        <w:spacing w:before="0" w:after="0"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采购清单</w:t>
      </w:r>
    </w:p>
    <w:p>
      <w:pPr>
        <w:pStyle w:val="84"/>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应用平台需求</w:t>
      </w:r>
    </w:p>
    <w:tbl>
      <w:tblPr>
        <w:tblStyle w:val="33"/>
        <w:tblW w:w="5326" w:type="pct"/>
        <w:tblInd w:w="-2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7"/>
        <w:gridCol w:w="1228"/>
        <w:gridCol w:w="1332"/>
        <w:gridCol w:w="5589"/>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08"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62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建设项目</w:t>
            </w:r>
          </w:p>
        </w:tc>
        <w:tc>
          <w:tcPr>
            <w:tcW w:w="67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场景/模块</w:t>
            </w:r>
          </w:p>
        </w:tc>
        <w:tc>
          <w:tcPr>
            <w:tcW w:w="283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描述</w:t>
            </w:r>
          </w:p>
        </w:tc>
        <w:tc>
          <w:tcPr>
            <w:tcW w:w="553"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1" w:hRule="atLeast"/>
        </w:trPr>
        <w:tc>
          <w:tcPr>
            <w:tcW w:w="308" w:type="pct"/>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623" w:type="pc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基础业务支撑平台</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商户审批专题库（建设街道）</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建立商户建筑专题库，接入住建建设街道沿街商户建筑信息，并集成建筑历史商户开店信息（包括：历史商户类型、历史开店审批备案信息、历史商户违规记录等），形成商户建筑画像，提供市民开店选址参考。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通过专题库生成商户关联二维码（提供相关亚克力材质二维码标牌，对建设街道内商户进行安装）</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30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62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服务端（浙里办）</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开店选址服务</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该模块提供给准备开店的市民使用，市民在开店调研阶段可以通过浙里办APP对意向开店区域进行了解，包括区域内的经营中店铺情况、出租中店铺情况、相同类型店铺数量、周边小区入住情况、广场办公楼入驻情况等信息。</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7" w:hRule="atLeast"/>
        </w:trPr>
        <w:tc>
          <w:tcPr>
            <w:tcW w:w="308"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2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区域选址可视化插件</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渠道终端分布：</w:t>
            </w:r>
            <w:r>
              <w:rPr>
                <w:rStyle w:val="75"/>
                <w:rFonts w:hint="eastAsia" w:ascii="宋体" w:hAnsi="宋体" w:eastAsia="宋体" w:cs="宋体"/>
                <w:color w:val="auto"/>
                <w:sz w:val="21"/>
                <w:szCs w:val="21"/>
                <w:highlight w:val="none"/>
                <w:lang w:val="en-US" w:eastAsia="zh-CN" w:bidi="ar"/>
              </w:rPr>
              <w:br w:type="textWrapping"/>
            </w:r>
            <w:r>
              <w:rPr>
                <w:rStyle w:val="75"/>
                <w:rFonts w:hint="eastAsia" w:ascii="宋体" w:hAnsi="宋体" w:eastAsia="宋体" w:cs="宋体"/>
                <w:color w:val="auto"/>
                <w:sz w:val="21"/>
                <w:szCs w:val="21"/>
                <w:highlight w:val="none"/>
                <w:lang w:val="en-US" w:eastAsia="zh-CN" w:bidi="ar"/>
              </w:rPr>
              <w:t>支持对所选区域内容现有各类型门店、片区划分地图可视化展示。</w:t>
            </w:r>
            <w:r>
              <w:rPr>
                <w:rStyle w:val="75"/>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区域渗透分析：</w:t>
            </w:r>
            <w:r>
              <w:rPr>
                <w:rStyle w:val="75"/>
                <w:rFonts w:hint="eastAsia" w:ascii="宋体" w:hAnsi="宋体" w:eastAsia="宋体" w:cs="宋体"/>
                <w:color w:val="auto"/>
                <w:sz w:val="21"/>
                <w:szCs w:val="21"/>
                <w:highlight w:val="none"/>
                <w:lang w:val="en-US" w:eastAsia="zh-CN" w:bidi="ar"/>
              </w:rPr>
              <w:br w:type="textWrapping"/>
            </w:r>
            <w:r>
              <w:rPr>
                <w:rStyle w:val="75"/>
                <w:rFonts w:hint="eastAsia" w:ascii="宋体" w:hAnsi="宋体" w:eastAsia="宋体" w:cs="宋体"/>
                <w:color w:val="auto"/>
                <w:sz w:val="21"/>
                <w:szCs w:val="21"/>
                <w:highlight w:val="none"/>
                <w:lang w:val="en-US" w:eastAsia="zh-CN" w:bidi="ar"/>
              </w:rPr>
              <w:t>分区域、商户类型监测分析渗透分布及变化，辅助选址规划评估。</w:t>
            </w:r>
            <w:r>
              <w:rPr>
                <w:rStyle w:val="75"/>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多维业绩特征：</w:t>
            </w:r>
            <w:r>
              <w:rPr>
                <w:rStyle w:val="75"/>
                <w:rFonts w:hint="eastAsia" w:ascii="宋体" w:hAnsi="宋体" w:eastAsia="宋体" w:cs="宋体"/>
                <w:color w:val="auto"/>
                <w:sz w:val="21"/>
                <w:szCs w:val="21"/>
                <w:highlight w:val="none"/>
                <w:lang w:val="en-US" w:eastAsia="zh-CN" w:bidi="ar"/>
              </w:rPr>
              <w:br w:type="textWrapping"/>
            </w:r>
            <w:r>
              <w:rPr>
                <w:rStyle w:val="75"/>
                <w:rFonts w:hint="eastAsia" w:ascii="宋体" w:hAnsi="宋体" w:eastAsia="宋体" w:cs="宋体"/>
                <w:color w:val="auto"/>
                <w:sz w:val="21"/>
                <w:szCs w:val="21"/>
                <w:highlight w:val="none"/>
                <w:lang w:val="en-US" w:eastAsia="zh-CN" w:bidi="ar"/>
              </w:rPr>
              <w:t>聚类分析分区域商户经营状况、评价演进特征，结合渗透分析辅助优化选址策略。</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308"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2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开店事项服务</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该模块为确认开店的市民和已通过市场监管注册完成的个体工商户提供前置服务，为开店中商户提供开店进度提醒服务及开店引导服务，让商户便捷清晰完成开店事项。</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308"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2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店铺管理</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业主和店主可以通过浙里办进入该模块，对店铺信息进行更新操作，包括：店铺状态（经营中、出租中）、地图位置、门头照片、经营时间、联系电话等；</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62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管理端</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移动端商户管理</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在移动端新增商户管理模块，用于执法队员、协管员、巡查员在日常巡查工作中对商户的管理，包括：商户信息更新（商户停止营业未进行注销、门头变更、人员信息变更等）、门前</w:t>
            </w:r>
            <w:r>
              <w:rPr>
                <w:rFonts w:hint="eastAsia" w:ascii="宋体" w:hAnsi="宋体" w:eastAsia="宋体" w:cs="宋体"/>
                <w:i w:val="0"/>
                <w:iCs w:val="0"/>
                <w:color w:val="auto"/>
                <w:kern w:val="0"/>
                <w:sz w:val="21"/>
                <w:szCs w:val="21"/>
                <w:highlight w:val="none"/>
                <w:u w:val="none"/>
                <w:lang w:val="en-US" w:eastAsia="zh-Hans" w:bidi="ar"/>
              </w:rPr>
              <w:t>五</w:t>
            </w:r>
            <w:r>
              <w:rPr>
                <w:rFonts w:hint="eastAsia" w:ascii="宋体" w:hAnsi="宋体" w:eastAsia="宋体" w:cs="宋体"/>
                <w:i w:val="0"/>
                <w:iCs w:val="0"/>
                <w:color w:val="auto"/>
                <w:kern w:val="0"/>
                <w:sz w:val="21"/>
                <w:szCs w:val="21"/>
                <w:highlight w:val="none"/>
                <w:u w:val="none"/>
                <w:lang w:val="en-US" w:eastAsia="zh-CN" w:bidi="ar"/>
              </w:rPr>
              <w:t>包协议查看及上门在线签订；</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8" w:hRule="atLeast"/>
        </w:trPr>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w:t>
            </w:r>
          </w:p>
        </w:tc>
        <w:tc>
          <w:tcPr>
            <w:tcW w:w="623"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智慧感知及预警平台</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容市貌（包括：店外经营、占道经营、无照经营游商、杂物堆放、机动车乱停放、非机动车乱停放、暴露垃圾、违规户外广告、渣土车未密闭运输、积存垃圾渣土、道路不洁、私搭乱建等）通过视频监控自动识别抓拍功能，对沿街商户违规行为进行抓拍取证，并通过后台系统自动向商户发送提醒警告信息，如果商户在收到提醒信息后长时间不进行整改的，系统读取到超过提醒时间段后，自动向附近巡查的执法队员派发处理任务，由队员到现场进行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不包含前端感知设备、后端设备及算法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9" w:hRule="atLeast"/>
        </w:trPr>
        <w:tc>
          <w:tcPr>
            <w:tcW w:w="30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62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系统平台对接</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现场勘查</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现有现场勘查模块对接，实现商户提交店招店铺备案申请后，由平台自动将申请内容指派给店铺所在辖区执法队员浙政钉端，执法队员接收平台指派的现场勘查任务后，根据申请信息现场对店铺店招店铺进行勘查审核，并反馈结果。</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08"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2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随手拍</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与现有随手拍平台对接，实现问题爆料、信息查询等功能，方便市民参与城市管理，实时了解问题的办理反馈进展。</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1" w:hRule="atLeast"/>
        </w:trPr>
        <w:tc>
          <w:tcPr>
            <w:tcW w:w="308" w:type="pct"/>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23" w:type="pct"/>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第三方选址商业数据</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通过接入区域人口热力、区域客流量及设施情况进行分析，实现城市整体画像评估，为市民选址提供辅助。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提供区域多维数据指标，根据客流画像、辐射范围、热门行业、主要业态等数据描绘街区画像，支持分道路查看客流，赋能开店选址。</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3" w:hRule="atLeast"/>
        </w:trPr>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大数据可视化平台</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可视化分析展示平台</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信息专题应用：</w:t>
            </w:r>
            <w:r>
              <w:rPr>
                <w:rStyle w:val="75"/>
                <w:rFonts w:hint="eastAsia" w:ascii="宋体" w:hAnsi="宋体" w:eastAsia="宋体" w:cs="宋体"/>
                <w:color w:val="auto"/>
                <w:sz w:val="21"/>
                <w:szCs w:val="21"/>
                <w:highlight w:val="none"/>
                <w:lang w:val="en-US" w:eastAsia="zh-CN" w:bidi="ar"/>
              </w:rPr>
              <w:br w:type="textWrapping"/>
            </w:r>
            <w:r>
              <w:rPr>
                <w:rStyle w:val="75"/>
                <w:rFonts w:hint="eastAsia" w:ascii="宋体" w:hAnsi="宋体" w:eastAsia="宋体" w:cs="宋体"/>
                <w:color w:val="auto"/>
                <w:sz w:val="21"/>
                <w:szCs w:val="21"/>
                <w:highlight w:val="none"/>
                <w:lang w:val="en-US" w:eastAsia="zh-CN" w:bidi="ar"/>
              </w:rPr>
              <w:t>信息专题应用是针对业务管理需要，设置不同的信息专题，通过信息专题详细展示信息内容。</w:t>
            </w:r>
            <w:r>
              <w:rPr>
                <w:rStyle w:val="75"/>
                <w:rFonts w:hint="eastAsia" w:ascii="宋体" w:hAnsi="宋体" w:eastAsia="宋体" w:cs="宋体"/>
                <w:color w:val="auto"/>
                <w:sz w:val="21"/>
                <w:szCs w:val="21"/>
                <w:highlight w:val="none"/>
                <w:lang w:val="en-US" w:eastAsia="zh-CN" w:bidi="ar"/>
              </w:rPr>
              <w:br w:type="textWrapping"/>
            </w:r>
            <w:r>
              <w:rPr>
                <w:rStyle w:val="75"/>
                <w:rFonts w:hint="eastAsia" w:ascii="宋体" w:hAnsi="宋体" w:eastAsia="宋体" w:cs="宋体"/>
                <w:color w:val="auto"/>
                <w:sz w:val="21"/>
                <w:szCs w:val="21"/>
                <w:highlight w:val="none"/>
                <w:lang w:val="en-US" w:eastAsia="zh-CN" w:bidi="ar"/>
              </w:rPr>
              <w:t>按照本期项目的要求和业务管理的需要，集成展现中心需要建立以下信息专题：</w:t>
            </w:r>
            <w:r>
              <w:rPr>
                <w:rStyle w:val="75"/>
                <w:rFonts w:hint="eastAsia" w:ascii="宋体" w:hAnsi="宋体" w:eastAsia="宋体" w:cs="宋体"/>
                <w:color w:val="auto"/>
                <w:sz w:val="21"/>
                <w:szCs w:val="21"/>
                <w:highlight w:val="none"/>
                <w:lang w:val="en-US" w:eastAsia="zh-CN" w:bidi="ar"/>
              </w:rPr>
              <w:br w:type="textWrapping"/>
            </w:r>
            <w:r>
              <w:rPr>
                <w:rStyle w:val="75"/>
                <w:rFonts w:hint="eastAsia" w:ascii="宋体" w:hAnsi="宋体" w:eastAsia="宋体" w:cs="宋体"/>
                <w:color w:val="auto"/>
                <w:sz w:val="21"/>
                <w:szCs w:val="21"/>
                <w:highlight w:val="none"/>
                <w:lang w:val="en-US" w:eastAsia="zh-CN" w:bidi="ar"/>
              </w:rPr>
              <w:t>1、综合执法专题：针对综合执法案件进行信息展示，向用户提供案件基本属性、案件分布以及与案件相关的责任单位处置过程信息；</w:t>
            </w:r>
            <w:r>
              <w:rPr>
                <w:rStyle w:val="75"/>
                <w:rFonts w:hint="eastAsia" w:ascii="宋体" w:hAnsi="宋体" w:eastAsia="宋体" w:cs="宋体"/>
                <w:color w:val="auto"/>
                <w:sz w:val="21"/>
                <w:szCs w:val="21"/>
                <w:highlight w:val="none"/>
                <w:lang w:val="en-US" w:eastAsia="zh-CN" w:bidi="ar"/>
              </w:rPr>
              <w:br w:type="textWrapping"/>
            </w:r>
            <w:r>
              <w:rPr>
                <w:rStyle w:val="75"/>
                <w:rFonts w:hint="eastAsia" w:ascii="宋体" w:hAnsi="宋体" w:eastAsia="宋体" w:cs="宋体"/>
                <w:color w:val="auto"/>
                <w:sz w:val="21"/>
                <w:szCs w:val="21"/>
                <w:highlight w:val="none"/>
                <w:lang w:val="en-US" w:eastAsia="zh-CN" w:bidi="ar"/>
              </w:rPr>
              <w:t>2、商户画像：通过数据融合汇聚，将商户原始的基本信息情况入库管理，形成“店铺一户一档”，细分商户行业类型，实现事件类对象的精细化管理，通过分散在各系统的碎片化数据，形成商户综合画像。</w:t>
            </w:r>
            <w:r>
              <w:rPr>
                <w:rStyle w:val="75"/>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工作表管理：</w:t>
            </w:r>
            <w:r>
              <w:rPr>
                <w:rFonts w:hint="eastAsia" w:ascii="宋体" w:hAnsi="宋体" w:eastAsia="宋体" w:cs="宋体"/>
                <w:b/>
                <w:bCs/>
                <w:i w:val="0"/>
                <w:iCs w:val="0"/>
                <w:color w:val="auto"/>
                <w:kern w:val="0"/>
                <w:sz w:val="21"/>
                <w:szCs w:val="21"/>
                <w:highlight w:val="none"/>
                <w:u w:val="none"/>
                <w:lang w:val="en-US" w:eastAsia="zh-CN" w:bidi="ar"/>
              </w:rPr>
              <w:br w:type="textWrapping"/>
            </w:r>
            <w:r>
              <w:rPr>
                <w:rStyle w:val="75"/>
                <w:rFonts w:hint="eastAsia" w:ascii="宋体" w:hAnsi="宋体" w:eastAsia="宋体" w:cs="宋体"/>
                <w:color w:val="auto"/>
                <w:sz w:val="21"/>
                <w:szCs w:val="21"/>
                <w:highlight w:val="none"/>
                <w:lang w:val="en-US" w:eastAsia="zh-CN" w:bidi="ar"/>
              </w:rPr>
              <w:t>通过使用拖拽即可实现多个表格数据的 关联，生成一个新的表格。除此之外，系统提供了多种数据处理方式，不需要用户 熟知 SQL 语言，只需要进行简单的拖拽 即可实现复杂的多表关联、数据聚合、追 加合并等操作。包括:工作表管理、字段 管理、创建合表。</w:t>
            </w:r>
            <w:r>
              <w:rPr>
                <w:rStyle w:val="75"/>
                <w:rFonts w:hint="eastAsia" w:ascii="宋体" w:hAnsi="宋体" w:eastAsia="宋体" w:cs="宋体"/>
                <w:color w:val="auto"/>
                <w:sz w:val="21"/>
                <w:szCs w:val="21"/>
                <w:highlight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可视化分析：</w:t>
            </w:r>
            <w:r>
              <w:rPr>
                <w:rFonts w:hint="eastAsia" w:ascii="宋体" w:hAnsi="宋体" w:eastAsia="宋体" w:cs="宋体"/>
                <w:b/>
                <w:bCs/>
                <w:i w:val="0"/>
                <w:iCs w:val="0"/>
                <w:color w:val="auto"/>
                <w:kern w:val="0"/>
                <w:sz w:val="21"/>
                <w:szCs w:val="21"/>
                <w:highlight w:val="none"/>
                <w:u w:val="none"/>
                <w:lang w:val="en-US" w:eastAsia="zh-CN" w:bidi="ar"/>
              </w:rPr>
              <w:br w:type="textWrapping"/>
            </w:r>
            <w:r>
              <w:rPr>
                <w:rStyle w:val="75"/>
                <w:rFonts w:hint="eastAsia" w:ascii="宋体" w:hAnsi="宋体" w:eastAsia="宋体" w:cs="宋体"/>
                <w:color w:val="auto"/>
                <w:sz w:val="21"/>
                <w:szCs w:val="21"/>
                <w:highlight w:val="none"/>
                <w:lang w:val="en-US" w:eastAsia="zh-CN" w:bidi="ar"/>
              </w:rPr>
              <w:t>大数据平台提供丰富的数据可视化技术组件及GIS引擎。通过拖拽指标和维度的方式，加以数据配置，即可快速完成数据分析展示大屏。包括:拖拽分析、维度、对比和数值、多层钻取、高级计算等。</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1" w:hRule="atLeast"/>
        </w:trPr>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渲染一体化平台</w:t>
            </w:r>
          </w:p>
        </w:tc>
        <w:tc>
          <w:tcPr>
            <w:tcW w:w="2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基于 HTML5 和 WebGL 技术，用于配置可交互实时渲染三维场景效果的专用。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强大的数据集成能力、友好易用的配置环境、丰富的可定义场景属性、超凡的实时渲染效果；支持模型数据导入、模型材质编辑、关节编辑、场景属性编辑、场景特效编辑、场景状态编辑、场景坐标编辑等配置操作，可实时预览配置完成的场景效果，所见即所得；并可将配置完成的三维场景发布成云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i w:val="0"/>
                <w:iCs w:val="0"/>
                <w:color w:val="auto"/>
                <w:sz w:val="21"/>
                <w:szCs w:val="21"/>
                <w:highlight w:val="none"/>
                <w:u w:val="none"/>
              </w:rPr>
            </w:pPr>
          </w:p>
        </w:tc>
      </w:tr>
    </w:tbl>
    <w:p>
      <w:pPr>
        <w:pStyle w:val="84"/>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color w:val="auto"/>
          <w:sz w:val="21"/>
          <w:szCs w:val="21"/>
          <w:highlight w:val="none"/>
          <w:lang w:val="en-US" w:eastAsia="zh-CN"/>
        </w:rPr>
      </w:pPr>
    </w:p>
    <w:p>
      <w:pPr>
        <w:pStyle w:val="84"/>
        <w:pageBreakBefore w:val="0"/>
        <w:numPr>
          <w:ilvl w:val="0"/>
          <w:numId w:val="0"/>
        </w:numPr>
        <w:kinsoku/>
        <w:wordWrap/>
        <w:overflowPunct/>
        <w:topLinePunct w:val="0"/>
        <w:autoSpaceDE/>
        <w:autoSpaceDN/>
        <w:bidi w:val="0"/>
        <w:adjustRightInd w:val="0"/>
        <w:snapToGrid w:val="0"/>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政务云资源需求</w:t>
      </w:r>
    </w:p>
    <w:tbl>
      <w:tblPr>
        <w:tblStyle w:val="33"/>
        <w:tblW w:w="5333" w:type="pct"/>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0"/>
        <w:gridCol w:w="3337"/>
        <w:gridCol w:w="3625"/>
        <w:gridCol w:w="2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6" w:type="pct"/>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69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建设项目</w:t>
            </w:r>
          </w:p>
        </w:tc>
        <w:tc>
          <w:tcPr>
            <w:tcW w:w="1838"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描述</w:t>
            </w:r>
          </w:p>
        </w:tc>
        <w:tc>
          <w:tcPr>
            <w:tcW w:w="1032" w:type="pct"/>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基础业务支撑平台应用服务器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CPU十六核，内存64G，300G数据盘</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1年租赁服务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（公有云）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市民服务端应用服务器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CPU十六核，内存32G，300G数据盘</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1年租赁服务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（公有云）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接口服务器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 四核，内存16G，300G数据盘</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1年租赁服务</w:t>
            </w:r>
          </w:p>
          <w:p>
            <w:pPr>
              <w:pStyle w:val="2"/>
              <w:keepNext w:val="0"/>
              <w:keepLines w:val="0"/>
              <w:pageBreakBefore w:val="0"/>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（私有云）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6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数据库服务器</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CPU十六核，内存32G，600G数据盘</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1年租赁服务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（公有云）</w:t>
            </w:r>
          </w:p>
        </w:tc>
      </w:tr>
    </w:tbl>
    <w:p>
      <w:pPr>
        <w:pStyle w:val="5"/>
        <w:pageBreakBefore w:val="0"/>
        <w:numPr>
          <w:ilvl w:val="0"/>
          <w:numId w:val="5"/>
        </w:numPr>
        <w:kinsoku/>
        <w:wordWrap/>
        <w:overflowPunct/>
        <w:topLinePunct w:val="0"/>
        <w:autoSpaceDE/>
        <w:autoSpaceDN/>
        <w:bidi w:val="0"/>
        <w:adjustRightInd w:val="0"/>
        <w:snapToGrid w:val="0"/>
        <w:spacing w:before="0" w:beforeLines="0" w:after="0" w:afterLines="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平台技术要求</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为确保系统建成后能够达到预期目标，项目建设过程中，将具体遵循以下原则：</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1.简单实用性原则。坚持按需建设的原则，以业务为先导，突出应用实效，把工作重心放在开发、应用和培训方面，系统设计应充分考虑其易维护性，保证操作简单，维护成本低。</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前瞻先进性原则。要充分吸取和正确运用国内外开发信息管理系统所采用的先进技术，在系统的总体结构、功能和开发技术等方面，要跟踪国内外的先进水平，其整体性能要达到国内先进水平。使系统能够与用户业务需求同步增长，使得系统规模在业务扩展的过程中不需要重新进行系统规划与设计，并能够顺利、平稳地向更新的技术过渡。</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开放可扩展性原则。充分考虑业务规模和结构的发展变化，使所使用的系统构架和应用开发均具备可扩展性，能够随着应用的逐步完善和信息量的逐渐增加不断地进行扩展，同时在软件系统的开发中，考虑各个功能模块可重复利用，降低系统扩展的复杂性。建议提供一个开放的、易于维护的、灵活的、易于扩展的、统一的标准数据接口，以达到和外单位系统的应用数据能够及时、安全、快速、高质量及无缝的进行数据交换。</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bookmarkStart w:id="7" w:name="_Toc227824129"/>
      <w:bookmarkStart w:id="8" w:name="_Toc173291588"/>
      <w:bookmarkStart w:id="9" w:name="_Toc115670007"/>
      <w:bookmarkStart w:id="10" w:name="_Toc120353581"/>
      <w:r>
        <w:rPr>
          <w:rFonts w:hint="eastAsia" w:ascii="宋体" w:hAnsi="宋体" w:eastAsia="宋体" w:cs="宋体"/>
          <w:color w:val="auto"/>
          <w:sz w:val="21"/>
          <w:szCs w:val="21"/>
          <w:highlight w:val="none"/>
          <w:lang w:val="en-US" w:eastAsia="zh-CN"/>
        </w:rPr>
        <w:t>4．安全稳定性原则</w:t>
      </w:r>
      <w:bookmarkEnd w:id="7"/>
      <w:bookmarkEnd w:id="8"/>
      <w:bookmarkEnd w:id="9"/>
      <w:bookmarkEnd w:id="10"/>
      <w:r>
        <w:rPr>
          <w:rFonts w:hint="eastAsia" w:ascii="宋体" w:hAnsi="宋体" w:eastAsia="宋体" w:cs="宋体"/>
          <w:color w:val="auto"/>
          <w:sz w:val="21"/>
          <w:szCs w:val="21"/>
          <w:highlight w:val="none"/>
          <w:lang w:val="en-US" w:eastAsia="zh-CN"/>
        </w:rPr>
        <w:t>。项目建设参照目前已经建成运行的系统，采用成熟技术，在调研比较的基础上，科学整理出适合综合行政执法业务流程以及成熟的系统架构。系统设计要保证系统正常工作的能力和在错误干扰下重新恢复和启动的能力，不至于因某个动作或某个突发事件导致数据丢失和系统瘫痪。</w:t>
      </w:r>
    </w:p>
    <w:p>
      <w:pPr>
        <w:pStyle w:val="5"/>
        <w:pageBreakBefore w:val="0"/>
        <w:numPr>
          <w:ilvl w:val="0"/>
          <w:numId w:val="5"/>
        </w:numPr>
        <w:kinsoku/>
        <w:wordWrap/>
        <w:overflowPunct/>
        <w:topLinePunct w:val="0"/>
        <w:autoSpaceDE/>
        <w:autoSpaceDN/>
        <w:bidi w:val="0"/>
        <w:adjustRightInd w:val="0"/>
        <w:snapToGrid w:val="0"/>
        <w:spacing w:before="0" w:beforeLines="0" w:after="0" w:afterLines="0"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商务要求</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1）维保服务：</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供应商根据招标文件中的内容响应维保服务要求，要求中标供应商7×24小时电话响应技术咨询，响应时间小于2小时；除非采购文件另有规定，中标供应商须在接到采购人维修要求电话后，8小时内派技术人员到现场维修，维修过程中所需材料中标供应商在接到通知后应及时提供，最长不超过24小时必须送达采购单位。若短期无法修复的，应及时提供相应备用设备并负责安装调试，为此中标供应商应提供相应承诺书（提供三年维护期，以验收合格之日开始计算）。</w:t>
      </w:r>
    </w:p>
    <w:p>
      <w:pPr>
        <w:pageBreakBefore w:val="0"/>
        <w:kinsoku/>
        <w:wordWrap/>
        <w:overflowPunct/>
        <w:topLinePunct w:val="0"/>
        <w:autoSpaceDE/>
        <w:autoSpaceDN/>
        <w:bidi w:val="0"/>
        <w:adjustRightInd w:val="0"/>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2）付款方式：</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bookmarkStart w:id="11" w:name="_Hlk85699795"/>
      <w:r>
        <w:rPr>
          <w:rFonts w:hint="eastAsia" w:ascii="宋体" w:hAnsi="宋体" w:eastAsia="宋体" w:cs="宋体"/>
          <w:color w:val="auto"/>
          <w:kern w:val="2"/>
          <w:sz w:val="21"/>
          <w:szCs w:val="21"/>
          <w:highlight w:val="none"/>
          <w:lang w:val="en-US" w:eastAsia="zh-CN" w:bidi="ar-SA"/>
        </w:rPr>
        <w:t>合同签订后一个月内支付至合同总金额的50%，项目系统上线并通过终验合格后一个月内支付至合同总额的100%。</w:t>
      </w:r>
      <w:r>
        <w:rPr>
          <w:rFonts w:hint="eastAsia" w:ascii="宋体" w:hAnsi="宋体" w:cs="宋体"/>
          <w:b/>
          <w:bCs/>
          <w:color w:val="auto"/>
          <w:szCs w:val="21"/>
          <w:highlight w:val="none"/>
          <w:lang w:val="en-US" w:eastAsia="zh-CN"/>
        </w:rPr>
        <w:t>供应商缴纳合同金额1%作为履约保证金（可采用银行、保险公司出具保函形式提交），项目验收结束后退还。</w:t>
      </w:r>
    </w:p>
    <w:bookmarkEnd w:id="11"/>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3）维护期：项目整体质保维护三年。</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4）项目工期：乙方在合同签订之日起90日历天内完成供货、安装调试及系统平台开发。</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5）工作范围：</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根据招标文件，各供应商须按国家有关标准及规范完成下列工作：</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5.1完成各项调试、检验、测试工作，并在采购人的配合下验收；</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5.2对使用单位的操作人员及维修人员进行技术培训；</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5.3维保期内的维保及维修；</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5.4系统软件应具备长期、快速升级能力，能满足面向未来的管理和业务发展的需要。</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5.5售后服务的措施及承诺。</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5.6售后服务期内的各项费用。</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以上工作内容的费用均包含在报价总价中。</w:t>
      </w:r>
    </w:p>
    <w:p>
      <w:pPr>
        <w:pStyle w:val="5"/>
        <w:pageBreakBefore w:val="0"/>
        <w:numPr>
          <w:ilvl w:val="0"/>
          <w:numId w:val="5"/>
        </w:numPr>
        <w:kinsoku/>
        <w:wordWrap/>
        <w:overflowPunct/>
        <w:topLinePunct w:val="0"/>
        <w:autoSpaceDE/>
        <w:autoSpaceDN/>
        <w:bidi w:val="0"/>
        <w:adjustRightInd w:val="0"/>
        <w:snapToGrid w:val="0"/>
        <w:spacing w:before="0" w:beforeLines="0" w:after="0" w:afterLines="0" w:line="360" w:lineRule="auto"/>
        <w:rPr>
          <w:rFonts w:hint="eastAsia"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知识产权</w:t>
      </w:r>
    </w:p>
    <w:p>
      <w:pPr>
        <w:pageBreakBefore w:val="0"/>
        <w:numPr>
          <w:ilvl w:val="0"/>
          <w:numId w:val="10"/>
        </w:numPr>
        <w:kinsoku/>
        <w:wordWrap/>
        <w:overflowPunct/>
        <w:topLinePunct w:val="0"/>
        <w:autoSpaceDE/>
        <w:autoSpaceDN/>
        <w:bidi w:val="0"/>
        <w:adjustRightInd w:val="0"/>
        <w:snapToGrid w:val="0"/>
        <w:spacing w:line="360" w:lineRule="auto"/>
        <w:ind w:firstLine="420" w:firstLineChars="200"/>
        <w:rPr>
          <w:rFonts w:hint="eastAsia" w:ascii="宋体" w:hAnsi="宋体" w:cs="宋体"/>
          <w:color w:val="auto"/>
          <w:sz w:val="21"/>
          <w:szCs w:val="21"/>
          <w:highlight w:val="yellow"/>
          <w:lang w:val="en-US" w:eastAsia="zh-CN"/>
        </w:rPr>
      </w:pPr>
      <w:r>
        <w:rPr>
          <w:rFonts w:hint="eastAsia" w:ascii="宋体" w:hAnsi="宋体" w:cs="宋体"/>
          <w:color w:val="auto"/>
          <w:sz w:val="21"/>
          <w:szCs w:val="21"/>
          <w:highlight w:val="yellow"/>
          <w:lang w:val="en-US" w:eastAsia="zh-CN"/>
        </w:rPr>
        <w:t>软件开发完成，项目终验交付后，项目知识产权归甲方所有，乙方将提供源代码和各项验收文档交于甲方。</w:t>
      </w:r>
    </w:p>
    <w:p>
      <w:pPr>
        <w:pageBreakBefore w:val="0"/>
        <w:numPr>
          <w:ilvl w:val="0"/>
          <w:numId w:val="10"/>
        </w:numPr>
        <w:kinsoku/>
        <w:wordWrap/>
        <w:overflowPunct/>
        <w:topLinePunct w:val="0"/>
        <w:autoSpaceDE/>
        <w:autoSpaceDN/>
        <w:bidi w:val="0"/>
        <w:adjustRightInd w:val="0"/>
        <w:snapToGrid w:val="0"/>
        <w:spacing w:line="360" w:lineRule="auto"/>
        <w:ind w:firstLine="420" w:firstLineChars="200"/>
        <w:rPr>
          <w:rFonts w:hint="default" w:ascii="宋体" w:hAnsi="宋体" w:cs="宋体"/>
          <w:color w:val="auto"/>
          <w:sz w:val="21"/>
          <w:szCs w:val="21"/>
          <w:highlight w:val="yellow"/>
          <w:lang w:val="en-US" w:eastAsia="zh-CN"/>
        </w:rPr>
      </w:pPr>
      <w:r>
        <w:rPr>
          <w:rFonts w:hint="eastAsia" w:ascii="宋体" w:hAnsi="宋体" w:cs="宋体"/>
          <w:color w:val="auto"/>
          <w:sz w:val="21"/>
          <w:szCs w:val="21"/>
          <w:highlight w:val="yellow"/>
          <w:lang w:val="en-US" w:eastAsia="zh-CN"/>
        </w:rPr>
        <w:t>乙方应保证开发的系统不会侵犯任何第三方的知识产权。</w:t>
      </w:r>
    </w:p>
    <w:p>
      <w:pPr>
        <w:pageBreakBefore w:val="0"/>
        <w:numPr>
          <w:ilvl w:val="0"/>
          <w:numId w:val="10"/>
        </w:numPr>
        <w:kinsoku/>
        <w:wordWrap/>
        <w:overflowPunct/>
        <w:topLinePunct w:val="0"/>
        <w:autoSpaceDE/>
        <w:autoSpaceDN/>
        <w:bidi w:val="0"/>
        <w:adjustRightInd w:val="0"/>
        <w:snapToGrid w:val="0"/>
        <w:spacing w:line="360" w:lineRule="auto"/>
        <w:ind w:firstLine="420" w:firstLineChars="200"/>
        <w:rPr>
          <w:rFonts w:hint="default" w:ascii="宋体" w:hAnsi="宋体" w:cs="宋体"/>
          <w:color w:val="auto"/>
          <w:sz w:val="21"/>
          <w:szCs w:val="21"/>
          <w:highlight w:val="yellow"/>
          <w:lang w:val="en-US" w:eastAsia="zh-CN"/>
        </w:rPr>
      </w:pPr>
      <w:r>
        <w:rPr>
          <w:rFonts w:hint="eastAsia" w:ascii="宋体" w:hAnsi="宋体" w:cs="宋体"/>
          <w:color w:val="auto"/>
          <w:sz w:val="21"/>
          <w:szCs w:val="21"/>
          <w:highlight w:val="yellow"/>
          <w:lang w:val="en-US" w:eastAsia="zh-CN"/>
        </w:rPr>
        <w:t>计算机软件著作权按照《计算机软件保护条例》相关规定执行，乙方应保证提供服务过程中不会侵犯任何第三方的知识产权。</w:t>
      </w:r>
    </w:p>
    <w:p>
      <w:pPr>
        <w:pStyle w:val="5"/>
        <w:pageBreakBefore w:val="0"/>
        <w:numPr>
          <w:ilvl w:val="0"/>
          <w:numId w:val="5"/>
        </w:numPr>
        <w:kinsoku/>
        <w:wordWrap/>
        <w:overflowPunct/>
        <w:topLinePunct w:val="0"/>
        <w:autoSpaceDE/>
        <w:autoSpaceDN/>
        <w:bidi w:val="0"/>
        <w:adjustRightInd w:val="0"/>
        <w:snapToGrid w:val="0"/>
        <w:spacing w:before="0" w:beforeLines="0" w:after="0" w:afterLines="0"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其他要求</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中标供应商必须严格遵守国家法律、法规，严格按照国家标准、技术规范开展工作，保证工作的科学性、公正性、诚实性、判断独立性、保密性，确保高质量地完成任务。</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2）中标供应商需遵守国家保密制度和商业秘密，未经采购人同意不得擅自向外透露监测数据、公开发表或出版。</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3）中标供应商应自行承担项目实施过程中的安全生产责任，采购人任何情况下均不承担因此产生的任何法律责任和经济责任。</w:t>
      </w:r>
    </w:p>
    <w:p>
      <w:pPr>
        <w:pageBreakBefore w:val="0"/>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4）服务期满后，除云平台、通信流量卡及通信线路以外的所有设备资产归属采购人，采购人如需继续购买服务，服务价格另行协商。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pPr>
        <w:pStyle w:val="52"/>
        <w:numPr>
          <w:ilvl w:val="1"/>
          <w:numId w:val="0"/>
        </w:numPr>
        <w:spacing w:line="440" w:lineRule="exact"/>
        <w:jc w:val="center"/>
        <w:outlineLvl w:val="0"/>
        <w:rPr>
          <w:rFonts w:hint="eastAsia" w:ascii="宋体" w:hAnsi="宋体" w:eastAsia="宋体" w:cs="宋体"/>
          <w:b w:val="0"/>
          <w:color w:val="auto"/>
          <w:sz w:val="30"/>
          <w:szCs w:val="30"/>
          <w:highlight w:val="none"/>
        </w:rPr>
      </w:pPr>
      <w:bookmarkStart w:id="12" w:name="_Toc6607"/>
      <w:r>
        <w:rPr>
          <w:rFonts w:hint="eastAsia" w:ascii="宋体" w:hAnsi="宋体" w:eastAsia="宋体" w:cs="宋体"/>
          <w:bCs/>
          <w:color w:val="auto"/>
          <w:sz w:val="32"/>
          <w:szCs w:val="32"/>
          <w:highlight w:val="none"/>
        </w:rPr>
        <w:t>第三章  供应商须知</w:t>
      </w:r>
      <w:bookmarkEnd w:id="12"/>
    </w:p>
    <w:p>
      <w:pPr>
        <w:spacing w:line="360" w:lineRule="auto"/>
        <w:ind w:firstLine="241" w:firstLineChars="100"/>
        <w:jc w:val="center"/>
        <w:rPr>
          <w:rFonts w:hint="eastAsia" w:ascii="宋体" w:hAnsi="宋体" w:eastAsia="宋体" w:cs="宋体"/>
          <w:b/>
          <w:bCs/>
          <w:color w:val="auto"/>
          <w:kern w:val="2"/>
          <w:sz w:val="24"/>
          <w:szCs w:val="24"/>
          <w:highlight w:val="none"/>
        </w:rPr>
      </w:pPr>
      <w:bookmarkStart w:id="13" w:name="_Toc33535345"/>
    </w:p>
    <w:p>
      <w:pPr>
        <w:spacing w:line="360" w:lineRule="auto"/>
        <w:ind w:firstLine="241" w:firstLineChars="10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电子交易注意事项</w:t>
      </w:r>
    </w:p>
    <w:p>
      <w:pPr>
        <w:spacing w:line="360" w:lineRule="auto"/>
        <w:ind w:firstLine="240" w:firstLineChars="100"/>
        <w:rPr>
          <w:rFonts w:hint="eastAsia" w:ascii="宋体" w:hAnsi="宋体" w:eastAsia="宋体" w:cs="宋体"/>
          <w:color w:val="auto"/>
          <w:szCs w:val="21"/>
          <w:highlight w:val="none"/>
        </w:rPr>
      </w:pPr>
      <w:r>
        <w:rPr>
          <w:rFonts w:hint="eastAsia" w:ascii="宋体" w:hAnsi="宋体" w:eastAsia="宋体" w:cs="宋体"/>
          <w:color w:val="auto"/>
          <w:sz w:val="24"/>
          <w:highlight w:val="none"/>
          <w:shd w:val="clear" w:color="auto" w:fill="FFFFFF"/>
        </w:rPr>
        <w:t>　</w:t>
      </w:r>
      <w:r>
        <w:rPr>
          <w:rFonts w:hint="eastAsia" w:ascii="宋体" w:hAnsi="宋体" w:eastAsia="宋体" w:cs="宋体"/>
          <w:color w:val="auto"/>
          <w:szCs w:val="21"/>
          <w:highlight w:val="none"/>
        </w:rPr>
        <w:t>政府采购项目电子交易活动适用《浙江省政府采购项目电子交易管理暂行办法》，现将相关注意事项告知如下：</w:t>
      </w:r>
    </w:p>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1.代理机构按照招标文件规定的时间通过电子交易平台组织开标、开启投标文件，所有供应商均应当准时在线参加，直至评审结束。</w:t>
      </w:r>
    </w:p>
    <w:p>
      <w:pPr>
        <w:pStyle w:val="29"/>
        <w:spacing w:beforeAutospacing="0" w:afterAutospacing="0"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2.投标文件未按时解密，供应商如提供备份投标文件的，以符合要求的备份投标文件作为依据，否则视为投标文件撤回。投标文件已按时解密的，备份投标文件自动失效。</w:t>
      </w:r>
    </w:p>
    <w:p>
      <w:pPr>
        <w:pStyle w:val="29"/>
        <w:spacing w:beforeAutospacing="0" w:afterAutospacing="0" w:line="36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3.采购过程中出现以下情形，导致电子交易平台无法正常运行，或者无法保证电子交易的公平、公正和安全时，代理机构可中止电子交易活动：</w:t>
      </w:r>
    </w:p>
    <w:p>
      <w:pPr>
        <w:pStyle w:val="29"/>
        <w:spacing w:beforeAutospacing="0" w:afterAutospacing="0" w:line="36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（一）电子交易平台发生故障而无法登录访问的； </w:t>
      </w:r>
    </w:p>
    <w:p>
      <w:pPr>
        <w:pStyle w:val="29"/>
        <w:spacing w:beforeAutospacing="0" w:afterAutospacing="0" w:line="36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pPr>
        <w:pStyle w:val="29"/>
        <w:spacing w:beforeAutospacing="0" w:afterAutospacing="0" w:line="36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pPr>
        <w:pStyle w:val="29"/>
        <w:spacing w:beforeAutospacing="0" w:afterAutospacing="0" w:line="36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 </w:t>
      </w:r>
    </w:p>
    <w:p>
      <w:pPr>
        <w:pStyle w:val="29"/>
        <w:spacing w:beforeAutospacing="0" w:afterAutospacing="0" w:line="360" w:lineRule="auto"/>
        <w:ind w:firstLine="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pPr>
        <w:pStyle w:val="29"/>
        <w:spacing w:beforeAutospacing="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出现前款规定情形，不影响采购公平、公正性的，代理机构可以待上述情形消除后继续组织电子交易活动，也可以决定某些环节以纸质形式进行；影响或可能影响采购公平、公正性的，应当重新采购。</w:t>
      </w:r>
    </w:p>
    <w:p>
      <w:pPr>
        <w:pStyle w:val="29"/>
        <w:spacing w:beforeAutospacing="0" w:afterAutospacing="0"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pPr>
        <w:rPr>
          <w:rFonts w:hint="eastAsia" w:ascii="宋体" w:hAnsi="宋体" w:eastAsia="宋体" w:cs="宋体"/>
          <w:b/>
          <w:color w:val="auto"/>
          <w:szCs w:val="21"/>
          <w:highlight w:val="none"/>
        </w:rPr>
      </w:pPr>
    </w:p>
    <w:p>
      <w:pPr>
        <w:pStyle w:val="2"/>
        <w:rPr>
          <w:rFonts w:hint="eastAsia" w:ascii="宋体" w:hAnsi="宋体" w:eastAsia="宋体" w:cs="宋体"/>
          <w:color w:val="auto"/>
          <w:highlight w:val="none"/>
        </w:rPr>
      </w:pPr>
    </w:p>
    <w:p>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pPr>
        <w:snapToGrid w:val="0"/>
        <w:spacing w:line="360" w:lineRule="auto"/>
        <w:ind w:left="238"/>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供应商须知</w:t>
      </w:r>
      <w:r>
        <w:rPr>
          <w:rFonts w:hint="eastAsia" w:ascii="宋体" w:hAnsi="宋体" w:eastAsia="宋体" w:cs="宋体"/>
          <w:b/>
          <w:color w:val="auto"/>
          <w:sz w:val="28"/>
          <w:szCs w:val="28"/>
          <w:highlight w:val="none"/>
        </w:rPr>
        <w:t>前附表</w:t>
      </w:r>
      <w:bookmarkEnd w:id="13"/>
    </w:p>
    <w:tbl>
      <w:tblPr>
        <w:tblStyle w:val="33"/>
        <w:tblW w:w="0" w:type="auto"/>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8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left="1050" w:hanging="1050" w:hangingChars="5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嘉兴市南湖区综合行政执法局南湖区开店一件事项目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lang w:eastAsia="zh-CN"/>
              </w:rPr>
              <w:t>SHHR-2022-052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投标报价及费用：1、本项目投标应以人民币报价；2、不论投标结果如何，投标人均应自行承担所有与投标有关的全部费用。3、响应文件只允许有一个报价，有选择的或有条件的报价将不予接受。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现场踏勘：自行踏勘（费用自理）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演示时间及地点：供应商将演示视频以U盘为载体制作成电子文档，中文配音，能在WINDOWS操作系统下自动播放。与备份投标文件一起递交至代理机构，未提供演示U盘的，演示项不得分。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组成：</w:t>
            </w:r>
            <w:r>
              <w:rPr>
                <w:rFonts w:hint="eastAsia" w:ascii="宋体" w:hAnsi="宋体" w:eastAsia="宋体" w:cs="宋体"/>
                <w:bCs/>
                <w:color w:val="auto"/>
                <w:szCs w:val="21"/>
                <w:highlight w:val="none"/>
              </w:rPr>
              <w:t>由</w:t>
            </w:r>
            <w:r>
              <w:rPr>
                <w:rFonts w:hint="eastAsia" w:ascii="宋体" w:hAnsi="宋体" w:eastAsia="宋体" w:cs="宋体"/>
                <w:b/>
                <w:color w:val="auto"/>
                <w:szCs w:val="21"/>
                <w:highlight w:val="none"/>
              </w:rPr>
              <w:t>资格文件、商务技术文件及报价文件组成</w:t>
            </w: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8652"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投标文件的编制：供应商应先安装“政采云电子交易客户端”，并按照本采购文件和“政府采购云平台”的要求，通过“政采云电子交易客户端”编制并加密投标文件。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8652"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投标文件的形式：</w:t>
            </w:r>
            <w:r>
              <w:rPr>
                <w:rFonts w:hint="eastAsia" w:ascii="宋体" w:hAnsi="宋体" w:eastAsia="宋体" w:cs="宋体"/>
                <w:bCs/>
                <w:color w:val="auto"/>
                <w:szCs w:val="21"/>
                <w:highlight w:val="none"/>
              </w:rPr>
              <w:t>☑电子投标文件（包括“电子加密投标文件”和“备份投标文件”，在投标文件编制完成后同时生成）；</w:t>
            </w:r>
          </w:p>
          <w:p>
            <w:pPr>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（1）“电子加密投标文件”是指通过“政采云电子交易客户端”完成投标文件编制后生成并加密的数据电文形式的投标文件。</w:t>
            </w:r>
          </w:p>
          <w:p>
            <w:pPr>
              <w:spacing w:line="38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8652"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r>
              <w:rPr>
                <w:rFonts w:hint="eastAsia" w:ascii="宋体" w:hAnsi="宋体" w:eastAsia="宋体" w:cs="宋体"/>
                <w:bCs/>
                <w:color w:val="auto"/>
                <w:szCs w:val="21"/>
                <w:highlight w:val="none"/>
              </w:rPr>
              <w:t>（1）“电子加密投标文件”：在线上传递交一份。（2）“备份投标文件”：密封包装后（邮寄形式）投标截止时间前递交一份（邮寄地址：</w:t>
            </w:r>
            <w:r>
              <w:rPr>
                <w:rFonts w:hint="eastAsia" w:ascii="宋体" w:hAnsi="宋体" w:eastAsia="宋体" w:cs="宋体"/>
                <w:color w:val="auto"/>
                <w:szCs w:val="21"/>
                <w:highlight w:val="none"/>
                <w:lang w:eastAsia="zh-CN"/>
              </w:rPr>
              <w:t>嘉兴市马塘路500号晶晖广场南楼11楼</w:t>
            </w:r>
            <w:r>
              <w:rPr>
                <w:rFonts w:hint="eastAsia" w:ascii="宋体" w:hAnsi="宋体" w:eastAsia="宋体" w:cs="宋体"/>
                <w:bCs/>
                <w:color w:val="auto"/>
                <w:szCs w:val="21"/>
                <w:highlight w:val="none"/>
                <w:lang w:eastAsia="zh-CN"/>
              </w:rPr>
              <w:t>上海华瑞建设经济咨询有限公司</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戴文娥</w:t>
            </w:r>
            <w:r>
              <w:rPr>
                <w:rFonts w:hint="eastAsia" w:ascii="宋体" w:hAnsi="宋体" w:eastAsia="宋体" w:cs="宋体"/>
                <w:bCs/>
                <w:color w:val="auto"/>
                <w:szCs w:val="21"/>
                <w:highlight w:val="none"/>
              </w:rPr>
              <w:t xml:space="preserve">    电话：</w:t>
            </w:r>
            <w:r>
              <w:rPr>
                <w:rFonts w:hint="eastAsia" w:ascii="宋体" w:hAnsi="宋体" w:eastAsia="宋体" w:cs="宋体"/>
                <w:bCs/>
                <w:color w:val="auto"/>
                <w:szCs w:val="21"/>
                <w:highlight w:val="none"/>
                <w:lang w:eastAsia="zh-CN"/>
              </w:rPr>
              <w:t>15706709350</w:t>
            </w:r>
            <w:r>
              <w:rPr>
                <w:rFonts w:hint="eastAsia" w:ascii="宋体" w:hAnsi="宋体" w:eastAsia="宋体" w:cs="宋体"/>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8652"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投标文件的上传和递交：</w:t>
            </w:r>
          </w:p>
          <w:p>
            <w:pPr>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（1）“电子加密投标文件”的上传、递交：</w:t>
            </w:r>
          </w:p>
          <w:p>
            <w:pPr>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a.投标供应商应在投标截止时间前将“电子加密投标文件”成功上传递交至“政府采购云平台”，否则投标无效。</w:t>
            </w:r>
          </w:p>
          <w:p>
            <w:pPr>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b.“电子加密投标文件”成功上传递交后，供应商可自行打印投标文件接收回执。</w:t>
            </w:r>
          </w:p>
          <w:p>
            <w:pPr>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（2）“备份投标文件”的密封包装、递交：</w:t>
            </w:r>
          </w:p>
          <w:p>
            <w:pPr>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a.投标供应商在“政府采购云平台”完成“电子加密投标文件”的上传递交后，还可以（邮寄形式）在投标截止时间前递交以介质（U盘）存储的“备份投标文件”（一份）；</w:t>
            </w:r>
          </w:p>
          <w:p>
            <w:pPr>
              <w:spacing w:line="380" w:lineRule="exact"/>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b.“备份投标文件”应当密封包装，并在包装上标注投标项目名称、投标单位名称并加盖公章。没有密封包装或者逾期邮寄送达至上述邮寄地点的“备份投标文件”将不予接收；</w:t>
            </w:r>
          </w:p>
          <w:p>
            <w:pPr>
              <w:spacing w:line="38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8652"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电子加密投标文件的解密和异常情况处理：</w:t>
            </w:r>
          </w:p>
          <w:p>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（1）开标后，采购组织机构将向各投标供应商发出“电子加密投标文件”的解密通知，各投标供应商代表应当在接到解密通知后30分钟内自行完成“电子加密投标文件”的在线解密。</w:t>
            </w:r>
          </w:p>
          <w:p>
            <w:pPr>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投标截止时间及地点：</w:t>
            </w:r>
            <w:r>
              <w:rPr>
                <w:rFonts w:hint="eastAsia" w:ascii="宋体" w:hAnsi="宋体" w:eastAsia="宋体" w:cs="宋体"/>
                <w:b/>
                <w:bCs/>
                <w:color w:val="auto"/>
                <w:szCs w:val="21"/>
                <w:highlight w:val="none"/>
                <w:lang w:eastAsia="zh-CN"/>
              </w:rPr>
              <w:t>2022年</w:t>
            </w:r>
            <w:r>
              <w:rPr>
                <w:rFonts w:hint="eastAsia" w:ascii="宋体" w:hAnsi="宋体" w:cs="宋体"/>
                <w:b/>
                <w:bCs/>
                <w:color w:val="auto"/>
                <w:szCs w:val="21"/>
                <w:highlight w:val="none"/>
                <w:lang w:eastAsia="zh-CN"/>
              </w:rPr>
              <w:t>11月28日</w:t>
            </w:r>
            <w:r>
              <w:rPr>
                <w:rFonts w:hint="eastAsia" w:ascii="宋体" w:hAnsi="宋体" w:eastAsia="宋体" w:cs="宋体"/>
                <w:b/>
                <w:bCs/>
                <w:color w:val="auto"/>
                <w:szCs w:val="21"/>
                <w:highlight w:val="none"/>
                <w:lang w:eastAsia="zh-CN"/>
              </w:rPr>
              <w:t>09</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eastAsia="zh-CN"/>
              </w:rPr>
              <w:t>30</w:t>
            </w:r>
          </w:p>
          <w:p>
            <w:pPr>
              <w:snapToGrid w:val="0"/>
              <w:spacing w:line="38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政采云平台线上投标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63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b/>
                <w:bCs/>
                <w:color w:val="auto"/>
                <w:szCs w:val="21"/>
                <w:highlight w:val="none"/>
                <w:lang w:eastAsia="zh-CN"/>
              </w:rPr>
            </w:pPr>
            <w:r>
              <w:rPr>
                <w:rFonts w:hint="eastAsia" w:ascii="宋体" w:hAnsi="宋体" w:eastAsia="宋体" w:cs="宋体"/>
                <w:color w:val="auto"/>
                <w:szCs w:val="21"/>
                <w:highlight w:val="none"/>
              </w:rPr>
              <w:t>开标时间及地点：</w:t>
            </w:r>
            <w:r>
              <w:rPr>
                <w:rFonts w:hint="eastAsia" w:ascii="宋体" w:hAnsi="宋体" w:eastAsia="宋体" w:cs="宋体"/>
                <w:b/>
                <w:bCs/>
                <w:color w:val="auto"/>
                <w:szCs w:val="21"/>
                <w:highlight w:val="none"/>
                <w:lang w:eastAsia="zh-CN"/>
              </w:rPr>
              <w:t>2022年</w:t>
            </w:r>
            <w:r>
              <w:rPr>
                <w:rFonts w:hint="eastAsia" w:ascii="宋体" w:hAnsi="宋体" w:cs="宋体"/>
                <w:b/>
                <w:bCs/>
                <w:color w:val="auto"/>
                <w:szCs w:val="21"/>
                <w:highlight w:val="none"/>
                <w:lang w:eastAsia="zh-CN"/>
              </w:rPr>
              <w:t>11月28日</w:t>
            </w:r>
            <w:r>
              <w:rPr>
                <w:rFonts w:hint="eastAsia" w:ascii="宋体" w:hAnsi="宋体" w:eastAsia="宋体" w:cs="宋体"/>
                <w:b/>
                <w:bCs/>
                <w:color w:val="auto"/>
                <w:szCs w:val="21"/>
                <w:highlight w:val="none"/>
                <w:lang w:eastAsia="zh-CN"/>
              </w:rPr>
              <w:t>09</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lang w:eastAsia="zh-CN"/>
              </w:rPr>
              <w:t>30</w:t>
            </w:r>
          </w:p>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eastAsia="zh-CN"/>
              </w:rPr>
              <w:t>嘉兴市马塘路500号晶晖广场南楼11楼上海华瑞建设经济咨询有限公司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投标费用：中标单位支付采购代理服务费。（收费标准详见采购文件）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最高限价：人民币</w:t>
            </w:r>
            <w:r>
              <w:rPr>
                <w:rFonts w:hint="eastAsia" w:ascii="宋体" w:hAnsi="宋体" w:eastAsia="宋体" w:cs="宋体"/>
                <w:b/>
                <w:bCs/>
                <w:color w:val="auto"/>
                <w:szCs w:val="21"/>
                <w:highlight w:val="none"/>
                <w:lang w:eastAsia="zh-CN"/>
              </w:rPr>
              <w:t>120.0000</w:t>
            </w:r>
            <w:r>
              <w:rPr>
                <w:rFonts w:hint="eastAsia" w:ascii="宋体" w:hAnsi="宋体" w:eastAsia="宋体" w:cs="宋体"/>
                <w:b/>
                <w:bCs/>
                <w:color w:val="auto"/>
                <w:szCs w:val="21"/>
                <w:highlight w:val="none"/>
              </w:rPr>
              <w:t>万元，超过最高限价的投标报价按无效标处理。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8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80" w:lineRule="exact"/>
              <w:textAlignment w:val="bottom"/>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履约保证金：</w:t>
            </w:r>
            <w:r>
              <w:rPr>
                <w:rFonts w:hint="eastAsia" w:ascii="宋体" w:hAnsi="宋体" w:cs="宋体"/>
                <w:b/>
                <w:bCs/>
                <w:color w:val="auto"/>
                <w:szCs w:val="21"/>
                <w:highlight w:val="none"/>
                <w:lang w:val="en-US" w:eastAsia="zh-CN"/>
              </w:rPr>
              <w:t>合同金额的1%（可采用银行、保险公司出具保函形式提交），项目验收结束后退还。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8652"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网上注册：本项目</w:t>
            </w:r>
            <w:r>
              <w:rPr>
                <w:rFonts w:hint="eastAsia" w:ascii="宋体" w:hAnsi="宋体" w:eastAsia="宋体" w:cs="宋体"/>
                <w:color w:val="auto"/>
                <w:szCs w:val="21"/>
                <w:highlight w:val="none"/>
              </w:rPr>
              <w:t>不提供采购文件纸质版</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实行“政府采购云平台”在线获取</w:t>
            </w:r>
            <w:r>
              <w:rPr>
                <w:rFonts w:hint="eastAsia" w:ascii="宋体" w:hAnsi="宋体" w:eastAsia="宋体" w:cs="宋体"/>
                <w:color w:val="auto"/>
                <w:kern w:val="0"/>
                <w:szCs w:val="21"/>
                <w:highlight w:val="none"/>
              </w:rPr>
              <w:t>。须在浙江政府采购网进行供应商注册。（详情请见第一章公告及采购文件的获取）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8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一、说明</w:t>
            </w:r>
          </w:p>
          <w:p>
            <w:pPr>
              <w:adjustRightInd w:val="0"/>
              <w:snapToGrid w:val="0"/>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中小企业</w:t>
            </w:r>
          </w:p>
          <w:p>
            <w:pPr>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符合中小企业划分标准的个体工商户，在政府采购活动中视同中小企业。</w:t>
            </w:r>
          </w:p>
          <w:p>
            <w:pPr>
              <w:adjustRightInd w:val="0"/>
              <w:snapToGrid w:val="0"/>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在政府采购活动中，供应商提供的货物、工程或者服务符合下列情形的，享受本办法规定的中小企业扶持政策：</w:t>
            </w:r>
          </w:p>
          <w:p>
            <w:pPr>
              <w:adjustRightInd w:val="0"/>
              <w:snapToGrid w:val="0"/>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(一)在货物采购项目中，货物由中小企业制造，即货物由中小企业生产且使用该中小企业商号或者注册商标；</w:t>
            </w:r>
          </w:p>
          <w:p>
            <w:pPr>
              <w:adjustRightInd w:val="0"/>
              <w:snapToGrid w:val="0"/>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(二)在工程采购项目中，工程由中小企业承建，即工程施工单位为中小企业；</w:t>
            </w:r>
          </w:p>
          <w:p>
            <w:pPr>
              <w:adjustRightInd w:val="0"/>
              <w:snapToGrid w:val="0"/>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(三)在服务采购项目中，服务由中小企业承接，即提供服务的人员为中小企业依照《中华人民共和国劳动合同法》订立劳动合同的从业人员。</w:t>
            </w:r>
          </w:p>
          <w:p>
            <w:pPr>
              <w:adjustRightInd w:val="0"/>
              <w:snapToGrid w:val="0"/>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在货物采购项目中，供应商提供的货物既有中小企业制造货物，也有大型企业制造货物的，不享受本办法规定的中小企业扶持政策。</w:t>
            </w:r>
          </w:p>
          <w:p>
            <w:pPr>
              <w:adjustRightInd w:val="0"/>
              <w:snapToGrid w:val="0"/>
              <w:spacing w:line="3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残疾人福利性单位</w:t>
            </w:r>
          </w:p>
          <w:p>
            <w:pPr>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提供《残疾人福利性单位声明函》的残疾人福利性单位视同小型、微型企业，享受预留份额、评审中价格扣除等政府采购促进中小企业发展的政府采购政策。</w:t>
            </w:r>
          </w:p>
          <w:p>
            <w:pPr>
              <w:adjustRightInd w:val="0"/>
              <w:snapToGrid w:val="0"/>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监狱企业</w:t>
            </w:r>
          </w:p>
          <w:p>
            <w:pPr>
              <w:adjustRightInd w:val="0"/>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政府采购支持监狱企业发展有关问题的通知》（财库[2014]68号）的规定，投标人提供由省级以上监狱管理局、戒毒管理局（含新疆生产建设兵团）出具的属于监狱企业证明文件的，视同为小型和微型企业，享受预留份额、评审中价格扣除等政府采购促进中小企业发展的政府采购政策。</w:t>
            </w:r>
          </w:p>
          <w:p>
            <w:pPr>
              <w:adjustRightInd w:val="0"/>
              <w:snapToGrid w:val="0"/>
              <w:spacing w:line="38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二、针对本项目的相关规定</w:t>
            </w:r>
          </w:p>
          <w:p>
            <w:pPr>
              <w:adjustRightInd w:val="0"/>
              <w:snapToGrid w:val="0"/>
              <w:spacing w:line="38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1.本项目属于预留份额专门面向中小企业采购的项目。</w:t>
            </w:r>
          </w:p>
          <w:p>
            <w:pPr>
              <w:adjustRightInd w:val="0"/>
              <w:snapToGrid w:val="0"/>
              <w:spacing w:line="380" w:lineRule="exact"/>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2.本项目采购标的对应的中小企业计划分标准所属行业为：软件和信息技术服务业。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36"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865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解释：本采购文件的解释权属于采购单位。</w:t>
            </w:r>
          </w:p>
        </w:tc>
      </w:tr>
    </w:tbl>
    <w:p>
      <w:pPr>
        <w:pStyle w:val="1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8"/>
          <w:szCs w:val="28"/>
          <w:highlight w:val="none"/>
        </w:rPr>
        <w:t>一、总  则</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outlineLvl w:val="1"/>
        <w:rPr>
          <w:rFonts w:hint="eastAsia" w:ascii="宋体" w:hAnsi="宋体" w:eastAsia="宋体" w:cs="宋体"/>
          <w:b/>
          <w:color w:val="auto"/>
          <w:szCs w:val="21"/>
          <w:highlight w:val="none"/>
        </w:rPr>
      </w:pPr>
      <w:bookmarkStart w:id="14" w:name="_Toc33535346"/>
      <w:r>
        <w:rPr>
          <w:rFonts w:hint="eastAsia" w:ascii="宋体" w:hAnsi="宋体" w:eastAsia="宋体" w:cs="宋体"/>
          <w:b/>
          <w:color w:val="auto"/>
          <w:szCs w:val="21"/>
          <w:highlight w:val="none"/>
        </w:rPr>
        <w:t>（一）适用范围</w:t>
      </w:r>
      <w:bookmarkEnd w:id="14"/>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本采购文件适用于本项目的采购、投标、评标、定标、验收、合同履约、付款等行为（法律、法规另有规定的，从其规定）。</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outlineLvl w:val="1"/>
        <w:rPr>
          <w:rFonts w:hint="eastAsia" w:ascii="宋体" w:hAnsi="宋体" w:eastAsia="宋体" w:cs="宋体"/>
          <w:b/>
          <w:color w:val="auto"/>
          <w:szCs w:val="21"/>
          <w:highlight w:val="none"/>
        </w:rPr>
      </w:pPr>
      <w:bookmarkStart w:id="15" w:name="_Toc33535347"/>
      <w:r>
        <w:rPr>
          <w:rFonts w:hint="eastAsia" w:ascii="宋体" w:hAnsi="宋体" w:eastAsia="宋体" w:cs="宋体"/>
          <w:b/>
          <w:color w:val="auto"/>
          <w:szCs w:val="21"/>
          <w:highlight w:val="none"/>
        </w:rPr>
        <w:t>（二）定义</w:t>
      </w:r>
      <w:bookmarkEnd w:id="15"/>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1、招标采购人：系指组织本次采购的代理机构或采购人。</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2、“供应商”系指向采购方提交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的单位或个人。</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3、“产品”系指供方按采购文件规定，须向采购人提供的一切设备、保险、税金、备品备件、工具、手册及其它有关技术资料和材料。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4、服务”系指采购文件规定供应商须承担的安装、调试、技术协助、校准、培训、技术指导以及其他类似的义务。</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5、“项目”系指供应商按采购文件规定向采购人提供的产品和服务。</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6、书面形式”包括信函、传真、电报等。</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7、“▲”系指实质性要求条款，不满足实质性要求条款的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无效。“★”系指核心产品。</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outlineLvl w:val="1"/>
        <w:rPr>
          <w:rFonts w:hint="eastAsia" w:ascii="宋体" w:hAnsi="宋体" w:eastAsia="宋体" w:cs="宋体"/>
          <w:b/>
          <w:color w:val="auto"/>
          <w:szCs w:val="21"/>
          <w:highlight w:val="none"/>
        </w:rPr>
      </w:pPr>
      <w:bookmarkStart w:id="16" w:name="_Toc33535348"/>
      <w:r>
        <w:rPr>
          <w:rFonts w:hint="eastAsia" w:ascii="宋体" w:hAnsi="宋体" w:eastAsia="宋体" w:cs="宋体"/>
          <w:b/>
          <w:color w:val="auto"/>
          <w:szCs w:val="21"/>
          <w:highlight w:val="none"/>
        </w:rPr>
        <w:t>（三）采购方式</w:t>
      </w:r>
      <w:bookmarkEnd w:id="16"/>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本次采用</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方式进行。</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outlineLvl w:val="1"/>
        <w:rPr>
          <w:rFonts w:hint="eastAsia" w:ascii="宋体" w:hAnsi="宋体" w:eastAsia="宋体" w:cs="宋体"/>
          <w:b/>
          <w:color w:val="auto"/>
          <w:szCs w:val="21"/>
          <w:highlight w:val="none"/>
        </w:rPr>
      </w:pPr>
      <w:bookmarkStart w:id="17" w:name="_Toc33535350"/>
      <w:r>
        <w:rPr>
          <w:rFonts w:hint="eastAsia" w:ascii="宋体" w:hAnsi="宋体" w:eastAsia="宋体" w:cs="宋体"/>
          <w:b/>
          <w:color w:val="auto"/>
          <w:szCs w:val="21"/>
          <w:highlight w:val="none"/>
        </w:rPr>
        <w:t>（四）投标费用</w:t>
      </w:r>
      <w:bookmarkEnd w:id="17"/>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不论投标结果如何，供应商均应自行承担所有与投标有关的全部费用。（采购文件有相反规定除外）</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（五）联合体投标</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本项目不允许联合体投标。</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（六）</w:t>
      </w:r>
      <w:r>
        <w:rPr>
          <w:rFonts w:hint="eastAsia" w:ascii="宋体" w:hAnsi="宋体" w:eastAsia="宋体" w:cs="宋体"/>
          <w:b/>
          <w:color w:val="auto"/>
          <w:kern w:val="0"/>
          <w:szCs w:val="21"/>
          <w:highlight w:val="none"/>
        </w:rPr>
        <w:t>转包与分包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1.本项目不允许转包。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2.本项目允许合理分包。</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（七）是否允许采购进口产品</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1"/>
        <w:rPr>
          <w:rFonts w:hint="eastAsia" w:ascii="宋体" w:hAnsi="宋体" w:eastAsia="宋体" w:cs="宋体"/>
          <w:color w:val="auto"/>
          <w:kern w:val="0"/>
          <w:szCs w:val="21"/>
          <w:highlight w:val="none"/>
        </w:rPr>
      </w:pPr>
      <w:bookmarkStart w:id="18" w:name="_Toc33535351"/>
      <w:r>
        <w:rPr>
          <w:rFonts w:hint="eastAsia" w:ascii="宋体" w:hAnsi="宋体" w:eastAsia="宋体" w:cs="宋体"/>
          <w:color w:val="auto"/>
          <w:kern w:val="0"/>
          <w:szCs w:val="21"/>
          <w:highlight w:val="none"/>
        </w:rPr>
        <w:t>不允许采购进口产品。</w:t>
      </w:r>
      <w:bookmarkEnd w:id="18"/>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outlineLvl w:val="1"/>
        <w:rPr>
          <w:rFonts w:hint="eastAsia" w:ascii="宋体" w:hAnsi="宋体" w:eastAsia="宋体" w:cs="宋体"/>
          <w:b/>
          <w:color w:val="auto"/>
          <w:szCs w:val="21"/>
          <w:highlight w:val="none"/>
        </w:rPr>
      </w:pPr>
      <w:bookmarkStart w:id="19" w:name="_Toc33535352"/>
      <w:r>
        <w:rPr>
          <w:rFonts w:hint="eastAsia" w:ascii="宋体" w:hAnsi="宋体" w:eastAsia="宋体" w:cs="宋体"/>
          <w:b/>
          <w:color w:val="auto"/>
          <w:szCs w:val="21"/>
          <w:highlight w:val="none"/>
        </w:rPr>
        <w:t>（八）特别说明：</w:t>
      </w:r>
      <w:bookmarkEnd w:id="19"/>
    </w:p>
    <w:p>
      <w:pPr>
        <w:pStyle w:val="29"/>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60" w:lineRule="auto"/>
        <w:ind w:firstLine="42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多家供应商参加投标，如提供相同品牌产品且通过资格审查、符合性审查的不同投标人参加同一合同项下投标的，按一家投标人计算，评审后得分最高的同品牌投标人获得中标人推荐资格；评审得分相同的，取报价最低的同品牌投标人；当报价也相同时，则取技术标最优的同品牌投标人；均相同时，由采购人代表随机抽取方式确定。其他同品牌投标人不作为中标候选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非单一产品采购项目，以带“★”作为核心产品。多家投标人提供的核心产品品牌相同的，按前款规定处理。</w:t>
      </w:r>
    </w:p>
    <w:p>
      <w:pPr>
        <w:pStyle w:val="16"/>
        <w:keepNext w:val="0"/>
        <w:keepLines w:val="0"/>
        <w:pageBreakBefore w:val="0"/>
        <w:kinsoku/>
        <w:wordWrap/>
        <w:overflowPunct/>
        <w:topLinePunct w:val="0"/>
        <w:autoSpaceDE/>
        <w:autoSpaceDN/>
        <w:bidi w:val="0"/>
        <w:adjustRightInd w:val="0"/>
        <w:snapToGrid w:val="0"/>
        <w:spacing w:line="360" w:lineRule="auto"/>
        <w:ind w:left="2" w:leftChars="1"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2、供应商投标所使用的资格、信誉、荣誉、业绩与企业认证必须为本法人所拥有。供应商投标所使用的采购项目实施人员必须为本法人员工（或必须为本法人或控股公司正式员工）。</w:t>
      </w:r>
    </w:p>
    <w:p>
      <w:pPr>
        <w:pStyle w:val="16"/>
        <w:keepNext w:val="0"/>
        <w:keepLines w:val="0"/>
        <w:pageBreakBefore w:val="0"/>
        <w:kinsoku/>
        <w:wordWrap/>
        <w:overflowPunct/>
        <w:topLinePunct w:val="0"/>
        <w:autoSpaceDE/>
        <w:autoSpaceDN/>
        <w:bidi w:val="0"/>
        <w:adjustRightInd w:val="0"/>
        <w:snapToGrid w:val="0"/>
        <w:spacing w:line="360" w:lineRule="auto"/>
        <w:ind w:left="2" w:leftChars="1"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3、供应商应仔细阅读采购文件的所有内容，按照采购文件的要求提交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，并对所提供的全部资料的真实性承担法律责任。</w:t>
      </w:r>
    </w:p>
    <w:p>
      <w:pPr>
        <w:pStyle w:val="16"/>
        <w:keepNext w:val="0"/>
        <w:keepLines w:val="0"/>
        <w:pageBreakBefore w:val="0"/>
        <w:kinsoku/>
        <w:wordWrap/>
        <w:overflowPunct/>
        <w:topLinePunct w:val="0"/>
        <w:autoSpaceDE/>
        <w:autoSpaceDN/>
        <w:bidi w:val="0"/>
        <w:adjustRightInd w:val="0"/>
        <w:snapToGrid w:val="0"/>
        <w:spacing w:line="360" w:lineRule="auto"/>
        <w:ind w:left="2" w:leftChars="1"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pPr>
        <w:pStyle w:val="16"/>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bCs/>
          <w:color w:val="auto"/>
          <w:szCs w:val="21"/>
          <w:highlight w:val="none"/>
        </w:rPr>
      </w:pPr>
      <w:bookmarkStart w:id="20" w:name="_Toc33535353"/>
      <w:r>
        <w:rPr>
          <w:rFonts w:hint="eastAsia" w:ascii="宋体" w:hAnsi="宋体" w:eastAsia="宋体" w:cs="宋体"/>
          <w:b/>
          <w:bCs/>
          <w:color w:val="auto"/>
          <w:szCs w:val="21"/>
          <w:highlight w:val="none"/>
        </w:rPr>
        <w:t>（九）质疑和投诉</w:t>
      </w:r>
      <w:bookmarkEnd w:id="20"/>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供应商认为采购文件、采购过程、中标或者成交结果使自己的权益受到损害的，可以在知道或者应知其权益受到损害之日起7个工作日内，以书面形式一次性向采购人、采购代理机构提出针对同一采购程序环节的质疑。质疑供应商对采购人、采购代理机构的答复不满意，或者采购人、采购代理机构未在规定时间内作出答复的，可以在答复期满后15个工作日内向规定的财政部门提起投诉。</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2、供应商须在法定质疑期内一次性提出针对同一采购程序环节的质疑.</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3、供应商认为采购代理机构在质疑答复程序中启用的调查和复评等程序，在该程序操作过程未明显违反法律禁止性规定时，不得提出疑义。</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4、质疑和投诉应当满足《政府采购质疑和投诉办法》（中华人民共和国财政部令第94号）要求。</w:t>
      </w:r>
    </w:p>
    <w:p>
      <w:pPr>
        <w:pStyle w:val="16"/>
        <w:keepNext w:val="0"/>
        <w:keepLines w:val="0"/>
        <w:pageBreakBefore w:val="0"/>
        <w:kinsoku/>
        <w:wordWrap/>
        <w:overflowPunct/>
        <w:topLinePunct w:val="0"/>
        <w:autoSpaceDE/>
        <w:autoSpaceDN/>
        <w:bidi w:val="0"/>
        <w:adjustRightInd w:val="0"/>
        <w:snapToGrid w:val="0"/>
        <w:spacing w:line="360" w:lineRule="auto"/>
        <w:ind w:firstLine="413" w:firstLineChars="196"/>
        <w:jc w:val="center"/>
        <w:textAlignment w:val="auto"/>
        <w:outlineLvl w:val="9"/>
        <w:rPr>
          <w:rFonts w:hint="eastAsia" w:ascii="宋体" w:hAnsi="宋体" w:eastAsia="宋体" w:cs="宋体"/>
          <w:b/>
          <w:color w:val="auto"/>
          <w:szCs w:val="21"/>
          <w:highlight w:val="none"/>
        </w:rPr>
      </w:pPr>
      <w:bookmarkStart w:id="21" w:name="_Toc406402943"/>
      <w:bookmarkStart w:id="22" w:name="_Toc406402987"/>
      <w:bookmarkStart w:id="23" w:name="_Toc33535354"/>
    </w:p>
    <w:p>
      <w:pPr>
        <w:pStyle w:val="1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8"/>
          <w:szCs w:val="28"/>
          <w:highlight w:val="none"/>
        </w:rPr>
      </w:pPr>
      <w:bookmarkStart w:id="24" w:name="_Toc13039"/>
      <w:r>
        <w:rPr>
          <w:rFonts w:hint="eastAsia" w:ascii="宋体" w:hAnsi="宋体" w:eastAsia="宋体" w:cs="宋体"/>
          <w:b/>
          <w:color w:val="auto"/>
          <w:sz w:val="28"/>
          <w:szCs w:val="28"/>
          <w:highlight w:val="none"/>
        </w:rPr>
        <w:t>二、采购文件</w:t>
      </w:r>
      <w:bookmarkEnd w:id="21"/>
      <w:bookmarkEnd w:id="22"/>
      <w:bookmarkEnd w:id="23"/>
      <w:bookmarkEnd w:id="24"/>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（一）采购文件的构成。本采购文件由以下部份组成：</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公告</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2、采购需求</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3、供应商须知</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4、评标办法及标准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5、合同主要条款</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7、本项目采购文件的澄清、答复、修改、补充的内容</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（二）供应商的风险</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供应商没有按照采购文件要求提供全部资料，或者供应商没有对采购文件在各方面作出实质性响应是供应商的风险，并可能导致其投标为无效标。</w:t>
      </w:r>
    </w:p>
    <w:p>
      <w:pPr>
        <w:pStyle w:val="8"/>
        <w:keepNext w:val="0"/>
        <w:keepLines w:val="0"/>
        <w:pageBreakBefore w:val="0"/>
        <w:numPr>
          <w:ilvl w:val="0"/>
          <w:numId w:val="0"/>
        </w:numPr>
        <w:tabs>
          <w:tab w:val="left" w:pos="72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（三）采购文件的澄清与修改 </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应认真阅读本磋商文件，发现其中有误或有不合理要求的，供应商必须在规定时间内以书面形式要求磋商采购人澄清。代理机构对已发出的磋商文件进行必要澄清、答复、修改或补充的，应当在磋商文件要求提交响应文件截止时间三日前，在财政部门指定的政府采购信息发布媒体上发布更正公告，并以书面形式通知所有磋商文件收受人。</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2.代理机构必须以书面形式答复供应商要求澄清的问题，并将不包含问题来源的答复书面通知所有购买磋商文件的供应商；除书面答复以外的其他澄清方式及澄清内容均无效。</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3.磋商文件澄清、答复、修改、补充的内容为磋商文件的组成部分。当磋商文件与磋商文件的答复、澄清、修改、补充通知就同一内容的表述不一致时，以最后发出的书面文件为准。</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4.磋商文件的澄清、答复、修改或补充都应该通过本代理机构以法定形式发布，采购人非通过本机构，不得擅自澄清、答复、修改或补充磋商文件。</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p>
    <w:p>
      <w:pPr>
        <w:pStyle w:val="1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8"/>
          <w:szCs w:val="28"/>
          <w:highlight w:val="none"/>
        </w:rPr>
      </w:pPr>
      <w:bookmarkStart w:id="25" w:name="_Toc33535355"/>
      <w:bookmarkStart w:id="26" w:name="_Toc15820"/>
      <w:r>
        <w:rPr>
          <w:rFonts w:hint="eastAsia" w:ascii="宋体" w:hAnsi="宋体" w:eastAsia="宋体" w:cs="宋体"/>
          <w:b/>
          <w:color w:val="auto"/>
          <w:sz w:val="28"/>
          <w:szCs w:val="28"/>
          <w:highlight w:val="none"/>
        </w:rPr>
        <w:t>三、</w:t>
      </w:r>
      <w:r>
        <w:rPr>
          <w:rFonts w:hint="eastAsia" w:ascii="宋体" w:hAnsi="宋体" w:eastAsia="宋体" w:cs="宋体"/>
          <w:b/>
          <w:color w:val="auto"/>
          <w:sz w:val="28"/>
          <w:szCs w:val="28"/>
          <w:highlight w:val="none"/>
          <w:lang w:val="en-US" w:eastAsia="zh-CN"/>
        </w:rPr>
        <w:t>响应</w:t>
      </w:r>
      <w:r>
        <w:rPr>
          <w:rFonts w:hint="eastAsia" w:ascii="宋体" w:hAnsi="宋体" w:eastAsia="宋体" w:cs="宋体"/>
          <w:b/>
          <w:color w:val="auto"/>
          <w:sz w:val="28"/>
          <w:szCs w:val="28"/>
          <w:highlight w:val="none"/>
        </w:rPr>
        <w:t>文件的编制</w:t>
      </w:r>
      <w:bookmarkEnd w:id="25"/>
      <w:bookmarkEnd w:id="26"/>
    </w:p>
    <w:p>
      <w:pPr>
        <w:pStyle w:val="85"/>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▲本项目所涉响应文件格式请详见第六章，未给出的格式请自拟。资信商务及技术文件中不得出现报价，否则响应文件将被视为无效。</w:t>
      </w:r>
    </w:p>
    <w:p>
      <w:pPr>
        <w:pStyle w:val="16"/>
        <w:keepNext w:val="0"/>
        <w:keepLines w:val="0"/>
        <w:pageBreakBefore w:val="0"/>
        <w:kinsoku/>
        <w:wordWrap/>
        <w:overflowPunct/>
        <w:topLinePunct w:val="0"/>
        <w:autoSpaceDE/>
        <w:autoSpaceDN/>
        <w:bidi w:val="0"/>
        <w:adjustRightInd w:val="0"/>
        <w:snapToGrid w:val="0"/>
        <w:spacing w:line="360" w:lineRule="auto"/>
        <w:ind w:firstLine="413" w:firstLineChars="196"/>
        <w:textAlignment w:val="auto"/>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总体要求：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1.供应商应仔细阅读磋商文件的所有内容，按本文件的要求提供响应文件，并保证所提供的全部资料的真实性，以使其响应文件对磋商文件作出实质性响应，否则，响应文件可能视为无效响应文件。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2.响应文件及供应商与采购有关的来往通知，函件和文件均应使用中文。</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3.供应商应按本文件中提供的文件格式、内容和要求制作响应文件。</w:t>
      </w:r>
    </w:p>
    <w:p>
      <w:pPr>
        <w:keepNext w:val="0"/>
        <w:keepLines w:val="0"/>
        <w:pageBreakBefore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color w:val="auto"/>
          <w:kern w:val="2"/>
          <w:szCs w:val="21"/>
          <w:highlight w:val="none"/>
        </w:rPr>
      </w:pPr>
      <w:bookmarkStart w:id="27" w:name="_Toc406402944"/>
      <w:bookmarkStart w:id="28" w:name="_Toc406402988"/>
      <w:r>
        <w:rPr>
          <w:rFonts w:hint="eastAsia" w:ascii="宋体" w:hAnsi="宋体" w:eastAsia="宋体" w:cs="宋体"/>
          <w:b/>
          <w:color w:val="auto"/>
          <w:kern w:val="2"/>
          <w:szCs w:val="21"/>
          <w:highlight w:val="none"/>
        </w:rPr>
        <w:t>（一）响应文件的组成</w:t>
      </w:r>
      <w:bookmarkEnd w:id="27"/>
      <w:bookmarkEnd w:id="28"/>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电子响应文件和备份响应文件均由资信商务文件、技术文件及磋商报价文件两部份组成。投标文件中所须加盖公章部分均采用CA签章。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1.技术资信商务文件：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资格文件：符合合格供应商的资格要求的相关文件及证明材料；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投标时同时提供自采购公告发布之日起至投标截止日内任意时间的“信用中国”网站（www.creditchina.gov.cn）和中国政府采购网（www.ccgp.gov.cn）供应商信用查询网页截图。（以开标当日采购人或由采购人委托的评标委员会核实的查询结果为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1.2磋商响应函；（格式见附件）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1.3法定代表人授权委托书原件、复印件；（格式见附件）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1.4诚信承诺书；</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1.5关于资格的声明函；（格式见附件）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1.6项目组成人员情况表；（格式见附件）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1.7项目负责人情况介绍；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1.8同类项目业绩证明；（格式见附件）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1.9服务承诺方案；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1.10优惠条件及特殊承诺；（格式自拟）</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1.11投标人认为有必要提供的声明及文件资料；（格式自拟）</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1.12商务响应表；</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1.13社保缴纳证明材料或社保缴纳承诺函；</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1.14劳动用工书面承诺；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1.15中小企业声明函、残疾人福利性单位声明函及其他符合政策性加分条件的承诺函或证明材料。</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1.16未尽事宜请各投标人按评分细则制作。</w:t>
      </w:r>
    </w:p>
    <w:p>
      <w:pPr>
        <w:keepNext w:val="0"/>
        <w:keepLines w:val="0"/>
        <w:pageBreakBefore w:val="0"/>
        <w:kinsoku/>
        <w:wordWrap/>
        <w:overflowPunct/>
        <w:topLinePunct w:val="0"/>
        <w:autoSpaceDE/>
        <w:autoSpaceDN/>
        <w:bidi w:val="0"/>
        <w:adjustRightInd w:val="0"/>
        <w:snapToGrid w:val="0"/>
        <w:spacing w:line="360" w:lineRule="auto"/>
        <w:ind w:firstLine="413" w:firstLineChars="196"/>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2.磋商报价文件：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2.1投标函；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2.2磋商报价表； </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2.3供应商针对报价需要说明的其他文件和说明。</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2"/>
          <w:szCs w:val="21"/>
          <w:highlight w:val="none"/>
        </w:rPr>
      </w:pPr>
      <w:bookmarkStart w:id="29" w:name="_Toc397670926"/>
      <w:bookmarkStart w:id="30" w:name="_Toc405792815"/>
      <w:bookmarkStart w:id="31" w:name="_Toc397670955"/>
      <w:bookmarkStart w:id="32" w:name="_Toc444500050"/>
      <w:r>
        <w:rPr>
          <w:rFonts w:hint="eastAsia" w:ascii="宋体" w:hAnsi="宋体" w:eastAsia="宋体" w:cs="宋体"/>
          <w:b/>
          <w:color w:val="auto"/>
          <w:kern w:val="2"/>
          <w:szCs w:val="21"/>
          <w:highlight w:val="none"/>
        </w:rPr>
        <w:t>（二）响应文件的语言及计量</w:t>
      </w:r>
      <w:bookmarkEnd w:id="29"/>
      <w:bookmarkEnd w:id="30"/>
      <w:bookmarkEnd w:id="31"/>
      <w:bookmarkEnd w:id="32"/>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▲1.响应文件以及供应商与磋商采购人就有关投标事宜的所有来往函电，均应以中文汉语书写。除签名、盖章、专用名称等特殊情形外，以中文汉语以外的文字表述的响应文件视同未提供。</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▲2.投标计量单位，磋商文件已有明确规定的，使用磋商文件规定的计量单位；磋商文件没有规定的，应采用中华人民共和国法定计量单位（货币单位：人民币元），否则视同未响应。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2"/>
          <w:szCs w:val="21"/>
          <w:highlight w:val="none"/>
        </w:rPr>
      </w:pPr>
      <w:bookmarkStart w:id="33" w:name="_Toc397670927"/>
      <w:bookmarkStart w:id="34" w:name="_Toc397670956"/>
      <w:bookmarkStart w:id="35" w:name="_Toc444500051"/>
      <w:bookmarkStart w:id="36" w:name="_Toc405792816"/>
      <w:r>
        <w:rPr>
          <w:rFonts w:hint="eastAsia" w:ascii="宋体" w:hAnsi="宋体" w:eastAsia="宋体" w:cs="宋体"/>
          <w:b/>
          <w:color w:val="auto"/>
          <w:kern w:val="2"/>
          <w:szCs w:val="21"/>
          <w:highlight w:val="none"/>
        </w:rPr>
        <w:t>（三）</w:t>
      </w:r>
      <w:bookmarkEnd w:id="33"/>
      <w:bookmarkEnd w:id="34"/>
      <w:bookmarkEnd w:id="35"/>
      <w:bookmarkEnd w:id="36"/>
      <w:r>
        <w:rPr>
          <w:rFonts w:hint="eastAsia" w:ascii="宋体" w:hAnsi="宋体" w:eastAsia="宋体" w:cs="宋体"/>
          <w:b/>
          <w:color w:val="auto"/>
          <w:kern w:val="2"/>
          <w:szCs w:val="21"/>
          <w:highlight w:val="none"/>
        </w:rPr>
        <w:t>磋商报价</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1.磋商报价应按磋商文件中相关附表格式填写。</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2.磋商报价是履行合同的最终价格，</w:t>
      </w:r>
      <w:r>
        <w:rPr>
          <w:rFonts w:hint="eastAsia" w:ascii="宋体" w:hAnsi="宋体" w:eastAsia="宋体" w:cs="宋体"/>
          <w:color w:val="auto"/>
          <w:szCs w:val="21"/>
          <w:highlight w:val="none"/>
        </w:rPr>
        <w:t>应包含项目所需全部工程及服务，不得缺漏（投标报价是软件调研费、开发费、安装调试费、集成费、系统对接产生的费用、验收费、培训费、售后服务费、税金等一切与本次采购相关的费用等所发生的一切费用），结算不做调整。</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Cs w:val="21"/>
          <w:highlight w:val="none"/>
        </w:rPr>
        <w:t>3.响应文件只允许有一个报价，有选择的或有条件的报价将不予接受。</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outlineLvl w:val="0"/>
        <w:rPr>
          <w:rFonts w:hint="eastAsia" w:ascii="宋体" w:hAnsi="宋体" w:eastAsia="宋体" w:cs="宋体"/>
          <w:b/>
          <w:color w:val="auto"/>
          <w:szCs w:val="21"/>
          <w:highlight w:val="none"/>
        </w:rPr>
      </w:pPr>
      <w:bookmarkStart w:id="37" w:name="_Toc14937"/>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）投标文件的有效期</w:t>
      </w:r>
      <w:bookmarkEnd w:id="37"/>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color w:val="auto"/>
          <w:szCs w:val="21"/>
          <w:highlight w:val="none"/>
        </w:rPr>
      </w:pPr>
      <w:bookmarkStart w:id="38" w:name="_Toc5485"/>
      <w:r>
        <w:rPr>
          <w:rFonts w:hint="eastAsia" w:ascii="宋体" w:hAnsi="宋体" w:eastAsia="宋体" w:cs="宋体"/>
          <w:color w:val="auto"/>
          <w:szCs w:val="21"/>
          <w:highlight w:val="none"/>
        </w:rPr>
        <w:t>1、自投标截止日起60天投标文件应保持有效。有效期不足的投标文件将被拒绝。</w:t>
      </w:r>
      <w:bookmarkEnd w:id="38"/>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color w:val="auto"/>
          <w:szCs w:val="21"/>
          <w:highlight w:val="none"/>
        </w:rPr>
      </w:pPr>
      <w:bookmarkStart w:id="39" w:name="_Toc4828"/>
      <w:r>
        <w:rPr>
          <w:rFonts w:hint="eastAsia" w:ascii="宋体" w:hAnsi="宋体" w:eastAsia="宋体" w:cs="宋体"/>
          <w:color w:val="auto"/>
          <w:szCs w:val="21"/>
          <w:highlight w:val="none"/>
        </w:rPr>
        <w:t>2、在特殊情况下，采购人可与供应商协商延长投标书的有效期，这种要求和答复均以书面形式进行。</w:t>
      </w:r>
      <w:bookmarkEnd w:id="39"/>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color w:val="auto"/>
          <w:szCs w:val="21"/>
          <w:highlight w:val="none"/>
        </w:rPr>
      </w:pPr>
      <w:bookmarkStart w:id="40" w:name="_Toc21182"/>
      <w:bookmarkStart w:id="41" w:name="_Toc385854102"/>
      <w:bookmarkStart w:id="42" w:name="_Toc402963119"/>
      <w:bookmarkStart w:id="43" w:name="_Toc33535362"/>
      <w:bookmarkStart w:id="44" w:name="_Toc385854148"/>
      <w:bookmarkStart w:id="45" w:name="_Toc406402948"/>
      <w:bookmarkStart w:id="46" w:name="_Toc402963086"/>
      <w:bookmarkStart w:id="47" w:name="_Toc406402992"/>
      <w:r>
        <w:rPr>
          <w:rFonts w:hint="eastAsia" w:ascii="宋体" w:hAnsi="宋体" w:eastAsia="宋体" w:cs="宋体"/>
          <w:color w:val="auto"/>
          <w:szCs w:val="21"/>
          <w:highlight w:val="none"/>
        </w:rPr>
        <w:t>3、供应商可拒绝接受延期要求</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同意延长有效期的供应商不能修改投标文件。</w:t>
      </w:r>
      <w:bookmarkEnd w:id="40"/>
      <w:bookmarkEnd w:id="41"/>
      <w:bookmarkEnd w:id="42"/>
      <w:bookmarkEnd w:id="43"/>
      <w:bookmarkEnd w:id="44"/>
      <w:bookmarkEnd w:id="45"/>
      <w:bookmarkEnd w:id="46"/>
      <w:bookmarkEnd w:id="47"/>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color w:val="auto"/>
          <w:szCs w:val="21"/>
          <w:highlight w:val="none"/>
        </w:rPr>
      </w:pPr>
      <w:bookmarkStart w:id="48" w:name="_Toc406402949"/>
      <w:bookmarkStart w:id="49" w:name="_Toc385854149"/>
      <w:bookmarkStart w:id="50" w:name="_Toc406402993"/>
      <w:bookmarkStart w:id="51" w:name="_Toc402963120"/>
      <w:bookmarkStart w:id="52" w:name="_Toc402963087"/>
      <w:bookmarkStart w:id="53" w:name="_Toc33535363"/>
      <w:bookmarkStart w:id="54" w:name="_Toc385854103"/>
      <w:bookmarkStart w:id="55" w:name="_Toc32253"/>
      <w:r>
        <w:rPr>
          <w:rFonts w:hint="eastAsia" w:ascii="宋体" w:hAnsi="宋体" w:eastAsia="宋体" w:cs="宋体"/>
          <w:color w:val="auto"/>
          <w:szCs w:val="21"/>
          <w:highlight w:val="none"/>
        </w:rPr>
        <w:t>4、中标人的投标文件自开标之日起至合同履行完毕止均应保持有效。</w:t>
      </w:r>
      <w:bookmarkEnd w:id="48"/>
      <w:bookmarkEnd w:id="49"/>
      <w:bookmarkEnd w:id="50"/>
      <w:bookmarkEnd w:id="51"/>
      <w:bookmarkEnd w:id="52"/>
      <w:bookmarkEnd w:id="53"/>
      <w:bookmarkEnd w:id="54"/>
      <w:bookmarkEnd w:id="55"/>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outlineLvl w:val="0"/>
        <w:rPr>
          <w:rFonts w:hint="eastAsia" w:ascii="宋体" w:hAnsi="宋体" w:eastAsia="宋体" w:cs="宋体"/>
          <w:b/>
          <w:color w:val="auto"/>
          <w:szCs w:val="21"/>
          <w:highlight w:val="none"/>
        </w:rPr>
      </w:pPr>
      <w:bookmarkStart w:id="56" w:name="_Toc406402995"/>
      <w:bookmarkStart w:id="57" w:name="_Toc385854105"/>
      <w:bookmarkStart w:id="58" w:name="_Toc402963122"/>
      <w:bookmarkStart w:id="59" w:name="_Toc406402951"/>
      <w:bookmarkStart w:id="60" w:name="_Toc33535364"/>
      <w:bookmarkStart w:id="61" w:name="_Toc402963089"/>
      <w:bookmarkStart w:id="62" w:name="_Toc16703"/>
      <w:bookmarkStart w:id="63" w:name="_Toc385854151"/>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）投标文件的签署和份数</w:t>
      </w:r>
      <w:bookmarkEnd w:id="56"/>
      <w:bookmarkEnd w:id="57"/>
      <w:bookmarkEnd w:id="58"/>
      <w:bookmarkEnd w:id="59"/>
      <w:bookmarkEnd w:id="60"/>
      <w:bookmarkEnd w:id="61"/>
      <w:bookmarkEnd w:id="62"/>
      <w:bookmarkEnd w:id="63"/>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outlineLvl w:val="0"/>
        <w:rPr>
          <w:rFonts w:hint="eastAsia" w:ascii="宋体" w:hAnsi="宋体" w:eastAsia="宋体" w:cs="宋体"/>
          <w:b/>
          <w:bCs/>
          <w:color w:val="auto"/>
          <w:szCs w:val="21"/>
          <w:highlight w:val="none"/>
        </w:rPr>
      </w:pPr>
      <w:bookmarkStart w:id="64" w:name="_Toc22379"/>
      <w:r>
        <w:rPr>
          <w:rFonts w:hint="eastAsia" w:ascii="宋体" w:hAnsi="宋体" w:eastAsia="宋体" w:cs="宋体"/>
          <w:color w:val="auto"/>
          <w:szCs w:val="21"/>
          <w:highlight w:val="none"/>
        </w:rPr>
        <w:t>投标文件的形式：</w:t>
      </w:r>
      <w:r>
        <w:rPr>
          <w:rFonts w:hint="eastAsia" w:ascii="宋体" w:hAnsi="宋体" w:eastAsia="宋体" w:cs="宋体"/>
          <w:b/>
          <w:bCs/>
          <w:color w:val="auto"/>
          <w:szCs w:val="21"/>
          <w:highlight w:val="none"/>
        </w:rPr>
        <w:t>☑电子投标文件（包括“电子加密投标文件”和“备份投标文件”，在投标文件编制完成后同时生成）；</w:t>
      </w:r>
      <w:bookmarkEnd w:id="64"/>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1、“电子加密投标文件”是指通过“政采云电子交易客户端”完成投标文件编制后生成并加密的数据电文形式的投标文件。</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2、“备份投标文件”是指与“电子加密投标文件”同时生成的数据电文形式的电子文件（备份标书），其他方式编制的备份投标文件视为无效备份投标文件。</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六</w:t>
      </w:r>
      <w:r>
        <w:rPr>
          <w:rFonts w:hint="eastAsia" w:ascii="宋体" w:hAnsi="宋体" w:eastAsia="宋体" w:cs="宋体"/>
          <w:b/>
          <w:bCs/>
          <w:color w:val="auto"/>
          <w:szCs w:val="21"/>
          <w:highlight w:val="none"/>
        </w:rPr>
        <w:t>）</w:t>
      </w:r>
      <w:bookmarkStart w:id="65" w:name="_Toc33535368"/>
      <w:r>
        <w:rPr>
          <w:rFonts w:hint="eastAsia" w:ascii="宋体" w:hAnsi="宋体" w:eastAsia="宋体" w:cs="宋体"/>
          <w:b/>
          <w:bCs/>
          <w:color w:val="auto"/>
          <w:szCs w:val="21"/>
          <w:highlight w:val="none"/>
        </w:rPr>
        <w:t>投标文件的上传和递交：</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1、“电子加密投标文件”的上传、递交：</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a.投标供应商应在投标截止时间前将“电子加密投标文件”成功上传递交至“政府采购云平台”，否则投标无效。</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2、“备份投标文件”的密封包装、递交：</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a.投标供应商在“政府采购云平台”完成“电子加密投标文件”的上传递交后，还可以（邮寄形式）在投标截止时间前递交以介质（U盘）存储的“备份投标文件”（一份）；</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b.“备份投标文件”应当密封包装，并在包装上标注投标项目名称、投标单位名称并加盖公章。没有密封包装或者逾期邮寄送达至邮寄接收地点的“备份投标文件”将不予接收；</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outlineLvl w:val="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）投标无效的情形</w:t>
      </w:r>
      <w:bookmarkEnd w:id="65"/>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根据《政府采购货物和服务招标投标管理办法》有下列情形之一的，视为供应商串通投标，其投标无效：</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1、不同供应商的投标文件由同一单位或者个人编制。</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2、不同供应商委托同一单位或者个人办理投标事宜。</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3、不同供应商的投标文件载明的项目管理成员或者联系人员为同一人。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4、不同供应商的投标文件异常一致或者投标报价呈规律性差异。</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5、不同供应商的投标文件相互混装。</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实质上没有响应采购文件要求的投标将被视为无效投标：</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1、电子投标文件解密失败的，且未在规定时间内提交备份投标文件的。</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2、没有通过资格审查的，投标文件将被视为无效。</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3、在符合性审查和商务评审时，如发现下列情形之一的，投标文件将被视为无效：</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bookmarkStart w:id="66" w:name="_Toc33535369"/>
      <w:r>
        <w:rPr>
          <w:rFonts w:hint="eastAsia" w:ascii="宋体" w:hAnsi="宋体" w:eastAsia="宋体" w:cs="宋体"/>
          <w:color w:val="auto"/>
          <w:szCs w:val="21"/>
          <w:highlight w:val="none"/>
        </w:rPr>
        <w:t>（1）未按采购文件规定签字、盖章的；</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（2）单位负责人为同一人或者存在直接控股、管理关系的不同供应商参加同一合同项下的政府采购活动；</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（3）投标文件内容虚假的；</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（4）投标文件的实质性内容未使用中文表述、意思表述不明确、前后矛盾或者使用计量单位不符合采购文件要求的（经评标委员会认定并允许更正的笔误除外）；</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（5）未实质性响应采购文件要求或者投标文件有采购方不能接受的附加条件的；</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（6）不符合法律法规的相关规定。</w:t>
      </w:r>
    </w:p>
    <w:p>
      <w:pPr>
        <w:pStyle w:val="10"/>
        <w:keepNext w:val="0"/>
        <w:keepLines w:val="0"/>
        <w:pageBreakBefore w:val="0"/>
        <w:kinsoku/>
        <w:wordWrap/>
        <w:overflowPunct/>
        <w:topLinePunct w:val="0"/>
        <w:autoSpaceDE/>
        <w:autoSpaceDN/>
        <w:bidi w:val="0"/>
        <w:adjustRightInd w:val="0"/>
        <w:snapToGrid w:val="0"/>
        <w:spacing w:line="360" w:lineRule="auto"/>
        <w:ind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4、在技术评审时，如发现下列情形之一的，投标文件将被视为无效：</w:t>
      </w:r>
    </w:p>
    <w:p>
      <w:pPr>
        <w:pStyle w:val="10"/>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（1）未提供或未如实提供投标货物的技术参数，或者投标文件标明的响应或偏离与事实不符或虚假投标的；</w:t>
      </w:r>
    </w:p>
    <w:p>
      <w:pPr>
        <w:pStyle w:val="10"/>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snapToGrid w:val="0"/>
          <w:color w:val="auto"/>
          <w:sz w:val="21"/>
          <w:szCs w:val="21"/>
          <w:highlight w:val="none"/>
        </w:rPr>
        <w:t>明显不符合采购文件要求的规格型号、质量标准，或者与</w:t>
      </w:r>
      <w:r>
        <w:rPr>
          <w:rFonts w:hint="eastAsia" w:ascii="宋体" w:hAnsi="宋体" w:eastAsia="宋体" w:cs="宋体"/>
          <w:color w:val="auto"/>
          <w:sz w:val="21"/>
          <w:szCs w:val="21"/>
          <w:highlight w:val="none"/>
        </w:rPr>
        <w:t>采购文件中标“▲”的技术指标、主要功能项目发生实质性偏离的；</w:t>
      </w:r>
    </w:p>
    <w:p>
      <w:pPr>
        <w:pStyle w:val="10"/>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（3）</w:t>
      </w:r>
      <w:r>
        <w:rPr>
          <w:rFonts w:hint="eastAsia" w:ascii="宋体" w:hAnsi="宋体" w:eastAsia="宋体" w:cs="宋体"/>
          <w:color w:val="auto"/>
          <w:sz w:val="21"/>
          <w:szCs w:val="21"/>
          <w:highlight w:val="none"/>
        </w:rPr>
        <w:t>投标技术方案不明确，存在一个或一个以上备选（替代）投标方案的；</w:t>
      </w:r>
    </w:p>
    <w:p>
      <w:pPr>
        <w:pStyle w:val="10"/>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snapToGrid w:val="0"/>
          <w:color w:val="auto"/>
          <w:sz w:val="21"/>
          <w:szCs w:val="21"/>
          <w:highlight w:val="none"/>
        </w:rPr>
        <w:t>4）</w:t>
      </w:r>
      <w:r>
        <w:rPr>
          <w:rFonts w:hint="eastAsia" w:ascii="宋体" w:hAnsi="宋体" w:eastAsia="宋体" w:cs="宋体"/>
          <w:color w:val="auto"/>
          <w:sz w:val="21"/>
          <w:szCs w:val="21"/>
          <w:highlight w:val="none"/>
        </w:rPr>
        <w:t>未实质性响应采购文件要求或者投标文件有采购方不能接受的附加条件的。</w:t>
      </w:r>
    </w:p>
    <w:p>
      <w:pPr>
        <w:pStyle w:val="10"/>
        <w:keepNext w:val="0"/>
        <w:keepLines w:val="0"/>
        <w:pageBreakBefore w:val="0"/>
        <w:kinsoku/>
        <w:wordWrap/>
        <w:overflowPunct/>
        <w:topLinePunct w:val="0"/>
        <w:autoSpaceDE/>
        <w:autoSpaceDN/>
        <w:bidi w:val="0"/>
        <w:adjustRightInd w:val="0"/>
        <w:snapToGrid w:val="0"/>
        <w:spacing w:line="360" w:lineRule="auto"/>
        <w:ind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5、在报价评审时，如发现下列情形之一的，投标文件将被视为无效：</w:t>
      </w:r>
    </w:p>
    <w:p>
      <w:pPr>
        <w:pStyle w:val="10"/>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（1）未采用人民币报价或者未按照采购文件标明的币种报价的；</w:t>
      </w:r>
    </w:p>
    <w:p>
      <w:pPr>
        <w:pStyle w:val="10"/>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（2）报价超出最高限价的；</w:t>
      </w:r>
    </w:p>
    <w:p>
      <w:pPr>
        <w:pStyle w:val="10"/>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（3）投标报价具有选择性，或者开标价格与投标文件承诺的优惠（折扣）价格不一致的；</w:t>
      </w:r>
    </w:p>
    <w:p>
      <w:pPr>
        <w:pStyle w:val="10"/>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snapToGrid w:val="0"/>
          <w:color w:val="auto"/>
          <w:sz w:val="21"/>
          <w:szCs w:val="21"/>
          <w:highlight w:val="none"/>
        </w:rPr>
        <w:t>4）</w:t>
      </w:r>
      <w:r>
        <w:rPr>
          <w:rFonts w:hint="eastAsia" w:ascii="宋体" w:hAnsi="宋体" w:eastAsia="宋体" w:cs="宋体"/>
          <w:color w:val="auto"/>
          <w:sz w:val="21"/>
          <w:szCs w:val="21"/>
          <w:highlight w:val="none"/>
        </w:rPr>
        <w:t>未实质性响应采购文件要求或者投标文件有采购方不能接受的附加条件的。</w:t>
      </w:r>
    </w:p>
    <w:p>
      <w:pPr>
        <w:pStyle w:val="10"/>
        <w:keepNext w:val="0"/>
        <w:keepLines w:val="0"/>
        <w:pageBreakBefore w:val="0"/>
        <w:kinsoku/>
        <w:wordWrap/>
        <w:overflowPunct/>
        <w:topLinePunct w:val="0"/>
        <w:autoSpaceDE/>
        <w:autoSpaceDN/>
        <w:bidi w:val="0"/>
        <w:adjustRightInd w:val="0"/>
        <w:snapToGrid w:val="0"/>
        <w:spacing w:line="360" w:lineRule="auto"/>
        <w:ind w:firstLine="422"/>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color w:val="auto"/>
          <w:sz w:val="21"/>
          <w:szCs w:val="21"/>
          <w:highlight w:val="none"/>
        </w:rPr>
        <w:t>6、被拒绝的投标文件为无效。</w:t>
      </w:r>
    </w:p>
    <w:p>
      <w:pPr>
        <w:pStyle w:val="10"/>
        <w:keepNext w:val="0"/>
        <w:keepLines w:val="0"/>
        <w:pageBreakBefore w:val="0"/>
        <w:kinsoku/>
        <w:wordWrap/>
        <w:overflowPunct/>
        <w:topLinePunct w:val="0"/>
        <w:autoSpaceDE/>
        <w:autoSpaceDN/>
        <w:bidi w:val="0"/>
        <w:adjustRightInd w:val="0"/>
        <w:snapToGrid w:val="0"/>
        <w:spacing w:line="360" w:lineRule="auto"/>
        <w:ind w:firstLine="413" w:firstLineChars="196"/>
        <w:jc w:val="center"/>
        <w:textAlignment w:val="auto"/>
        <w:outlineLvl w:val="9"/>
        <w:rPr>
          <w:rFonts w:hint="eastAsia" w:ascii="宋体" w:hAnsi="宋体" w:eastAsia="宋体" w:cs="宋体"/>
          <w:b/>
          <w:color w:val="auto"/>
          <w:sz w:val="21"/>
          <w:szCs w:val="21"/>
          <w:highlight w:val="none"/>
        </w:rPr>
      </w:pPr>
    </w:p>
    <w:p>
      <w:pPr>
        <w:keepNext w:val="0"/>
        <w:keepLines w:val="0"/>
        <w:pageBreakBefore w:val="0"/>
        <w:kinsoku/>
        <w:wordWrap/>
        <w:overflowPunct/>
        <w:topLinePunct w:val="0"/>
        <w:autoSpaceDE/>
        <w:autoSpaceDN/>
        <w:bidi w:val="0"/>
        <w:adjustRightInd w:val="0"/>
        <w:snapToGrid w:val="0"/>
        <w:spacing w:line="360" w:lineRule="auto"/>
        <w:ind w:firstLine="562" w:firstLineChars="200"/>
        <w:jc w:val="center"/>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四、</w:t>
      </w:r>
      <w:bookmarkEnd w:id="66"/>
      <w:r>
        <w:rPr>
          <w:rFonts w:hint="eastAsia" w:ascii="宋体" w:hAnsi="宋体" w:eastAsia="宋体" w:cs="宋体"/>
          <w:b/>
          <w:color w:val="auto"/>
          <w:kern w:val="2"/>
          <w:sz w:val="28"/>
          <w:szCs w:val="28"/>
          <w:highlight w:val="none"/>
          <w:lang w:val="en-US" w:eastAsia="zh-CN" w:bidi="ar-SA"/>
        </w:rPr>
        <w:t>磋商准备</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1.本项目实行电子开评标，供应商无需到开标现场，但须准时在线参加，直至评审结束。</w:t>
      </w:r>
    </w:p>
    <w:p>
      <w:pPr>
        <w:pStyle w:val="10"/>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2.电子开评标及评审程序</w:t>
      </w:r>
    </w:p>
    <w:p>
      <w:pPr>
        <w:pStyle w:val="10"/>
        <w:keepNext w:val="0"/>
        <w:keepLines w:val="0"/>
        <w:pageBreakBefore w:val="0"/>
        <w:kinsoku/>
        <w:wordWrap/>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2.1投标截止时间后的半小时内，由各供应商自行对电子投标文件进行解密（请各供应商务必在规定时间内完成电子投标文件的解密工作。 </w:t>
      </w:r>
    </w:p>
    <w:p>
      <w:pPr>
        <w:pStyle w:val="10"/>
        <w:keepNext w:val="0"/>
        <w:keepLines w:val="0"/>
        <w:pageBreakBefore w:val="0"/>
        <w:kinsoku/>
        <w:wordWrap/>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2.2采购人或代理机构对供应商的资格审查文件进行审查；评标委员会对供应商的资信商务及技术响应文件进行评审；</w:t>
      </w:r>
    </w:p>
    <w:p>
      <w:pPr>
        <w:pStyle w:val="10"/>
        <w:keepNext w:val="0"/>
        <w:keepLines w:val="0"/>
        <w:pageBreakBefore w:val="0"/>
        <w:kinsoku/>
        <w:wordWrap/>
        <w:overflowPunct/>
        <w:topLinePunct w:val="0"/>
        <w:autoSpaceDE/>
        <w:autoSpaceDN/>
        <w:bidi w:val="0"/>
        <w:adjustRightInd w:val="0"/>
        <w:snapToGrid w:val="0"/>
        <w:spacing w:line="360" w:lineRule="auto"/>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2.3评标委员会对报价文件进行评审；</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2.4评标委员会撰写评审报告，推荐中标候选人。</w:t>
      </w:r>
    </w:p>
    <w:p>
      <w:pPr>
        <w:pStyle w:val="16"/>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Cs w:val="21"/>
          <w:highlight w:val="none"/>
        </w:rPr>
      </w:pPr>
    </w:p>
    <w:p>
      <w:pPr>
        <w:pStyle w:val="1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8"/>
          <w:szCs w:val="28"/>
          <w:highlight w:val="none"/>
        </w:rPr>
      </w:pPr>
      <w:bookmarkStart w:id="67" w:name="_Toc33535370"/>
      <w:r>
        <w:rPr>
          <w:rFonts w:hint="eastAsia" w:ascii="宋体" w:hAnsi="宋体" w:eastAsia="宋体" w:cs="宋体"/>
          <w:b/>
          <w:color w:val="auto"/>
          <w:sz w:val="28"/>
          <w:szCs w:val="28"/>
          <w:highlight w:val="none"/>
        </w:rPr>
        <w:t>五、磋商程序</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2"/>
          <w:szCs w:val="21"/>
          <w:highlight w:val="none"/>
        </w:rPr>
      </w:pPr>
      <w:r>
        <w:rPr>
          <w:rFonts w:hint="eastAsia" w:ascii="宋体" w:hAnsi="宋体" w:eastAsia="宋体" w:cs="宋体"/>
          <w:b/>
          <w:color w:val="auto"/>
          <w:kern w:val="2"/>
          <w:szCs w:val="21"/>
          <w:highlight w:val="none"/>
        </w:rPr>
        <w:t>（一）磋商程序</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1.磋商小组讨论、通过磋商工作流程和磋商要点。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2.主持人宣布磋商的有关事项；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4.磋商小组对所提交的响应资信及商务、技术文件进行审查，审查结束后，由主持人公布无效响应方名单、响应无效的原因、废标情况；</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5.磋商小组与各响应方就项目需求、技术人员安排、售后服务、工期安排、价格构成、付款方式等要素分别进行磋商。逐家磋商一次为一个轮次，磋商轮次为二轮。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6.在磋商过程中，采购人和磋商对象可就合同内容进行磋商，技术需求如双方都认为有必要的情况可作相应微调，但评分标准不作调整。</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7.如磋商过程中有调整的内容，在最后一轮报价前，代理机构将根据磋商内容将调整的部分发给符合参与最后一轮报价的磋商供应商，以便其在最后一轮报价中调整报价。</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8.磋商结束后，主持人宣布本次最终报价的最高限价，并要求各响应方在规定时间内进行最终报价。在规定时间内没有提交最终报价的磋商供应商，其响应文件视为无效。</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9.在各响应方最终报价过程中，同时磋商小组根据本磋商文件的评审方法对各响应方的资信及商务、技术情况进行评审打分。工作人员按照磋商小组独立评定结果进行计算。</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10.工作人员确认各响应方提交的按规定进入价格标评审的磋商最终报价，并公开最终报价，最后要求响应方公开确认无误。</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11.磋商小组对最终报价的合理性进行审核，决定是否结束磋商。若报价合理，磋商小组则根据第四章评审方法计算出总得分并按照排序由高到低的原则推荐候选供应商；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12.磋商结束后，主持人公布有效响应方的总得分结果和推荐排名。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13.磋商原则：磋商小组必须公平、公正、客观，不带任何倾向性和启发性；不得向外界透露任何与磋商有关的内容；任何单位和个人不得干扰、影响磋商的正常进行；磋商小组及有关工作人员不得私下与响应方接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2"/>
          <w:szCs w:val="21"/>
          <w:highlight w:val="none"/>
        </w:rPr>
      </w:pPr>
      <w:bookmarkStart w:id="68" w:name="_Toc332724041"/>
      <w:r>
        <w:rPr>
          <w:rFonts w:hint="eastAsia" w:ascii="宋体" w:hAnsi="宋体" w:eastAsia="宋体" w:cs="宋体"/>
          <w:b/>
          <w:color w:val="auto"/>
          <w:kern w:val="2"/>
          <w:szCs w:val="21"/>
          <w:highlight w:val="none"/>
        </w:rPr>
        <w:t>（二）响应文件的澄清</w:t>
      </w:r>
      <w:bookmarkEnd w:id="68"/>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1.在磋商期间，磋商小组有权要求磋商供应商对其响应文件含义不明确、同类问题表述不一致或者有明显文字和计算错误的内容进行澄清。磋商供应商应派授权代表和技术人员按磋商小组通知的时间接受询标。</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2.磋商小组认为有必要，可要求磋商供应商对某些问题作出必要的澄清、说明和纠正。供应商的澄清、说明或者补正应当采用书面形式，由其授权的代表签字。供应商的书面澄清材料作为响应文件的补充。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3.磋商供应商不按磋商小组规定的时间作书面澄清，将视为放弃该权利。</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4.并非每个磋商供应商都将被询标。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2"/>
          <w:szCs w:val="21"/>
          <w:highlight w:val="none"/>
        </w:rPr>
      </w:pPr>
      <w:bookmarkStart w:id="69" w:name="_Toc332724042"/>
      <w:r>
        <w:rPr>
          <w:rFonts w:hint="eastAsia" w:ascii="宋体" w:hAnsi="宋体" w:eastAsia="宋体" w:cs="宋体"/>
          <w:b/>
          <w:color w:val="auto"/>
          <w:kern w:val="2"/>
          <w:szCs w:val="21"/>
          <w:highlight w:val="none"/>
        </w:rPr>
        <w:t>（三）确定成交供应商</w:t>
      </w:r>
      <w:bookmarkEnd w:id="69"/>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1.磋商小组将对通过资格性审查和符合性审查的响应文件进行评价和比较。</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磋商小组按采购文件公布的评定成交标准对响应文件进行评审，并将最终得分排名提交给采购人，采购人书面授权磋商小组直接确定成交供应商磋商小组确认成交人。最低报价等任何单项因素的最优不作为成交的保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kern w:val="2"/>
          <w:szCs w:val="21"/>
          <w:highlight w:val="none"/>
        </w:rPr>
      </w:pPr>
      <w:bookmarkStart w:id="70" w:name="_Toc332724043"/>
      <w:r>
        <w:rPr>
          <w:rFonts w:hint="eastAsia" w:ascii="宋体" w:hAnsi="宋体" w:eastAsia="宋体" w:cs="宋体"/>
          <w:b/>
          <w:color w:val="auto"/>
          <w:kern w:val="2"/>
          <w:szCs w:val="21"/>
          <w:highlight w:val="none"/>
        </w:rPr>
        <w:t>（四）磋商过程保密</w:t>
      </w:r>
      <w:bookmarkEnd w:id="70"/>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1.在宣布成交结果之前，凡属于审查、澄清、评价、比较磋商文件等有关信息，相关当事人均不得泄露给任何磋商供应商或与磋商工作无关的人员。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2.磋商供应商不得探听上述信息，不得以任何行为影响磋商过程，否则其响应文件将被作为无效响应文件。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3.在磋商期间，代理机构将有专门人员与磋商供应商进行联络。</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4.代理机构和磋商小组不向未成交的磋商供应商解释未成交原因，也不对磋商过程中的细节问题进行公布。</w:t>
      </w:r>
    </w:p>
    <w:p>
      <w:pPr>
        <w:pStyle w:val="1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六、评标</w:t>
      </w:r>
      <w:bookmarkEnd w:id="67"/>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（一）组建评标委员会</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评标委员会由采购人代表和评审专家组成，政府采购评审专家2人和采购人代表1人,共3人组成。</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评标委员会负责具体评标事务，并独立履行下列职责：</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1、审查、评价投标文件是否符合采购文件的商务技术等实质性要求；</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2、要求供应商对投标文件有关事项作出澄清或者说明；</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3、对投标文件进行比较和评价；</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4、确定中标候选人名单，以及根据采购人委托直接确定中标人；</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5、向采购人、采购代理机构或者有关部门报告评标中发现的违法行为。</w:t>
      </w:r>
    </w:p>
    <w:p>
      <w:pPr>
        <w:keepNext w:val="0"/>
        <w:keepLines w:val="0"/>
        <w:pageBreakBefore w:val="0"/>
        <w:widowControl/>
        <w:shd w:val="clear"/>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除采购人代表、评标现场组织人员外，采购人的其他工作人员以及与评标工作无关的人员不得进入评标现场。</w:t>
      </w:r>
    </w:p>
    <w:p>
      <w:pPr>
        <w:keepNext w:val="0"/>
        <w:keepLines w:val="0"/>
        <w:pageBreakBefore w:val="0"/>
        <w:shd w:val="clea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（二）评标的方式</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本项目采用不公开方式评标，评标的依据为采购文件和投标文件。</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（三）评标程序</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采购人可以在评标前说明项目背景和采购需求，说明内容不得含有歧视性、倾向性意见，不得超出采购文件所述范围。说明应当提交书面材料，并随采购文件一并存档。</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1、形式审查</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形式审查包括资格审查和符合性审查，即对供应商的资格和投标文件的完整性、合法性等进行审查。投标文件形式审查未通过的供应商，其投标文件将不再评审。</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2、实质审查与比较</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（1）评标委员会审查投标文件的实质性内容是否符合采购文件的实质性要求。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（2）评标委员会将根据供应商的投标文件进行审查、核对，如有疑问，将对供应商进行询标，供应商要向评标委员会澄清有关问题，并最终以书面形式进行答复。</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询标时，供应商代表未在线或者拒绝澄清或者澄清的内容改变了投标文件的实质性内容的，评标委员会有权对该投标文件作出不利于供应商的评判。</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（3）各供应商的商务资信技术分按照评标委员会成员的独立评分结果汇总后的算术平均分计算。</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（4）采购代理机构工作人员协助评标委员会根据本项目的评分标准操作政府采购业务系统，由系统计算各供应商的报价得分。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（5）评标委员会完成评标后，评委对各部分得分汇总，计算出本项目最终得分、性价比、评标价等。评标委员会按评标原则推荐中标候选人同时起草评标报告。</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（四）澄清问题的形式</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szCs w:val="21"/>
          <w:highlight w:val="none"/>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kern w:val="0"/>
          <w:szCs w:val="21"/>
          <w:highlight w:val="none"/>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pPr>
        <w:pStyle w:val="16"/>
        <w:keepNext w:val="0"/>
        <w:keepLines w:val="0"/>
        <w:pageBreakBefore w:val="0"/>
        <w:tabs>
          <w:tab w:val="left" w:pos="63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（五）错误修正</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投标文件如果出现计算或表达上的错误，修正错误的原则如下：</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1、开标一览表总价与投标报价明细表汇总数不一致的，</w:t>
      </w:r>
      <w:r>
        <w:rPr>
          <w:rFonts w:hint="eastAsia" w:ascii="宋体" w:hAnsi="宋体" w:eastAsia="宋体" w:cs="宋体"/>
          <w:color w:val="auto"/>
          <w:kern w:val="0"/>
          <w:szCs w:val="21"/>
          <w:highlight w:val="none"/>
        </w:rPr>
        <w:t>以开标一览表为准；</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2、投标文件的大写金额和小写金额不一致的，以大写金额为准；</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3、总价金额与按单价汇总金额不一致的，以单价金额计算结果为准；</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4、对不同文字文本投标文件的解释发生异议的，以中文文本为准；</w:t>
      </w:r>
    </w:p>
    <w:p>
      <w:pPr>
        <w:pStyle w:val="16"/>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同时出现两种及以上不一致的，按照前款规定的顺序修正。修正后的报价经投标人确认后产生约束力，投标人不确认的，其投标无效。</w:t>
      </w:r>
    </w:p>
    <w:p>
      <w:pPr>
        <w:pStyle w:val="16"/>
        <w:keepNext w:val="0"/>
        <w:keepLines w:val="0"/>
        <w:pageBreakBefore w:val="0"/>
        <w:tabs>
          <w:tab w:val="left" w:pos="630"/>
        </w:tabs>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（六）评标原则和评标办法</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2、评标办法。本项目评标办法是 综合评分法 ，具体评标内容及评分标准等详见《第四章：评标办法及评分标准》。</w:t>
      </w:r>
    </w:p>
    <w:p>
      <w:pPr>
        <w:pStyle w:val="16"/>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（七）评标过程的监控</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本项目评标过程实行全程录音、录像监控。供应商在评标过程中所进行的试图影响评标结果的不公正活动，可能导致其投标被拒绝。</w:t>
      </w:r>
    </w:p>
    <w:p>
      <w:pPr>
        <w:pStyle w:val="16"/>
        <w:keepNext w:val="0"/>
        <w:keepLines w:val="0"/>
        <w:pageBreakBefore w:val="0"/>
        <w:kinsoku/>
        <w:wordWrap/>
        <w:overflowPunct/>
        <w:topLinePunct w:val="0"/>
        <w:autoSpaceDE/>
        <w:autoSpaceDN/>
        <w:bidi w:val="0"/>
        <w:adjustRightInd w:val="0"/>
        <w:snapToGrid w:val="0"/>
        <w:spacing w:line="360" w:lineRule="auto"/>
        <w:ind w:firstLine="413" w:firstLineChars="196"/>
        <w:jc w:val="center"/>
        <w:textAlignment w:val="auto"/>
        <w:outlineLvl w:val="9"/>
        <w:rPr>
          <w:rFonts w:hint="eastAsia" w:ascii="宋体" w:hAnsi="宋体" w:eastAsia="宋体" w:cs="宋体"/>
          <w:b/>
          <w:color w:val="auto"/>
          <w:szCs w:val="21"/>
          <w:highlight w:val="none"/>
        </w:rPr>
      </w:pPr>
      <w:bookmarkStart w:id="71" w:name="_Toc33535371"/>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七、</w:t>
      </w:r>
      <w:bookmarkEnd w:id="71"/>
      <w:r>
        <w:rPr>
          <w:rFonts w:hint="eastAsia" w:ascii="宋体" w:hAnsi="宋体" w:eastAsia="宋体" w:cs="宋体"/>
          <w:b/>
          <w:color w:val="auto"/>
          <w:kern w:val="2"/>
          <w:sz w:val="28"/>
          <w:szCs w:val="28"/>
          <w:highlight w:val="none"/>
          <w:lang w:val="en-US" w:eastAsia="zh-CN" w:bidi="ar-SA"/>
        </w:rPr>
        <w:t>磋商结果的确定</w:t>
      </w:r>
    </w:p>
    <w:p>
      <w:pPr>
        <w:pStyle w:val="9"/>
        <w:keepNext w:val="0"/>
        <w:keepLines w:val="0"/>
        <w:pageBreakBefore w:val="0"/>
        <w:kinsoku/>
        <w:wordWrap/>
        <w:overflowPunct/>
        <w:topLinePunct w:val="0"/>
        <w:autoSpaceDE/>
        <w:autoSpaceDN/>
        <w:bidi w:val="0"/>
        <w:adjustRightInd w:val="0"/>
        <w:snapToGrid w:val="0"/>
        <w:spacing w:line="360" w:lineRule="auto"/>
        <w:ind w:firstLine="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（一）磋商结果确定：采购人事先书面授权磋商小组直接确定成交供应商。</w:t>
      </w:r>
      <w:bookmarkStart w:id="72" w:name="_Toc107820051"/>
      <w:bookmarkStart w:id="73" w:name="_Toc170792772"/>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（二）成交公告：成交公告期限为1个工作日。</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（三）成交通知书：在公告成交结果的同时，代理机构向成交供应商发出成交通知书。</w:t>
      </w:r>
    </w:p>
    <w:bookmarkEnd w:id="72"/>
    <w:bookmarkEnd w:id="73"/>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p>
    <w:p>
      <w:pPr>
        <w:pStyle w:val="16"/>
        <w:keepNext w:val="0"/>
        <w:keepLines w:val="0"/>
        <w:pageBreakBefore w:val="0"/>
        <w:kinsoku/>
        <w:wordWrap/>
        <w:overflowPunct/>
        <w:topLinePunct w:val="0"/>
        <w:autoSpaceDE/>
        <w:autoSpaceDN/>
        <w:bidi w:val="0"/>
        <w:adjustRightInd w:val="0"/>
        <w:snapToGrid w:val="0"/>
        <w:spacing w:line="360" w:lineRule="auto"/>
        <w:ind w:firstLine="413" w:firstLineChars="196"/>
        <w:jc w:val="center"/>
        <w:textAlignment w:val="auto"/>
        <w:outlineLvl w:val="9"/>
        <w:rPr>
          <w:rFonts w:hint="eastAsia" w:ascii="宋体" w:hAnsi="宋体" w:eastAsia="宋体" w:cs="宋体"/>
          <w:b/>
          <w:color w:val="auto"/>
          <w:szCs w:val="21"/>
          <w:highlight w:val="none"/>
        </w:rPr>
      </w:pPr>
      <w:bookmarkStart w:id="74" w:name="_Toc33535372"/>
    </w:p>
    <w:p>
      <w:pPr>
        <w:pStyle w:val="1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八</w:t>
      </w:r>
      <w:r>
        <w:rPr>
          <w:rFonts w:hint="eastAsia" w:ascii="宋体" w:hAnsi="宋体" w:eastAsia="宋体" w:cs="宋体"/>
          <w:b/>
          <w:color w:val="auto"/>
          <w:sz w:val="28"/>
          <w:szCs w:val="28"/>
          <w:highlight w:val="none"/>
        </w:rPr>
        <w:t>、合同授予</w:t>
      </w:r>
      <w:bookmarkEnd w:id="74"/>
    </w:p>
    <w:p>
      <w:pPr>
        <w:keepNext w:val="0"/>
        <w:keepLines w:val="0"/>
        <w:pageBreakBefore w:val="0"/>
        <w:kinsoku/>
        <w:wordWrap/>
        <w:overflowPunct/>
        <w:topLinePunct w:val="0"/>
        <w:autoSpaceDE/>
        <w:autoSpaceDN/>
        <w:bidi w:val="0"/>
        <w:adjustRightInd w:val="0"/>
        <w:snapToGrid w:val="0"/>
        <w:spacing w:line="360" w:lineRule="auto"/>
        <w:ind w:firstLine="413" w:firstLineChars="196"/>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（一）签订合同</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1、采购人与中标人应当在《中标通知书》发出之日起30日内签订政府采购合同。同时，采购机构对合同内容进行审查，如发现与采购结果和投标承诺内容不一致的，将予以纠正。</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2、中标人拖延、拒签合同的，将被取消中标资格，并报监督管理部门。采购人可以按照评审报告推荐的中标或者成交候选人名单排序，确定下一候选人为中标或者成交供应商，也可以重新开展政府采购活动。</w:t>
      </w:r>
    </w:p>
    <w:p>
      <w:pPr>
        <w:pStyle w:val="16"/>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p>
    <w:p>
      <w:pPr>
        <w:pStyle w:val="16"/>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九</w:t>
      </w:r>
      <w:r>
        <w:rPr>
          <w:rFonts w:hint="eastAsia" w:ascii="宋体" w:hAnsi="宋体" w:eastAsia="宋体" w:cs="宋体"/>
          <w:b/>
          <w:color w:val="auto"/>
          <w:sz w:val="28"/>
          <w:szCs w:val="28"/>
          <w:highlight w:val="none"/>
        </w:rPr>
        <w:t>、采购代理费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招标</w:t>
      </w:r>
      <w:r>
        <w:rPr>
          <w:rFonts w:hint="eastAsia" w:ascii="宋体" w:hAnsi="宋体" w:eastAsia="宋体" w:cs="宋体"/>
          <w:color w:val="auto"/>
          <w:szCs w:val="21"/>
          <w:highlight w:val="none"/>
        </w:rPr>
        <w:t>代理服务费按计价格(2002)1980号收费标准</w:t>
      </w:r>
      <w:r>
        <w:rPr>
          <w:rFonts w:hint="eastAsia" w:ascii="宋体" w:hAnsi="宋体" w:eastAsia="宋体" w:cs="宋体"/>
          <w:color w:val="auto"/>
          <w:szCs w:val="21"/>
          <w:highlight w:val="none"/>
          <w:lang w:val="en-US" w:eastAsia="zh-CN"/>
        </w:rPr>
        <w:t>80%</w:t>
      </w:r>
      <w:r>
        <w:rPr>
          <w:rFonts w:hint="eastAsia" w:ascii="宋体" w:hAnsi="宋体" w:eastAsia="宋体" w:cs="宋体"/>
          <w:color w:val="auto"/>
          <w:szCs w:val="21"/>
          <w:highlight w:val="none"/>
        </w:rPr>
        <w:t>计取，由中标供应商支付。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2、服务费的货币为人民币。</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3、服务费支付方式：一次性以银行划账、电汇、汇票或支票的形式支付。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4、服务费以银行划账方式按下列要求提交：</w:t>
      </w:r>
    </w:p>
    <w:p>
      <w:pPr>
        <w:keepNext w:val="0"/>
        <w:keepLines w:val="0"/>
        <w:pageBreakBefore w:val="0"/>
        <w:kinsoku/>
        <w:wordWrap/>
        <w:overflowPunct/>
        <w:topLinePunct w:val="0"/>
        <w:autoSpaceDE/>
        <w:autoSpaceDN/>
        <w:bidi w:val="0"/>
        <w:adjustRightInd w:val="0"/>
        <w:snapToGrid w:val="0"/>
        <w:spacing w:line="360" w:lineRule="auto"/>
        <w:ind w:firstLine="843" w:firstLineChars="400"/>
        <w:textAlignment w:val="auto"/>
        <w:rPr>
          <w:rFonts w:hint="eastAsia" w:ascii="宋体" w:hAnsi="宋体" w:eastAsia="宋体" w:cs="宋体"/>
          <w:b/>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收款人：上海华瑞建设经济咨询有限公司嘉兴分公司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户名：上海华瑞建设经济咨询有限公司嘉兴分公司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开户银行：中国银行嘉兴市分行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账号：403958337788</w:t>
      </w:r>
    </w:p>
    <w:p>
      <w:pPr>
        <w:pStyle w:val="26"/>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5、服务费不在投标报价中单列。</w:t>
      </w:r>
    </w:p>
    <w:p>
      <w:pPr>
        <w:pStyle w:val="16"/>
        <w:spacing w:before="120" w:after="120" w:line="400" w:lineRule="exact"/>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bookmarkStart w:id="75" w:name="_Toc10302"/>
      <w:r>
        <w:rPr>
          <w:rFonts w:hint="eastAsia" w:ascii="宋体" w:hAnsi="宋体" w:eastAsia="宋体" w:cs="宋体"/>
          <w:b/>
          <w:color w:val="auto"/>
          <w:sz w:val="32"/>
          <w:szCs w:val="32"/>
          <w:highlight w:val="none"/>
        </w:rPr>
        <w:t>第四章  评标办法及评分标准</w:t>
      </w:r>
      <w:bookmarkEnd w:id="75"/>
    </w:p>
    <w:p>
      <w:pPr>
        <w:spacing w:line="400" w:lineRule="exact"/>
        <w:ind w:firstLine="420"/>
        <w:rPr>
          <w:rFonts w:hint="eastAsia" w:ascii="宋体" w:hAnsi="宋体" w:eastAsia="宋体" w:cs="宋体"/>
          <w:color w:val="auto"/>
          <w:szCs w:val="21"/>
          <w:highlight w:val="none"/>
        </w:rPr>
      </w:pPr>
      <w:bookmarkStart w:id="76" w:name="_Toc19362"/>
      <w:bookmarkEnd w:id="76"/>
      <w:r>
        <w:rPr>
          <w:rFonts w:hint="eastAsia" w:ascii="宋体" w:hAnsi="宋体" w:eastAsia="宋体" w:cs="宋体"/>
          <w:color w:val="auto"/>
          <w:szCs w:val="21"/>
          <w:highlight w:val="none"/>
        </w:rPr>
        <w:t>为公正、公平、科学地选择中标人，根据《中华人民共和国政府采购法》等有关法律法规的规定，并结合本项目的实际，按照公正、公平、科学、择优的原则选择中标单位，制定本办法。</w:t>
      </w:r>
    </w:p>
    <w:p>
      <w:pPr>
        <w:spacing w:line="400" w:lineRule="exact"/>
        <w:rPr>
          <w:rFonts w:hint="eastAsia" w:ascii="宋体" w:hAnsi="宋体" w:eastAsia="宋体" w:cs="宋体"/>
          <w:b/>
          <w:color w:val="auto"/>
          <w:szCs w:val="21"/>
          <w:highlight w:val="none"/>
        </w:rPr>
      </w:pPr>
      <w:bookmarkStart w:id="77" w:name="_Toc170792813"/>
      <w:r>
        <w:rPr>
          <w:rFonts w:hint="eastAsia" w:ascii="宋体" w:hAnsi="宋体" w:eastAsia="宋体" w:cs="宋体"/>
          <w:b/>
          <w:color w:val="auto"/>
          <w:szCs w:val="21"/>
          <w:highlight w:val="none"/>
        </w:rPr>
        <w:t>一、总则</w:t>
      </w:r>
      <w:bookmarkEnd w:id="77"/>
    </w:p>
    <w:p>
      <w:pPr>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综合评分法，满分100分。合格投标人的评标得分为各项目汇总得分，中标候选资格按评标总得分由高到低顺序排列，得分相同的，按投标报价由低到高顺序排列；得分且投标报价相同的，按技术得分由高到低顺序排列；都相同的，按合格投标人电子投标文件上传的先后顺序排列。</w:t>
      </w:r>
      <w:r>
        <w:rPr>
          <w:rFonts w:hint="eastAsia" w:ascii="宋体" w:hAnsi="宋体" w:eastAsia="宋体" w:cs="宋体"/>
          <w:b/>
          <w:bCs/>
          <w:color w:val="auto"/>
          <w:szCs w:val="21"/>
          <w:highlight w:val="none"/>
        </w:rPr>
        <w:t>总得分第一名的投标人为中标候选人，排名第二的投标人为候补中标候选人，其他投标人中标候选资格依此类推。</w:t>
      </w:r>
    </w:p>
    <w:p>
      <w:pPr>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投标人评标总得分=商务资信技术分+价格分（评分过程中采用四舍五入法，并保留小数2位）</w:t>
      </w:r>
    </w:p>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二、评标内容和标准</w:t>
      </w:r>
    </w:p>
    <w:p>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r>
        <w:rPr>
          <w:rFonts w:hint="eastAsia" w:ascii="宋体" w:hAnsi="宋体" w:eastAsia="宋体" w:cs="宋体"/>
          <w:b/>
          <w:color w:val="auto"/>
          <w:szCs w:val="21"/>
          <w:highlight w:val="none"/>
        </w:rPr>
        <w:t>商务资信技术分（满分90分）</w:t>
      </w:r>
    </w:p>
    <w:tbl>
      <w:tblPr>
        <w:tblStyle w:val="33"/>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96"/>
        <w:gridCol w:w="6367"/>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52"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序</w:t>
            </w:r>
          </w:p>
        </w:tc>
        <w:tc>
          <w:tcPr>
            <w:tcW w:w="1296"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rPr>
              <w:t>评审内容</w:t>
            </w:r>
          </w:p>
        </w:tc>
        <w:tc>
          <w:tcPr>
            <w:tcW w:w="6367" w:type="dxa"/>
            <w:noWrap w:val="0"/>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rPr>
              <w:t>评审标准</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sz w:val="18"/>
                <w:szCs w:val="18"/>
                <w:highlight w:val="cyan"/>
                <w:lang w:val="en-US" w:eastAsia="zh-CN"/>
              </w:rPr>
              <w:t>供应商具备的有利于本项目的相关资质</w:t>
            </w:r>
          </w:p>
        </w:tc>
        <w:tc>
          <w:tcPr>
            <w:tcW w:w="6367"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cyan"/>
              </w:rPr>
            </w:pPr>
            <w:r>
              <w:rPr>
                <w:rFonts w:hint="eastAsia" w:ascii="宋体" w:hAnsi="宋体" w:eastAsia="宋体" w:cs="宋体"/>
                <w:sz w:val="18"/>
                <w:szCs w:val="18"/>
                <w:highlight w:val="cyan"/>
                <w:lang w:val="en-US" w:eastAsia="zh-CN"/>
              </w:rPr>
              <w:t>投标供应商具有有效期内的ISO9001质量管理体系认证证书、信息系统建设和服务能力证书、CMMI3及以上证书、ITSS信息技术服务标准证书、信息技术服务管理体系认证ISO/IEC20000证书、信息安全管理体系认证证书ISO/IEC27001，或有利于本项目实施的认证证书，</w:t>
            </w:r>
            <w:r>
              <w:rPr>
                <w:rFonts w:hint="eastAsia" w:ascii="宋体" w:hAnsi="宋体" w:eastAsia="宋体" w:cs="宋体"/>
                <w:sz w:val="18"/>
                <w:szCs w:val="18"/>
                <w:highlight w:val="none"/>
                <w:lang w:val="en-US" w:eastAsia="zh-CN"/>
              </w:rPr>
              <w:t>每个得2分；最高4分。</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成功项目案例</w:t>
            </w:r>
          </w:p>
        </w:tc>
        <w:tc>
          <w:tcPr>
            <w:tcW w:w="6367"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追溯投标截止时间前三年（以合同签订时间为准）的同类项目，投标时提供合同复印件和验收报告等证明材料加盖公章，每个得</w:t>
            </w:r>
            <w:r>
              <w:rPr>
                <w:rFonts w:hint="eastAsia" w:ascii="宋体" w:hAnsi="宋体" w:eastAsia="宋体" w:cs="宋体"/>
                <w:color w:val="auto"/>
                <w:sz w:val="18"/>
                <w:szCs w:val="18"/>
                <w:highlight w:val="none"/>
                <w:lang w:val="en-US" w:eastAsia="zh-CN"/>
              </w:rPr>
              <w:t>0.5</w:t>
            </w:r>
            <w:r>
              <w:rPr>
                <w:rFonts w:hint="eastAsia" w:ascii="宋体" w:hAnsi="宋体" w:eastAsia="宋体" w:cs="宋体"/>
                <w:color w:val="auto"/>
                <w:sz w:val="18"/>
                <w:szCs w:val="18"/>
                <w:highlight w:val="none"/>
              </w:rPr>
              <w:t>分，最高得</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分。（须提供合同复印件，合同签订时间须在2020年1月1日以后）</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cyan"/>
              </w:rPr>
            </w:pPr>
            <w:r>
              <w:rPr>
                <w:rFonts w:hint="eastAsia" w:ascii="宋体" w:hAnsi="宋体" w:eastAsia="宋体" w:cs="宋体"/>
                <w:color w:val="auto"/>
                <w:sz w:val="18"/>
                <w:szCs w:val="18"/>
                <w:highlight w:val="cyan"/>
              </w:rPr>
              <w:t>软件产品著作权</w:t>
            </w:r>
          </w:p>
        </w:tc>
        <w:tc>
          <w:tcPr>
            <w:tcW w:w="6367"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left"/>
              <w:rPr>
                <w:rFonts w:hint="eastAsia" w:ascii="宋体" w:hAnsi="宋体" w:eastAsia="宋体" w:cs="宋体"/>
                <w:color w:val="auto"/>
                <w:sz w:val="18"/>
                <w:szCs w:val="18"/>
                <w:highlight w:val="none"/>
              </w:rPr>
            </w:pPr>
            <w:r>
              <w:rPr>
                <w:rFonts w:hint="eastAsia" w:ascii="宋体" w:hAnsi="宋体" w:eastAsia="宋体" w:cs="宋体"/>
                <w:sz w:val="18"/>
                <w:szCs w:val="18"/>
                <w:highlight w:val="none"/>
                <w:lang w:val="en-US" w:eastAsia="zh-CN"/>
              </w:rPr>
              <w:t>供应商或供应商选择的软件厂商，具有有利于本项目实施的相关软件著作权证书，经评标委员会认定后进行综合评审，不提供不得分，</w:t>
            </w:r>
            <w:bookmarkStart w:id="83" w:name="_GoBack"/>
            <w:r>
              <w:rPr>
                <w:rFonts w:hint="eastAsia" w:ascii="宋体" w:hAnsi="宋体" w:eastAsia="宋体" w:cs="宋体"/>
                <w:sz w:val="18"/>
                <w:szCs w:val="18"/>
                <w:highlight w:val="cyan"/>
                <w:lang w:val="en-US" w:eastAsia="zh-CN"/>
              </w:rPr>
              <w:t>每个得1分</w:t>
            </w:r>
            <w:bookmarkEnd w:id="83"/>
            <w:r>
              <w:rPr>
                <w:rFonts w:hint="eastAsia" w:ascii="宋体" w:hAnsi="宋体" w:eastAsia="宋体" w:cs="宋体"/>
                <w:sz w:val="18"/>
                <w:szCs w:val="18"/>
                <w:highlight w:val="none"/>
                <w:lang w:val="en-US" w:eastAsia="zh-CN"/>
              </w:rPr>
              <w:t>，最高得3分。</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企业诚信</w:t>
            </w:r>
          </w:p>
        </w:tc>
        <w:tc>
          <w:tcPr>
            <w:tcW w:w="6367"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凡在投标截止时间前三年受到行政处罚、行政处理(含通报)或记入不良行为的，此项得分为0</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若无处罚、行政处理(含通)报)或记入不良行为的得</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分(投标供应商自行提供承诺函，不提供承诺函的得0分，如有不良记录又虚假承诺的，一经发现将取消中标资格并报监管部门依法处理)。</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响应</w:t>
            </w:r>
            <w:r>
              <w:rPr>
                <w:rFonts w:hint="eastAsia" w:ascii="宋体" w:hAnsi="宋体" w:eastAsia="宋体" w:cs="宋体"/>
                <w:color w:val="auto"/>
                <w:sz w:val="18"/>
                <w:szCs w:val="18"/>
                <w:highlight w:val="none"/>
              </w:rPr>
              <w:t>文件质量</w:t>
            </w:r>
          </w:p>
        </w:tc>
        <w:tc>
          <w:tcPr>
            <w:tcW w:w="6367"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投标文件编制完整、格式规范，合格供应商资格要求、投标文件的编制及评分标准等内容关联到位，得</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分；投标文件有关内容前后矛盾、与招标文件要求不一致等，评标委员会允许且需要通过询标等程序进行澄清的，该项不得分；投标文件存在其他错漏的，每项（次）扣</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分，扣完该项得分为止；合格供应商资格要求、投标文件的编制及评分标准等内容未进行一一关联，得0分。</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系统</w:t>
            </w:r>
            <w:r>
              <w:rPr>
                <w:rFonts w:hint="eastAsia" w:ascii="宋体" w:hAnsi="宋体" w:eastAsia="宋体" w:cs="宋体"/>
                <w:color w:val="auto"/>
                <w:sz w:val="18"/>
                <w:szCs w:val="18"/>
                <w:highlight w:val="none"/>
                <w:lang w:val="en-US" w:eastAsia="zh-CN"/>
              </w:rPr>
              <w:t>建设</w:t>
            </w:r>
            <w:r>
              <w:rPr>
                <w:rFonts w:hint="eastAsia" w:ascii="宋体" w:hAnsi="宋体" w:eastAsia="宋体" w:cs="宋体"/>
                <w:color w:val="auto"/>
                <w:sz w:val="18"/>
                <w:szCs w:val="18"/>
                <w:highlight w:val="none"/>
              </w:rPr>
              <w:t>方案</w:t>
            </w:r>
          </w:p>
        </w:tc>
        <w:tc>
          <w:tcPr>
            <w:tcW w:w="6367"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rPr>
              <w:t>根据投标人提供的系统功能方案、项目组织实施方案、培训方案的科学性、合理性、规范性和可操作性，由评审专家酌情打分（0-10分）</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讲解演示</w:t>
            </w:r>
          </w:p>
        </w:tc>
        <w:tc>
          <w:tcPr>
            <w:tcW w:w="6367"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请供应商将演示内容制作成视频文件，在Windows系统下可顺利播放，视频时间控制在15分钟以内，存放在U盘中递交（可与备份文档合并递交）</w:t>
            </w:r>
            <w:r>
              <w:rPr>
                <w:rFonts w:hint="eastAsia" w:ascii="宋体" w:hAnsi="宋体" w:eastAsia="宋体" w:cs="宋体"/>
                <w:color w:val="auto"/>
                <w:sz w:val="18"/>
                <w:szCs w:val="18"/>
                <w:highlight w:val="none"/>
                <w:lang w:eastAsia="zh-CN"/>
              </w:rPr>
              <w:t>。</w:t>
            </w:r>
          </w:p>
          <w:p>
            <w:pPr>
              <w:keepNext w:val="0"/>
              <w:keepLines w:val="0"/>
              <w:pageBreakBefore w:val="0"/>
              <w:numPr>
                <w:ilvl w:val="0"/>
                <w:numId w:val="0"/>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对以下项目需求进行演示：</w:t>
            </w:r>
          </w:p>
          <w:p>
            <w:pPr>
              <w:keepNext w:val="0"/>
              <w:keepLines w:val="0"/>
              <w:pageBreakBefore w:val="0"/>
              <w:numPr>
                <w:ilvl w:val="0"/>
                <w:numId w:val="11"/>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Hans"/>
              </w:rPr>
              <w:t>选址开店功能</w:t>
            </w:r>
            <w:r>
              <w:rPr>
                <w:rFonts w:hint="eastAsia" w:ascii="宋体" w:hAnsi="宋体" w:eastAsia="宋体" w:cs="宋体"/>
                <w:color w:val="auto"/>
                <w:sz w:val="18"/>
                <w:szCs w:val="18"/>
                <w:highlight w:val="none"/>
                <w:lang w:val="en-US" w:eastAsia="zh-CN"/>
              </w:rPr>
              <w:t>（16分）</w:t>
            </w:r>
          </w:p>
          <w:p>
            <w:pPr>
              <w:keepNext w:val="0"/>
              <w:keepLines w:val="0"/>
              <w:pageBreakBefore w:val="0"/>
              <w:numPr>
                <w:ilvl w:val="0"/>
                <w:numId w:val="11"/>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开店进度及开店事项推送（7分）</w:t>
            </w:r>
          </w:p>
          <w:p>
            <w:pPr>
              <w:keepNext w:val="0"/>
              <w:keepLines w:val="0"/>
              <w:pageBreakBefore w:val="0"/>
              <w:numPr>
                <w:ilvl w:val="0"/>
                <w:numId w:val="11"/>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三维GIS重点商户类型数据展示（10分）</w:t>
            </w:r>
          </w:p>
          <w:p>
            <w:pPr>
              <w:keepNext w:val="0"/>
              <w:keepLines w:val="0"/>
              <w:pageBreakBefore w:val="0"/>
              <w:numPr>
                <w:ilvl w:val="0"/>
                <w:numId w:val="11"/>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6类商户建模展示（7分）；</w:t>
            </w:r>
          </w:p>
          <w:p>
            <w:pPr>
              <w:keepNext w:val="0"/>
              <w:keepLines w:val="0"/>
              <w:pageBreakBefore w:val="0"/>
              <w:numPr>
                <w:ilvl w:val="0"/>
                <w:numId w:val="0"/>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根据演示内容对项目业务需求的理解程度和实现程度，以及系统未来可扩展性，完整性、与业主需求契合度等几个方面进行综合评分，演示</w:t>
            </w:r>
            <w:r>
              <w:rPr>
                <w:rFonts w:hint="eastAsia" w:ascii="宋体" w:hAnsi="宋体" w:eastAsia="宋体" w:cs="宋体"/>
                <w:color w:val="auto"/>
                <w:sz w:val="18"/>
                <w:szCs w:val="18"/>
                <w:highlight w:val="none"/>
                <w:lang w:val="en-US" w:eastAsia="zh-Hans"/>
              </w:rPr>
              <w:t>必须提供真实系统</w:t>
            </w:r>
            <w:r>
              <w:rPr>
                <w:rFonts w:hint="eastAsia" w:ascii="宋体" w:hAnsi="宋体" w:eastAsia="宋体" w:cs="宋体"/>
                <w:color w:val="auto"/>
                <w:sz w:val="18"/>
                <w:szCs w:val="18"/>
                <w:highlight w:val="none"/>
                <w:lang w:eastAsia="zh-Hans"/>
              </w:rPr>
              <w:t>DEMO</w:t>
            </w:r>
            <w:r>
              <w:rPr>
                <w:rFonts w:hint="eastAsia" w:ascii="宋体" w:hAnsi="宋体" w:eastAsia="宋体" w:cs="宋体"/>
                <w:color w:val="auto"/>
                <w:sz w:val="18"/>
                <w:szCs w:val="18"/>
                <w:highlight w:val="none"/>
                <w:lang w:val="en-US" w:eastAsia="zh-Hans"/>
              </w:rPr>
              <w:t>操作</w:t>
            </w:r>
            <w:r>
              <w:rPr>
                <w:rFonts w:hint="eastAsia" w:ascii="宋体" w:hAnsi="宋体" w:eastAsia="宋体" w:cs="宋体"/>
                <w:color w:val="auto"/>
                <w:sz w:val="18"/>
                <w:szCs w:val="18"/>
                <w:highlight w:val="none"/>
                <w:lang w:eastAsia="zh-Hans"/>
              </w:rPr>
              <w:t>，</w:t>
            </w:r>
            <w:r>
              <w:rPr>
                <w:rFonts w:hint="eastAsia" w:ascii="宋体" w:hAnsi="宋体" w:eastAsia="宋体" w:cs="宋体"/>
                <w:color w:val="auto"/>
                <w:sz w:val="18"/>
                <w:szCs w:val="18"/>
                <w:highlight w:val="none"/>
                <w:lang w:val="en-US" w:eastAsia="zh-Hans"/>
              </w:rPr>
              <w:t>否则</w:t>
            </w:r>
            <w:r>
              <w:rPr>
                <w:rFonts w:hint="eastAsia" w:ascii="宋体" w:hAnsi="宋体" w:eastAsia="宋体" w:cs="宋体"/>
                <w:color w:val="auto"/>
                <w:sz w:val="18"/>
                <w:szCs w:val="18"/>
                <w:highlight w:val="none"/>
              </w:rPr>
              <w:t>本项不得分。</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40</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yellow"/>
                <w:lang w:val="zh-CN"/>
              </w:rPr>
            </w:pPr>
            <w:r>
              <w:rPr>
                <w:rFonts w:hint="eastAsia" w:ascii="宋体" w:hAnsi="宋体" w:eastAsia="宋体" w:cs="宋体"/>
                <w:color w:val="auto"/>
                <w:sz w:val="18"/>
                <w:szCs w:val="18"/>
                <w:highlight w:val="yellow"/>
                <w:lang w:val="zh-CN"/>
              </w:rPr>
              <w:t>项目经理和软件技术负责人</w:t>
            </w:r>
          </w:p>
        </w:tc>
        <w:tc>
          <w:tcPr>
            <w:tcW w:w="6367"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yellow"/>
                <w:lang w:val="zh-CN"/>
              </w:rPr>
            </w:pPr>
            <w:r>
              <w:rPr>
                <w:rFonts w:hint="eastAsia" w:ascii="宋体" w:hAnsi="宋体" w:eastAsia="宋体" w:cs="宋体"/>
                <w:color w:val="auto"/>
                <w:sz w:val="18"/>
                <w:szCs w:val="18"/>
                <w:highlight w:val="yellow"/>
                <w:lang w:val="zh-CN"/>
              </w:rPr>
              <w:t>供应商拟派往本项目的项目经理和软件技术负责人(不能为同一人)，根据人员的职称、学历、荣誉、类似经验、履职经历进行综合评分。每人最高得 3分，共6分。(附相关证书和近3个月任意一个月的社会保险参保证明)</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yellow"/>
                <w:lang w:val="zh-CN"/>
              </w:rPr>
            </w:pPr>
            <w:r>
              <w:rPr>
                <w:rFonts w:hint="eastAsia" w:ascii="宋体" w:hAnsi="宋体" w:eastAsia="宋体" w:cs="宋体"/>
                <w:color w:val="auto"/>
                <w:sz w:val="18"/>
                <w:szCs w:val="18"/>
                <w:highlight w:val="yellow"/>
                <w:lang w:val="en-US" w:eastAsia="zh-CN"/>
              </w:rPr>
              <w:t>6</w:t>
            </w:r>
            <w:r>
              <w:rPr>
                <w:rFonts w:hint="eastAsia" w:ascii="宋体" w:hAnsi="宋体" w:eastAsia="宋体" w:cs="宋体"/>
                <w:color w:val="auto"/>
                <w:sz w:val="18"/>
                <w:szCs w:val="18"/>
                <w:highlight w:val="yellow"/>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lang w:val="en-US" w:eastAsia="zh-CN"/>
              </w:rPr>
              <w:t>项目拟派人员</w:t>
            </w:r>
          </w:p>
        </w:tc>
        <w:tc>
          <w:tcPr>
            <w:tcW w:w="6367"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kern w:val="2"/>
                <w:sz w:val="18"/>
                <w:szCs w:val="18"/>
                <w:highlight w:val="yellow"/>
                <w:lang w:val="zh-CN" w:eastAsia="zh-CN" w:bidi="ar-SA"/>
              </w:rPr>
            </w:pPr>
            <w:r>
              <w:rPr>
                <w:rFonts w:hint="eastAsia" w:ascii="宋体" w:hAnsi="宋体" w:eastAsia="宋体" w:cs="宋体"/>
                <w:color w:val="auto"/>
                <w:sz w:val="18"/>
                <w:szCs w:val="18"/>
                <w:highlight w:val="yellow"/>
                <w:lang w:val="zh-CN"/>
              </w:rPr>
              <w:t>供应商拟派往本项目的项目组成员 (不包含项目经理和软件技术负责人)，根据团队人员的数量、各专业人员的配备合理性、人员职称、学历、荣誉、类似经验、履职经历进行综合评分。本项最高得4分。(附相关证书和近3个月任意一个月的社会保险参保证明)</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kern w:val="2"/>
                <w:sz w:val="18"/>
                <w:szCs w:val="18"/>
                <w:highlight w:val="yellow"/>
                <w:lang w:val="en-US" w:eastAsia="zh-CN" w:bidi="ar-SA"/>
              </w:rPr>
            </w:pPr>
            <w:r>
              <w:rPr>
                <w:rFonts w:hint="eastAsia" w:ascii="宋体" w:hAnsi="宋体" w:eastAsia="宋体" w:cs="宋体"/>
                <w:color w:val="auto"/>
                <w:sz w:val="18"/>
                <w:szCs w:val="18"/>
                <w:highlight w:val="yellow"/>
                <w:lang w:val="en-US" w:eastAsia="zh-CN"/>
              </w:rPr>
              <w:t>4</w:t>
            </w:r>
            <w:r>
              <w:rPr>
                <w:rFonts w:hint="eastAsia" w:ascii="宋体" w:hAnsi="宋体" w:eastAsia="宋体" w:cs="宋体"/>
                <w:color w:val="auto"/>
                <w:sz w:val="18"/>
                <w:szCs w:val="18"/>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52"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296"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lang w:val="en-US" w:eastAsia="zh-CN"/>
              </w:rPr>
              <w:t>驻场运维人员</w:t>
            </w:r>
          </w:p>
        </w:tc>
        <w:tc>
          <w:tcPr>
            <w:tcW w:w="636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yellow"/>
                <w:lang w:val="zh-CN"/>
              </w:rPr>
            </w:pPr>
            <w:r>
              <w:rPr>
                <w:rFonts w:hint="eastAsia" w:ascii="宋体" w:hAnsi="宋体" w:eastAsia="宋体" w:cs="宋体"/>
                <w:color w:val="auto"/>
                <w:sz w:val="18"/>
                <w:szCs w:val="18"/>
                <w:highlight w:val="yellow"/>
                <w:lang w:val="zh-CN"/>
              </w:rPr>
              <w:t>驻场工程师服务能力（根据派遣驻场工程师的人数、所拥有的资质证书、工作履历、同类项目实施经验等）综合情况进行打分，得0-</w:t>
            </w:r>
            <w:r>
              <w:rPr>
                <w:rFonts w:hint="eastAsia" w:ascii="宋体" w:hAnsi="宋体" w:eastAsia="宋体" w:cs="宋体"/>
                <w:color w:val="auto"/>
                <w:sz w:val="18"/>
                <w:szCs w:val="18"/>
                <w:highlight w:val="yellow"/>
                <w:lang w:val="en-US" w:eastAsia="zh-CN"/>
              </w:rPr>
              <w:t>6</w:t>
            </w:r>
            <w:r>
              <w:rPr>
                <w:rFonts w:hint="eastAsia" w:ascii="宋体" w:hAnsi="宋体" w:eastAsia="宋体" w:cs="宋体"/>
                <w:color w:val="auto"/>
                <w:sz w:val="18"/>
                <w:szCs w:val="18"/>
                <w:highlight w:val="yellow"/>
                <w:lang w:val="zh-CN"/>
              </w:rPr>
              <w:t>分。</w:t>
            </w:r>
          </w:p>
        </w:tc>
        <w:tc>
          <w:tcPr>
            <w:tcW w:w="643" w:type="dxa"/>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lang w:val="en-US" w:eastAsia="zh-CN"/>
              </w:rPr>
              <w:t>6</w:t>
            </w:r>
            <w:r>
              <w:rPr>
                <w:rFonts w:hint="eastAsia" w:ascii="宋体" w:hAnsi="宋体" w:eastAsia="宋体" w:cs="宋体"/>
                <w:color w:val="auto"/>
                <w:sz w:val="18"/>
                <w:szCs w:val="18"/>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52" w:type="dxa"/>
            <w:vMerge w:val="restart"/>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11</w:t>
            </w:r>
          </w:p>
        </w:tc>
        <w:tc>
          <w:tcPr>
            <w:tcW w:w="1296" w:type="dxa"/>
            <w:vMerge w:val="restart"/>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售后服务承诺</w:t>
            </w:r>
          </w:p>
        </w:tc>
        <w:tc>
          <w:tcPr>
            <w:tcW w:w="6367" w:type="dxa"/>
            <w:noWrap w:val="0"/>
            <w:vAlign w:val="center"/>
          </w:tcPr>
          <w:p>
            <w:pPr>
              <w:keepNext w:val="0"/>
              <w:keepLines w:val="0"/>
              <w:pageBreakBefore w:val="0"/>
              <w:numPr>
                <w:ilvl w:val="0"/>
                <w:numId w:val="0"/>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根据供应商的售后服务网点、响应时间、故障解决方法以及对采购需求响应情况等内容由评审专家酌情打分。</w:t>
            </w:r>
            <w:r>
              <w:rPr>
                <w:rFonts w:hint="eastAsia" w:ascii="宋体" w:hAnsi="宋体" w:eastAsia="宋体" w:cs="宋体"/>
                <w:color w:val="auto"/>
                <w:sz w:val="18"/>
                <w:szCs w:val="18"/>
                <w:highlight w:val="none"/>
                <w:lang w:val="zh-CN"/>
              </w:rPr>
              <w:t>0-</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zh-CN"/>
              </w:rPr>
              <w:t>分</w:t>
            </w:r>
          </w:p>
        </w:tc>
        <w:tc>
          <w:tcPr>
            <w:tcW w:w="643" w:type="dxa"/>
            <w:noWrap w:val="0"/>
            <w:vAlign w:val="center"/>
          </w:tcPr>
          <w:p>
            <w:pPr>
              <w:keepNext w:val="0"/>
              <w:keepLines w:val="0"/>
              <w:pageBreakBefore w:val="0"/>
              <w:numPr>
                <w:ilvl w:val="0"/>
                <w:numId w:val="0"/>
              </w:numPr>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552" w:type="dxa"/>
            <w:vMerge w:val="continue"/>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p>
        </w:tc>
        <w:tc>
          <w:tcPr>
            <w:tcW w:w="1296" w:type="dxa"/>
            <w:vMerge w:val="continue"/>
            <w:noWrap w:val="0"/>
            <w:vAlign w:val="center"/>
          </w:tcPr>
          <w:p>
            <w:pPr>
              <w:keepNext w:val="0"/>
              <w:keepLines w:val="0"/>
              <w:pageBreakBefore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rPr>
            </w:pPr>
          </w:p>
        </w:tc>
        <w:tc>
          <w:tcPr>
            <w:tcW w:w="6367" w:type="dxa"/>
            <w:noWrap w:val="0"/>
            <w:vAlign w:val="center"/>
          </w:tcPr>
          <w:p>
            <w:pPr>
              <w:keepNext w:val="0"/>
              <w:keepLines w:val="0"/>
              <w:pageBreakBefore w:val="0"/>
              <w:numPr>
                <w:ilvl w:val="0"/>
                <w:numId w:val="0"/>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rPr>
              <w:t>投标人承诺维保期满后</w:t>
            </w:r>
            <w:r>
              <w:rPr>
                <w:rFonts w:hint="eastAsia" w:ascii="宋体" w:hAnsi="宋体" w:eastAsia="宋体" w:cs="宋体"/>
                <w:color w:val="auto"/>
                <w:sz w:val="18"/>
                <w:szCs w:val="18"/>
                <w:highlight w:val="yellow"/>
                <w:lang w:eastAsia="zh-CN"/>
              </w:rPr>
              <w:t>，</w:t>
            </w:r>
            <w:r>
              <w:rPr>
                <w:rFonts w:hint="eastAsia" w:ascii="宋体" w:hAnsi="宋体" w:eastAsia="宋体" w:cs="宋体"/>
                <w:color w:val="auto"/>
                <w:sz w:val="18"/>
                <w:szCs w:val="18"/>
                <w:highlight w:val="yellow"/>
              </w:rPr>
              <w:t>年维护费</w:t>
            </w:r>
            <w:r>
              <w:rPr>
                <w:rFonts w:hint="eastAsia" w:ascii="宋体" w:hAnsi="宋体" w:eastAsia="宋体" w:cs="宋体"/>
                <w:color w:val="auto"/>
                <w:sz w:val="18"/>
                <w:szCs w:val="18"/>
                <w:highlight w:val="yellow"/>
                <w:lang w:val="en-US" w:eastAsia="zh-CN"/>
              </w:rPr>
              <w:t>占比情况：</w:t>
            </w:r>
            <w:r>
              <w:rPr>
                <w:rFonts w:hint="eastAsia" w:ascii="宋体" w:hAnsi="宋体" w:eastAsia="宋体" w:cs="宋体"/>
                <w:color w:val="auto"/>
                <w:sz w:val="18"/>
                <w:szCs w:val="18"/>
                <w:highlight w:val="yellow"/>
              </w:rPr>
              <w:t>承诺维保期满后</w:t>
            </w:r>
            <w:r>
              <w:rPr>
                <w:rFonts w:hint="eastAsia" w:ascii="宋体" w:hAnsi="宋体" w:eastAsia="宋体" w:cs="宋体"/>
                <w:color w:val="auto"/>
                <w:sz w:val="18"/>
                <w:szCs w:val="18"/>
                <w:highlight w:val="yellow"/>
                <w:lang w:eastAsia="zh-CN"/>
              </w:rPr>
              <w:t>，</w:t>
            </w:r>
            <w:r>
              <w:rPr>
                <w:rFonts w:hint="eastAsia" w:ascii="宋体" w:hAnsi="宋体" w:eastAsia="宋体" w:cs="宋体"/>
                <w:color w:val="auto"/>
                <w:sz w:val="18"/>
                <w:szCs w:val="18"/>
                <w:highlight w:val="yellow"/>
              </w:rPr>
              <w:t>驻场服务人数</w:t>
            </w:r>
            <w:r>
              <w:rPr>
                <w:rFonts w:hint="eastAsia" w:ascii="宋体" w:hAnsi="宋体" w:eastAsia="宋体" w:cs="宋体"/>
                <w:color w:val="auto"/>
                <w:sz w:val="18"/>
                <w:szCs w:val="18"/>
                <w:highlight w:val="yellow"/>
                <w:lang w:val="en-US" w:eastAsia="zh-CN"/>
              </w:rPr>
              <w:t>不少于1人，</w:t>
            </w:r>
          </w:p>
          <w:p>
            <w:pPr>
              <w:keepNext w:val="0"/>
              <w:keepLines w:val="0"/>
              <w:pageBreakBefore w:val="0"/>
              <w:numPr>
                <w:ilvl w:val="0"/>
                <w:numId w:val="0"/>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rPr>
              <w:t>年维护费</w:t>
            </w:r>
            <w:r>
              <w:rPr>
                <w:rFonts w:hint="eastAsia" w:ascii="宋体" w:hAnsi="宋体" w:eastAsia="宋体" w:cs="宋体"/>
                <w:color w:val="auto"/>
                <w:sz w:val="18"/>
                <w:szCs w:val="18"/>
                <w:highlight w:val="yellow"/>
                <w:lang w:val="en-US" w:eastAsia="zh-CN"/>
              </w:rPr>
              <w:t>占开发费用7.5%（含）及以下的，得5分；</w:t>
            </w:r>
          </w:p>
          <w:p>
            <w:pPr>
              <w:keepNext w:val="0"/>
              <w:keepLines w:val="0"/>
              <w:pageBreakBefore w:val="0"/>
              <w:numPr>
                <w:ilvl w:val="0"/>
                <w:numId w:val="0"/>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yellow"/>
                <w:lang w:val="en-US" w:eastAsia="zh-CN"/>
              </w:rPr>
            </w:pPr>
            <w:r>
              <w:rPr>
                <w:rFonts w:hint="eastAsia" w:ascii="宋体" w:hAnsi="宋体" w:eastAsia="宋体" w:cs="宋体"/>
                <w:color w:val="auto"/>
                <w:sz w:val="18"/>
                <w:szCs w:val="18"/>
                <w:highlight w:val="yellow"/>
              </w:rPr>
              <w:t>年维护费</w:t>
            </w:r>
            <w:r>
              <w:rPr>
                <w:rFonts w:hint="eastAsia" w:ascii="宋体" w:hAnsi="宋体" w:eastAsia="宋体" w:cs="宋体"/>
                <w:color w:val="auto"/>
                <w:sz w:val="18"/>
                <w:szCs w:val="18"/>
                <w:highlight w:val="yellow"/>
                <w:lang w:val="en-US" w:eastAsia="zh-CN"/>
              </w:rPr>
              <w:t>占比每增加0.5%，扣1分；</w:t>
            </w:r>
          </w:p>
          <w:p>
            <w:pPr>
              <w:keepNext w:val="0"/>
              <w:keepLines w:val="0"/>
              <w:pageBreakBefore w:val="0"/>
              <w:numPr>
                <w:ilvl w:val="0"/>
                <w:numId w:val="0"/>
              </w:numPr>
              <w:kinsoku/>
              <w:wordWrap w:val="0"/>
              <w:overflowPunct/>
              <w:topLinePunct w:val="0"/>
              <w:autoSpaceDE/>
              <w:autoSpaceDN/>
              <w:bidi w:val="0"/>
              <w:adjustRightInd w:val="0"/>
              <w:snapToGrid w:val="0"/>
              <w:spacing w:line="240" w:lineRule="auto"/>
              <w:rPr>
                <w:rFonts w:hint="eastAsia" w:ascii="宋体" w:hAnsi="宋体" w:eastAsia="宋体" w:cs="宋体"/>
                <w:color w:val="auto"/>
                <w:sz w:val="18"/>
                <w:szCs w:val="18"/>
                <w:highlight w:val="yellow"/>
              </w:rPr>
            </w:pPr>
            <w:r>
              <w:rPr>
                <w:rFonts w:hint="eastAsia" w:ascii="宋体" w:hAnsi="宋体" w:eastAsia="宋体" w:cs="宋体"/>
                <w:color w:val="auto"/>
                <w:sz w:val="18"/>
                <w:szCs w:val="18"/>
                <w:highlight w:val="yellow"/>
              </w:rPr>
              <w:t>年维护费</w:t>
            </w:r>
            <w:r>
              <w:rPr>
                <w:rFonts w:hint="eastAsia" w:ascii="宋体" w:hAnsi="宋体" w:eastAsia="宋体" w:cs="宋体"/>
                <w:color w:val="auto"/>
                <w:sz w:val="18"/>
                <w:szCs w:val="18"/>
                <w:highlight w:val="yellow"/>
                <w:lang w:val="en-US" w:eastAsia="zh-CN"/>
              </w:rPr>
              <w:t>占开发费用10%（含）及以上或未提供承诺的，本项</w:t>
            </w:r>
            <w:r>
              <w:rPr>
                <w:rFonts w:hint="eastAsia" w:ascii="宋体" w:hAnsi="宋体" w:eastAsia="宋体" w:cs="宋体"/>
                <w:color w:val="auto"/>
                <w:sz w:val="18"/>
                <w:szCs w:val="18"/>
                <w:highlight w:val="yellow"/>
              </w:rPr>
              <w:t>不得分。</w:t>
            </w:r>
          </w:p>
        </w:tc>
        <w:tc>
          <w:tcPr>
            <w:tcW w:w="643" w:type="dxa"/>
            <w:noWrap w:val="0"/>
            <w:vAlign w:val="center"/>
          </w:tcPr>
          <w:p>
            <w:pPr>
              <w:keepNext w:val="0"/>
              <w:keepLines w:val="0"/>
              <w:pageBreakBefore w:val="0"/>
              <w:numPr>
                <w:ilvl w:val="0"/>
                <w:numId w:val="0"/>
              </w:numPr>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分</w:t>
            </w:r>
          </w:p>
        </w:tc>
      </w:tr>
    </w:tbl>
    <w:p>
      <w:pPr>
        <w:adjustRightInd w:val="0"/>
        <w:snapToGrid w:val="0"/>
        <w:spacing w:line="4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投标人须将上述评分所需证明资料加盖投标人公章放入投标文件中，未提供不得分。存在弄虚作假的后果自负。若上所涉及内容，附件格式未提供，请自行设计格式。</w:t>
      </w:r>
    </w:p>
    <w:p>
      <w:pPr>
        <w:adjustRightInd w:val="0"/>
        <w:snapToGrid w:val="0"/>
        <w:spacing w:line="42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（二）价格分（满分10分）</w:t>
      </w:r>
    </w:p>
    <w:p>
      <w:pPr>
        <w:pStyle w:val="10"/>
        <w:adjustRightInd w:val="0"/>
        <w:snapToGrid w:val="0"/>
        <w:spacing w:after="0" w:line="360" w:lineRule="auto"/>
        <w:ind w:left="0" w:leftChars="0" w:firstLine="420" w:firstLineChars="200"/>
        <w:outlineLvl w:val="2"/>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1、价格分采用低价优先法计算，即满足招标文件要求且投标价格最低的投标报价为评标基准价，其他投标人的价格分按照下列公式计算：</w:t>
      </w:r>
    </w:p>
    <w:p>
      <w:pPr>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a.所有有效报价的最低价为评标基准价。其价格分为10分。</w:t>
      </w:r>
    </w:p>
    <w:p>
      <w:pPr>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b.供应商的报价得分：</w:t>
      </w:r>
    </w:p>
    <w:p>
      <w:pPr>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报价得分＝评标基准价（最低报价）/磋商最终报价×价格权值（10％）×100</w:t>
      </w:r>
    </w:p>
    <w:p>
      <w:pPr>
        <w:adjustRightInd w:val="0"/>
        <w:snapToGrid w:val="0"/>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c.计算报价评分不足一个百分点时，使用四舍五入计算，保留小数2位。</w:t>
      </w:r>
    </w:p>
    <w:p>
      <w:pPr>
        <w:pStyle w:val="16"/>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2、投标人的投标报价超过采购人设定的最高限价，将作为无效标。</w:t>
      </w:r>
    </w:p>
    <w:p>
      <w:pPr>
        <w:pStyle w:val="10"/>
        <w:adjustRightInd w:val="0"/>
        <w:snapToGrid w:val="0"/>
        <w:spacing w:after="0"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扶持政策说明：</w:t>
      </w:r>
    </w:p>
    <w:p>
      <w:pPr>
        <w:pStyle w:val="10"/>
        <w:adjustRightInd w:val="0"/>
        <w:snapToGrid w:val="0"/>
        <w:spacing w:after="0"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本次采购为专门面向中小企业预留采购份额的采购项目。</w:t>
      </w:r>
    </w:p>
    <w:p>
      <w:pPr>
        <w:pStyle w:val="10"/>
        <w:adjustRightInd w:val="0"/>
        <w:snapToGrid w:val="0"/>
        <w:spacing w:after="0"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（1）根据《关于政府采购支持监狱企业发展有关问题的通知》（财库[2014]68号）的规定，监狱企业视同小型、微型企业，享受预留份额、评审中价格扣除等促进中小企业发展的政府采购政策。</w:t>
      </w:r>
    </w:p>
    <w:p>
      <w:pPr>
        <w:pStyle w:val="10"/>
        <w:adjustRightInd w:val="0"/>
        <w:snapToGrid w:val="0"/>
        <w:spacing w:after="0"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财政部、民政部、中国残疾人联合会关于促进残疾人就业政府采购政策的通知》（财库〔2017〕141号）的规定，残疾人福利性单位视同小型、微型企业，享受预留份额、评审中价格扣除等促进中小企业发展的政府采购政策。</w:t>
      </w:r>
    </w:p>
    <w:p>
      <w:pPr>
        <w:pStyle w:val="10"/>
        <w:adjustRightInd w:val="0"/>
        <w:snapToGrid w:val="0"/>
        <w:spacing w:after="0"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上述（1），（2）政策不重复计算。</w:t>
      </w:r>
    </w:p>
    <w:p>
      <w:pPr>
        <w:pStyle w:val="10"/>
        <w:adjustRightInd w:val="0"/>
        <w:snapToGrid w:val="0"/>
        <w:spacing w:after="0" w:line="360" w:lineRule="auto"/>
        <w:ind w:left="0" w:leftChars="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此项由评标委员会集体核实后统一打分。</w:t>
      </w:r>
    </w:p>
    <w:p>
      <w:pPr>
        <w:pStyle w:val="10"/>
        <w:adjustRightInd w:val="0"/>
        <w:snapToGrid w:val="0"/>
        <w:spacing w:after="0" w:line="360" w:lineRule="auto"/>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3、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widowControl/>
        <w:adjustRightInd w:val="0"/>
        <w:snapToGrid w:val="0"/>
        <w:spacing w:line="360" w:lineRule="auto"/>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6"/>
          <w:szCs w:val="36"/>
          <w:highlight w:val="none"/>
        </w:rPr>
        <w:br w:type="page"/>
      </w:r>
      <w:bookmarkStart w:id="78" w:name="_Toc8751"/>
      <w:r>
        <w:rPr>
          <w:rFonts w:hint="eastAsia" w:ascii="宋体" w:hAnsi="宋体" w:eastAsia="宋体" w:cs="宋体"/>
          <w:b/>
          <w:color w:val="auto"/>
          <w:sz w:val="32"/>
          <w:szCs w:val="32"/>
          <w:highlight w:val="none"/>
        </w:rPr>
        <w:t>第五章  政府采购合同主要条款</w:t>
      </w:r>
      <w:bookmarkEnd w:id="78"/>
    </w:p>
    <w:p>
      <w:pPr>
        <w:widowControl/>
        <w:spacing w:line="420" w:lineRule="exact"/>
        <w:jc w:val="center"/>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一、通用必备条款部</w:t>
      </w:r>
      <w:r>
        <w:rPr>
          <w:rFonts w:hint="eastAsia" w:ascii="宋体" w:hAnsi="宋体" w:eastAsia="宋体" w:cs="宋体"/>
          <w:b/>
          <w:bCs/>
          <w:color w:val="auto"/>
          <w:kern w:val="0"/>
          <w:sz w:val="28"/>
          <w:szCs w:val="28"/>
          <w:highlight w:val="none"/>
          <w:lang w:val="en-US" w:eastAsia="zh-CN"/>
        </w:rPr>
        <w:t>份</w:t>
      </w:r>
    </w:p>
    <w:p>
      <w:pPr>
        <w:widowControl/>
        <w:shd w:val="clear"/>
        <w:spacing w:line="42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eastAsia="zh-CN"/>
        </w:rPr>
        <w:t>SHHR-2022-052</w:t>
      </w:r>
    </w:p>
    <w:p>
      <w:pPr>
        <w:widowControl/>
        <w:shd w:val="clear"/>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政府采购计划（预算）确认号：</w:t>
      </w:r>
      <w:r>
        <w:rPr>
          <w:rFonts w:hint="eastAsia" w:ascii="宋体" w:hAnsi="宋体" w:eastAsia="宋体" w:cs="宋体"/>
          <w:color w:val="auto"/>
          <w:szCs w:val="21"/>
          <w:highlight w:val="none"/>
          <w:u w:val="none"/>
          <w:lang w:eastAsia="zh-CN"/>
        </w:rPr>
        <w:t>临[2022]4208号</w:t>
      </w:r>
    </w:p>
    <w:p>
      <w:pPr>
        <w:widowControl/>
        <w:shd w:val="clear"/>
        <w:spacing w:line="42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采购人（以下称甲方）：</w:t>
      </w:r>
      <w:r>
        <w:rPr>
          <w:rFonts w:hint="eastAsia" w:ascii="宋体" w:hAnsi="宋体" w:eastAsia="宋体" w:cs="宋体"/>
          <w:color w:val="auto"/>
          <w:kern w:val="0"/>
          <w:szCs w:val="21"/>
          <w:highlight w:val="none"/>
          <w:lang w:eastAsia="zh-CN"/>
        </w:rPr>
        <w:t>嘉兴市南湖区综合行政执法局</w:t>
      </w:r>
    </w:p>
    <w:p>
      <w:pPr>
        <w:widowControl/>
        <w:shd w:val="clear"/>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供应商（以下称乙方）：</w:t>
      </w:r>
    </w:p>
    <w:p>
      <w:pPr>
        <w:widowControl/>
        <w:shd w:val="clear"/>
        <w:spacing w:line="42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采购代理机构：</w:t>
      </w:r>
      <w:r>
        <w:rPr>
          <w:rFonts w:hint="eastAsia" w:ascii="宋体" w:hAnsi="宋体" w:eastAsia="宋体" w:cs="宋体"/>
          <w:color w:val="auto"/>
          <w:kern w:val="0"/>
          <w:szCs w:val="21"/>
          <w:highlight w:val="none"/>
          <w:lang w:eastAsia="zh-CN"/>
        </w:rPr>
        <w:t>上海华瑞建设经济咨询有限公司</w:t>
      </w:r>
    </w:p>
    <w:p>
      <w:pPr>
        <w:widowControl/>
        <w:shd w:val="clear"/>
        <w:spacing w:line="42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采购方式：</w:t>
      </w:r>
      <w:r>
        <w:rPr>
          <w:rFonts w:hint="eastAsia" w:ascii="宋体" w:hAnsi="宋体" w:eastAsia="宋体" w:cs="宋体"/>
          <w:color w:val="auto"/>
          <w:szCs w:val="21"/>
          <w:highlight w:val="none"/>
        </w:rPr>
        <w:t>竞争性磋商</w:t>
      </w:r>
    </w:p>
    <w:p>
      <w:pPr>
        <w:widowControl/>
        <w:shd w:val="clear"/>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根据《中华人民共和国政府采购法》、《中华人民共和国民法典》等法律法规的规定，甲乙双方按照</w:t>
      </w:r>
      <w:r>
        <w:rPr>
          <w:rFonts w:hint="eastAsia" w:ascii="宋体" w:hAnsi="宋体" w:eastAsia="宋体" w:cs="宋体"/>
          <w:color w:val="auto"/>
          <w:kern w:val="0"/>
          <w:szCs w:val="21"/>
          <w:highlight w:val="none"/>
          <w:u w:val="single"/>
          <w:lang w:val="en-US" w:eastAsia="zh-CN"/>
        </w:rPr>
        <w:t xml:space="preserve">  嘉兴</w:t>
      </w:r>
      <w:r>
        <w:rPr>
          <w:rFonts w:hint="eastAsia" w:ascii="宋体" w:hAnsi="宋体" w:eastAsia="宋体" w:cs="宋体"/>
          <w:color w:val="auto"/>
          <w:kern w:val="0"/>
          <w:szCs w:val="21"/>
          <w:highlight w:val="none"/>
          <w:u w:val="single"/>
          <w:lang w:eastAsia="zh-CN"/>
        </w:rPr>
        <w:t>市南湖区综合行政执法局南湖区开店一件事项目</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采购结果签订本合同。</w:t>
      </w:r>
    </w:p>
    <w:p>
      <w:pPr>
        <w:widowControl/>
        <w:shd w:val="clear"/>
        <w:spacing w:line="420" w:lineRule="exact"/>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第一条 合同组成</w:t>
      </w:r>
    </w:p>
    <w:p>
      <w:pPr>
        <w:widowControl/>
        <w:shd w:val="clear"/>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本次政府采购活动的相关文件为本合同的组成部分，这些文件包括但不限于：</w:t>
      </w:r>
    </w:p>
    <w:p>
      <w:pPr>
        <w:widowControl/>
        <w:shd w:val="clear"/>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（1）本合同文本；</w:t>
      </w:r>
    </w:p>
    <w:p>
      <w:pPr>
        <w:widowControl/>
        <w:shd w:val="clear"/>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（2）采购文件与采购响应文件；</w:t>
      </w:r>
    </w:p>
    <w:p>
      <w:pPr>
        <w:widowControl/>
        <w:shd w:val="clear"/>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（3）中标或成交通知书；</w:t>
      </w:r>
    </w:p>
    <w:p>
      <w:pPr>
        <w:widowControl/>
        <w:shd w:val="clear"/>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组成本合同的所有文件必须为书面形式。</w:t>
      </w:r>
    </w:p>
    <w:p>
      <w:pPr>
        <w:widowControl/>
        <w:shd w:val="clear"/>
        <w:spacing w:line="420" w:lineRule="exact"/>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第二条 合同标的与相关属性</w:t>
      </w:r>
    </w:p>
    <w:p>
      <w:pPr>
        <w:widowControl/>
        <w:shd w:val="clear"/>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1、本次采购的是                                            </w:t>
      </w:r>
    </w:p>
    <w:p>
      <w:pPr>
        <w:widowControl/>
        <w:shd w:val="clear"/>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2、乙方是否属于中小微企业：□是□否</w:t>
      </w:r>
    </w:p>
    <w:p>
      <w:pPr>
        <w:widowControl/>
        <w:shd w:val="clear"/>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3、本合同项下产品属于（可多选）：□环保产品；□节能产品；□进口产品</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第三条 合同价款</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1、本合同项下总价款为（大写）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人民币，分项价款见“价格清单”（若有）。</w:t>
      </w:r>
    </w:p>
    <w:p>
      <w:pPr>
        <w:shd w:val="clear"/>
        <w:snapToGrid w:val="0"/>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价款含所有费用。(包括提供本项目服务工作所需的设备、人员工资、奖金、加班费、社会保险、管理费用、税费、利润、完成合同所需的一切本身和不可或缺的所有工作开支、政策性文件规定及合同包含的所有风险、责任等各项全部费用)</w:t>
      </w:r>
    </w:p>
    <w:p>
      <w:pPr>
        <w:shd w:val="clear"/>
        <w:snapToGrid w:val="0"/>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3、本合同付款方式为以下第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w:t>
      </w:r>
    </w:p>
    <w:p>
      <w:pPr>
        <w:shd w:val="clear"/>
        <w:snapToGrid w:val="0"/>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（1）本合同项下的采购资金系甲方自行支付，付款程序为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hd w:val="clear"/>
        <w:snapToGrid w:val="0"/>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（2）本合同项下的采购资金须财政直接支付，付款程序为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hd w:val="clear"/>
        <w:snapToGrid w:val="0"/>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（3）其他方式：</w:t>
      </w:r>
    </w:p>
    <w:p>
      <w:pPr>
        <w:shd w:val="clear"/>
        <w:snapToGrid w:val="0"/>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4、本合同项下的采购资金付款进度按招投标文件规定，未规定时按以下第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项支付：</w:t>
      </w:r>
    </w:p>
    <w:p>
      <w:pPr>
        <w:shd w:val="clear"/>
        <w:snapToGrid w:val="0"/>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（1）一次性付款：乙方合同履行达到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（条件）时，一次性付款；</w:t>
      </w:r>
    </w:p>
    <w:p>
      <w:pPr>
        <w:shd w:val="clear"/>
        <w:snapToGrid w:val="0"/>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（2）分期付款</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时支付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hd w:val="clear"/>
        <w:snapToGrid w:val="0"/>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若收取了履约保证金，则不应重复设置尾款支付条件。</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第四条 履约保证金</w:t>
      </w:r>
    </w:p>
    <w:p>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按以下第</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项处理：</w:t>
      </w:r>
    </w:p>
    <w:p>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1.本项目设置履约保证金，具体见采购文件与采购响应文件。</w:t>
      </w:r>
    </w:p>
    <w:p>
      <w:pPr>
        <w:widowControl/>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rPr>
        <w:t>2.本项目不设置履约保证金。</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第五条 合同的变更和终止</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除《政府采购法》第49条、第50条第二款规定的情形外，本合同一经签订，甲乙双方不得擅自终止合同或对合同实质性条款进行变更。确有特殊情况的，须经同级财政部门备案同意。</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第六条 合同的转让与分包</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乙方不得擅自部分或全部转让其应履行的合同义务。</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第七条 争议的解决</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color w:val="auto"/>
          <w:kern w:val="0"/>
          <w:szCs w:val="21"/>
          <w:highlight w:val="none"/>
        </w:rPr>
      </w:pPr>
      <w:bookmarkStart w:id="79" w:name="OLE_LINK3"/>
      <w:r>
        <w:rPr>
          <w:rFonts w:hint="eastAsia" w:ascii="宋体" w:hAnsi="宋体" w:eastAsia="宋体" w:cs="宋体"/>
          <w:color w:val="auto"/>
          <w:kern w:val="0"/>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种方式解决争议：</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（1）向甲方所在地有管辖权的人民法院提起诉讼；</w:t>
      </w:r>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w:t>
      </w:r>
      <w:r>
        <w:rPr>
          <w:rFonts w:hint="eastAsia" w:ascii="宋体" w:hAnsi="宋体" w:eastAsia="宋体" w:cs="宋体"/>
          <w:color w:val="auto"/>
          <w:kern w:val="0"/>
          <w:szCs w:val="21"/>
          <w:highlight w:val="none"/>
          <w:u w:val="single"/>
        </w:rPr>
        <w:t xml:space="preserve">  嘉兴 </w:t>
      </w:r>
      <w:r>
        <w:rPr>
          <w:rFonts w:hint="eastAsia" w:ascii="宋体" w:hAnsi="宋体" w:eastAsia="宋体" w:cs="宋体"/>
          <w:color w:val="auto"/>
          <w:kern w:val="0"/>
          <w:szCs w:val="21"/>
          <w:highlight w:val="none"/>
        </w:rPr>
        <w:t>仲裁委员申请仲裁。</w:t>
      </w:r>
      <w:bookmarkEnd w:id="79"/>
    </w:p>
    <w:p>
      <w:pPr>
        <w:shd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第八条 合同备案及其他</w:t>
      </w:r>
    </w:p>
    <w:p>
      <w:pPr>
        <w:widowControl/>
        <w:shd w:val="clear"/>
        <w:spacing w:line="420" w:lineRule="exact"/>
        <w:ind w:firstLine="420" w:firstLineChars="200"/>
        <w:jc w:val="left"/>
        <w:rPr>
          <w:rFonts w:hint="eastAsia" w:ascii="宋体" w:hAnsi="宋体" w:eastAsia="宋体" w:cs="宋体"/>
          <w:b/>
          <w:bCs/>
          <w:color w:val="auto"/>
          <w:kern w:val="0"/>
          <w:sz w:val="30"/>
          <w:szCs w:val="30"/>
          <w:highlight w:val="none"/>
        </w:rPr>
      </w:pPr>
      <w:r>
        <w:rPr>
          <w:rFonts w:hint="eastAsia" w:ascii="宋体" w:hAnsi="宋体" w:eastAsia="宋体" w:cs="宋体"/>
          <w:color w:val="auto"/>
          <w:kern w:val="0"/>
          <w:szCs w:val="21"/>
          <w:highlight w:val="none"/>
        </w:rPr>
        <w:t>本合同一式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七</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份，甲乙双方各执</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三</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份，</w:t>
      </w:r>
      <w:r>
        <w:rPr>
          <w:rFonts w:hint="eastAsia" w:ascii="宋体" w:hAnsi="宋体" w:eastAsia="宋体" w:cs="宋体"/>
          <w:color w:val="auto"/>
          <w:kern w:val="0"/>
          <w:szCs w:val="21"/>
          <w:highlight w:val="none"/>
          <w:u w:val="single"/>
        </w:rPr>
        <w:t xml:space="preserve"> 一 </w:t>
      </w:r>
      <w:r>
        <w:rPr>
          <w:rFonts w:hint="eastAsia" w:ascii="宋体" w:hAnsi="宋体" w:eastAsia="宋体" w:cs="宋体"/>
          <w:color w:val="auto"/>
          <w:kern w:val="0"/>
          <w:szCs w:val="21"/>
          <w:highlight w:val="none"/>
        </w:rPr>
        <w:t>份留采购代理单位存档备查。</w:t>
      </w:r>
    </w:p>
    <w:p>
      <w:pPr>
        <w:widowControl/>
        <w:shd w:val="clear"/>
        <w:spacing w:line="420" w:lineRule="exact"/>
        <w:ind w:firstLine="602" w:firstLineChars="200"/>
        <w:jc w:val="left"/>
        <w:rPr>
          <w:rFonts w:hint="eastAsia" w:ascii="宋体" w:hAnsi="宋体" w:eastAsia="宋体" w:cs="宋体"/>
          <w:b/>
          <w:bCs/>
          <w:color w:val="auto"/>
          <w:kern w:val="0"/>
          <w:sz w:val="30"/>
          <w:szCs w:val="30"/>
          <w:highlight w:val="none"/>
        </w:rPr>
      </w:pPr>
    </w:p>
    <w:p>
      <w:pPr>
        <w:pStyle w:val="16"/>
        <w:shd w:val="clear"/>
        <w:snapToGrid w:val="0"/>
        <w:spacing w:before="120" w:after="120" w:line="42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kern w:val="0"/>
          <w:sz w:val="28"/>
          <w:szCs w:val="28"/>
          <w:highlight w:val="none"/>
        </w:rPr>
        <w:t>二、特殊专用条款部</w:t>
      </w:r>
      <w:r>
        <w:rPr>
          <w:rFonts w:hint="eastAsia" w:ascii="宋体" w:hAnsi="宋体" w:eastAsia="宋体" w:cs="宋体"/>
          <w:b/>
          <w:bCs/>
          <w:color w:val="auto"/>
          <w:kern w:val="0"/>
          <w:sz w:val="28"/>
          <w:szCs w:val="28"/>
          <w:highlight w:val="none"/>
          <w:lang w:val="en-US" w:eastAsia="zh-CN"/>
        </w:rPr>
        <w:t>份</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p>
      <w:pPr>
        <w:pStyle w:val="16"/>
        <w:snapToGrid w:val="0"/>
        <w:spacing w:before="120" w:after="120" w:line="400" w:lineRule="exact"/>
        <w:rPr>
          <w:rFonts w:hint="eastAsia" w:ascii="宋体" w:hAnsi="宋体" w:eastAsia="宋体" w:cs="宋体"/>
          <w:color w:val="auto"/>
          <w:highlight w:val="none"/>
        </w:rPr>
      </w:pPr>
    </w:p>
    <w:p>
      <w:pPr>
        <w:autoSpaceDE w:val="0"/>
        <w:autoSpaceDN w:val="0"/>
        <w:adjustRightInd w:val="0"/>
        <w:spacing w:line="4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甲方：                               乙方： </w:t>
      </w:r>
    </w:p>
    <w:p>
      <w:pPr>
        <w:autoSpaceDE w:val="0"/>
        <w:autoSpaceDN w:val="0"/>
        <w:adjustRightInd w:val="0"/>
        <w:spacing w:line="4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地址：                               地址： </w:t>
      </w:r>
    </w:p>
    <w:p>
      <w:pPr>
        <w:autoSpaceDE w:val="0"/>
        <w:autoSpaceDN w:val="0"/>
        <w:adjustRightInd w:val="0"/>
        <w:spacing w:line="440" w:lineRule="atLeas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法定代表人：                         法定代表人：</w:t>
      </w:r>
    </w:p>
    <w:p>
      <w:pPr>
        <w:autoSpaceDE w:val="0"/>
        <w:autoSpaceDN w:val="0"/>
        <w:adjustRightInd w:val="0"/>
        <w:spacing w:line="440" w:lineRule="atLeas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授权委托代理人：（签字）             授权委托代理人：（签字）</w:t>
      </w:r>
    </w:p>
    <w:p>
      <w:pPr>
        <w:pStyle w:val="4"/>
        <w:ind w:firstLine="420"/>
        <w:outlineLvl w:val="9"/>
        <w:rPr>
          <w:rFonts w:hint="eastAsia" w:ascii="宋体" w:hAnsi="宋体" w:eastAsia="宋体" w:cs="宋体"/>
          <w:color w:val="auto"/>
          <w:highlight w:val="none"/>
        </w:rPr>
      </w:pPr>
    </w:p>
    <w:p>
      <w:pPr>
        <w:autoSpaceDE w:val="0"/>
        <w:autoSpaceDN w:val="0"/>
        <w:adjustRightInd w:val="0"/>
        <w:spacing w:line="400" w:lineRule="exact"/>
        <w:ind w:right="48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Cs w:val="21"/>
          <w:highlight w:val="none"/>
        </w:rPr>
        <w:t>签订地点：</w:t>
      </w:r>
    </w:p>
    <w:p>
      <w:pPr>
        <w:autoSpaceDE w:val="0"/>
        <w:autoSpaceDN w:val="0"/>
        <w:adjustRightInd w:val="0"/>
        <w:spacing w:line="400" w:lineRule="exact"/>
        <w:jc w:val="right"/>
        <w:rPr>
          <w:rFonts w:hint="eastAsia" w:ascii="宋体" w:hAnsi="宋体" w:eastAsia="宋体" w:cs="宋体"/>
          <w:color w:val="auto"/>
          <w:highlight w:val="none"/>
        </w:rPr>
      </w:pPr>
      <w:r>
        <w:rPr>
          <w:rFonts w:hint="eastAsia" w:ascii="宋体" w:hAnsi="宋体" w:eastAsia="宋体" w:cs="宋体"/>
          <w:color w:val="auto"/>
          <w:szCs w:val="21"/>
          <w:highlight w:val="none"/>
        </w:rPr>
        <w:t>签订日期：      年   月   日</w:t>
      </w:r>
    </w:p>
    <w:p>
      <w:pPr>
        <w:pStyle w:val="16"/>
        <w:snapToGrid w:val="0"/>
        <w:spacing w:before="120" w:after="120" w:line="400" w:lineRule="exact"/>
        <w:rPr>
          <w:rFonts w:hint="eastAsia" w:ascii="宋体" w:hAnsi="宋体" w:eastAsia="宋体" w:cs="宋体"/>
          <w:color w:val="auto"/>
          <w:highlight w:val="none"/>
        </w:rPr>
      </w:pPr>
    </w:p>
    <w:p>
      <w:pPr>
        <w:spacing w:before="156" w:beforeLines="50" w:after="156" w:afterLines="50" w:line="440" w:lineRule="exact"/>
        <w:jc w:val="center"/>
        <w:outlineLvl w:val="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bookmarkStart w:id="80" w:name="_Toc15306"/>
      <w:r>
        <w:rPr>
          <w:rFonts w:hint="eastAsia" w:ascii="宋体" w:hAnsi="宋体" w:eastAsia="宋体" w:cs="宋体"/>
          <w:b/>
          <w:color w:val="auto"/>
          <w:sz w:val="30"/>
          <w:szCs w:val="30"/>
          <w:highlight w:val="none"/>
        </w:rPr>
        <w:t xml:space="preserve">第六章  </w:t>
      </w:r>
      <w:r>
        <w:rPr>
          <w:rFonts w:hint="eastAsia" w:ascii="宋体" w:hAnsi="宋体" w:eastAsia="宋体" w:cs="宋体"/>
          <w:b/>
          <w:color w:val="auto"/>
          <w:sz w:val="30"/>
          <w:szCs w:val="30"/>
          <w:highlight w:val="none"/>
          <w:lang w:val="en-US" w:eastAsia="zh-CN"/>
        </w:rPr>
        <w:t>响应</w:t>
      </w:r>
      <w:r>
        <w:rPr>
          <w:rFonts w:hint="eastAsia" w:ascii="宋体" w:hAnsi="宋体" w:eastAsia="宋体" w:cs="宋体"/>
          <w:b/>
          <w:color w:val="auto"/>
          <w:sz w:val="30"/>
          <w:szCs w:val="30"/>
          <w:highlight w:val="none"/>
        </w:rPr>
        <w:t>文件格式</w:t>
      </w:r>
      <w:bookmarkEnd w:id="80"/>
    </w:p>
    <w:p>
      <w:pPr>
        <w:snapToGrid w:val="0"/>
        <w:spacing w:before="156" w:beforeLines="50" w:after="50" w:line="440" w:lineRule="exact"/>
        <w:jc w:val="center"/>
        <w:outlineLvl w:val="1"/>
        <w:rPr>
          <w:rFonts w:hint="eastAsia" w:ascii="宋体" w:hAnsi="宋体" w:eastAsia="宋体" w:cs="宋体"/>
          <w:b/>
          <w:bCs/>
          <w:color w:val="auto"/>
          <w:sz w:val="24"/>
          <w:highlight w:val="none"/>
        </w:rPr>
      </w:pPr>
    </w:p>
    <w:p>
      <w:pPr>
        <w:snapToGrid w:val="0"/>
        <w:spacing w:before="120" w:beforeLines="50" w:after="50"/>
        <w:jc w:val="center"/>
        <w:outlineLvl w:val="1"/>
        <w:rPr>
          <w:rFonts w:hint="eastAsia" w:ascii="宋体" w:hAnsi="宋体" w:eastAsia="宋体" w:cs="宋体"/>
          <w:b/>
          <w:bCs/>
          <w:color w:val="auto"/>
          <w:sz w:val="30"/>
          <w:szCs w:val="30"/>
          <w:highlight w:val="none"/>
        </w:rPr>
      </w:pPr>
    </w:p>
    <w:p>
      <w:pPr>
        <w:snapToGrid w:val="0"/>
        <w:spacing w:before="120" w:beforeLines="50" w:after="50"/>
        <w:jc w:val="center"/>
        <w:outlineLvl w:val="1"/>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一、响应文件外层包装封面格式</w:t>
      </w:r>
    </w:p>
    <w:p>
      <w:pPr>
        <w:snapToGrid w:val="0"/>
        <w:spacing w:before="120" w:beforeLines="50" w:after="50"/>
        <w:rPr>
          <w:rFonts w:hint="eastAsia" w:ascii="宋体" w:hAnsi="宋体" w:eastAsia="宋体" w:cs="宋体"/>
          <w:color w:val="auto"/>
          <w:kern w:val="2"/>
          <w:szCs w:val="21"/>
          <w:highlight w:val="none"/>
        </w:rPr>
      </w:pPr>
    </w:p>
    <w:p>
      <w:pPr>
        <w:snapToGrid w:val="0"/>
        <w:spacing w:before="120" w:beforeLines="50" w:after="5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1.资信商务及技术文件封面格式： </w:t>
      </w:r>
    </w:p>
    <w:p>
      <w:pPr>
        <w:snapToGrid w:val="0"/>
        <w:spacing w:before="120" w:beforeLines="50" w:after="5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w:t>
      </w:r>
    </w:p>
    <w:p>
      <w:pPr>
        <w:snapToGrid w:val="0"/>
        <w:spacing w:before="120" w:beforeLines="50" w:after="50"/>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资信商务及技术文件</w:t>
      </w:r>
    </w:p>
    <w:p>
      <w:pPr>
        <w:snapToGrid w:val="0"/>
        <w:spacing w:before="120" w:beforeLines="50" w:after="50"/>
        <w:rPr>
          <w:rFonts w:hint="eastAsia" w:ascii="宋体" w:hAnsi="宋体" w:eastAsia="宋体" w:cs="宋体"/>
          <w:color w:val="auto"/>
          <w:kern w:val="2"/>
          <w:szCs w:val="21"/>
          <w:highlight w:val="none"/>
        </w:rPr>
      </w:pPr>
    </w:p>
    <w:p>
      <w:pPr>
        <w:snapToGrid w:val="0"/>
        <w:spacing w:before="120" w:beforeLines="50" w:after="50" w:line="320" w:lineRule="exact"/>
        <w:ind w:firstLine="934" w:firstLineChars="445"/>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项目名称：</w:t>
      </w:r>
    </w:p>
    <w:p>
      <w:pPr>
        <w:snapToGrid w:val="0"/>
        <w:spacing w:before="120" w:beforeLines="50" w:after="50" w:line="320" w:lineRule="exact"/>
        <w:ind w:firstLine="934" w:firstLineChars="445"/>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项目编号： </w:t>
      </w:r>
    </w:p>
    <w:p>
      <w:pPr>
        <w:pStyle w:val="9"/>
        <w:snapToGrid w:val="0"/>
        <w:spacing w:before="50" w:after="50" w:line="320" w:lineRule="exact"/>
        <w:ind w:firstLine="1246" w:firstLineChars="445"/>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供应商名称：</w:t>
      </w:r>
    </w:p>
    <w:p>
      <w:pPr>
        <w:pStyle w:val="9"/>
        <w:snapToGrid w:val="0"/>
        <w:spacing w:before="50" w:after="50" w:line="320" w:lineRule="exact"/>
        <w:ind w:firstLine="1246" w:firstLineChars="445"/>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供应商地址：</w:t>
      </w:r>
    </w:p>
    <w:p>
      <w:pPr>
        <w:snapToGrid w:val="0"/>
        <w:spacing w:before="120" w:beforeLines="50" w:after="50"/>
        <w:ind w:firstLine="645"/>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年  月  日</w:t>
      </w:r>
    </w:p>
    <w:p>
      <w:pPr>
        <w:snapToGrid w:val="0"/>
        <w:spacing w:before="120" w:beforeLines="50" w:after="50"/>
        <w:ind w:firstLine="645"/>
        <w:jc w:val="center"/>
        <w:rPr>
          <w:rFonts w:hint="eastAsia" w:ascii="宋体" w:hAnsi="宋体" w:eastAsia="宋体" w:cs="宋体"/>
          <w:color w:val="auto"/>
          <w:sz w:val="24"/>
          <w:highlight w:val="none"/>
        </w:rPr>
      </w:pPr>
    </w:p>
    <w:p>
      <w:pPr>
        <w:snapToGrid w:val="0"/>
        <w:spacing w:before="120" w:beforeLines="50" w:after="50"/>
        <w:rPr>
          <w:rFonts w:hint="eastAsia" w:ascii="宋体" w:hAnsi="宋体" w:eastAsia="宋体" w:cs="宋体"/>
          <w:b/>
          <w:color w:val="auto"/>
          <w:sz w:val="24"/>
          <w:highlight w:val="none"/>
        </w:rPr>
      </w:pPr>
    </w:p>
    <w:p>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kern w:val="2"/>
          <w:szCs w:val="21"/>
          <w:highlight w:val="none"/>
        </w:rPr>
        <w:t>2．报价文件封面格式：</w:t>
      </w:r>
      <w:r>
        <w:rPr>
          <w:rFonts w:hint="eastAsia" w:ascii="宋体" w:hAnsi="宋体" w:eastAsia="宋体" w:cs="宋体"/>
          <w:b/>
          <w:color w:val="auto"/>
          <w:sz w:val="24"/>
          <w:highlight w:val="none"/>
        </w:rPr>
        <w:t xml:space="preserve"> </w:t>
      </w:r>
    </w:p>
    <w:p>
      <w:pPr>
        <w:snapToGrid w:val="0"/>
        <w:spacing w:before="120" w:beforeLines="50" w:after="50"/>
        <w:rPr>
          <w:rFonts w:hint="eastAsia" w:ascii="宋体" w:hAnsi="宋体" w:eastAsia="宋体" w:cs="宋体"/>
          <w:b/>
          <w:bCs/>
          <w:color w:val="auto"/>
          <w:sz w:val="32"/>
          <w:highlight w:val="none"/>
        </w:rPr>
      </w:pPr>
      <w:r>
        <w:rPr>
          <w:rFonts w:hint="eastAsia" w:ascii="宋体" w:hAnsi="宋体" w:eastAsia="宋体" w:cs="宋体"/>
          <w:color w:val="auto"/>
          <w:sz w:val="24"/>
          <w:highlight w:val="none"/>
        </w:rPr>
        <w:t xml:space="preserve">                                                   </w:t>
      </w:r>
    </w:p>
    <w:p>
      <w:pPr>
        <w:snapToGrid w:val="0"/>
        <w:spacing w:before="120" w:beforeLines="50" w:after="50"/>
        <w:jc w:val="center"/>
        <w:rPr>
          <w:rFonts w:hint="eastAsia" w:ascii="宋体" w:hAnsi="宋体" w:eastAsia="宋体" w:cs="宋体"/>
          <w:b/>
          <w:bCs/>
          <w:color w:val="auto"/>
          <w:sz w:val="32"/>
          <w:szCs w:val="32"/>
          <w:highlight w:val="none"/>
        </w:rPr>
      </w:pPr>
    </w:p>
    <w:p>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 价 文 件</w:t>
      </w:r>
    </w:p>
    <w:p>
      <w:pPr>
        <w:snapToGrid w:val="0"/>
        <w:spacing w:before="120" w:beforeLines="50" w:after="50" w:line="320" w:lineRule="exact"/>
        <w:ind w:firstLine="934" w:firstLineChars="445"/>
        <w:rPr>
          <w:rFonts w:hint="eastAsia" w:ascii="宋体" w:hAnsi="宋体" w:eastAsia="宋体" w:cs="宋体"/>
          <w:color w:val="auto"/>
          <w:kern w:val="2"/>
          <w:szCs w:val="21"/>
          <w:highlight w:val="none"/>
        </w:rPr>
      </w:pPr>
    </w:p>
    <w:p>
      <w:pPr>
        <w:snapToGrid w:val="0"/>
        <w:spacing w:before="120" w:beforeLines="50" w:after="50" w:line="320" w:lineRule="exact"/>
        <w:ind w:firstLine="934" w:firstLineChars="445"/>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项目名称：</w:t>
      </w:r>
    </w:p>
    <w:p>
      <w:pPr>
        <w:snapToGrid w:val="0"/>
        <w:spacing w:before="120" w:beforeLines="50" w:after="50" w:line="320" w:lineRule="exact"/>
        <w:ind w:firstLine="934" w:firstLineChars="445"/>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项目编号： </w:t>
      </w:r>
    </w:p>
    <w:p>
      <w:pPr>
        <w:pStyle w:val="9"/>
        <w:snapToGrid w:val="0"/>
        <w:spacing w:before="50" w:after="50" w:line="320" w:lineRule="exact"/>
        <w:ind w:firstLine="1246" w:firstLineChars="445"/>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供应商名称：</w:t>
      </w:r>
    </w:p>
    <w:p>
      <w:pPr>
        <w:pStyle w:val="9"/>
        <w:snapToGrid w:val="0"/>
        <w:spacing w:before="50" w:after="50" w:line="320" w:lineRule="exact"/>
        <w:ind w:firstLine="1246" w:firstLineChars="445"/>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供应商地址：</w:t>
      </w:r>
    </w:p>
    <w:p>
      <w:pPr>
        <w:snapToGrid w:val="0"/>
        <w:spacing w:before="120" w:beforeLines="50" w:after="50" w:line="360" w:lineRule="auto"/>
        <w:ind w:firstLine="645"/>
        <w:jc w:val="center"/>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                                               年  月  日</w:t>
      </w:r>
    </w:p>
    <w:p>
      <w:pPr>
        <w:snapToGrid w:val="0"/>
        <w:spacing w:before="120" w:beforeLines="50" w:after="50"/>
        <w:rPr>
          <w:rFonts w:hint="eastAsia" w:ascii="宋体" w:hAnsi="宋体" w:eastAsia="宋体" w:cs="宋体"/>
          <w:b/>
          <w:color w:val="auto"/>
          <w:sz w:val="24"/>
          <w:highlight w:val="none"/>
        </w:rPr>
      </w:pPr>
    </w:p>
    <w:p>
      <w:pPr>
        <w:snapToGrid w:val="0"/>
        <w:spacing w:before="120" w:beforeLines="50" w:after="50"/>
        <w:rPr>
          <w:rFonts w:hint="eastAsia" w:ascii="宋体" w:hAnsi="宋体" w:eastAsia="宋体" w:cs="宋体"/>
          <w:b/>
          <w:color w:val="auto"/>
          <w:sz w:val="24"/>
          <w:highlight w:val="none"/>
        </w:rPr>
      </w:pPr>
    </w:p>
    <w:p>
      <w:pPr>
        <w:snapToGrid w:val="0"/>
        <w:spacing w:before="120" w:beforeLines="50" w:after="50"/>
        <w:rPr>
          <w:rFonts w:hint="eastAsia" w:ascii="宋体" w:hAnsi="宋体" w:eastAsia="宋体" w:cs="宋体"/>
          <w:b/>
          <w:color w:val="auto"/>
          <w:sz w:val="24"/>
          <w:highlight w:val="none"/>
        </w:rPr>
      </w:pPr>
    </w:p>
    <w:p>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b/>
          <w:color w:val="auto"/>
          <w:sz w:val="24"/>
          <w:highlight w:val="none"/>
        </w:rPr>
        <w:t>3.资信商务及技术文件、磋商报价文件目录</w:t>
      </w:r>
      <w:r>
        <w:rPr>
          <w:rFonts w:hint="eastAsia" w:ascii="宋体" w:hAnsi="宋体" w:eastAsia="宋体" w:cs="宋体"/>
          <w:b/>
          <w:bCs/>
          <w:color w:val="auto"/>
          <w:sz w:val="24"/>
          <w:highlight w:val="none"/>
        </w:rPr>
        <w:t>（请按照“第三章 供应商须知，三、响应文件的编制”的顺序，结合评标办法自行编制目录）</w:t>
      </w:r>
    </w:p>
    <w:p>
      <w:pPr>
        <w:snapToGrid w:val="0"/>
        <w:spacing w:before="50" w:after="5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例如：</w:t>
      </w: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资信商务文件：</w:t>
      </w:r>
    </w:p>
    <w:p>
      <w:pPr>
        <w:snapToGrid w:val="0"/>
        <w:spacing w:before="50" w:after="50"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（1）资格文件 —————————————————————————（页码）</w:t>
      </w:r>
    </w:p>
    <w:p>
      <w:pPr>
        <w:snapToGrid w:val="0"/>
        <w:spacing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（2）磋商声明书 ————————————————————————（页码）</w:t>
      </w:r>
    </w:p>
    <w:p>
      <w:pPr>
        <w:snapToGrid w:val="0"/>
        <w:spacing w:before="50" w:after="120" w:afterLines="50" w:line="360" w:lineRule="auto"/>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（3）法定代表人（负责人）授权委托书 —————————————— （页码）</w:t>
      </w:r>
    </w:p>
    <w:p>
      <w:pPr>
        <w:rPr>
          <w:rFonts w:hint="eastAsia" w:ascii="宋体" w:hAnsi="宋体" w:eastAsia="宋体" w:cs="宋体"/>
          <w:color w:val="auto"/>
          <w:highlight w:val="none"/>
        </w:rPr>
      </w:pPr>
    </w:p>
    <w:p>
      <w:pPr>
        <w:adjustRightInd w:val="0"/>
        <w:spacing w:line="360" w:lineRule="auto"/>
        <w:jc w:val="center"/>
        <w:rPr>
          <w:rFonts w:hint="eastAsia" w:ascii="宋体" w:hAnsi="宋体" w:eastAsia="宋体" w:cs="宋体"/>
          <w:b/>
          <w:color w:val="auto"/>
          <w:szCs w:val="21"/>
          <w:highlight w:val="none"/>
        </w:rPr>
      </w:pPr>
    </w:p>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pacing w:line="360" w:lineRule="auto"/>
        <w:jc w:val="center"/>
        <w:rPr>
          <w:rFonts w:hint="eastAsia" w:ascii="宋体" w:hAnsi="宋体" w:eastAsia="宋体" w:cs="宋体"/>
          <w:b/>
          <w:bCs/>
          <w:color w:val="auto"/>
          <w:sz w:val="32"/>
          <w:szCs w:val="32"/>
          <w:highlight w:val="none"/>
        </w:rPr>
      </w:pPr>
    </w:p>
    <w:p>
      <w:pPr>
        <w:adjustRightIn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磋商响应函</w:t>
      </w:r>
    </w:p>
    <w:p>
      <w:pPr>
        <w:adjustRightIn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p>
    <w:p>
      <w:pPr>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根据贵方为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采购项目的磋商[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]（项目编号：    ），签字代表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（全名）经正式授权并代表磋商响应方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（磋商响应方名称）提交磋商电子响应文件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adjustRightInd w:val="0"/>
        <w:spacing w:line="360" w:lineRule="auto"/>
        <w:ind w:left="638" w:leftChars="304"/>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据此函，签字代表宣布同意如下：</w:t>
      </w:r>
    </w:p>
    <w:p>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将按“磋商文件”的规定履行协议责任和义务。磋商响应方已详细审查全部“磋商文件”，包括修改文件（如有的话）以及全部参考资料和有关附件。我们完全理解并同意放弃对这方面有不明及误解的权利。</w:t>
      </w:r>
    </w:p>
    <w:p>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本磋商响应文件有效期自开标日起至 ______内有效。磋商响应方同意提供按照贵方要求与磋商有关的一切数据或资料，理解贵方不一定接受最低的磋商报价。</w:t>
      </w:r>
    </w:p>
    <w:p>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与本次磋商有关的一切正式往来通讯请寄：</w:t>
      </w:r>
    </w:p>
    <w:p>
      <w:pPr>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地址：_______________邮编：______________电话：_______________</w:t>
      </w:r>
    </w:p>
    <w:p>
      <w:pPr>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传真：______________磋商响应方代表姓名 ____________ 职务：_____________</w:t>
      </w:r>
    </w:p>
    <w:p>
      <w:pPr>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磋商响应方名称(公章):___________________</w:t>
      </w:r>
    </w:p>
    <w:p>
      <w:pPr>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日期:_____年___月___日</w:t>
      </w:r>
    </w:p>
    <w:p>
      <w:pPr>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全权代表签字:___________</w:t>
      </w: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Cs w:val="21"/>
          <w:highlight w:val="none"/>
        </w:rPr>
      </w:pPr>
    </w:p>
    <w:p>
      <w:pPr>
        <w:spacing w:line="360" w:lineRule="auto"/>
        <w:jc w:val="center"/>
        <w:rPr>
          <w:rFonts w:hint="eastAsia" w:ascii="宋体" w:hAnsi="宋体" w:eastAsia="宋体" w:cs="宋体"/>
          <w:b/>
          <w:color w:val="auto"/>
          <w:szCs w:val="21"/>
          <w:highlight w:val="none"/>
        </w:rPr>
      </w:pP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供应商法定代表人授权书</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致：</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（企业名称）系中华人民共和国合法企业，法定地址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（法人）特授权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代表我单位全权办理针对上述项目的磋商、签约等具体工作，并签署全部有关的文件、协议。</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我单位对被授权人的签名负全部责任。</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在撤销授权的书面通知以前，本授权书一直有效。被授权人签署的所有文件（在授权书有效期内签署的）不因授权的撤销而失效。</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被授权人签名：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授权人签名：</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职务：</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jc w:val="center"/>
        <w:rPr>
          <w:rFonts w:hint="eastAsia" w:ascii="宋体" w:hAnsi="宋体" w:eastAsia="宋体" w:cs="宋体"/>
          <w:color w:val="auto"/>
          <w:szCs w:val="21"/>
          <w:highlight w:val="none"/>
        </w:rPr>
      </w:pPr>
    </w:p>
    <w:p>
      <w:pPr>
        <w:spacing w:line="360" w:lineRule="auto"/>
        <w:jc w:val="righ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供应商公章：</w:t>
      </w:r>
    </w:p>
    <w:p>
      <w:pPr>
        <w:spacing w:line="360" w:lineRule="auto"/>
        <w:ind w:firstLine="3150" w:firstLineChars="15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360" w:lineRule="auto"/>
        <w:ind w:firstLine="3150" w:firstLineChars="1500"/>
        <w:jc w:val="right"/>
        <w:rPr>
          <w:rFonts w:hint="eastAsia" w:ascii="宋体" w:hAnsi="宋体" w:eastAsia="宋体" w:cs="宋体"/>
          <w:color w:val="auto"/>
          <w:szCs w:val="21"/>
          <w:highlight w:val="none"/>
        </w:rPr>
      </w:pPr>
    </w:p>
    <w:p>
      <w:pPr>
        <w:spacing w:line="360" w:lineRule="auto"/>
        <w:ind w:firstLine="3150" w:firstLineChars="1500"/>
        <w:jc w:val="right"/>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附身份证明文件</w:t>
      </w:r>
    </w:p>
    <w:p>
      <w:pPr>
        <w:spacing w:line="360" w:lineRule="auto"/>
        <w:ind w:firstLine="3150" w:firstLineChars="1500"/>
        <w:jc w:val="right"/>
        <w:rPr>
          <w:rFonts w:hint="eastAsia" w:ascii="宋体" w:hAnsi="宋体" w:eastAsia="宋体" w:cs="宋体"/>
          <w:color w:val="auto"/>
          <w:szCs w:val="21"/>
          <w:highlight w:val="none"/>
        </w:rPr>
      </w:pPr>
    </w:p>
    <w:p>
      <w:pPr>
        <w:spacing w:line="360" w:lineRule="auto"/>
        <w:ind w:firstLine="3150" w:firstLineChars="1500"/>
        <w:jc w:val="right"/>
        <w:rPr>
          <w:rFonts w:hint="eastAsia" w:ascii="宋体" w:hAnsi="宋体" w:eastAsia="宋体" w:cs="宋体"/>
          <w:color w:val="auto"/>
          <w:szCs w:val="21"/>
          <w:highlight w:val="none"/>
        </w:rPr>
      </w:pPr>
    </w:p>
    <w:p>
      <w:pPr>
        <w:spacing w:line="360" w:lineRule="auto"/>
        <w:ind w:firstLine="3150" w:firstLineChars="1500"/>
        <w:jc w:val="right"/>
        <w:rPr>
          <w:rFonts w:hint="eastAsia" w:ascii="宋体" w:hAnsi="宋体" w:eastAsia="宋体" w:cs="宋体"/>
          <w:color w:val="auto"/>
          <w:szCs w:val="21"/>
          <w:highlight w:val="none"/>
        </w:rPr>
      </w:pPr>
    </w:p>
    <w:p>
      <w:pPr>
        <w:spacing w:line="360" w:lineRule="auto"/>
        <w:ind w:firstLine="3150" w:firstLineChars="1500"/>
        <w:jc w:val="right"/>
        <w:rPr>
          <w:rFonts w:hint="eastAsia" w:ascii="宋体" w:hAnsi="宋体" w:eastAsia="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color w:val="auto"/>
          <w:highlight w:val="none"/>
        </w:rPr>
      </w:pPr>
    </w:p>
    <w:p>
      <w:pPr>
        <w:spacing w:line="360" w:lineRule="auto"/>
        <w:ind w:firstLine="3150" w:firstLineChars="1500"/>
        <w:jc w:val="right"/>
        <w:rPr>
          <w:rFonts w:hint="eastAsia" w:ascii="宋体" w:hAnsi="宋体" w:eastAsia="宋体" w:cs="宋体"/>
          <w:color w:val="auto"/>
          <w:szCs w:val="21"/>
          <w:highlight w:val="none"/>
        </w:rPr>
      </w:pPr>
    </w:p>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关于资格的声明函</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致： </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关于贵方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磋商项目，本签字人愿意参加磋商，提供嘉兴政府采购一览表中规定的要求及服务，并证实提交的下列文件和说明是准确的和真实的：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1、我方工商营业执照副本复印件一份。</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2、我方公司简介。</w:t>
      </w:r>
    </w:p>
    <w:p>
      <w:pPr>
        <w:pStyle w:val="16"/>
        <w:spacing w:line="360" w:lineRule="auto"/>
        <w:ind w:firstLine="464" w:firstLineChars="221"/>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3、其他资料等。</w:t>
      </w:r>
    </w:p>
    <w:p>
      <w:pPr>
        <w:pStyle w:val="16"/>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pStyle w:val="16"/>
        <w:spacing w:line="360" w:lineRule="auto"/>
        <w:ind w:firstLine="480"/>
        <w:rPr>
          <w:rFonts w:hint="eastAsia" w:ascii="宋体" w:hAnsi="宋体" w:eastAsia="宋体" w:cs="宋体"/>
          <w:color w:val="auto"/>
          <w:szCs w:val="21"/>
          <w:highlight w:val="none"/>
        </w:rPr>
      </w:pPr>
    </w:p>
    <w:p>
      <w:pPr>
        <w:pStyle w:val="16"/>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N、</w:t>
      </w:r>
    </w:p>
    <w:p>
      <w:pPr>
        <w:spacing w:line="360" w:lineRule="auto"/>
        <w:jc w:val="center"/>
        <w:rPr>
          <w:rFonts w:hint="eastAsia" w:ascii="宋体" w:hAnsi="宋体" w:eastAsia="宋体" w:cs="宋体"/>
          <w:color w:val="auto"/>
          <w:szCs w:val="21"/>
          <w:highlight w:val="none"/>
        </w:rPr>
      </w:pPr>
    </w:p>
    <w:p>
      <w:pPr>
        <w:spacing w:line="360" w:lineRule="auto"/>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供应商代表签字：</w:t>
      </w:r>
      <w:r>
        <w:rPr>
          <w:rFonts w:hint="eastAsia" w:ascii="宋体" w:hAnsi="宋体" w:eastAsia="宋体" w:cs="宋体"/>
          <w:color w:val="auto"/>
          <w:szCs w:val="21"/>
          <w:highlight w:val="none"/>
          <w:u w:val="single"/>
        </w:rPr>
        <w:t xml:space="preserve">            </w:t>
      </w:r>
    </w:p>
    <w:p>
      <w:pPr>
        <w:spacing w:line="360" w:lineRule="auto"/>
        <w:ind w:firstLine="4872" w:firstLineChars="23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供应商公章：</w:t>
      </w:r>
      <w:r>
        <w:rPr>
          <w:rFonts w:hint="eastAsia" w:ascii="宋体" w:hAnsi="宋体" w:eastAsia="宋体" w:cs="宋体"/>
          <w:color w:val="auto"/>
          <w:szCs w:val="21"/>
          <w:highlight w:val="none"/>
          <w:u w:val="single"/>
        </w:rPr>
        <w:t xml:space="preserve">              </w:t>
      </w:r>
    </w:p>
    <w:p>
      <w:pPr>
        <w:spacing w:line="360" w:lineRule="auto"/>
        <w:ind w:firstLine="5880" w:firstLineChars="2800"/>
        <w:rPr>
          <w:rFonts w:hint="eastAsia" w:ascii="宋体" w:hAnsi="宋体" w:eastAsia="宋体" w:cs="宋体"/>
          <w:color w:val="auto"/>
          <w:szCs w:val="21"/>
          <w:highlight w:val="none"/>
        </w:rPr>
      </w:pPr>
    </w:p>
    <w:p>
      <w:pPr>
        <w:spacing w:line="360" w:lineRule="auto"/>
        <w:ind w:firstLine="5880" w:firstLineChars="28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360" w:lineRule="auto"/>
        <w:ind w:firstLine="3360" w:firstLineChars="1600"/>
        <w:rPr>
          <w:rFonts w:hint="eastAsia" w:ascii="宋体" w:hAnsi="宋体" w:eastAsia="宋体" w:cs="宋体"/>
          <w:color w:val="auto"/>
          <w:szCs w:val="21"/>
          <w:highlight w:val="none"/>
        </w:rPr>
        <w:sectPr>
          <w:pgSz w:w="11906" w:h="16838"/>
          <w:pgMar w:top="1440" w:right="1440" w:bottom="1440" w:left="1440" w:header="851" w:footer="992" w:gutter="0"/>
          <w:cols w:space="720" w:num="1"/>
          <w:docGrid w:linePitch="312" w:charSpace="0"/>
        </w:sectPr>
      </w:pP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投标人的类似成功案例的业绩证明文件：</w:t>
      </w:r>
    </w:p>
    <w:p>
      <w:pPr>
        <w:pStyle w:val="23"/>
        <w:snapToGrid w:val="0"/>
        <w:spacing w:line="360" w:lineRule="auto"/>
        <w:ind w:left="420" w:hanging="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投标人同类项目实施情况一览表格式：</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14"/>
        <w:gridCol w:w="3581"/>
        <w:gridCol w:w="1730"/>
        <w:gridCol w:w="2553"/>
        <w:gridCol w:w="1935"/>
        <w:gridCol w:w="2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19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采购单位名称</w:t>
            </w:r>
          </w:p>
        </w:tc>
        <w:tc>
          <w:tcPr>
            <w:tcW w:w="358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tc>
        <w:tc>
          <w:tcPr>
            <w:tcW w:w="255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合同金额</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（万元）</w:t>
            </w:r>
          </w:p>
        </w:tc>
        <w:tc>
          <w:tcPr>
            <w:tcW w:w="1935"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有效证明文件</w:t>
            </w:r>
          </w:p>
        </w:tc>
        <w:tc>
          <w:tcPr>
            <w:tcW w:w="241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采购单位联系人及</w:t>
            </w: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914"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3581"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730"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553"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1935"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c>
          <w:tcPr>
            <w:tcW w:w="2419" w:type="dxa"/>
            <w:tcBorders>
              <w:top w:val="single" w:color="auto" w:sz="4" w:space="0"/>
              <w:left w:val="single" w:color="auto" w:sz="4" w:space="0"/>
              <w:bottom w:val="single" w:color="auto" w:sz="4" w:space="0"/>
              <w:right w:val="single" w:color="auto" w:sz="4" w:space="0"/>
            </w:tcBorders>
          </w:tcPr>
          <w:p>
            <w:pPr>
              <w:snapToGrid w:val="0"/>
              <w:spacing w:line="360" w:lineRule="auto"/>
              <w:rPr>
                <w:rFonts w:hint="eastAsia" w:ascii="宋体" w:hAnsi="宋体" w:eastAsia="宋体" w:cs="宋体"/>
                <w:color w:val="auto"/>
                <w:szCs w:val="21"/>
                <w:highlight w:val="none"/>
              </w:rPr>
            </w:pPr>
          </w:p>
        </w:tc>
      </w:tr>
    </w:tbl>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    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spacing w:line="360" w:lineRule="auto"/>
        <w:ind w:firstLine="3360" w:firstLineChars="1600"/>
        <w:rPr>
          <w:rFonts w:hint="eastAsia" w:ascii="宋体" w:hAnsi="宋体" w:eastAsia="宋体" w:cs="宋体"/>
          <w:color w:val="auto"/>
          <w:szCs w:val="21"/>
          <w:highlight w:val="none"/>
        </w:rPr>
        <w:sectPr>
          <w:pgSz w:w="16838" w:h="11906" w:orient="landscape"/>
          <w:pgMar w:top="1440" w:right="1440" w:bottom="1440" w:left="1440" w:header="851" w:footer="992" w:gutter="0"/>
          <w:cols w:space="720" w:num="1"/>
          <w:docGrid w:linePitch="312" w:charSpace="0"/>
        </w:sectPr>
      </w:pPr>
    </w:p>
    <w:p>
      <w:pPr>
        <w:wordWrap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技术规范偏离</w:t>
      </w:r>
      <w:r>
        <w:rPr>
          <w:rFonts w:hint="eastAsia" w:ascii="宋体" w:hAnsi="宋体" w:eastAsia="宋体" w:cs="宋体"/>
          <w:b/>
          <w:color w:val="auto"/>
          <w:szCs w:val="21"/>
          <w:highlight w:val="none"/>
        </w:rPr>
        <w:t>表格式：</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15"/>
        <w:gridCol w:w="283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pPr>
              <w:tabs>
                <w:tab w:val="left" w:pos="0"/>
              </w:tabs>
              <w:wordWrap w:val="0"/>
              <w:spacing w:line="360" w:lineRule="auto"/>
              <w:ind w:firstLine="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15" w:type="dxa"/>
            <w:vAlign w:val="center"/>
          </w:tcPr>
          <w:p>
            <w:pPr>
              <w:tabs>
                <w:tab w:val="left" w:pos="0"/>
              </w:tabs>
              <w:wordWrap w:val="0"/>
              <w:spacing w:line="360" w:lineRule="auto"/>
              <w:ind w:firstLine="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招标文件要求</w:t>
            </w:r>
          </w:p>
        </w:tc>
        <w:tc>
          <w:tcPr>
            <w:tcW w:w="2835" w:type="dxa"/>
            <w:vAlign w:val="center"/>
          </w:tcPr>
          <w:p>
            <w:pPr>
              <w:tabs>
                <w:tab w:val="left" w:pos="0"/>
              </w:tabs>
              <w:wordWrap w:val="0"/>
              <w:spacing w:line="360" w:lineRule="auto"/>
              <w:ind w:firstLine="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投标文件情况</w:t>
            </w:r>
          </w:p>
        </w:tc>
        <w:tc>
          <w:tcPr>
            <w:tcW w:w="3150" w:type="dxa"/>
            <w:vAlign w:val="center"/>
          </w:tcPr>
          <w:p>
            <w:pPr>
              <w:tabs>
                <w:tab w:val="left" w:pos="0"/>
              </w:tabs>
              <w:wordWrap w:val="0"/>
              <w:spacing w:line="360" w:lineRule="auto"/>
              <w:ind w:firstLine="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pPr>
              <w:wordWrap w:val="0"/>
              <w:spacing w:line="360" w:lineRule="auto"/>
              <w:jc w:val="center"/>
              <w:rPr>
                <w:rFonts w:hint="eastAsia" w:ascii="宋体" w:hAnsi="宋体" w:eastAsia="宋体" w:cs="宋体"/>
                <w:color w:val="auto"/>
                <w:szCs w:val="21"/>
                <w:highlight w:val="none"/>
              </w:rPr>
            </w:pPr>
          </w:p>
        </w:tc>
        <w:tc>
          <w:tcPr>
            <w:tcW w:w="2415" w:type="dxa"/>
            <w:vAlign w:val="center"/>
          </w:tcPr>
          <w:p>
            <w:pPr>
              <w:wordWrap w:val="0"/>
              <w:spacing w:line="360" w:lineRule="auto"/>
              <w:jc w:val="center"/>
              <w:rPr>
                <w:rFonts w:hint="eastAsia" w:ascii="宋体" w:hAnsi="宋体" w:eastAsia="宋体" w:cs="宋体"/>
                <w:color w:val="auto"/>
                <w:szCs w:val="21"/>
                <w:highlight w:val="none"/>
              </w:rPr>
            </w:pPr>
          </w:p>
        </w:tc>
        <w:tc>
          <w:tcPr>
            <w:tcW w:w="2835" w:type="dxa"/>
            <w:vAlign w:val="center"/>
          </w:tcPr>
          <w:p>
            <w:pPr>
              <w:wordWrap w:val="0"/>
              <w:spacing w:line="360" w:lineRule="auto"/>
              <w:jc w:val="center"/>
              <w:rPr>
                <w:rFonts w:hint="eastAsia" w:ascii="宋体" w:hAnsi="宋体" w:eastAsia="宋体" w:cs="宋体"/>
                <w:color w:val="auto"/>
                <w:szCs w:val="21"/>
                <w:highlight w:val="none"/>
              </w:rPr>
            </w:pPr>
          </w:p>
        </w:tc>
        <w:tc>
          <w:tcPr>
            <w:tcW w:w="3150" w:type="dxa"/>
            <w:vAlign w:val="center"/>
          </w:tcPr>
          <w:p>
            <w:pPr>
              <w:wordWrap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pPr>
              <w:wordWrap w:val="0"/>
              <w:spacing w:line="360" w:lineRule="auto"/>
              <w:jc w:val="center"/>
              <w:rPr>
                <w:rFonts w:hint="eastAsia" w:ascii="宋体" w:hAnsi="宋体" w:eastAsia="宋体" w:cs="宋体"/>
                <w:color w:val="auto"/>
                <w:szCs w:val="21"/>
                <w:highlight w:val="none"/>
              </w:rPr>
            </w:pPr>
          </w:p>
        </w:tc>
        <w:tc>
          <w:tcPr>
            <w:tcW w:w="2415" w:type="dxa"/>
            <w:vAlign w:val="center"/>
          </w:tcPr>
          <w:p>
            <w:pPr>
              <w:wordWrap w:val="0"/>
              <w:spacing w:line="360" w:lineRule="auto"/>
              <w:jc w:val="center"/>
              <w:rPr>
                <w:rFonts w:hint="eastAsia" w:ascii="宋体" w:hAnsi="宋体" w:eastAsia="宋体" w:cs="宋体"/>
                <w:color w:val="auto"/>
                <w:szCs w:val="21"/>
                <w:highlight w:val="none"/>
              </w:rPr>
            </w:pPr>
          </w:p>
        </w:tc>
        <w:tc>
          <w:tcPr>
            <w:tcW w:w="2835" w:type="dxa"/>
            <w:vAlign w:val="center"/>
          </w:tcPr>
          <w:p>
            <w:pPr>
              <w:wordWrap w:val="0"/>
              <w:spacing w:line="360" w:lineRule="auto"/>
              <w:jc w:val="center"/>
              <w:rPr>
                <w:rFonts w:hint="eastAsia" w:ascii="宋体" w:hAnsi="宋体" w:eastAsia="宋体" w:cs="宋体"/>
                <w:color w:val="auto"/>
                <w:szCs w:val="21"/>
                <w:highlight w:val="none"/>
              </w:rPr>
            </w:pPr>
          </w:p>
        </w:tc>
        <w:tc>
          <w:tcPr>
            <w:tcW w:w="3150" w:type="dxa"/>
            <w:vAlign w:val="center"/>
          </w:tcPr>
          <w:p>
            <w:pPr>
              <w:wordWrap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pPr>
              <w:wordWrap w:val="0"/>
              <w:spacing w:line="360" w:lineRule="auto"/>
              <w:jc w:val="center"/>
              <w:rPr>
                <w:rFonts w:hint="eastAsia" w:ascii="宋体" w:hAnsi="宋体" w:eastAsia="宋体" w:cs="宋体"/>
                <w:color w:val="auto"/>
                <w:szCs w:val="21"/>
                <w:highlight w:val="none"/>
              </w:rPr>
            </w:pPr>
          </w:p>
        </w:tc>
        <w:tc>
          <w:tcPr>
            <w:tcW w:w="2415" w:type="dxa"/>
            <w:vAlign w:val="center"/>
          </w:tcPr>
          <w:p>
            <w:pPr>
              <w:wordWrap w:val="0"/>
              <w:spacing w:line="360" w:lineRule="auto"/>
              <w:jc w:val="center"/>
              <w:rPr>
                <w:rFonts w:hint="eastAsia" w:ascii="宋体" w:hAnsi="宋体" w:eastAsia="宋体" w:cs="宋体"/>
                <w:color w:val="auto"/>
                <w:szCs w:val="21"/>
                <w:highlight w:val="none"/>
              </w:rPr>
            </w:pPr>
          </w:p>
        </w:tc>
        <w:tc>
          <w:tcPr>
            <w:tcW w:w="2835" w:type="dxa"/>
            <w:vAlign w:val="center"/>
          </w:tcPr>
          <w:p>
            <w:pPr>
              <w:wordWrap w:val="0"/>
              <w:spacing w:line="360" w:lineRule="auto"/>
              <w:jc w:val="center"/>
              <w:rPr>
                <w:rFonts w:hint="eastAsia" w:ascii="宋体" w:hAnsi="宋体" w:eastAsia="宋体" w:cs="宋体"/>
                <w:color w:val="auto"/>
                <w:szCs w:val="21"/>
                <w:highlight w:val="none"/>
              </w:rPr>
            </w:pPr>
          </w:p>
        </w:tc>
        <w:tc>
          <w:tcPr>
            <w:tcW w:w="3150" w:type="dxa"/>
            <w:vAlign w:val="center"/>
          </w:tcPr>
          <w:p>
            <w:pPr>
              <w:wordWrap w:val="0"/>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35" w:type="dxa"/>
            <w:vAlign w:val="center"/>
          </w:tcPr>
          <w:p>
            <w:pPr>
              <w:wordWrap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415" w:type="dxa"/>
            <w:vAlign w:val="center"/>
          </w:tcPr>
          <w:p>
            <w:pPr>
              <w:wordWrap w:val="0"/>
              <w:spacing w:line="360" w:lineRule="auto"/>
              <w:jc w:val="center"/>
              <w:rPr>
                <w:rFonts w:hint="eastAsia" w:ascii="宋体" w:hAnsi="宋体" w:eastAsia="宋体" w:cs="宋体"/>
                <w:color w:val="auto"/>
                <w:szCs w:val="21"/>
                <w:highlight w:val="none"/>
              </w:rPr>
            </w:pPr>
          </w:p>
        </w:tc>
        <w:tc>
          <w:tcPr>
            <w:tcW w:w="2835" w:type="dxa"/>
            <w:vAlign w:val="center"/>
          </w:tcPr>
          <w:p>
            <w:pPr>
              <w:wordWrap w:val="0"/>
              <w:spacing w:line="360" w:lineRule="auto"/>
              <w:jc w:val="center"/>
              <w:rPr>
                <w:rFonts w:hint="eastAsia" w:ascii="宋体" w:hAnsi="宋体" w:eastAsia="宋体" w:cs="宋体"/>
                <w:color w:val="auto"/>
                <w:szCs w:val="21"/>
                <w:highlight w:val="none"/>
              </w:rPr>
            </w:pPr>
          </w:p>
        </w:tc>
        <w:tc>
          <w:tcPr>
            <w:tcW w:w="3150" w:type="dxa"/>
            <w:vAlign w:val="center"/>
          </w:tcPr>
          <w:p>
            <w:pPr>
              <w:wordWrap w:val="0"/>
              <w:spacing w:line="360" w:lineRule="auto"/>
              <w:jc w:val="center"/>
              <w:rPr>
                <w:rFonts w:hint="eastAsia" w:ascii="宋体" w:hAnsi="宋体" w:eastAsia="宋体" w:cs="宋体"/>
                <w:color w:val="auto"/>
                <w:szCs w:val="21"/>
                <w:highlight w:val="none"/>
              </w:rPr>
            </w:pPr>
          </w:p>
        </w:tc>
      </w:tr>
    </w:tbl>
    <w:p>
      <w:pPr>
        <w:pStyle w:val="16"/>
        <w:wordWrap w:val="0"/>
        <w:spacing w:before="120" w:after="12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注：“偏离”系指“正偏离”、“负偏离”或“无偏离”。</w:t>
      </w:r>
    </w:p>
    <w:p>
      <w:pPr>
        <w:pStyle w:val="16"/>
        <w:wordWrap w:val="0"/>
        <w:spacing w:before="120" w:after="12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法定代表人或其委托代理人签名（或盖章）：                </w:t>
      </w:r>
    </w:p>
    <w:p>
      <w:pPr>
        <w:pStyle w:val="16"/>
        <w:wordWrap w:val="0"/>
        <w:spacing w:before="120" w:after="12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投标人：（单位公章）         </w:t>
      </w:r>
    </w:p>
    <w:p>
      <w:pPr>
        <w:pStyle w:val="16"/>
        <w:wordWrap w:val="0"/>
        <w:spacing w:before="120" w:after="120" w:line="360" w:lineRule="auto"/>
        <w:rPr>
          <w:rFonts w:hint="eastAsia" w:ascii="宋体" w:hAnsi="宋体" w:eastAsia="宋体" w:cs="宋体"/>
          <w:color w:val="auto"/>
          <w:kern w:val="0"/>
          <w:szCs w:val="21"/>
          <w:highlight w:val="none"/>
        </w:rPr>
      </w:pPr>
    </w:p>
    <w:p>
      <w:pPr>
        <w:pStyle w:val="16"/>
        <w:wordWrap w:val="0"/>
        <w:spacing w:before="120" w:after="12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日期：  年  月  日</w:t>
      </w:r>
    </w:p>
    <w:p>
      <w:pPr>
        <w:snapToGrid w:val="0"/>
        <w:spacing w:before="50" w:line="360" w:lineRule="auto"/>
        <w:rPr>
          <w:rFonts w:hint="eastAsia" w:ascii="宋体" w:hAnsi="宋体" w:eastAsia="宋体" w:cs="宋体"/>
          <w:b/>
          <w:color w:val="auto"/>
          <w:szCs w:val="21"/>
          <w:highlight w:val="none"/>
        </w:rPr>
        <w:sectPr>
          <w:footerReference r:id="rId4" w:type="default"/>
          <w:pgSz w:w="11906" w:h="16838"/>
          <w:pgMar w:top="1440" w:right="1440" w:bottom="1440" w:left="1440" w:header="850" w:footer="992" w:gutter="0"/>
          <w:cols w:space="720" w:num="1"/>
          <w:docGrid w:linePitch="318" w:charSpace="0"/>
        </w:sectPr>
      </w:pPr>
    </w:p>
    <w:p>
      <w:pPr>
        <w:snapToGrid w:val="0"/>
        <w:spacing w:before="5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商务响应表格式：</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882"/>
        <w:gridCol w:w="23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招标文件要求</w:t>
            </w: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239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宋体" w:hAnsi="宋体" w:eastAsia="宋体" w:cs="宋体"/>
                <w:color w:val="auto"/>
                <w:szCs w:val="21"/>
                <w:highlight w:val="none"/>
              </w:rPr>
            </w:pPr>
          </w:p>
        </w:tc>
        <w:tc>
          <w:tcPr>
            <w:tcW w:w="239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ind w:left="43"/>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c>
          <w:tcPr>
            <w:tcW w:w="239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c>
          <w:tcPr>
            <w:tcW w:w="239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c>
          <w:tcPr>
            <w:tcW w:w="1882"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c>
          <w:tcPr>
            <w:tcW w:w="2398" w:type="dxa"/>
            <w:tcBorders>
              <w:top w:val="single" w:color="auto" w:sz="4" w:space="0"/>
              <w:left w:val="single" w:color="auto" w:sz="4" w:space="0"/>
              <w:bottom w:val="single" w:color="auto" w:sz="4" w:space="0"/>
              <w:right w:val="single" w:color="auto" w:sz="4" w:space="0"/>
            </w:tcBorders>
          </w:tcPr>
          <w:p>
            <w:pPr>
              <w:snapToGrid w:val="0"/>
              <w:spacing w:before="120" w:beforeLines="50" w:line="360" w:lineRule="auto"/>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▲本表不允许有负偏离，任何负偏离的行为将导致投标无效。</w:t>
      </w:r>
    </w:p>
    <w:p>
      <w:pPr>
        <w:pStyle w:val="16"/>
        <w:wordWrap w:val="0"/>
        <w:spacing w:before="120" w:after="12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法定代表人或其委托代理人签名（或盖章）：                </w:t>
      </w:r>
    </w:p>
    <w:p>
      <w:pPr>
        <w:pStyle w:val="16"/>
        <w:wordWrap w:val="0"/>
        <w:spacing w:before="120" w:after="12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投标人：（单位公章）         </w:t>
      </w:r>
    </w:p>
    <w:p>
      <w:pPr>
        <w:pStyle w:val="16"/>
        <w:wordWrap w:val="0"/>
        <w:spacing w:before="120" w:after="120" w:line="360" w:lineRule="auto"/>
        <w:rPr>
          <w:rFonts w:hint="eastAsia" w:ascii="宋体" w:hAnsi="宋体" w:eastAsia="宋体" w:cs="宋体"/>
          <w:color w:val="auto"/>
          <w:kern w:val="0"/>
          <w:szCs w:val="21"/>
          <w:highlight w:val="none"/>
        </w:rPr>
      </w:pPr>
    </w:p>
    <w:p>
      <w:pPr>
        <w:pStyle w:val="16"/>
        <w:wordWrap w:val="0"/>
        <w:spacing w:before="120" w:after="120"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日期：年月  日</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spacing w:line="360" w:lineRule="auto"/>
        <w:ind w:firstLine="435"/>
        <w:outlineLvl w:val="2"/>
        <w:rPr>
          <w:rFonts w:hint="eastAsia" w:ascii="宋体" w:hAnsi="宋体" w:eastAsia="宋体" w:cs="宋体"/>
          <w:b/>
          <w:bCs/>
          <w:color w:val="auto"/>
          <w:szCs w:val="21"/>
          <w:highlight w:val="none"/>
        </w:rPr>
        <w:sectPr>
          <w:pgSz w:w="11906" w:h="16838"/>
          <w:pgMar w:top="1440" w:right="1440" w:bottom="1440" w:left="1440" w:header="850" w:footer="992" w:gutter="0"/>
          <w:cols w:space="720" w:num="1"/>
          <w:docGrid w:linePitch="318" w:charSpace="0"/>
        </w:sectPr>
      </w:pPr>
      <w:bookmarkStart w:id="81" w:name="OLE_LINK7"/>
    </w:p>
    <w:p>
      <w:pPr>
        <w:spacing w:line="360" w:lineRule="auto"/>
        <w:ind w:firstLine="435"/>
        <w:outlineLvl w:val="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项目实施人员配置情况</w:t>
      </w:r>
      <w:bookmarkEnd w:id="81"/>
    </w:p>
    <w:p>
      <w:pPr>
        <w:spacing w:line="360" w:lineRule="auto"/>
        <w:jc w:val="center"/>
        <w:outlineLvl w:val="3"/>
        <w:rPr>
          <w:rFonts w:hint="eastAsia" w:ascii="宋体" w:hAnsi="宋体" w:eastAsia="宋体" w:cs="宋体"/>
          <w:b/>
          <w:color w:val="auto"/>
          <w:szCs w:val="21"/>
          <w:highlight w:val="none"/>
        </w:rPr>
      </w:pPr>
      <w:bookmarkStart w:id="82" w:name="OLE_LINK9"/>
      <w:r>
        <w:rPr>
          <w:rFonts w:hint="eastAsia" w:ascii="宋体" w:hAnsi="宋体" w:eastAsia="宋体" w:cs="宋体"/>
          <w:b/>
          <w:color w:val="auto"/>
          <w:szCs w:val="21"/>
          <w:highlight w:val="none"/>
        </w:rPr>
        <w:t>投入的项目实施人员名单</w:t>
      </w:r>
      <w:bookmarkEnd w:id="82"/>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                                         项目编号：</w:t>
      </w:r>
      <w:r>
        <w:rPr>
          <w:rFonts w:hint="eastAsia" w:ascii="宋体" w:hAnsi="宋体" w:eastAsia="宋体" w:cs="宋体"/>
          <w:color w:val="auto"/>
          <w:szCs w:val="21"/>
          <w:highlight w:val="none"/>
        </w:rPr>
        <w:t xml:space="preserve"> </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2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92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4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29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职称/职务</w:t>
            </w:r>
          </w:p>
        </w:tc>
        <w:tc>
          <w:tcPr>
            <w:tcW w:w="1284"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本工程中的岗位</w:t>
            </w:r>
          </w:p>
        </w:tc>
        <w:tc>
          <w:tcPr>
            <w:tcW w:w="176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从事专业年限</w:t>
            </w:r>
          </w:p>
        </w:tc>
        <w:tc>
          <w:tcPr>
            <w:tcW w:w="111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1297" w:type="dxa"/>
            <w:vAlign w:val="center"/>
          </w:tcPr>
          <w:p>
            <w:pPr>
              <w:spacing w:line="360" w:lineRule="auto"/>
              <w:jc w:val="center"/>
              <w:rPr>
                <w:rFonts w:hint="eastAsia" w:ascii="宋体" w:hAnsi="宋体" w:eastAsia="宋体" w:cs="宋体"/>
                <w:color w:val="auto"/>
                <w:szCs w:val="21"/>
                <w:highlight w:val="none"/>
              </w:rPr>
            </w:pPr>
          </w:p>
        </w:tc>
        <w:tc>
          <w:tcPr>
            <w:tcW w:w="1284" w:type="dxa"/>
            <w:vAlign w:val="center"/>
          </w:tcPr>
          <w:p>
            <w:pPr>
              <w:spacing w:line="360" w:lineRule="auto"/>
              <w:jc w:val="center"/>
              <w:rPr>
                <w:rFonts w:hint="eastAsia" w:ascii="宋体" w:hAnsi="宋体" w:eastAsia="宋体" w:cs="宋体"/>
                <w:color w:val="auto"/>
                <w:szCs w:val="21"/>
                <w:highlight w:val="none"/>
              </w:rPr>
            </w:pPr>
          </w:p>
        </w:tc>
        <w:tc>
          <w:tcPr>
            <w:tcW w:w="1766" w:type="dxa"/>
          </w:tcPr>
          <w:p>
            <w:pPr>
              <w:spacing w:line="360" w:lineRule="auto"/>
              <w:jc w:val="center"/>
              <w:rPr>
                <w:rFonts w:hint="eastAsia" w:ascii="宋体" w:hAnsi="宋体" w:eastAsia="宋体" w:cs="宋体"/>
                <w:color w:val="auto"/>
                <w:szCs w:val="21"/>
                <w:highlight w:val="none"/>
              </w:rPr>
            </w:pPr>
          </w:p>
        </w:tc>
        <w:tc>
          <w:tcPr>
            <w:tcW w:w="1112"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1297" w:type="dxa"/>
            <w:vAlign w:val="center"/>
          </w:tcPr>
          <w:p>
            <w:pPr>
              <w:spacing w:line="360" w:lineRule="auto"/>
              <w:jc w:val="center"/>
              <w:rPr>
                <w:rFonts w:hint="eastAsia" w:ascii="宋体" w:hAnsi="宋体" w:eastAsia="宋体" w:cs="宋体"/>
                <w:color w:val="auto"/>
                <w:szCs w:val="21"/>
                <w:highlight w:val="none"/>
              </w:rPr>
            </w:pPr>
          </w:p>
        </w:tc>
        <w:tc>
          <w:tcPr>
            <w:tcW w:w="1284" w:type="dxa"/>
            <w:vAlign w:val="center"/>
          </w:tcPr>
          <w:p>
            <w:pPr>
              <w:spacing w:line="360" w:lineRule="auto"/>
              <w:jc w:val="center"/>
              <w:rPr>
                <w:rFonts w:hint="eastAsia" w:ascii="宋体" w:hAnsi="宋体" w:eastAsia="宋体" w:cs="宋体"/>
                <w:color w:val="auto"/>
                <w:szCs w:val="21"/>
                <w:highlight w:val="none"/>
              </w:rPr>
            </w:pPr>
          </w:p>
        </w:tc>
        <w:tc>
          <w:tcPr>
            <w:tcW w:w="1766" w:type="dxa"/>
          </w:tcPr>
          <w:p>
            <w:pPr>
              <w:spacing w:line="360" w:lineRule="auto"/>
              <w:jc w:val="center"/>
              <w:rPr>
                <w:rFonts w:hint="eastAsia" w:ascii="宋体" w:hAnsi="宋体" w:eastAsia="宋体" w:cs="宋体"/>
                <w:color w:val="auto"/>
                <w:szCs w:val="21"/>
                <w:highlight w:val="none"/>
              </w:rPr>
            </w:pPr>
          </w:p>
        </w:tc>
        <w:tc>
          <w:tcPr>
            <w:tcW w:w="1112"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1297" w:type="dxa"/>
            <w:vAlign w:val="center"/>
          </w:tcPr>
          <w:p>
            <w:pPr>
              <w:spacing w:line="360" w:lineRule="auto"/>
              <w:jc w:val="center"/>
              <w:rPr>
                <w:rFonts w:hint="eastAsia" w:ascii="宋体" w:hAnsi="宋体" w:eastAsia="宋体" w:cs="宋体"/>
                <w:color w:val="auto"/>
                <w:szCs w:val="21"/>
                <w:highlight w:val="none"/>
              </w:rPr>
            </w:pPr>
          </w:p>
        </w:tc>
        <w:tc>
          <w:tcPr>
            <w:tcW w:w="1284" w:type="dxa"/>
            <w:vAlign w:val="center"/>
          </w:tcPr>
          <w:p>
            <w:pPr>
              <w:spacing w:line="360" w:lineRule="auto"/>
              <w:jc w:val="center"/>
              <w:rPr>
                <w:rFonts w:hint="eastAsia" w:ascii="宋体" w:hAnsi="宋体" w:eastAsia="宋体" w:cs="宋体"/>
                <w:color w:val="auto"/>
                <w:szCs w:val="21"/>
                <w:highlight w:val="none"/>
              </w:rPr>
            </w:pPr>
          </w:p>
        </w:tc>
        <w:tc>
          <w:tcPr>
            <w:tcW w:w="1766" w:type="dxa"/>
          </w:tcPr>
          <w:p>
            <w:pPr>
              <w:spacing w:line="360" w:lineRule="auto"/>
              <w:jc w:val="center"/>
              <w:rPr>
                <w:rFonts w:hint="eastAsia" w:ascii="宋体" w:hAnsi="宋体" w:eastAsia="宋体" w:cs="宋体"/>
                <w:color w:val="auto"/>
                <w:szCs w:val="21"/>
                <w:highlight w:val="none"/>
              </w:rPr>
            </w:pPr>
          </w:p>
        </w:tc>
        <w:tc>
          <w:tcPr>
            <w:tcW w:w="1112"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1297" w:type="dxa"/>
            <w:vAlign w:val="center"/>
          </w:tcPr>
          <w:p>
            <w:pPr>
              <w:spacing w:line="360" w:lineRule="auto"/>
              <w:jc w:val="center"/>
              <w:rPr>
                <w:rFonts w:hint="eastAsia" w:ascii="宋体" w:hAnsi="宋体" w:eastAsia="宋体" w:cs="宋体"/>
                <w:color w:val="auto"/>
                <w:szCs w:val="21"/>
                <w:highlight w:val="none"/>
              </w:rPr>
            </w:pPr>
          </w:p>
        </w:tc>
        <w:tc>
          <w:tcPr>
            <w:tcW w:w="1284" w:type="dxa"/>
            <w:vAlign w:val="center"/>
          </w:tcPr>
          <w:p>
            <w:pPr>
              <w:spacing w:line="360" w:lineRule="auto"/>
              <w:jc w:val="center"/>
              <w:rPr>
                <w:rFonts w:hint="eastAsia" w:ascii="宋体" w:hAnsi="宋体" w:eastAsia="宋体" w:cs="宋体"/>
                <w:color w:val="auto"/>
                <w:szCs w:val="21"/>
                <w:highlight w:val="none"/>
              </w:rPr>
            </w:pPr>
          </w:p>
        </w:tc>
        <w:tc>
          <w:tcPr>
            <w:tcW w:w="1766" w:type="dxa"/>
          </w:tcPr>
          <w:p>
            <w:pPr>
              <w:spacing w:line="360" w:lineRule="auto"/>
              <w:jc w:val="center"/>
              <w:rPr>
                <w:rFonts w:hint="eastAsia" w:ascii="宋体" w:hAnsi="宋体" w:eastAsia="宋体" w:cs="宋体"/>
                <w:color w:val="auto"/>
                <w:szCs w:val="21"/>
                <w:highlight w:val="none"/>
              </w:rPr>
            </w:pPr>
          </w:p>
        </w:tc>
        <w:tc>
          <w:tcPr>
            <w:tcW w:w="1112"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1297" w:type="dxa"/>
            <w:vAlign w:val="center"/>
          </w:tcPr>
          <w:p>
            <w:pPr>
              <w:spacing w:line="360" w:lineRule="auto"/>
              <w:jc w:val="center"/>
              <w:rPr>
                <w:rFonts w:hint="eastAsia" w:ascii="宋体" w:hAnsi="宋体" w:eastAsia="宋体" w:cs="宋体"/>
                <w:color w:val="auto"/>
                <w:szCs w:val="21"/>
                <w:highlight w:val="none"/>
              </w:rPr>
            </w:pPr>
          </w:p>
        </w:tc>
        <w:tc>
          <w:tcPr>
            <w:tcW w:w="1284" w:type="dxa"/>
            <w:vAlign w:val="center"/>
          </w:tcPr>
          <w:p>
            <w:pPr>
              <w:spacing w:line="360" w:lineRule="auto"/>
              <w:jc w:val="center"/>
              <w:rPr>
                <w:rFonts w:hint="eastAsia" w:ascii="宋体" w:hAnsi="宋体" w:eastAsia="宋体" w:cs="宋体"/>
                <w:color w:val="auto"/>
                <w:szCs w:val="21"/>
                <w:highlight w:val="none"/>
              </w:rPr>
            </w:pPr>
          </w:p>
        </w:tc>
        <w:tc>
          <w:tcPr>
            <w:tcW w:w="1766" w:type="dxa"/>
          </w:tcPr>
          <w:p>
            <w:pPr>
              <w:spacing w:line="360" w:lineRule="auto"/>
              <w:jc w:val="center"/>
              <w:rPr>
                <w:rFonts w:hint="eastAsia" w:ascii="宋体" w:hAnsi="宋体" w:eastAsia="宋体" w:cs="宋体"/>
                <w:color w:val="auto"/>
                <w:szCs w:val="21"/>
                <w:highlight w:val="none"/>
              </w:rPr>
            </w:pPr>
          </w:p>
        </w:tc>
        <w:tc>
          <w:tcPr>
            <w:tcW w:w="1112"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1297" w:type="dxa"/>
            <w:vAlign w:val="center"/>
          </w:tcPr>
          <w:p>
            <w:pPr>
              <w:spacing w:line="360" w:lineRule="auto"/>
              <w:jc w:val="center"/>
              <w:rPr>
                <w:rFonts w:hint="eastAsia" w:ascii="宋体" w:hAnsi="宋体" w:eastAsia="宋体" w:cs="宋体"/>
                <w:color w:val="auto"/>
                <w:szCs w:val="21"/>
                <w:highlight w:val="none"/>
              </w:rPr>
            </w:pPr>
          </w:p>
        </w:tc>
        <w:tc>
          <w:tcPr>
            <w:tcW w:w="1284" w:type="dxa"/>
            <w:vAlign w:val="center"/>
          </w:tcPr>
          <w:p>
            <w:pPr>
              <w:spacing w:line="360" w:lineRule="auto"/>
              <w:jc w:val="center"/>
              <w:rPr>
                <w:rFonts w:hint="eastAsia" w:ascii="宋体" w:hAnsi="宋体" w:eastAsia="宋体" w:cs="宋体"/>
                <w:color w:val="auto"/>
                <w:szCs w:val="21"/>
                <w:highlight w:val="none"/>
              </w:rPr>
            </w:pPr>
          </w:p>
        </w:tc>
        <w:tc>
          <w:tcPr>
            <w:tcW w:w="1766" w:type="dxa"/>
          </w:tcPr>
          <w:p>
            <w:pPr>
              <w:spacing w:line="360" w:lineRule="auto"/>
              <w:jc w:val="center"/>
              <w:rPr>
                <w:rFonts w:hint="eastAsia" w:ascii="宋体" w:hAnsi="宋体" w:eastAsia="宋体" w:cs="宋体"/>
                <w:color w:val="auto"/>
                <w:szCs w:val="21"/>
                <w:highlight w:val="none"/>
              </w:rPr>
            </w:pPr>
          </w:p>
        </w:tc>
        <w:tc>
          <w:tcPr>
            <w:tcW w:w="1112"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1297" w:type="dxa"/>
            <w:vAlign w:val="center"/>
          </w:tcPr>
          <w:p>
            <w:pPr>
              <w:spacing w:line="360" w:lineRule="auto"/>
              <w:jc w:val="center"/>
              <w:rPr>
                <w:rFonts w:hint="eastAsia" w:ascii="宋体" w:hAnsi="宋体" w:eastAsia="宋体" w:cs="宋体"/>
                <w:color w:val="auto"/>
                <w:szCs w:val="21"/>
                <w:highlight w:val="none"/>
              </w:rPr>
            </w:pPr>
          </w:p>
        </w:tc>
        <w:tc>
          <w:tcPr>
            <w:tcW w:w="1284" w:type="dxa"/>
            <w:vAlign w:val="center"/>
          </w:tcPr>
          <w:p>
            <w:pPr>
              <w:spacing w:line="360" w:lineRule="auto"/>
              <w:jc w:val="center"/>
              <w:rPr>
                <w:rFonts w:hint="eastAsia" w:ascii="宋体" w:hAnsi="宋体" w:eastAsia="宋体" w:cs="宋体"/>
                <w:color w:val="auto"/>
                <w:szCs w:val="21"/>
                <w:highlight w:val="none"/>
              </w:rPr>
            </w:pPr>
          </w:p>
        </w:tc>
        <w:tc>
          <w:tcPr>
            <w:tcW w:w="1766" w:type="dxa"/>
          </w:tcPr>
          <w:p>
            <w:pPr>
              <w:spacing w:line="360" w:lineRule="auto"/>
              <w:jc w:val="center"/>
              <w:rPr>
                <w:rFonts w:hint="eastAsia" w:ascii="宋体" w:hAnsi="宋体" w:eastAsia="宋体" w:cs="宋体"/>
                <w:color w:val="auto"/>
                <w:szCs w:val="21"/>
                <w:highlight w:val="none"/>
              </w:rPr>
            </w:pPr>
          </w:p>
        </w:tc>
        <w:tc>
          <w:tcPr>
            <w:tcW w:w="1112"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1297" w:type="dxa"/>
            <w:vAlign w:val="center"/>
          </w:tcPr>
          <w:p>
            <w:pPr>
              <w:spacing w:line="360" w:lineRule="auto"/>
              <w:jc w:val="center"/>
              <w:rPr>
                <w:rFonts w:hint="eastAsia" w:ascii="宋体" w:hAnsi="宋体" w:eastAsia="宋体" w:cs="宋体"/>
                <w:color w:val="auto"/>
                <w:szCs w:val="21"/>
                <w:highlight w:val="none"/>
              </w:rPr>
            </w:pPr>
          </w:p>
        </w:tc>
        <w:tc>
          <w:tcPr>
            <w:tcW w:w="1284" w:type="dxa"/>
            <w:vAlign w:val="center"/>
          </w:tcPr>
          <w:p>
            <w:pPr>
              <w:spacing w:line="360" w:lineRule="auto"/>
              <w:jc w:val="center"/>
              <w:rPr>
                <w:rFonts w:hint="eastAsia" w:ascii="宋体" w:hAnsi="宋体" w:eastAsia="宋体" w:cs="宋体"/>
                <w:color w:val="auto"/>
                <w:szCs w:val="21"/>
                <w:highlight w:val="none"/>
              </w:rPr>
            </w:pPr>
          </w:p>
        </w:tc>
        <w:tc>
          <w:tcPr>
            <w:tcW w:w="1766" w:type="dxa"/>
          </w:tcPr>
          <w:p>
            <w:pPr>
              <w:spacing w:line="360" w:lineRule="auto"/>
              <w:jc w:val="center"/>
              <w:rPr>
                <w:rFonts w:hint="eastAsia" w:ascii="宋体" w:hAnsi="宋体" w:eastAsia="宋体" w:cs="宋体"/>
                <w:color w:val="auto"/>
                <w:szCs w:val="21"/>
                <w:highlight w:val="none"/>
              </w:rPr>
            </w:pPr>
          </w:p>
        </w:tc>
        <w:tc>
          <w:tcPr>
            <w:tcW w:w="1112"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927"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742" w:type="dxa"/>
            <w:vAlign w:val="center"/>
          </w:tcPr>
          <w:p>
            <w:pPr>
              <w:spacing w:line="360" w:lineRule="auto"/>
              <w:jc w:val="center"/>
              <w:rPr>
                <w:rFonts w:hint="eastAsia" w:ascii="宋体" w:hAnsi="宋体" w:eastAsia="宋体" w:cs="宋体"/>
                <w:color w:val="auto"/>
                <w:szCs w:val="21"/>
                <w:highlight w:val="none"/>
              </w:rPr>
            </w:pPr>
          </w:p>
        </w:tc>
        <w:tc>
          <w:tcPr>
            <w:tcW w:w="1297" w:type="dxa"/>
            <w:vAlign w:val="center"/>
          </w:tcPr>
          <w:p>
            <w:pPr>
              <w:spacing w:line="360" w:lineRule="auto"/>
              <w:jc w:val="center"/>
              <w:rPr>
                <w:rFonts w:hint="eastAsia" w:ascii="宋体" w:hAnsi="宋体" w:eastAsia="宋体" w:cs="宋体"/>
                <w:color w:val="auto"/>
                <w:szCs w:val="21"/>
                <w:highlight w:val="none"/>
              </w:rPr>
            </w:pPr>
          </w:p>
        </w:tc>
        <w:tc>
          <w:tcPr>
            <w:tcW w:w="1284" w:type="dxa"/>
            <w:vAlign w:val="center"/>
          </w:tcPr>
          <w:p>
            <w:pPr>
              <w:spacing w:line="360" w:lineRule="auto"/>
              <w:jc w:val="center"/>
              <w:rPr>
                <w:rFonts w:hint="eastAsia" w:ascii="宋体" w:hAnsi="宋体" w:eastAsia="宋体" w:cs="宋体"/>
                <w:color w:val="auto"/>
                <w:szCs w:val="21"/>
                <w:highlight w:val="none"/>
              </w:rPr>
            </w:pPr>
          </w:p>
        </w:tc>
        <w:tc>
          <w:tcPr>
            <w:tcW w:w="1766" w:type="dxa"/>
          </w:tcPr>
          <w:p>
            <w:pPr>
              <w:spacing w:line="360" w:lineRule="auto"/>
              <w:jc w:val="center"/>
              <w:rPr>
                <w:rFonts w:hint="eastAsia" w:ascii="宋体" w:hAnsi="宋体" w:eastAsia="宋体" w:cs="宋体"/>
                <w:color w:val="auto"/>
                <w:szCs w:val="21"/>
                <w:highlight w:val="none"/>
              </w:rPr>
            </w:pPr>
          </w:p>
        </w:tc>
        <w:tc>
          <w:tcPr>
            <w:tcW w:w="1112" w:type="dxa"/>
            <w:vAlign w:val="center"/>
          </w:tcPr>
          <w:p>
            <w:pPr>
              <w:spacing w:line="360" w:lineRule="auto"/>
              <w:jc w:val="center"/>
              <w:rPr>
                <w:rFonts w:hint="eastAsia" w:ascii="宋体" w:hAnsi="宋体" w:eastAsia="宋体" w:cs="宋体"/>
                <w:color w:val="auto"/>
                <w:szCs w:val="21"/>
                <w:highlight w:val="none"/>
              </w:rPr>
            </w:pPr>
          </w:p>
        </w:tc>
      </w:tr>
    </w:tbl>
    <w:p>
      <w:pPr>
        <w:pStyle w:val="16"/>
        <w:spacing w:before="156" w:after="156"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b/>
          <w:bCs/>
          <w:color w:val="auto"/>
          <w:szCs w:val="21"/>
          <w:highlight w:val="none"/>
        </w:rPr>
        <w:t>1、</w:t>
      </w:r>
      <w:r>
        <w:rPr>
          <w:rFonts w:hint="eastAsia" w:ascii="宋体" w:hAnsi="宋体" w:eastAsia="宋体" w:cs="宋体"/>
          <w:color w:val="auto"/>
          <w:szCs w:val="21"/>
          <w:highlight w:val="none"/>
        </w:rPr>
        <w:t xml:space="preserve">本表应附学历证书、职称证书、身份证、经验证明等复印件； </w:t>
      </w:r>
    </w:p>
    <w:p>
      <w:pPr>
        <w:pStyle w:val="16"/>
        <w:spacing w:before="156" w:after="156"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2、此表仅提供了表格形式，报价供应商可按此表格复制。</w:t>
      </w:r>
    </w:p>
    <w:p>
      <w:pPr>
        <w:pStyle w:val="16"/>
        <w:spacing w:before="156" w:after="156" w:line="360" w:lineRule="auto"/>
        <w:ind w:left="630" w:leftChars="300"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投标人全称（盖章）：</w:t>
      </w:r>
    </w:p>
    <w:p>
      <w:pPr>
        <w:pStyle w:val="16"/>
        <w:spacing w:before="156" w:after="156" w:line="360" w:lineRule="auto"/>
        <w:ind w:left="630" w:leftChars="300"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投标人代表（签字）：</w:t>
      </w:r>
    </w:p>
    <w:p>
      <w:pPr>
        <w:pStyle w:val="16"/>
        <w:spacing w:before="156" w:after="156" w:line="360" w:lineRule="auto"/>
        <w:ind w:left="657" w:leftChars="313" w:firstLine="4410" w:firstLineChars="2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  年  月</w:t>
      </w:r>
    </w:p>
    <w:p>
      <w:pPr>
        <w:pStyle w:val="16"/>
        <w:spacing w:before="156" w:after="156" w:line="360" w:lineRule="auto"/>
        <w:ind w:left="657" w:leftChars="313" w:firstLine="4410" w:firstLineChars="2100"/>
        <w:rPr>
          <w:rFonts w:hint="eastAsia" w:ascii="宋体" w:hAnsi="宋体" w:eastAsia="宋体" w:cs="宋体"/>
          <w:color w:val="auto"/>
          <w:szCs w:val="21"/>
          <w:highlight w:val="none"/>
        </w:rPr>
        <w:sectPr>
          <w:pgSz w:w="11906" w:h="16838"/>
          <w:pgMar w:top="1440" w:right="1440" w:bottom="1440" w:left="1440" w:header="850" w:footer="992" w:gutter="0"/>
          <w:cols w:space="720" w:num="1"/>
          <w:docGrid w:linePitch="318" w:charSpace="0"/>
        </w:sectPr>
      </w:pPr>
    </w:p>
    <w:p>
      <w:pPr>
        <w:pStyle w:val="16"/>
        <w:snapToGrid w:val="0"/>
        <w:spacing w:before="120" w:after="120"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w:t>
      </w:r>
    </w:p>
    <w:p>
      <w:pPr>
        <w:pStyle w:val="16"/>
        <w:snapToGrid w:val="0"/>
        <w:spacing w:before="120" w:after="120"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中小企业声明函</w:t>
      </w:r>
    </w:p>
    <w:p>
      <w:pPr>
        <w:pStyle w:val="2"/>
        <w:autoSpaceDE w:val="0"/>
        <w:autoSpaceDN w:val="0"/>
        <w:ind w:right="-5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采购活动，服务全部由符合政策要求的中小企业承接。相关企业（含联合体中的中小企业、签订分包意向协议的中小企业）的具体情况如下：</w:t>
      </w:r>
    </w:p>
    <w:p>
      <w:pPr>
        <w:pStyle w:val="2"/>
        <w:autoSpaceDE w:val="0"/>
        <w:autoSpaceDN w:val="0"/>
        <w:ind w:right="-5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 人，营业收入为万元，资产总额为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（中型企业、小型企业、微型企业）；</w:t>
      </w:r>
    </w:p>
    <w:p>
      <w:pPr>
        <w:pStyle w:val="2"/>
        <w:autoSpaceDE w:val="0"/>
        <w:autoSpaceDN w:val="0"/>
        <w:ind w:right="-54"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（采购文件中明确的所属行业）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（企业名称）</w:t>
      </w:r>
      <w:r>
        <w:rPr>
          <w:rFonts w:hint="eastAsia" w:ascii="宋体" w:hAnsi="宋体" w:eastAsia="宋体" w:cs="宋体"/>
          <w:color w:val="auto"/>
          <w:sz w:val="21"/>
          <w:szCs w:val="21"/>
          <w:highlight w:val="none"/>
        </w:rPr>
        <w:t>，从业人员人，营业收入为万元，资产总额为万元，属于</w:t>
      </w:r>
      <w:r>
        <w:rPr>
          <w:rFonts w:hint="eastAsia" w:ascii="宋体" w:hAnsi="宋体" w:eastAsia="宋体" w:cs="宋体"/>
          <w:color w:val="auto"/>
          <w:sz w:val="21"/>
          <w:szCs w:val="21"/>
          <w:highlight w:val="none"/>
          <w:u w:val="single"/>
        </w:rPr>
        <w:t>（中型企业、小型企业、微型企业）；</w:t>
      </w:r>
    </w:p>
    <w:p>
      <w:pPr>
        <w:pStyle w:val="2"/>
        <w:autoSpaceDE w:val="0"/>
        <w:autoSpaceDN w:val="0"/>
        <w:ind w:right="-5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pStyle w:val="2"/>
        <w:autoSpaceDE w:val="0"/>
        <w:autoSpaceDN w:val="0"/>
        <w:ind w:right="-5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pPr>
        <w:pStyle w:val="2"/>
        <w:autoSpaceDE w:val="0"/>
        <w:autoSpaceDN w:val="0"/>
        <w:ind w:right="-54"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pPr>
        <w:pStyle w:val="2"/>
        <w:autoSpaceDE w:val="0"/>
        <w:autoSpaceDN w:val="0"/>
        <w:spacing w:before="29"/>
        <w:ind w:right="-54" w:firstLine="3990" w:firstLineChars="1900"/>
        <w:rPr>
          <w:rFonts w:hint="eastAsia" w:ascii="宋体" w:hAnsi="宋体" w:eastAsia="宋体" w:cs="宋体"/>
          <w:color w:val="auto"/>
          <w:sz w:val="21"/>
          <w:szCs w:val="21"/>
          <w:highlight w:val="none"/>
        </w:rPr>
      </w:pPr>
    </w:p>
    <w:p>
      <w:pPr>
        <w:pStyle w:val="2"/>
        <w:autoSpaceDE w:val="0"/>
        <w:autoSpaceDN w:val="0"/>
        <w:spacing w:before="29"/>
        <w:ind w:right="-54"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pPr>
        <w:pStyle w:val="2"/>
        <w:autoSpaceDE w:val="0"/>
        <w:autoSpaceDN w:val="0"/>
        <w:spacing w:before="29"/>
        <w:ind w:right="-54"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pStyle w:val="29"/>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1从业人员、营业收入、资产总额填报上一年度数据，无上一年度数据的新成立企业可不填报。</w:t>
      </w:r>
    </w:p>
    <w:p>
      <w:pPr>
        <w:pStyle w:val="29"/>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中小企业应当按照《政府采购促进中小企业发展管理办法》规定和《中小企业划型标准规定》（工信部联企业〔2011〕300号），如实填写并提交《中小企业声明函》。未按要求出具声明函的，投标报价不予扣减。</w:t>
      </w:r>
    </w:p>
    <w:p>
      <w:pPr>
        <w:pStyle w:val="29"/>
        <w:spacing w:before="0" w:beforeAutospacing="0" w:after="0" w:afterAutospacing="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中小企业对其声明内容的真实性负责，声明函内容不实的，属于提供虚假材料谋取中标、成交，依照《中华人民共和国政府采购法》等国家有关规定追究相应责任。</w:t>
      </w:r>
    </w:p>
    <w:p>
      <w:pPr>
        <w:pStyle w:val="16"/>
        <w:snapToGrid w:val="0"/>
        <w:spacing w:line="360" w:lineRule="auto"/>
        <w:rPr>
          <w:rFonts w:hint="eastAsia" w:ascii="宋体" w:hAnsi="宋体" w:eastAsia="宋体" w:cs="宋体"/>
          <w:b/>
          <w:color w:val="auto"/>
          <w:szCs w:val="21"/>
          <w:highlight w:val="none"/>
        </w:rPr>
      </w:pPr>
    </w:p>
    <w:p>
      <w:pPr>
        <w:pStyle w:val="5"/>
        <w:ind w:firstLine="411" w:firstLineChars="196"/>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供应商为监狱企业的证明文件：省级以上监狱管理局、戒毒管理局（含新疆生产建设兵团）出具（如有）</w:t>
      </w:r>
    </w:p>
    <w:p>
      <w:pPr>
        <w:spacing w:line="360" w:lineRule="auto"/>
        <w:textAlignment w:val="top"/>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b/>
          <w:color w:val="auto"/>
          <w:szCs w:val="21"/>
          <w:highlight w:val="none"/>
        </w:rPr>
      </w:pPr>
    </w:p>
    <w:p>
      <w:pPr>
        <w:adjustRightInd w:val="0"/>
        <w:snapToGrid w:val="0"/>
        <w:spacing w:line="360" w:lineRule="auto"/>
        <w:rPr>
          <w:rFonts w:hint="eastAsia" w:ascii="宋体" w:hAnsi="宋体" w:eastAsia="宋体" w:cs="宋体"/>
          <w:b/>
          <w:color w:val="auto"/>
          <w:szCs w:val="21"/>
          <w:highlight w:val="none"/>
        </w:rPr>
        <w:sectPr>
          <w:headerReference r:id="rId5" w:type="default"/>
          <w:footerReference r:id="rId6" w:type="default"/>
          <w:pgSz w:w="11906" w:h="16838"/>
          <w:pgMar w:top="1134" w:right="1474" w:bottom="113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残疾人福利性单位声明函（如有）</w:t>
      </w:r>
    </w:p>
    <w:p>
      <w:pPr>
        <w:snapToGrid w:val="0"/>
        <w:spacing w:line="360" w:lineRule="auto"/>
        <w:jc w:val="center"/>
        <w:rPr>
          <w:rFonts w:hint="eastAsia" w:ascii="宋体" w:hAnsi="宋体" w:eastAsia="宋体" w:cs="宋体"/>
          <w:b/>
          <w:bCs/>
          <w:color w:val="auto"/>
          <w:sz w:val="32"/>
          <w:szCs w:val="32"/>
          <w:highlight w:val="none"/>
        </w:rPr>
      </w:pPr>
    </w:p>
    <w:p>
      <w:pPr>
        <w:adjustRightInd w:val="0"/>
        <w:snapToGrid w:val="0"/>
        <w:spacing w:line="360" w:lineRule="auto"/>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残疾人福利性单位声明函</w:t>
      </w:r>
    </w:p>
    <w:p>
      <w:pPr>
        <w:snapToGrid w:val="0"/>
        <w:spacing w:line="360" w:lineRule="auto"/>
        <w:jc w:val="center"/>
        <w:rPr>
          <w:rFonts w:hint="eastAsia" w:ascii="宋体" w:hAnsi="宋体" w:eastAsia="宋体" w:cs="宋体"/>
          <w:b/>
          <w:bCs/>
          <w:color w:val="auto"/>
          <w:sz w:val="32"/>
          <w:szCs w:val="32"/>
          <w:highlight w:val="none"/>
        </w:rPr>
      </w:pP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color w:val="auto"/>
          <w:szCs w:val="21"/>
          <w:highlight w:val="none"/>
          <w:u w:val="single"/>
        </w:rPr>
        <w:t>（采购人名称）</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本单位对上述声明的真实性负责。如有虚假，将依法承担相应责任。</w:t>
      </w:r>
    </w:p>
    <w:p>
      <w:pPr>
        <w:snapToGrid w:val="0"/>
        <w:spacing w:line="360" w:lineRule="auto"/>
        <w:ind w:firstLine="420" w:firstLineChars="200"/>
        <w:rPr>
          <w:rFonts w:hint="eastAsia" w:ascii="宋体" w:hAnsi="宋体" w:eastAsia="宋体" w:cs="宋体"/>
          <w:color w:val="auto"/>
          <w:szCs w:val="21"/>
          <w:highlight w:val="none"/>
        </w:rPr>
      </w:pPr>
    </w:p>
    <w:p>
      <w:pPr>
        <w:snapToGri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供应商名称（盖章）：</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日期：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pPr>
        <w:rPr>
          <w:rFonts w:hint="eastAsia" w:ascii="宋体" w:hAnsi="宋体" w:eastAsia="宋体" w:cs="宋体"/>
          <w:color w:val="auto"/>
          <w:highlight w:val="none"/>
        </w:rPr>
      </w:pPr>
    </w:p>
    <w:p>
      <w:pPr>
        <w:snapToGrid w:val="0"/>
        <w:spacing w:line="360" w:lineRule="auto"/>
        <w:rPr>
          <w:rFonts w:hint="eastAsia" w:ascii="宋体" w:hAnsi="宋体" w:eastAsia="宋体" w:cs="宋体"/>
          <w:b/>
          <w:color w:val="auto"/>
          <w:szCs w:val="21"/>
          <w:highlight w:val="none"/>
        </w:rPr>
        <w:sectPr>
          <w:footerReference r:id="rId7" w:type="default"/>
          <w:pgSz w:w="11906" w:h="16838"/>
          <w:pgMar w:top="1134" w:right="1474" w:bottom="113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napToGrid w:val="0"/>
        <w:spacing w:before="120" w:beforeLines="50" w:after="50"/>
        <w:jc w:val="center"/>
        <w:rPr>
          <w:rFonts w:hint="eastAsia" w:ascii="宋体" w:hAnsi="宋体" w:eastAsia="宋体" w:cs="宋体"/>
          <w:b/>
          <w:sz w:val="32"/>
          <w:szCs w:val="32"/>
          <w:highlight w:val="yellow"/>
          <w:lang w:eastAsia="zh-CN"/>
        </w:rPr>
      </w:pPr>
      <w:r>
        <w:rPr>
          <w:rFonts w:hint="eastAsia" w:ascii="宋体" w:hAnsi="宋体" w:cs="宋体"/>
          <w:b/>
          <w:sz w:val="32"/>
          <w:szCs w:val="32"/>
          <w:highlight w:val="yellow"/>
        </w:rPr>
        <w:t>投标函</w:t>
      </w:r>
    </w:p>
    <w:p>
      <w:pPr>
        <w:pStyle w:val="2"/>
        <w:rPr>
          <w:rFonts w:hint="eastAsia"/>
          <w:highlight w:val="yellow"/>
        </w:rPr>
      </w:pPr>
    </w:p>
    <w:p>
      <w:pPr>
        <w:snapToGrid w:val="0"/>
        <w:spacing w:line="360" w:lineRule="auto"/>
        <w:rPr>
          <w:rFonts w:hint="eastAsia" w:ascii="宋体" w:hAnsi="宋体" w:eastAsia="宋体" w:cs="宋体"/>
          <w:sz w:val="24"/>
          <w:highlight w:val="yellow"/>
        </w:rPr>
      </w:pPr>
      <w:r>
        <w:rPr>
          <w:rFonts w:hint="eastAsia" w:ascii="宋体" w:hAnsi="宋体" w:eastAsia="宋体" w:cs="宋体"/>
          <w:sz w:val="24"/>
          <w:highlight w:val="yellow"/>
        </w:rPr>
        <w:t>致</w:t>
      </w:r>
      <w:r>
        <w:rPr>
          <w:rFonts w:hint="eastAsia" w:ascii="宋体" w:hAnsi="宋体" w:eastAsia="宋体" w:cs="宋体"/>
          <w:sz w:val="24"/>
          <w:highlight w:val="yellow"/>
          <w:lang w:eastAsia="zh-CN"/>
        </w:rPr>
        <w:t>嘉兴市南湖区综合行政执法</w:t>
      </w:r>
      <w:r>
        <w:rPr>
          <w:rFonts w:hint="eastAsia" w:ascii="宋体" w:hAnsi="宋体" w:eastAsia="宋体" w:cs="宋体"/>
          <w:sz w:val="24"/>
          <w:highlight w:val="yellow"/>
        </w:rPr>
        <w:t xml:space="preserve">局：  </w:t>
      </w:r>
    </w:p>
    <w:p>
      <w:pPr>
        <w:snapToGrid w:val="0"/>
        <w:spacing w:before="120" w:beforeLines="50" w:after="50" w:line="360" w:lineRule="auto"/>
        <w:ind w:firstLine="480" w:firstLineChars="200"/>
        <w:rPr>
          <w:rFonts w:hint="eastAsia" w:ascii="宋体" w:hAnsi="宋体" w:cs="宋体"/>
          <w:sz w:val="24"/>
          <w:highlight w:val="yellow"/>
        </w:rPr>
      </w:pPr>
      <w:r>
        <w:rPr>
          <w:rFonts w:hint="eastAsia" w:ascii="宋体" w:hAnsi="宋体" w:cs="宋体"/>
          <w:sz w:val="24"/>
          <w:highlight w:val="yellow"/>
        </w:rPr>
        <w:t>根据贵方为</w:t>
      </w:r>
      <w:r>
        <w:rPr>
          <w:rFonts w:hint="eastAsia" w:ascii="宋体" w:hAnsi="宋体" w:cs="宋体"/>
          <w:bCs/>
          <w:sz w:val="24"/>
          <w:highlight w:val="yellow"/>
        </w:rPr>
        <w:t>项目名称：</w:t>
      </w:r>
      <w:r>
        <w:rPr>
          <w:rFonts w:hint="eastAsia" w:ascii="宋体" w:hAnsi="宋体" w:cs="宋体"/>
          <w:sz w:val="24"/>
          <w:highlight w:val="yellow"/>
          <w:u w:val="single"/>
        </w:rPr>
        <w:t xml:space="preserve">                                     </w:t>
      </w:r>
      <w:r>
        <w:rPr>
          <w:rFonts w:hint="eastAsia" w:ascii="宋体" w:hAnsi="宋体" w:cs="宋体"/>
          <w:sz w:val="24"/>
          <w:highlight w:val="yellow"/>
        </w:rPr>
        <w:t>的招标公告（项目编号：</w:t>
      </w:r>
      <w:r>
        <w:rPr>
          <w:rFonts w:hint="eastAsia" w:ascii="宋体" w:hAnsi="宋体" w:cs="宋体"/>
          <w:sz w:val="24"/>
          <w:highlight w:val="yellow"/>
          <w:u w:val="single"/>
        </w:rPr>
        <w:t xml:space="preserve">          </w:t>
      </w:r>
      <w:r>
        <w:rPr>
          <w:rFonts w:hint="eastAsia" w:ascii="宋体" w:hAnsi="宋体" w:cs="宋体"/>
          <w:sz w:val="24"/>
          <w:highlight w:val="yellow"/>
        </w:rPr>
        <w:t>），签字代表</w:t>
      </w:r>
      <w:r>
        <w:rPr>
          <w:rFonts w:hint="eastAsia" w:ascii="宋体" w:hAnsi="宋体" w:cs="宋体"/>
          <w:sz w:val="24"/>
          <w:highlight w:val="yellow"/>
          <w:u w:val="single"/>
        </w:rPr>
        <w:t xml:space="preserve">      </w:t>
      </w:r>
      <w:r>
        <w:rPr>
          <w:rFonts w:hint="eastAsia" w:ascii="宋体" w:hAnsi="宋体" w:cs="宋体"/>
          <w:sz w:val="24"/>
          <w:highlight w:val="yellow"/>
          <w:u w:val="single"/>
          <w:lang w:val="en-US" w:eastAsia="zh-CN"/>
        </w:rPr>
        <w:t xml:space="preserve">   </w:t>
      </w:r>
      <w:r>
        <w:rPr>
          <w:rFonts w:hint="eastAsia" w:ascii="宋体" w:hAnsi="宋体" w:cs="宋体"/>
          <w:sz w:val="24"/>
          <w:highlight w:val="yellow"/>
          <w:u w:val="single"/>
        </w:rPr>
        <w:t xml:space="preserve">     </w:t>
      </w:r>
      <w:r>
        <w:rPr>
          <w:rFonts w:hint="eastAsia" w:ascii="宋体" w:hAnsi="宋体" w:cs="宋体"/>
          <w:sz w:val="24"/>
          <w:highlight w:val="yellow"/>
        </w:rPr>
        <w:t>（全名）经正式授权并代表供应商</w:t>
      </w:r>
    </w:p>
    <w:p>
      <w:pPr>
        <w:snapToGrid w:val="0"/>
        <w:spacing w:before="120" w:beforeLines="50" w:after="50" w:line="360" w:lineRule="auto"/>
        <w:rPr>
          <w:rFonts w:hint="eastAsia" w:ascii="宋体" w:hAnsi="宋体" w:cs="宋体"/>
          <w:bCs/>
          <w:sz w:val="24"/>
          <w:szCs w:val="20"/>
          <w:highlight w:val="yellow"/>
        </w:rPr>
      </w:pPr>
      <w:r>
        <w:rPr>
          <w:rFonts w:hint="eastAsia" w:ascii="宋体" w:hAnsi="宋体" w:cs="宋体"/>
          <w:sz w:val="24"/>
          <w:highlight w:val="yellow"/>
          <w:u w:val="single"/>
        </w:rPr>
        <w:t xml:space="preserve">           </w:t>
      </w:r>
      <w:r>
        <w:rPr>
          <w:rFonts w:hint="eastAsia" w:ascii="宋体" w:hAnsi="宋体" w:cs="宋体"/>
          <w:sz w:val="24"/>
          <w:highlight w:val="yellow"/>
        </w:rPr>
        <w:t>（供应商名称）提交资信/商务文件、技术文件、报价文件电子投标文件。</w:t>
      </w:r>
    </w:p>
    <w:p>
      <w:pPr>
        <w:snapToGrid w:val="0"/>
        <w:spacing w:line="360" w:lineRule="auto"/>
        <w:ind w:firstLine="480" w:firstLineChars="200"/>
        <w:rPr>
          <w:rFonts w:hint="eastAsia" w:ascii="宋体" w:hAnsi="宋体" w:cs="宋体"/>
          <w:sz w:val="24"/>
          <w:szCs w:val="20"/>
          <w:highlight w:val="yellow"/>
        </w:rPr>
      </w:pPr>
      <w:r>
        <w:rPr>
          <w:rFonts w:hint="eastAsia" w:ascii="宋体" w:hAnsi="宋体" w:cs="宋体"/>
          <w:sz w:val="24"/>
          <w:highlight w:val="yellow"/>
        </w:rPr>
        <w:t>据此函，签字代表宣布同意如下：</w:t>
      </w:r>
    </w:p>
    <w:p>
      <w:pPr>
        <w:snapToGrid w:val="0"/>
        <w:spacing w:line="360" w:lineRule="auto"/>
        <w:ind w:firstLine="480" w:firstLineChars="200"/>
        <w:rPr>
          <w:rFonts w:hint="eastAsia" w:ascii="宋体" w:hAnsi="宋体" w:cs="宋体"/>
          <w:sz w:val="24"/>
          <w:szCs w:val="20"/>
          <w:highlight w:val="yellow"/>
        </w:rPr>
      </w:pPr>
      <w:r>
        <w:rPr>
          <w:rFonts w:hint="eastAsia" w:ascii="宋体" w:hAnsi="宋体" w:cs="宋体"/>
          <w:sz w:val="24"/>
          <w:highlight w:val="yellow"/>
        </w:rPr>
        <w:t>1.供应商已详细审查全部“招标文件”，包括修改文件（如有的话）以及全部参考资料和有关附件，已经了解我方对于招标文件、采购过程、采购结果有依法进行询问、质疑、投诉的权利及相关渠道和要求。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cs="宋体"/>
          <w:sz w:val="24"/>
          <w:szCs w:val="20"/>
          <w:highlight w:val="yellow"/>
        </w:rPr>
      </w:pPr>
      <w:r>
        <w:rPr>
          <w:rFonts w:hint="eastAsia" w:ascii="宋体" w:hAnsi="宋体" w:cs="宋体"/>
          <w:sz w:val="24"/>
          <w:highlight w:val="yellow"/>
        </w:rPr>
        <w:t>2.供应商在投标之前已经与贵方进行了充分的沟通，完全理解并接受招标文件的各项规定和要求，对招标文件的合理性、合法性不再有异议。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hint="eastAsia" w:ascii="宋体" w:hAnsi="宋体" w:cs="宋体"/>
          <w:sz w:val="24"/>
          <w:szCs w:val="20"/>
          <w:highlight w:val="yellow"/>
        </w:rPr>
      </w:pPr>
      <w:r>
        <w:rPr>
          <w:rFonts w:hint="eastAsia" w:ascii="宋体" w:hAnsi="宋体" w:cs="宋体"/>
          <w:sz w:val="24"/>
          <w:highlight w:val="yellow"/>
        </w:rPr>
        <w:t>3.本投标有效期自开标日起 ______个日。</w:t>
      </w:r>
    </w:p>
    <w:p>
      <w:pPr>
        <w:snapToGrid w:val="0"/>
        <w:spacing w:line="360" w:lineRule="auto"/>
        <w:ind w:firstLine="480" w:firstLineChars="200"/>
        <w:rPr>
          <w:rFonts w:hint="eastAsia" w:ascii="宋体" w:hAnsi="宋体" w:cs="宋体"/>
          <w:sz w:val="24"/>
          <w:szCs w:val="20"/>
          <w:highlight w:val="yellow"/>
        </w:rPr>
      </w:pPr>
      <w:r>
        <w:rPr>
          <w:rFonts w:hint="eastAsia" w:ascii="宋体" w:hAnsi="宋体" w:cs="宋体"/>
          <w:sz w:val="24"/>
          <w:highlight w:val="yellow"/>
        </w:rPr>
        <w:t>4.如中标，本投标文件至本项目合同履行完毕止均保持有效，本供应商将按“招标文件”及政府采购法律、法规的规定履行合同责任和义务。</w:t>
      </w:r>
    </w:p>
    <w:p>
      <w:pPr>
        <w:snapToGrid w:val="0"/>
        <w:spacing w:line="360" w:lineRule="auto"/>
        <w:ind w:firstLine="480" w:firstLineChars="200"/>
        <w:rPr>
          <w:rFonts w:hint="eastAsia" w:ascii="宋体" w:hAnsi="宋体" w:cs="宋体"/>
          <w:sz w:val="24"/>
          <w:szCs w:val="20"/>
          <w:highlight w:val="yellow"/>
        </w:rPr>
      </w:pPr>
      <w:r>
        <w:rPr>
          <w:rFonts w:hint="eastAsia" w:ascii="宋体" w:hAnsi="宋体" w:cs="宋体"/>
          <w:sz w:val="24"/>
          <w:highlight w:val="yellow"/>
        </w:rPr>
        <w:t>5.供应商同意按照贵方要求提供与投标有关的一切数据或资料。</w:t>
      </w:r>
    </w:p>
    <w:p>
      <w:pPr>
        <w:snapToGrid w:val="0"/>
        <w:spacing w:line="360" w:lineRule="auto"/>
        <w:ind w:firstLine="480" w:firstLineChars="200"/>
        <w:rPr>
          <w:rFonts w:hint="eastAsia" w:ascii="宋体" w:hAnsi="宋体" w:cs="宋体"/>
          <w:sz w:val="24"/>
          <w:szCs w:val="20"/>
          <w:highlight w:val="yellow"/>
        </w:rPr>
      </w:pPr>
      <w:r>
        <w:rPr>
          <w:rFonts w:hint="eastAsia" w:ascii="宋体" w:hAnsi="宋体" w:cs="宋体"/>
          <w:sz w:val="24"/>
          <w:highlight w:val="yellow"/>
        </w:rPr>
        <w:t>6.与本投标有关的一切正式往来信函请寄：</w:t>
      </w:r>
    </w:p>
    <w:p>
      <w:pPr>
        <w:snapToGrid w:val="0"/>
        <w:spacing w:line="360" w:lineRule="auto"/>
        <w:rPr>
          <w:rFonts w:hint="eastAsia" w:ascii="宋体" w:hAnsi="宋体" w:cs="宋体"/>
          <w:sz w:val="24"/>
          <w:highlight w:val="yellow"/>
        </w:rPr>
      </w:pPr>
    </w:p>
    <w:p>
      <w:pPr>
        <w:snapToGrid w:val="0"/>
        <w:spacing w:line="360" w:lineRule="auto"/>
        <w:rPr>
          <w:rFonts w:hint="eastAsia" w:ascii="宋体" w:hAnsi="宋体" w:cs="宋体"/>
          <w:sz w:val="24"/>
          <w:szCs w:val="20"/>
          <w:highlight w:val="yellow"/>
        </w:rPr>
      </w:pPr>
      <w:r>
        <w:rPr>
          <w:rFonts w:hint="eastAsia" w:ascii="宋体" w:hAnsi="宋体" w:cs="宋体"/>
          <w:sz w:val="24"/>
          <w:highlight w:val="yellow"/>
        </w:rPr>
        <w:t xml:space="preserve">地址：______________邮编：__________   </w:t>
      </w:r>
      <w:r>
        <w:rPr>
          <w:rFonts w:hint="eastAsia" w:ascii="宋体" w:hAnsi="宋体" w:cs="宋体"/>
          <w:sz w:val="24"/>
          <w:highlight w:val="yellow"/>
          <w:lang w:val="en-US" w:eastAsia="zh-CN"/>
        </w:rPr>
        <w:t xml:space="preserve">       </w:t>
      </w:r>
      <w:r>
        <w:rPr>
          <w:rFonts w:hint="eastAsia" w:ascii="宋体" w:hAnsi="宋体" w:cs="宋体"/>
          <w:sz w:val="24"/>
          <w:highlight w:val="yellow"/>
        </w:rPr>
        <w:t>电话：___________</w:t>
      </w:r>
    </w:p>
    <w:p>
      <w:pPr>
        <w:snapToGrid w:val="0"/>
        <w:spacing w:line="360" w:lineRule="auto"/>
        <w:rPr>
          <w:rFonts w:hint="eastAsia" w:ascii="宋体" w:hAnsi="宋体" w:cs="宋体"/>
          <w:sz w:val="24"/>
          <w:szCs w:val="20"/>
          <w:highlight w:val="yellow"/>
        </w:rPr>
      </w:pPr>
      <w:r>
        <w:rPr>
          <w:rFonts w:hint="eastAsia" w:ascii="宋体" w:hAnsi="宋体" w:cs="宋体"/>
          <w:sz w:val="24"/>
          <w:highlight w:val="yellow"/>
        </w:rPr>
        <w:t>传真：______________供应商代表姓名：________  职务：___________</w:t>
      </w:r>
    </w:p>
    <w:p>
      <w:pPr>
        <w:snapToGrid w:val="0"/>
        <w:spacing w:line="360" w:lineRule="auto"/>
        <w:rPr>
          <w:rFonts w:hint="eastAsia" w:ascii="宋体" w:hAnsi="宋体" w:cs="宋体"/>
          <w:sz w:val="24"/>
          <w:highlight w:val="yellow"/>
        </w:rPr>
      </w:pPr>
    </w:p>
    <w:p>
      <w:pPr>
        <w:snapToGrid w:val="0"/>
        <w:spacing w:line="360" w:lineRule="auto"/>
        <w:rPr>
          <w:rFonts w:hint="eastAsia" w:ascii="宋体" w:hAnsi="宋体" w:cs="宋体"/>
          <w:sz w:val="24"/>
          <w:szCs w:val="20"/>
          <w:highlight w:val="yellow"/>
        </w:rPr>
      </w:pPr>
      <w:r>
        <w:rPr>
          <w:rFonts w:hint="eastAsia" w:ascii="宋体" w:hAnsi="宋体" w:cs="宋体"/>
          <w:sz w:val="24"/>
          <w:highlight w:val="yellow"/>
        </w:rPr>
        <w:t>供应商名称(公章):___________________</w:t>
      </w:r>
    </w:p>
    <w:p>
      <w:pPr>
        <w:snapToGrid w:val="0"/>
        <w:spacing w:line="360" w:lineRule="auto"/>
        <w:rPr>
          <w:rFonts w:hint="eastAsia" w:ascii="宋体" w:hAnsi="宋体" w:cs="宋体"/>
          <w:sz w:val="24"/>
          <w:highlight w:val="yellow"/>
        </w:rPr>
      </w:pPr>
    </w:p>
    <w:p>
      <w:pPr>
        <w:snapToGrid w:val="0"/>
        <w:spacing w:line="360" w:lineRule="auto"/>
        <w:rPr>
          <w:rFonts w:hint="eastAsia" w:ascii="宋体" w:hAnsi="宋体" w:cs="宋体"/>
          <w:sz w:val="24"/>
          <w:szCs w:val="20"/>
          <w:highlight w:val="yellow"/>
        </w:rPr>
      </w:pPr>
      <w:r>
        <w:rPr>
          <w:rFonts w:hint="eastAsia" w:ascii="宋体" w:hAnsi="宋体" w:cs="宋体"/>
          <w:sz w:val="24"/>
          <w:highlight w:val="yellow"/>
        </w:rPr>
        <w:t>开户银行：</w:t>
      </w:r>
      <w:r>
        <w:rPr>
          <w:rFonts w:hint="eastAsia" w:ascii="宋体" w:hAnsi="宋体" w:cs="宋体"/>
          <w:sz w:val="24"/>
          <w:highlight w:val="yellow"/>
          <w:u w:val="single"/>
        </w:rPr>
        <w:t xml:space="preserve">                      </w:t>
      </w:r>
      <w:r>
        <w:rPr>
          <w:rFonts w:hint="eastAsia" w:ascii="宋体" w:hAnsi="宋体" w:cs="宋体"/>
          <w:sz w:val="24"/>
          <w:highlight w:val="yellow"/>
        </w:rPr>
        <w:t xml:space="preserve">   银行帐号：</w:t>
      </w:r>
      <w:r>
        <w:rPr>
          <w:rFonts w:hint="eastAsia" w:ascii="宋体" w:hAnsi="宋体" w:cs="宋体"/>
          <w:sz w:val="24"/>
          <w:highlight w:val="yellow"/>
          <w:u w:val="single"/>
        </w:rPr>
        <w:t xml:space="preserve">                    </w:t>
      </w:r>
      <w:r>
        <w:rPr>
          <w:rFonts w:hint="eastAsia" w:ascii="宋体" w:hAnsi="宋体" w:cs="宋体"/>
          <w:sz w:val="24"/>
          <w:highlight w:val="yellow"/>
        </w:rPr>
        <w:t xml:space="preserve"> </w:t>
      </w:r>
    </w:p>
    <w:p>
      <w:pPr>
        <w:rPr>
          <w:rFonts w:hint="eastAsia" w:ascii="宋体" w:hAnsi="宋体" w:cs="宋体"/>
          <w:sz w:val="24"/>
          <w:highlight w:val="yellow"/>
        </w:rPr>
      </w:pPr>
    </w:p>
    <w:p>
      <w:pPr>
        <w:rPr>
          <w:rFonts w:hint="eastAsia" w:ascii="宋体" w:hAnsi="宋体" w:cs="宋体"/>
          <w:sz w:val="24"/>
          <w:highlight w:val="yellow"/>
        </w:rPr>
      </w:pPr>
      <w:r>
        <w:rPr>
          <w:rFonts w:hint="eastAsia" w:ascii="宋体" w:hAnsi="宋体" w:cs="宋体"/>
          <w:sz w:val="24"/>
          <w:highlight w:val="yellow"/>
        </w:rPr>
        <w:t>法定代表人签字（或盖章）：___________          日期:_____年___月___日</w:t>
      </w:r>
    </w:p>
    <w:p>
      <w:pPr>
        <w:rPr>
          <w:rFonts w:hint="eastAsia" w:ascii="宋体" w:hAnsi="宋体" w:cs="宋体"/>
          <w:sz w:val="24"/>
          <w:highlight w:val="yellow"/>
        </w:rPr>
      </w:pPr>
    </w:p>
    <w:p>
      <w:pP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开标一览表</w:t>
      </w:r>
    </w:p>
    <w:p>
      <w:pPr>
        <w:snapToGrid w:val="0"/>
        <w:spacing w:line="360" w:lineRule="auto"/>
        <w:jc w:val="center"/>
        <w:rPr>
          <w:rFonts w:hint="eastAsia" w:ascii="宋体" w:hAnsi="宋体" w:eastAsia="宋体" w:cs="宋体"/>
          <w:color w:val="auto"/>
          <w:szCs w:val="21"/>
          <w:highlight w:val="none"/>
        </w:rPr>
      </w:pPr>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开标一览表（初次报价）</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
        <w:gridCol w:w="3271"/>
        <w:gridCol w:w="912"/>
        <w:gridCol w:w="866"/>
        <w:gridCol w:w="1843"/>
        <w:gridCol w:w="1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标段</w:t>
            </w:r>
          </w:p>
        </w:tc>
        <w:tc>
          <w:tcPr>
            <w:tcW w:w="32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0" w:left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9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 位</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1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服务期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pacing w:val="20"/>
                <w:szCs w:val="21"/>
                <w:highlight w:val="none"/>
              </w:rPr>
            </w:pPr>
          </w:p>
        </w:tc>
        <w:tc>
          <w:tcPr>
            <w:tcW w:w="91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项</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0" w:leftChars="200"/>
              <w:jc w:val="center"/>
              <w:rPr>
                <w:rFonts w:hint="eastAsia" w:ascii="宋体" w:hAnsi="宋体" w:eastAsia="宋体" w:cs="宋体"/>
                <w:color w:val="auto"/>
                <w:szCs w:val="21"/>
                <w:highlight w:val="none"/>
              </w:rPr>
            </w:pPr>
          </w:p>
        </w:tc>
        <w:tc>
          <w:tcPr>
            <w:tcW w:w="1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0" w:leftChars="2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9096"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60" w:lineRule="auto"/>
              <w:ind w:left="420" w:left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合计：大写：                                             小写：</w:t>
            </w:r>
          </w:p>
        </w:tc>
      </w:tr>
    </w:tbl>
    <w:p>
      <w:pPr>
        <w:snapToGrid w:val="0"/>
        <w:spacing w:line="360" w:lineRule="auto"/>
        <w:rPr>
          <w:rFonts w:hint="eastAsia" w:ascii="宋体" w:hAnsi="宋体" w:eastAsia="宋体" w:cs="宋体"/>
          <w:color w:val="auto"/>
          <w:szCs w:val="21"/>
          <w:highlight w:val="none"/>
        </w:rPr>
      </w:pPr>
    </w:p>
    <w:p>
      <w:pPr>
        <w:pStyle w:val="16"/>
        <w:snapToGrid w:val="0"/>
        <w:spacing w:line="360" w:lineRule="auto"/>
        <w:ind w:left="420" w:hanging="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 1、报价一经涂改，应在涂改处加盖单位公章或者由法定代表人或授权委托人签字或盖章，否则其投标作无效标处理。</w:t>
      </w:r>
    </w:p>
    <w:p>
      <w:pPr>
        <w:pStyle w:val="16"/>
        <w:snapToGrid w:val="0"/>
        <w:spacing w:line="360" w:lineRule="auto"/>
        <w:ind w:left="420" w:hanging="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费用包含项目所需全部工程及服务，不得缺漏（投标报价是软件调研费、开发费、安装调试费、集成费、系统对接产生的费用、验收费、培训费、售后服务费、税金等一切与本次采购相关的费用等所发生的一切费用），结算不做调整。。</w:t>
      </w:r>
    </w:p>
    <w:p>
      <w:pPr>
        <w:pStyle w:val="16"/>
        <w:snapToGrid w:val="0"/>
        <w:spacing w:line="360" w:lineRule="auto"/>
        <w:ind w:left="420" w:hanging="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▲3、以上报价不得超过上限价，任何超过上限价的报价均导致投标被否决。</w:t>
      </w:r>
    </w:p>
    <w:p>
      <w:pPr>
        <w:pStyle w:val="16"/>
        <w:snapToGrid w:val="0"/>
        <w:spacing w:line="360" w:lineRule="auto"/>
        <w:rPr>
          <w:rFonts w:hint="eastAsia" w:ascii="宋体" w:hAnsi="宋体" w:eastAsia="宋体" w:cs="宋体"/>
          <w:color w:val="auto"/>
          <w:szCs w:val="21"/>
          <w:highlight w:val="none"/>
        </w:rPr>
      </w:pPr>
    </w:p>
    <w:p>
      <w:pPr>
        <w:pStyle w:val="16"/>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法定代表人或授权代表（签字或盖章）：</w:t>
      </w:r>
    </w:p>
    <w:p>
      <w:pPr>
        <w:pStyle w:val="16"/>
        <w:snapToGrid w:val="0"/>
        <w:spacing w:line="360" w:lineRule="auto"/>
        <w:rPr>
          <w:rFonts w:hint="eastAsia" w:ascii="宋体" w:hAnsi="宋体" w:eastAsia="宋体" w:cs="宋体"/>
          <w:b/>
          <w:color w:val="auto"/>
          <w:szCs w:val="21"/>
          <w:highlight w:val="none"/>
        </w:rPr>
      </w:pPr>
    </w:p>
    <w:p>
      <w:pPr>
        <w:pStyle w:val="16"/>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投标人名称（盖章）：</w:t>
      </w: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eastAsia="宋体" w:cs="宋体"/>
          <w:b/>
          <w:color w:val="auto"/>
          <w:szCs w:val="21"/>
          <w:highlight w:val="none"/>
        </w:rPr>
      </w:pPr>
    </w:p>
    <w:p>
      <w:pPr>
        <w:rPr>
          <w:rFonts w:hint="eastAsia" w:ascii="宋体" w:hAnsi="宋体" w:cs="宋体"/>
          <w:b/>
          <w:szCs w:val="21"/>
        </w:rPr>
      </w:pPr>
      <w:r>
        <w:rPr>
          <w:rFonts w:hint="eastAsia" w:ascii="宋体" w:hAnsi="宋体" w:cs="宋体"/>
          <w:b/>
          <w:szCs w:val="21"/>
        </w:rPr>
        <w:br w:type="page"/>
      </w:r>
    </w:p>
    <w:p>
      <w:pPr>
        <w:jc w:val="center"/>
        <w:rPr>
          <w:rFonts w:hint="eastAsia" w:ascii="宋体" w:hAnsi="宋体" w:cs="宋体"/>
          <w:b/>
          <w:sz w:val="32"/>
          <w:szCs w:val="32"/>
          <w:lang w:val="en-US" w:eastAsia="zh-CN"/>
        </w:rPr>
      </w:pPr>
    </w:p>
    <w:p>
      <w:pPr>
        <w:jc w:val="center"/>
        <w:rPr>
          <w:rFonts w:hint="eastAsia" w:ascii="宋体" w:hAnsi="宋体" w:cs="宋体"/>
          <w:b/>
          <w:sz w:val="32"/>
          <w:szCs w:val="32"/>
          <w:highlight w:val="yellow"/>
          <w:lang w:val="en-US" w:eastAsia="zh-CN"/>
        </w:rPr>
      </w:pPr>
      <w:r>
        <w:rPr>
          <w:rFonts w:hint="eastAsia" w:ascii="宋体" w:hAnsi="宋体" w:cs="宋体"/>
          <w:b/>
          <w:sz w:val="32"/>
          <w:szCs w:val="32"/>
          <w:highlight w:val="yellow"/>
          <w:lang w:val="en-US" w:eastAsia="zh-CN"/>
        </w:rPr>
        <w:t>投标报价明细表</w:t>
      </w:r>
    </w:p>
    <w:p>
      <w:pPr>
        <w:jc w:val="center"/>
        <w:rPr>
          <w:rFonts w:hint="eastAsia" w:ascii="宋体" w:hAnsi="宋体" w:cs="宋体"/>
          <w:b/>
          <w:szCs w:val="21"/>
          <w:highlight w:val="yellow"/>
        </w:rPr>
      </w:pPr>
    </w:p>
    <w:p>
      <w:pPr>
        <w:jc w:val="center"/>
        <w:rPr>
          <w:rFonts w:hint="eastAsia" w:ascii="宋体" w:hAnsi="宋体" w:cs="宋体"/>
          <w:b/>
          <w:szCs w:val="21"/>
          <w:highlight w:val="yellow"/>
        </w:rPr>
      </w:pPr>
    </w:p>
    <w:p>
      <w:pPr>
        <w:jc w:val="center"/>
        <w:rPr>
          <w:rFonts w:hint="eastAsia" w:ascii="宋体" w:hAnsi="宋体" w:cs="宋体"/>
          <w:b/>
          <w:szCs w:val="21"/>
          <w:highlight w:val="yellow"/>
          <w:lang w:val="en-US" w:eastAsia="zh-CN"/>
        </w:rPr>
      </w:pPr>
      <w:r>
        <w:rPr>
          <w:rFonts w:hint="eastAsia" w:ascii="宋体" w:hAnsi="宋体" w:cs="宋体"/>
          <w:b/>
          <w:szCs w:val="21"/>
          <w:highlight w:val="yellow"/>
          <w:lang w:val="en-US" w:eastAsia="zh-CN"/>
        </w:rPr>
        <w:t>（参照采购清单及政务云资源需求格式自拟）</w:t>
      </w:r>
    </w:p>
    <w:p>
      <w:pPr>
        <w:rPr>
          <w:rFonts w:hint="eastAsia" w:ascii="宋体" w:hAnsi="宋体" w:eastAsia="宋体" w:cs="宋体"/>
          <w:b/>
          <w:color w:val="auto"/>
          <w:szCs w:val="21"/>
          <w:highlight w:val="yellow"/>
        </w:rPr>
      </w:pPr>
    </w:p>
    <w:p>
      <w:pPr>
        <w:rPr>
          <w:rFonts w:hint="eastAsia" w:ascii="宋体" w:hAnsi="宋体" w:eastAsia="宋体" w:cs="宋体"/>
          <w:b/>
          <w:color w:val="auto"/>
          <w:szCs w:val="21"/>
          <w:highlight w:val="yellow"/>
        </w:rPr>
      </w:pPr>
    </w:p>
    <w:p>
      <w:pPr>
        <w:pStyle w:val="2"/>
        <w:rPr>
          <w:rFonts w:hint="eastAsia" w:ascii="宋体" w:hAnsi="宋体" w:eastAsia="宋体" w:cs="宋体"/>
          <w:b/>
          <w:color w:val="auto"/>
          <w:szCs w:val="21"/>
          <w:highlight w:val="yellow"/>
        </w:rPr>
      </w:pPr>
    </w:p>
    <w:p>
      <w:pPr>
        <w:pStyle w:val="3"/>
        <w:ind w:left="0" w:leftChars="0" w:firstLine="0" w:firstLineChars="0"/>
        <w:rPr>
          <w:rFonts w:hint="eastAsia"/>
          <w:highlight w:val="yellow"/>
        </w:rPr>
      </w:pPr>
    </w:p>
    <w:p>
      <w:pPr>
        <w:rPr>
          <w:rFonts w:hint="eastAsia" w:ascii="宋体" w:hAnsi="宋体" w:eastAsia="宋体" w:cs="宋体"/>
          <w:b/>
          <w:color w:val="auto"/>
          <w:szCs w:val="21"/>
          <w:highlight w:val="yellow"/>
        </w:rPr>
      </w:pPr>
    </w:p>
    <w:p>
      <w:pPr>
        <w:pStyle w:val="2"/>
        <w:rPr>
          <w:rFonts w:hint="eastAsia" w:ascii="宋体" w:hAnsi="宋体" w:eastAsia="宋体" w:cs="宋体"/>
          <w:b/>
          <w:color w:val="auto"/>
          <w:szCs w:val="21"/>
          <w:highlight w:val="yellow"/>
        </w:rPr>
      </w:pPr>
    </w:p>
    <w:p>
      <w:pPr>
        <w:pStyle w:val="3"/>
        <w:rPr>
          <w:rFonts w:hint="eastAsia" w:ascii="宋体" w:hAnsi="宋体" w:eastAsia="宋体" w:cs="宋体"/>
          <w:b/>
          <w:color w:val="auto"/>
          <w:szCs w:val="21"/>
          <w:highlight w:val="yellow"/>
        </w:rPr>
      </w:pPr>
    </w:p>
    <w:p>
      <w:pPr>
        <w:rPr>
          <w:rFonts w:hint="eastAsia"/>
          <w:highlight w:val="yellow"/>
        </w:rPr>
      </w:pPr>
    </w:p>
    <w:p>
      <w:pPr>
        <w:rPr>
          <w:rFonts w:hint="eastAsia" w:ascii="宋体" w:hAnsi="宋体" w:eastAsia="宋体" w:cs="宋体"/>
          <w:b/>
          <w:color w:val="auto"/>
          <w:szCs w:val="21"/>
          <w:highlight w:val="yellow"/>
        </w:rPr>
      </w:pPr>
    </w:p>
    <w:p>
      <w:pPr>
        <w:rPr>
          <w:rFonts w:hint="eastAsia" w:ascii="宋体" w:hAnsi="宋体" w:eastAsia="宋体" w:cs="宋体"/>
          <w:b/>
          <w:color w:val="auto"/>
          <w:szCs w:val="21"/>
          <w:highlight w:val="yellow"/>
        </w:rPr>
      </w:pPr>
    </w:p>
    <w:p>
      <w:pPr>
        <w:pStyle w:val="16"/>
        <w:snapToGrid w:val="0"/>
        <w:spacing w:line="360" w:lineRule="auto"/>
        <w:rPr>
          <w:rFonts w:hint="eastAsia" w:ascii="宋体" w:hAnsi="宋体" w:eastAsia="宋体" w:cs="宋体"/>
          <w:b/>
          <w:color w:val="auto"/>
          <w:szCs w:val="21"/>
          <w:highlight w:val="yellow"/>
        </w:rPr>
      </w:pPr>
      <w:r>
        <w:rPr>
          <w:rFonts w:hint="eastAsia" w:ascii="宋体" w:hAnsi="宋体" w:eastAsia="宋体" w:cs="宋体"/>
          <w:b/>
          <w:color w:val="auto"/>
          <w:szCs w:val="21"/>
          <w:highlight w:val="yellow"/>
        </w:rPr>
        <w:t xml:space="preserve">法定代表人或授权代表（签字或盖章）： </w:t>
      </w:r>
    </w:p>
    <w:p>
      <w:pPr>
        <w:pStyle w:val="16"/>
        <w:snapToGrid w:val="0"/>
        <w:spacing w:line="360" w:lineRule="auto"/>
        <w:rPr>
          <w:rFonts w:hint="eastAsia" w:ascii="宋体" w:hAnsi="宋体" w:eastAsia="宋体" w:cs="宋体"/>
          <w:b/>
          <w:color w:val="auto"/>
          <w:szCs w:val="21"/>
          <w:highlight w:val="yellow"/>
        </w:rPr>
      </w:pPr>
    </w:p>
    <w:p>
      <w:pPr>
        <w:pStyle w:val="16"/>
        <w:snapToGrid w:val="0"/>
        <w:spacing w:line="360" w:lineRule="auto"/>
        <w:rPr>
          <w:rFonts w:hint="eastAsia" w:ascii="宋体" w:hAnsi="宋体" w:eastAsia="宋体" w:cs="宋体"/>
          <w:b/>
          <w:color w:val="auto"/>
          <w:szCs w:val="21"/>
          <w:highlight w:val="yellow"/>
        </w:rPr>
      </w:pPr>
      <w:r>
        <w:rPr>
          <w:rFonts w:hint="eastAsia" w:ascii="宋体" w:hAnsi="宋体" w:eastAsia="宋体" w:cs="宋体"/>
          <w:b/>
          <w:color w:val="auto"/>
          <w:szCs w:val="21"/>
          <w:highlight w:val="yellow"/>
        </w:rPr>
        <w:t>投标人名称（盖章）：</w:t>
      </w:r>
    </w:p>
    <w:p>
      <w:pPr>
        <w:rPr>
          <w:rFonts w:hint="eastAsia" w:ascii="宋体" w:hAnsi="宋体" w:eastAsia="宋体" w:cs="宋体"/>
          <w:b/>
          <w:color w:val="auto"/>
          <w:szCs w:val="21"/>
          <w:highlight w:val="none"/>
        </w:rPr>
      </w:pPr>
    </w:p>
    <w:p>
      <w:pPr>
        <w:pStyle w:val="2"/>
        <w:rPr>
          <w:rFonts w:hint="eastAsia" w:ascii="宋体" w:hAnsi="宋体" w:eastAsia="宋体" w:cs="宋体"/>
          <w:b/>
          <w:color w:val="auto"/>
          <w:szCs w:val="21"/>
          <w:highlight w:val="none"/>
        </w:rPr>
      </w:pPr>
    </w:p>
    <w:p>
      <w:pPr>
        <w:pStyle w:val="3"/>
        <w:ind w:left="0" w:leftChars="0" w:firstLine="0" w:firstLineChars="0"/>
        <w:rPr>
          <w:rFonts w:hint="eastAsia" w:ascii="宋体" w:hAnsi="宋体" w:eastAsia="宋体" w:cs="宋体"/>
          <w:b/>
          <w:color w:val="auto"/>
          <w:szCs w:val="21"/>
          <w:highlight w:val="none"/>
        </w:rPr>
      </w:pPr>
    </w:p>
    <w:p>
      <w:pPr>
        <w:rPr>
          <w:rFonts w:hint="eastAsia"/>
        </w:rPr>
      </w:pPr>
    </w:p>
    <w:sectPr>
      <w:footerReference r:id="rId8" w:type="default"/>
      <w:pgSz w:w="11906" w:h="16838"/>
      <w:pgMar w:top="1134" w:right="1474" w:bottom="1134"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微软繁隶书">
    <w:altName w:val="微软雅黑"/>
    <w:panose1 w:val="00000000000000000000"/>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微软雅黑 Light">
    <w:panose1 w:val="020B0502040204020203"/>
    <w:charset w:val="86"/>
    <w:family w:val="swiss"/>
    <w:pitch w:val="default"/>
    <w:sig w:usb0="80000287" w:usb1="2ACF001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HF7c0AAAAAMBAAAPAAAAAAAAAAEA&#10;IAAAACIAAABkcnMvZG93bnJldi54bWxQSwECFAAUAAAACACHTuJAPnzZEt4BAAC+AwAADgAAAAAA&#10;AAABACAAAAAf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ascii="宋体" w:hAnsi="宋体"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ascii="宋体" w:hAnsi="宋体"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ascii="宋体" w:hAnsi="宋体"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DA222"/>
    <w:multiLevelType w:val="singleLevel"/>
    <w:tmpl w:val="B48DA222"/>
    <w:lvl w:ilvl="0" w:tentative="0">
      <w:start w:val="1"/>
      <w:numFmt w:val="decimal"/>
      <w:suff w:val="nothing"/>
      <w:lvlText w:val="%1、"/>
      <w:lvlJc w:val="left"/>
    </w:lvl>
  </w:abstractNum>
  <w:abstractNum w:abstractNumId="1">
    <w:nsid w:val="C7D31BB1"/>
    <w:multiLevelType w:val="singleLevel"/>
    <w:tmpl w:val="C7D31BB1"/>
    <w:lvl w:ilvl="0" w:tentative="0">
      <w:start w:val="1"/>
      <w:numFmt w:val="chineseCounting"/>
      <w:suff w:val="nothing"/>
      <w:lvlText w:val="（%1）"/>
      <w:lvlJc w:val="left"/>
      <w:rPr>
        <w:rFonts w:hint="eastAsia"/>
      </w:rPr>
    </w:lvl>
  </w:abstractNum>
  <w:abstractNum w:abstractNumId="2">
    <w:nsid w:val="D61C34F3"/>
    <w:multiLevelType w:val="singleLevel"/>
    <w:tmpl w:val="D61C34F3"/>
    <w:lvl w:ilvl="0" w:tentative="0">
      <w:start w:val="1"/>
      <w:numFmt w:val="decimal"/>
      <w:suff w:val="nothing"/>
      <w:lvlText w:val="%1）"/>
      <w:lvlJc w:val="left"/>
    </w:lvl>
  </w:abstractNum>
  <w:abstractNum w:abstractNumId="3">
    <w:nsid w:val="E6512F88"/>
    <w:multiLevelType w:val="singleLevel"/>
    <w:tmpl w:val="E6512F88"/>
    <w:lvl w:ilvl="0" w:tentative="0">
      <w:start w:val="2"/>
      <w:numFmt w:val="chineseCounting"/>
      <w:suff w:val="space"/>
      <w:lvlText w:val="第%1章"/>
      <w:lvlJc w:val="left"/>
      <w:rPr>
        <w:rFonts w:hint="eastAsia"/>
      </w:rPr>
    </w:lvl>
  </w:abstractNum>
  <w:abstractNum w:abstractNumId="4">
    <w:nsid w:val="E86A424A"/>
    <w:multiLevelType w:val="singleLevel"/>
    <w:tmpl w:val="E86A424A"/>
    <w:lvl w:ilvl="0" w:tentative="0">
      <w:start w:val="1"/>
      <w:numFmt w:val="decimal"/>
      <w:suff w:val="nothing"/>
      <w:lvlText w:val="%1、"/>
      <w:lvlJc w:val="left"/>
    </w:lvl>
  </w:abstractNum>
  <w:abstractNum w:abstractNumId="5">
    <w:nsid w:val="F57E6467"/>
    <w:multiLevelType w:val="singleLevel"/>
    <w:tmpl w:val="F57E6467"/>
    <w:lvl w:ilvl="0" w:tentative="0">
      <w:start w:val="1"/>
      <w:numFmt w:val="decimal"/>
      <w:suff w:val="nothing"/>
      <w:lvlText w:val="（%1）"/>
      <w:lvlJc w:val="left"/>
    </w:lvl>
  </w:abstractNum>
  <w:abstractNum w:abstractNumId="6">
    <w:nsid w:val="00000001"/>
    <w:multiLevelType w:val="multilevel"/>
    <w:tmpl w:val="00000001"/>
    <w:lvl w:ilvl="0" w:tentative="0">
      <w:start w:val="1"/>
      <w:numFmt w:val="decimal"/>
      <w:pStyle w:val="61"/>
      <w:lvlText w:val="（%1）"/>
      <w:lvlJc w:val="left"/>
      <w:pPr>
        <w:tabs>
          <w:tab w:val="left" w:pos="1365"/>
        </w:tabs>
        <w:ind w:left="1365" w:hanging="735"/>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7">
    <w:nsid w:val="00000002"/>
    <w:multiLevelType w:val="singleLevel"/>
    <w:tmpl w:val="00000002"/>
    <w:lvl w:ilvl="0" w:tentative="0">
      <w:start w:val="1"/>
      <w:numFmt w:val="decimal"/>
      <w:pStyle w:val="8"/>
      <w:lvlText w:val="%1."/>
      <w:lvlJc w:val="left"/>
      <w:pPr>
        <w:tabs>
          <w:tab w:val="left" w:pos="360"/>
        </w:tabs>
        <w:ind w:left="360" w:hanging="360"/>
      </w:pPr>
    </w:lvl>
  </w:abstractNum>
  <w:abstractNum w:abstractNumId="8">
    <w:nsid w:val="590134D3"/>
    <w:multiLevelType w:val="singleLevel"/>
    <w:tmpl w:val="590134D3"/>
    <w:lvl w:ilvl="0" w:tentative="0">
      <w:start w:val="2"/>
      <w:numFmt w:val="chineseCounting"/>
      <w:suff w:val="nothing"/>
      <w:lvlText w:val="%1、"/>
      <w:lvlJc w:val="left"/>
      <w:rPr>
        <w:rFonts w:hint="eastAsia"/>
      </w:rPr>
    </w:lvl>
  </w:abstractNum>
  <w:abstractNum w:abstractNumId="9">
    <w:nsid w:val="5E6B8E02"/>
    <w:multiLevelType w:val="singleLevel"/>
    <w:tmpl w:val="5E6B8E02"/>
    <w:lvl w:ilvl="0" w:tentative="0">
      <w:start w:val="1"/>
      <w:numFmt w:val="decimal"/>
      <w:suff w:val="nothing"/>
      <w:lvlText w:val="%1、"/>
      <w:lvlJc w:val="left"/>
    </w:lvl>
  </w:abstractNum>
  <w:abstractNum w:abstractNumId="10">
    <w:nsid w:val="684C738B"/>
    <w:multiLevelType w:val="multilevel"/>
    <w:tmpl w:val="684C738B"/>
    <w:lvl w:ilvl="0" w:tentative="0">
      <w:start w:val="1"/>
      <w:numFmt w:val="decimal"/>
      <w:lvlText w:val="%1"/>
      <w:lvlJc w:val="left"/>
      <w:pPr>
        <w:ind w:left="432" w:hanging="432"/>
      </w:pPr>
      <w:rPr>
        <w:rFonts w:hint="eastAsia"/>
      </w:rPr>
    </w:lvl>
    <w:lvl w:ilvl="1" w:tentative="0">
      <w:start w:val="1"/>
      <w:numFmt w:val="decimal"/>
      <w:pStyle w:val="52"/>
      <w:lvlText w:val="%1.%2"/>
      <w:lvlJc w:val="left"/>
      <w:pPr>
        <w:ind w:left="1144" w:hanging="576"/>
      </w:pPr>
      <w:rPr>
        <w:rFonts w:hint="eastAsia"/>
      </w:rPr>
    </w:lvl>
    <w:lvl w:ilvl="2" w:tentative="0">
      <w:start w:val="1"/>
      <w:numFmt w:val="decimal"/>
      <w:pStyle w:val="53"/>
      <w:lvlText w:val="%1.%2.%3"/>
      <w:lvlJc w:val="left"/>
      <w:pPr>
        <w:ind w:left="720" w:hanging="720"/>
      </w:pPr>
      <w:rPr>
        <w:rFonts w:hint="eastAsia"/>
      </w:rPr>
    </w:lvl>
    <w:lvl w:ilvl="3" w:tentative="0">
      <w:start w:val="1"/>
      <w:numFmt w:val="decimal"/>
      <w:pStyle w:val="67"/>
      <w:lvlText w:val="%1.%2.%3.%4"/>
      <w:lvlJc w:val="left"/>
      <w:pPr>
        <w:ind w:left="864" w:hanging="580"/>
      </w:pPr>
      <w:rPr>
        <w:rFonts w:hint="eastAsia" w:cs="Times New Roman"/>
        <w:b w:val="0"/>
        <w:i w:val="0"/>
        <w:iCs w:val="0"/>
        <w:caps w:val="0"/>
        <w:smallCaps w:val="0"/>
        <w:strike w:val="0"/>
        <w:dstrike w:val="0"/>
        <w:outline w:val="0"/>
        <w:shadow w:val="0"/>
        <w:emboss w:val="0"/>
        <w:imprint w:val="0"/>
        <w:spacing w:val="0"/>
        <w:position w:val="0"/>
        <w:u w:val="none"/>
        <w:vertAlign w:val="baseline"/>
      </w:rPr>
    </w:lvl>
    <w:lvl w:ilvl="4" w:tentative="0">
      <w:start w:val="1"/>
      <w:numFmt w:val="decimal"/>
      <w:lvlText w:val="%1.%2.%3.%4.%5"/>
      <w:lvlJc w:val="left"/>
      <w:pPr>
        <w:ind w:left="1008" w:hanging="554"/>
      </w:pPr>
      <w:rPr>
        <w:rFonts w:hint="eastAsia" w:cs="Times New Roman"/>
        <w:b w:val="0"/>
        <w:i w:val="0"/>
        <w:iCs w:val="0"/>
        <w:caps w:val="0"/>
        <w:smallCaps w:val="0"/>
        <w:strike w:val="0"/>
        <w:dstrike w:val="0"/>
        <w:outline w:val="0"/>
        <w:shadow w:val="0"/>
        <w:emboss w:val="0"/>
        <w:imprint w:val="0"/>
        <w:spacing w:val="0"/>
        <w:position w:val="0"/>
        <w:u w:val="none"/>
        <w:vertAlign w:val="baseline"/>
      </w:rPr>
    </w:lvl>
    <w:lvl w:ilvl="5" w:tentative="0">
      <w:start w:val="1"/>
      <w:numFmt w:val="decimal"/>
      <w:lvlText w:val="%1.%2.%3.%4.%5.%6"/>
      <w:lvlJc w:val="left"/>
      <w:pPr>
        <w:ind w:left="1152" w:hanging="1152"/>
      </w:pPr>
      <w:rPr>
        <w:rFonts w:hint="eastAsia" w:cs="Times New Roman"/>
        <w:b w:val="0"/>
        <w:i w:val="0"/>
        <w:iCs w:val="0"/>
        <w:caps w:val="0"/>
        <w:smallCaps w:val="0"/>
        <w:strike w:val="0"/>
        <w:dstrike w:val="0"/>
        <w:outline w:val="0"/>
        <w:shadow w:val="0"/>
        <w:emboss w:val="0"/>
        <w:imprint w:val="0"/>
        <w:spacing w:val="0"/>
        <w:position w:val="0"/>
        <w:u w:val="none"/>
        <w:vertAlign w:val="baseline"/>
      </w:rPr>
    </w:lvl>
    <w:lvl w:ilvl="6" w:tentative="0">
      <w:start w:val="1"/>
      <w:numFmt w:val="decimal"/>
      <w:lvlText w:val="%1.%2.%3.%4.%5.%6.%7"/>
      <w:lvlJc w:val="left"/>
      <w:pPr>
        <w:ind w:left="1296" w:hanging="1296"/>
      </w:pPr>
      <w:rPr>
        <w:rFonts w:hint="eastAsia"/>
      </w:rPr>
    </w:lvl>
    <w:lvl w:ilvl="7" w:tentative="0">
      <w:start w:val="1"/>
      <w:numFmt w:val="decimal"/>
      <w:lvlText w:val="%8)"/>
      <w:lvlJc w:val="left"/>
      <w:pPr>
        <w:ind w:left="1440" w:hanging="1440"/>
      </w:pPr>
      <w:rPr>
        <w:rFonts w:hint="eastAsia"/>
      </w:rPr>
    </w:lvl>
    <w:lvl w:ilvl="8" w:tentative="0">
      <w:start w:val="1"/>
      <w:numFmt w:val="bullet"/>
      <w:lvlText w:val=""/>
      <w:lvlJc w:val="left"/>
      <w:pPr>
        <w:ind w:left="1584" w:hanging="1584"/>
      </w:pPr>
      <w:rPr>
        <w:rFonts w:hint="default" w:ascii="Wingdings" w:hAnsi="Wingdings"/>
      </w:rPr>
    </w:lvl>
  </w:abstractNum>
  <w:num w:numId="1">
    <w:abstractNumId w:val="7"/>
  </w:num>
  <w:num w:numId="2">
    <w:abstractNumId w:val="10"/>
  </w:num>
  <w:num w:numId="3">
    <w:abstractNumId w:val="6"/>
  </w:num>
  <w:num w:numId="4">
    <w:abstractNumId w:val="3"/>
  </w:num>
  <w:num w:numId="5">
    <w:abstractNumId w:val="8"/>
  </w:num>
  <w:num w:numId="6">
    <w:abstractNumId w:val="1"/>
  </w:num>
  <w:num w:numId="7">
    <w:abstractNumId w:val="9"/>
  </w:num>
  <w:num w:numId="8">
    <w:abstractNumId w:val="4"/>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A81F78"/>
    <w:rsid w:val="02741EA9"/>
    <w:rsid w:val="046B1FCA"/>
    <w:rsid w:val="06AE0F03"/>
    <w:rsid w:val="0BD0539F"/>
    <w:rsid w:val="0EDC17A9"/>
    <w:rsid w:val="11CE0889"/>
    <w:rsid w:val="128828B8"/>
    <w:rsid w:val="162250F6"/>
    <w:rsid w:val="19BE167B"/>
    <w:rsid w:val="1A3C63D0"/>
    <w:rsid w:val="1AAE6545"/>
    <w:rsid w:val="210A389D"/>
    <w:rsid w:val="21DB7FB3"/>
    <w:rsid w:val="21DE2CC1"/>
    <w:rsid w:val="2D580A2A"/>
    <w:rsid w:val="30CB114F"/>
    <w:rsid w:val="39F018D9"/>
    <w:rsid w:val="3C7F22F2"/>
    <w:rsid w:val="3F454604"/>
    <w:rsid w:val="3FB25D0F"/>
    <w:rsid w:val="404F6F29"/>
    <w:rsid w:val="46D336F7"/>
    <w:rsid w:val="4FCA0E1F"/>
    <w:rsid w:val="55E05BBF"/>
    <w:rsid w:val="61AD38D6"/>
    <w:rsid w:val="651C29F6"/>
    <w:rsid w:val="6D837552"/>
    <w:rsid w:val="762A6255"/>
    <w:rsid w:val="77EE0987"/>
    <w:rsid w:val="FD90F8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adjustRightInd w:val="0"/>
      <w:spacing w:line="400" w:lineRule="exact"/>
      <w:jc w:val="left"/>
      <w:textAlignment w:val="baseline"/>
      <w:outlineLvl w:val="0"/>
    </w:pPr>
    <w:rPr>
      <w:rFonts w:ascii="Calibri" w:hAnsi="Calibri" w:eastAsia="黑体" w:cs="宋体"/>
      <w:kern w:val="0"/>
      <w:sz w:val="24"/>
    </w:rPr>
  </w:style>
  <w:style w:type="paragraph" w:styleId="5">
    <w:name w:val="heading 2"/>
    <w:basedOn w:val="1"/>
    <w:next w:val="1"/>
    <w:qFormat/>
    <w:uiPriority w:val="0"/>
    <w:pPr>
      <w:tabs>
        <w:tab w:val="left" w:pos="1260"/>
        <w:tab w:val="left" w:pos="1575"/>
      </w:tabs>
      <w:jc w:val="both"/>
      <w:outlineLvl w:val="1"/>
    </w:pPr>
    <w:rPr>
      <w:rFonts w:eastAsia="宋体"/>
    </w:rPr>
  </w:style>
  <w:style w:type="paragraph" w:styleId="6">
    <w:name w:val="heading 3"/>
    <w:basedOn w:val="1"/>
    <w:next w:val="7"/>
    <w:qFormat/>
    <w:uiPriority w:val="0"/>
    <w:pPr>
      <w:keepNext/>
      <w:keepLines/>
      <w:spacing w:line="413" w:lineRule="auto"/>
      <w:outlineLvl w:val="2"/>
    </w:pPr>
    <w:rPr>
      <w:rFonts w:ascii="Calibri" w:hAnsi="Calibri" w:cs="宋体"/>
      <w:b/>
      <w:bCs/>
      <w:sz w:val="32"/>
      <w:szCs w:val="32"/>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cs="宋体"/>
    </w:rPr>
  </w:style>
  <w:style w:type="paragraph" w:styleId="3">
    <w:name w:val="Body Text First Indent"/>
    <w:basedOn w:val="2"/>
    <w:next w:val="1"/>
    <w:qFormat/>
    <w:uiPriority w:val="0"/>
    <w:pPr>
      <w:ind w:firstLine="420" w:firstLineChars="100"/>
    </w:pPr>
    <w:rPr>
      <w:rFonts w:ascii="Times New Roman" w:hAnsi="Times New Roman"/>
    </w:rPr>
  </w:style>
  <w:style w:type="paragraph" w:customStyle="1" w:styleId="7">
    <w:name w:val="标准正文"/>
    <w:basedOn w:val="1"/>
    <w:qFormat/>
    <w:uiPriority w:val="0"/>
    <w:pPr>
      <w:spacing w:line="360" w:lineRule="auto"/>
      <w:ind w:firstLine="200" w:firstLineChars="200"/>
    </w:pPr>
    <w:rPr>
      <w:rFonts w:ascii="Calibri" w:hAnsi="Calibri" w:cs="宋体"/>
      <w:sz w:val="24"/>
      <w:szCs w:val="20"/>
    </w:rPr>
  </w:style>
  <w:style w:type="paragraph" w:styleId="8">
    <w:name w:val="List Number"/>
    <w:basedOn w:val="1"/>
    <w:qFormat/>
    <w:uiPriority w:val="0"/>
    <w:pPr>
      <w:numPr>
        <w:ilvl w:val="0"/>
        <w:numId w:val="1"/>
      </w:numPr>
    </w:pPr>
    <w:rPr>
      <w:rFonts w:ascii="Calibri" w:hAnsi="Calibri" w:cs="宋体"/>
    </w:rPr>
  </w:style>
  <w:style w:type="paragraph" w:styleId="9">
    <w:name w:val="Normal Indent"/>
    <w:basedOn w:val="1"/>
    <w:next w:val="10"/>
    <w:qFormat/>
    <w:uiPriority w:val="0"/>
    <w:pPr>
      <w:widowControl/>
      <w:adjustRightInd w:val="0"/>
      <w:snapToGrid w:val="0"/>
      <w:spacing w:line="480" w:lineRule="exact"/>
      <w:ind w:firstLine="567"/>
    </w:pPr>
    <w:rPr>
      <w:rFonts w:ascii="宋体" w:hAnsi="Calibri" w:cs="宋体"/>
      <w:snapToGrid w:val="0"/>
      <w:color w:val="000000"/>
      <w:kern w:val="28"/>
      <w:sz w:val="28"/>
      <w:szCs w:val="20"/>
    </w:rPr>
  </w:style>
  <w:style w:type="paragraph" w:styleId="10">
    <w:name w:val="Body Text Indent"/>
    <w:basedOn w:val="1"/>
    <w:next w:val="9"/>
    <w:qFormat/>
    <w:uiPriority w:val="0"/>
    <w:pPr>
      <w:ind w:firstLine="560" w:firstLineChars="200"/>
    </w:pPr>
    <w:rPr>
      <w:rFonts w:ascii="Calibri" w:hAnsi="Calibri" w:cs="宋体"/>
      <w:sz w:val="28"/>
    </w:rPr>
  </w:style>
  <w:style w:type="paragraph" w:styleId="11">
    <w:name w:val="caption"/>
    <w:basedOn w:val="1"/>
    <w:next w:val="1"/>
    <w:qFormat/>
    <w:uiPriority w:val="0"/>
    <w:pPr>
      <w:framePr w:w="9721" w:h="1873" w:hSpace="180" w:wrap="around" w:vAnchor="text" w:hAnchor="page" w:x="1621" w:y="1"/>
      <w:widowControl w:val="0"/>
      <w:shd w:val="clear" w:color="C0C0C0" w:fill="FFFFFF"/>
      <w:tabs>
        <w:tab w:val="left" w:pos="9000"/>
      </w:tabs>
      <w:ind w:firstLine="180" w:firstLineChars="75"/>
      <w:jc w:val="both"/>
    </w:pPr>
    <w:rPr>
      <w:rFonts w:ascii="Arial Narrow" w:hAnsi="Arial Narrow" w:eastAsia="微软繁隶书"/>
      <w:b/>
      <w:color w:val="FF0000"/>
      <w:kern w:val="2"/>
      <w:sz w:val="24"/>
      <w:szCs w:val="24"/>
    </w:rPr>
  </w:style>
  <w:style w:type="paragraph" w:styleId="12">
    <w:name w:val="Document Map"/>
    <w:basedOn w:val="1"/>
    <w:link w:val="39"/>
    <w:qFormat/>
    <w:uiPriority w:val="0"/>
    <w:rPr>
      <w:rFonts w:ascii="宋体" w:hAnsi="Calibri"/>
      <w:sz w:val="18"/>
      <w:szCs w:val="18"/>
    </w:rPr>
  </w:style>
  <w:style w:type="paragraph" w:styleId="13">
    <w:name w:val="annotation text"/>
    <w:basedOn w:val="1"/>
    <w:link w:val="40"/>
    <w:qFormat/>
    <w:uiPriority w:val="0"/>
    <w:pPr>
      <w:jc w:val="left"/>
    </w:pPr>
    <w:rPr>
      <w:rFonts w:ascii="Calibri" w:hAnsi="Calibri"/>
    </w:rPr>
  </w:style>
  <w:style w:type="paragraph" w:styleId="14">
    <w:name w:val="Body Text 3"/>
    <w:basedOn w:val="1"/>
    <w:qFormat/>
    <w:uiPriority w:val="0"/>
    <w:rPr>
      <w:rFonts w:ascii="Calibri" w:hAnsi="Calibri" w:cs="宋体"/>
      <w:sz w:val="16"/>
      <w:szCs w:val="16"/>
    </w:rPr>
  </w:style>
  <w:style w:type="paragraph" w:styleId="15">
    <w:name w:val="List 2"/>
    <w:basedOn w:val="1"/>
    <w:qFormat/>
    <w:uiPriority w:val="0"/>
    <w:pPr>
      <w:ind w:left="100" w:leftChars="200" w:hanging="200" w:hangingChars="200"/>
    </w:pPr>
    <w:rPr>
      <w:rFonts w:ascii="Calibri" w:hAnsi="Calibri" w:cs="宋体"/>
    </w:rPr>
  </w:style>
  <w:style w:type="paragraph" w:styleId="16">
    <w:name w:val="Plain Text"/>
    <w:basedOn w:val="1"/>
    <w:next w:val="1"/>
    <w:link w:val="41"/>
    <w:qFormat/>
    <w:uiPriority w:val="0"/>
    <w:rPr>
      <w:rFonts w:ascii="宋体" w:hAnsi="Courier New" w:cs="宋体"/>
      <w:szCs w:val="20"/>
    </w:rPr>
  </w:style>
  <w:style w:type="paragraph" w:styleId="17">
    <w:name w:val="Date"/>
    <w:basedOn w:val="1"/>
    <w:next w:val="1"/>
    <w:qFormat/>
    <w:uiPriority w:val="0"/>
    <w:pPr>
      <w:ind w:left="2500" w:leftChars="2500"/>
    </w:pPr>
    <w:rPr>
      <w:rFonts w:ascii="Calibri" w:hAnsi="Calibri" w:eastAsia="楷体_GB2312" w:cs="宋体"/>
      <w:sz w:val="32"/>
    </w:rPr>
  </w:style>
  <w:style w:type="paragraph" w:styleId="18">
    <w:name w:val="Body Text Indent 2"/>
    <w:basedOn w:val="1"/>
    <w:qFormat/>
    <w:uiPriority w:val="0"/>
    <w:pPr>
      <w:spacing w:line="360" w:lineRule="auto"/>
      <w:ind w:left="916" w:hanging="916" w:hangingChars="333"/>
    </w:pPr>
    <w:rPr>
      <w:rFonts w:ascii="Calibri" w:hAnsi="Calibri" w:eastAsia="黑体" w:cs="宋体"/>
      <w:b/>
      <w:bCs/>
      <w:sz w:val="28"/>
    </w:rPr>
  </w:style>
  <w:style w:type="paragraph" w:styleId="19">
    <w:name w:val="Balloon Text"/>
    <w:basedOn w:val="1"/>
    <w:qFormat/>
    <w:uiPriority w:val="0"/>
    <w:rPr>
      <w:sz w:val="24"/>
      <w:szCs w:val="18"/>
    </w:rPr>
  </w:style>
  <w:style w:type="paragraph" w:styleId="20">
    <w:name w:val="footer"/>
    <w:basedOn w:val="1"/>
    <w:qFormat/>
    <w:uiPriority w:val="0"/>
    <w:pPr>
      <w:tabs>
        <w:tab w:val="center" w:pos="4153"/>
        <w:tab w:val="right" w:pos="8306"/>
      </w:tabs>
      <w:snapToGrid w:val="0"/>
      <w:jc w:val="left"/>
    </w:pPr>
    <w:rPr>
      <w:rFonts w:ascii="Calibri" w:hAnsi="Calibri" w:cs="宋体"/>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rFonts w:ascii="Calibri" w:hAnsi="Calibri" w:cs="宋体"/>
      <w:sz w:val="18"/>
      <w:szCs w:val="18"/>
    </w:rPr>
  </w:style>
  <w:style w:type="paragraph" w:styleId="22">
    <w:name w:val="Subtitle"/>
    <w:basedOn w:val="1"/>
    <w:next w:val="1"/>
    <w:qFormat/>
    <w:uiPriority w:val="0"/>
    <w:pPr>
      <w:spacing w:line="312" w:lineRule="auto"/>
      <w:jc w:val="center"/>
      <w:outlineLvl w:val="1"/>
    </w:pPr>
    <w:rPr>
      <w:rFonts w:ascii="Cambria" w:hAnsi="Cambria"/>
      <w:b/>
      <w:bCs/>
      <w:kern w:val="28"/>
      <w:sz w:val="32"/>
      <w:szCs w:val="32"/>
    </w:rPr>
  </w:style>
  <w:style w:type="paragraph" w:styleId="23">
    <w:name w:val="List"/>
    <w:basedOn w:val="1"/>
    <w:qFormat/>
    <w:uiPriority w:val="0"/>
    <w:pPr>
      <w:ind w:left="200" w:hanging="200"/>
    </w:pPr>
    <w:rPr>
      <w:rFonts w:ascii="Calibri" w:hAnsi="Calibri" w:cs="宋体"/>
    </w:rPr>
  </w:style>
  <w:style w:type="paragraph" w:styleId="24">
    <w:name w:val="toc 6"/>
    <w:basedOn w:val="1"/>
    <w:next w:val="1"/>
    <w:qFormat/>
    <w:uiPriority w:val="0"/>
    <w:pPr>
      <w:ind w:left="1050"/>
      <w:jc w:val="left"/>
    </w:pPr>
    <w:rPr>
      <w:rFonts w:ascii="Calibri" w:hAnsi="Calibri"/>
      <w:sz w:val="18"/>
      <w:szCs w:val="18"/>
    </w:rPr>
  </w:style>
  <w:style w:type="paragraph" w:styleId="25">
    <w:name w:val="Body Text Indent 3"/>
    <w:basedOn w:val="1"/>
    <w:qFormat/>
    <w:uiPriority w:val="0"/>
    <w:pPr>
      <w:adjustRightInd w:val="0"/>
      <w:spacing w:line="360" w:lineRule="auto"/>
      <w:ind w:left="638" w:leftChars="304"/>
    </w:pPr>
    <w:rPr>
      <w:rFonts w:ascii="Calibri" w:hAnsi="Calibri" w:cs="宋体"/>
      <w:sz w:val="32"/>
    </w:rPr>
  </w:style>
  <w:style w:type="paragraph" w:styleId="26">
    <w:name w:val="toc 2"/>
    <w:basedOn w:val="1"/>
    <w:next w:val="1"/>
    <w:qFormat/>
    <w:uiPriority w:val="0"/>
    <w:pPr>
      <w:ind w:left="420" w:leftChars="200"/>
    </w:pPr>
    <w:rPr>
      <w:rFonts w:ascii="Calibri" w:hAnsi="Calibri" w:cs="宋体"/>
    </w:rPr>
  </w:style>
  <w:style w:type="paragraph" w:styleId="27">
    <w:name w:val="Body Text 2"/>
    <w:basedOn w:val="1"/>
    <w:qFormat/>
    <w:uiPriority w:val="0"/>
    <w:pPr>
      <w:jc w:val="center"/>
    </w:pPr>
    <w:rPr>
      <w:rFonts w:ascii="Calibri" w:hAnsi="Calibri" w:cs="宋体"/>
      <w:b/>
      <w:sz w:val="72"/>
    </w:rPr>
  </w:style>
  <w:style w:type="paragraph" w:styleId="2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styleId="29">
    <w:name w:val="Normal (Web)"/>
    <w:basedOn w:val="1"/>
    <w:qFormat/>
    <w:uiPriority w:val="0"/>
    <w:pPr>
      <w:widowControl/>
      <w:spacing w:beforeAutospacing="1" w:afterAutospacing="1"/>
      <w:jc w:val="left"/>
    </w:pPr>
    <w:rPr>
      <w:rFonts w:ascii="宋体" w:hAnsi="宋体" w:cs="宋体"/>
      <w:kern w:val="0"/>
      <w:sz w:val="24"/>
    </w:rPr>
  </w:style>
  <w:style w:type="paragraph" w:styleId="30">
    <w:name w:val="Title"/>
    <w:basedOn w:val="1"/>
    <w:next w:val="1"/>
    <w:link w:val="42"/>
    <w:qFormat/>
    <w:uiPriority w:val="0"/>
    <w:pPr>
      <w:widowControl/>
      <w:overflowPunct w:val="0"/>
      <w:autoSpaceDE w:val="0"/>
      <w:autoSpaceDN w:val="0"/>
      <w:adjustRightInd w:val="0"/>
      <w:jc w:val="center"/>
      <w:textAlignment w:val="baseline"/>
    </w:pPr>
    <w:rPr>
      <w:rFonts w:ascii="Calibri" w:hAnsi="Calibri"/>
      <w:b/>
      <w:kern w:val="0"/>
      <w:sz w:val="24"/>
      <w:lang w:val="en-GB"/>
    </w:rPr>
  </w:style>
  <w:style w:type="paragraph" w:styleId="31">
    <w:name w:val="annotation subject"/>
    <w:basedOn w:val="13"/>
    <w:next w:val="13"/>
    <w:link w:val="43"/>
    <w:qFormat/>
    <w:uiPriority w:val="0"/>
    <w:rPr>
      <w:b/>
      <w:bCs/>
    </w:rPr>
  </w:style>
  <w:style w:type="paragraph" w:styleId="32">
    <w:name w:val="Body Text First Indent 2"/>
    <w:basedOn w:val="10"/>
    <w:unhideWhenUsed/>
    <w:qFormat/>
    <w:uiPriority w:val="99"/>
    <w:pPr>
      <w:ind w:firstLine="420" w:firstLineChars="200"/>
    </w:p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page number"/>
    <w:basedOn w:val="35"/>
    <w:qFormat/>
    <w:uiPriority w:val="0"/>
    <w:rPr>
      <w:rFonts w:ascii="Calibri" w:hAnsi="Calibri" w:eastAsia="宋体" w:cs="宋体"/>
    </w:rPr>
  </w:style>
  <w:style w:type="character" w:styleId="37">
    <w:name w:val="Hyperlink"/>
    <w:qFormat/>
    <w:uiPriority w:val="0"/>
    <w:rPr>
      <w:rFonts w:ascii="Calibri" w:hAnsi="Calibri" w:eastAsia="宋体" w:cs="宋体"/>
      <w:color w:val="0000FF"/>
      <w:u w:val="single"/>
    </w:rPr>
  </w:style>
  <w:style w:type="character" w:styleId="38">
    <w:name w:val="annotation reference"/>
    <w:qFormat/>
    <w:uiPriority w:val="0"/>
    <w:rPr>
      <w:rFonts w:ascii="Calibri" w:hAnsi="Calibri" w:eastAsia="宋体" w:cs="宋体"/>
      <w:sz w:val="21"/>
      <w:szCs w:val="21"/>
    </w:rPr>
  </w:style>
  <w:style w:type="character" w:customStyle="1" w:styleId="39">
    <w:name w:val="文档结构图 Char"/>
    <w:link w:val="12"/>
    <w:qFormat/>
    <w:uiPriority w:val="0"/>
    <w:rPr>
      <w:rFonts w:ascii="宋体" w:hAnsi="Calibri" w:eastAsia="宋体" w:cs="宋体"/>
      <w:kern w:val="2"/>
      <w:sz w:val="18"/>
      <w:szCs w:val="18"/>
    </w:rPr>
  </w:style>
  <w:style w:type="character" w:customStyle="1" w:styleId="40">
    <w:name w:val="批注文字 Char"/>
    <w:link w:val="13"/>
    <w:qFormat/>
    <w:uiPriority w:val="0"/>
    <w:rPr>
      <w:rFonts w:ascii="Calibri" w:hAnsi="Calibri" w:eastAsia="宋体" w:cs="宋体"/>
      <w:kern w:val="2"/>
      <w:sz w:val="21"/>
      <w:szCs w:val="24"/>
    </w:rPr>
  </w:style>
  <w:style w:type="character" w:customStyle="1" w:styleId="41">
    <w:name w:val="纯文本 Char"/>
    <w:link w:val="16"/>
    <w:qFormat/>
    <w:uiPriority w:val="0"/>
    <w:rPr>
      <w:rFonts w:ascii="宋体" w:hAnsi="Courier New" w:eastAsia="宋体" w:cs="宋体"/>
      <w:kern w:val="2"/>
      <w:sz w:val="21"/>
      <w:lang w:val="en-US" w:eastAsia="zh-CN" w:bidi="ar-SA"/>
    </w:rPr>
  </w:style>
  <w:style w:type="character" w:customStyle="1" w:styleId="42">
    <w:name w:val="标题 Char"/>
    <w:link w:val="30"/>
    <w:qFormat/>
    <w:locked/>
    <w:uiPriority w:val="0"/>
    <w:rPr>
      <w:rFonts w:ascii="Calibri" w:hAnsi="Calibri" w:cs="宋体"/>
      <w:b/>
      <w:sz w:val="24"/>
      <w:szCs w:val="24"/>
      <w:lang w:val="en-GB"/>
    </w:rPr>
  </w:style>
  <w:style w:type="character" w:customStyle="1" w:styleId="43">
    <w:name w:val="批注主题 Char"/>
    <w:link w:val="31"/>
    <w:qFormat/>
    <w:uiPriority w:val="0"/>
    <w:rPr>
      <w:rFonts w:ascii="Calibri" w:hAnsi="Calibri" w:eastAsia="宋体" w:cs="宋体"/>
      <w:b/>
      <w:bCs/>
      <w:kern w:val="2"/>
      <w:sz w:val="21"/>
      <w:szCs w:val="24"/>
    </w:rPr>
  </w:style>
  <w:style w:type="character" w:customStyle="1" w:styleId="44">
    <w:name w:val="无"/>
    <w:qFormat/>
    <w:uiPriority w:val="0"/>
    <w:rPr>
      <w:rFonts w:ascii="Calibri" w:hAnsi="Calibri" w:eastAsia="宋体" w:cs="宋体"/>
    </w:rPr>
  </w:style>
  <w:style w:type="paragraph" w:customStyle="1" w:styleId="45">
    <w:name w:val="列出段落1"/>
    <w:basedOn w:val="1"/>
    <w:qFormat/>
    <w:uiPriority w:val="34"/>
    <w:pPr>
      <w:ind w:firstLine="420" w:firstLineChars="200"/>
    </w:pPr>
    <w:rPr>
      <w:rFonts w:ascii="Calibri" w:hAnsi="Calibri"/>
      <w:szCs w:val="22"/>
    </w:rPr>
  </w:style>
  <w:style w:type="paragraph" w:customStyle="1" w:styleId="46">
    <w:name w:val="正"/>
    <w:qFormat/>
    <w:uiPriority w:val="0"/>
    <w:pPr>
      <w:widowControl w:val="0"/>
      <w:spacing w:line="360" w:lineRule="auto"/>
      <w:ind w:firstLine="480" w:firstLineChars="200"/>
      <w:jc w:val="both"/>
    </w:pPr>
    <w:rPr>
      <w:rFonts w:ascii="Times New Roman" w:hAnsi="Times New Roman" w:eastAsia="宋体" w:cs="Times New Roman"/>
      <w:sz w:val="24"/>
      <w:szCs w:val="24"/>
      <w:lang w:val="en-US" w:eastAsia="zh-CN" w:bidi="ar-SA"/>
    </w:rPr>
  </w:style>
  <w:style w:type="paragraph" w:customStyle="1" w:styleId="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宋体"/>
    </w:rPr>
  </w:style>
  <w:style w:type="paragraph" w:customStyle="1" w:styleId="48">
    <w:name w:val="Char Char Char Char Char Char"/>
    <w:basedOn w:val="1"/>
    <w:qFormat/>
    <w:uiPriority w:val="0"/>
    <w:pPr>
      <w:ind w:firstLine="200" w:firstLineChars="200"/>
    </w:pPr>
    <w:rPr>
      <w:rFonts w:ascii="Tahoma" w:hAnsi="Tahoma" w:cs="Tahoma"/>
      <w:sz w:val="24"/>
    </w:rPr>
  </w:style>
  <w:style w:type="paragraph" w:customStyle="1" w:styleId="49">
    <w:name w:val="_Style 18"/>
    <w:basedOn w:val="1"/>
    <w:qFormat/>
    <w:uiPriority w:val="0"/>
    <w:pPr>
      <w:ind w:firstLine="420" w:firstLineChars="200"/>
    </w:pPr>
    <w:rPr>
      <w:rFonts w:ascii="Calibri" w:hAnsi="Calibri" w:cs="宋体"/>
    </w:rPr>
  </w:style>
  <w:style w:type="paragraph" w:customStyle="1" w:styleId="50">
    <w:name w:val="样式1"/>
    <w:basedOn w:val="1"/>
    <w:qFormat/>
    <w:uiPriority w:val="0"/>
    <w:pPr>
      <w:spacing w:line="360" w:lineRule="exact"/>
      <w:ind w:firstLine="200" w:firstLineChars="200"/>
    </w:pPr>
    <w:rPr>
      <w:rFonts w:ascii="Arial" w:hAnsi="Arial" w:cs="宋体"/>
    </w:rPr>
  </w:style>
  <w:style w:type="paragraph" w:customStyle="1" w:styleId="51">
    <w:name w:val="_Style 46"/>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2级标题"/>
    <w:basedOn w:val="1"/>
    <w:next w:val="1"/>
    <w:qFormat/>
    <w:uiPriority w:val="0"/>
    <w:pPr>
      <w:numPr>
        <w:ilvl w:val="1"/>
        <w:numId w:val="2"/>
      </w:numPr>
      <w:spacing w:line="360" w:lineRule="auto"/>
      <w:outlineLvl w:val="1"/>
    </w:pPr>
    <w:rPr>
      <w:rFonts w:ascii="宋体" w:hAnsi="宋体"/>
      <w:b/>
      <w:sz w:val="24"/>
      <w:szCs w:val="28"/>
    </w:rPr>
  </w:style>
  <w:style w:type="paragraph" w:customStyle="1" w:styleId="53">
    <w:name w:val="3级标题"/>
    <w:basedOn w:val="52"/>
    <w:next w:val="1"/>
    <w:qFormat/>
    <w:uiPriority w:val="0"/>
    <w:pPr>
      <w:numPr>
        <w:ilvl w:val="2"/>
      </w:numPr>
      <w:outlineLvl w:val="2"/>
    </w:pPr>
  </w:style>
  <w:style w:type="paragraph" w:customStyle="1" w:styleId="54">
    <w:name w:val="Plain Text1"/>
    <w:basedOn w:val="1"/>
    <w:qFormat/>
    <w:uiPriority w:val="0"/>
    <w:pPr>
      <w:adjustRightInd w:val="0"/>
      <w:textAlignment w:val="baseline"/>
    </w:pPr>
    <w:rPr>
      <w:rFonts w:ascii="宋体" w:hAnsi="Courier New" w:eastAsia="楷体_GB2312" w:cs="宋体"/>
      <w:sz w:val="26"/>
    </w:rPr>
  </w:style>
  <w:style w:type="paragraph" w:customStyle="1" w:styleId="55">
    <w:name w:val="Heading1"/>
    <w:basedOn w:val="1"/>
    <w:next w:val="1"/>
    <w:qFormat/>
    <w:uiPriority w:val="0"/>
    <w:pPr>
      <w:keepNext/>
      <w:keepLines/>
      <w:spacing w:before="340" w:after="330" w:line="578" w:lineRule="auto"/>
      <w:jc w:val="center"/>
      <w:textAlignment w:val="baseline"/>
    </w:pPr>
    <w:rPr>
      <w:rFonts w:ascii="Calibri" w:hAnsi="Calibri"/>
      <w:b/>
      <w:bCs/>
      <w:kern w:val="44"/>
      <w:sz w:val="32"/>
      <w:szCs w:val="44"/>
    </w:rPr>
  </w:style>
  <w:style w:type="paragraph" w:customStyle="1" w:styleId="56">
    <w:name w:val="纯文本1"/>
    <w:basedOn w:val="1"/>
    <w:qFormat/>
    <w:uiPriority w:val="0"/>
    <w:pPr>
      <w:adjustRightInd w:val="0"/>
      <w:textAlignment w:val="baseline"/>
    </w:pPr>
    <w:rPr>
      <w:rFonts w:ascii="宋体" w:hAnsi="Courier New" w:eastAsia="楷体_GB2312" w:cs="宋体"/>
      <w:sz w:val="26"/>
    </w:rPr>
  </w:style>
  <w:style w:type="paragraph" w:customStyle="1" w:styleId="57">
    <w:name w:val="正文 A"/>
    <w:qFormat/>
    <w:uiPriority w:val="0"/>
    <w:pPr>
      <w:widowControl w:val="0"/>
      <w:jc w:val="both"/>
    </w:pPr>
    <w:rPr>
      <w:rFonts w:ascii="Times New Roman" w:hAnsi="Times New Roman" w:eastAsia="宋体" w:cs="Times New Roman"/>
      <w:color w:val="000000"/>
      <w:kern w:val="2"/>
      <w:sz w:val="28"/>
      <w:szCs w:val="28"/>
      <w:u w:color="000000"/>
      <w:lang w:val="en-US" w:eastAsia="zh-CN" w:bidi="ar-SA"/>
    </w:rPr>
  </w:style>
  <w:style w:type="paragraph" w:customStyle="1" w:styleId="58">
    <w:name w:val="表头文本"/>
    <w:basedOn w:val="1"/>
    <w:qFormat/>
    <w:uiPriority w:val="0"/>
    <w:pPr>
      <w:autoSpaceDE w:val="0"/>
      <w:autoSpaceDN w:val="0"/>
      <w:adjustRightInd w:val="0"/>
      <w:jc w:val="center"/>
    </w:pPr>
    <w:rPr>
      <w:rFonts w:ascii="Calibri" w:hAnsi="Calibri" w:cs="宋体"/>
      <w:b/>
      <w:kern w:val="0"/>
      <w:sz w:val="24"/>
    </w:rPr>
  </w:style>
  <w:style w:type="paragraph" w:customStyle="1" w:styleId="59">
    <w:name w:val="_Style 1"/>
    <w:basedOn w:val="1"/>
    <w:qFormat/>
    <w:uiPriority w:val="0"/>
    <w:pPr>
      <w:ind w:firstLine="420" w:firstLineChars="200"/>
    </w:pPr>
    <w:rPr>
      <w:rFonts w:ascii="Calibri" w:hAnsi="Calibri" w:cs="宋体"/>
    </w:rPr>
  </w:style>
  <w:style w:type="paragraph" w:customStyle="1" w:styleId="60">
    <w:name w:val="正文2"/>
    <w:basedOn w:val="1"/>
    <w:qFormat/>
    <w:uiPriority w:val="0"/>
    <w:pPr>
      <w:spacing w:line="360" w:lineRule="auto"/>
      <w:ind w:firstLine="510" w:firstLineChars="200"/>
    </w:pPr>
    <w:rPr>
      <w:rFonts w:ascii="Calibri" w:hAnsi="Calibri" w:cs="宋体"/>
      <w:sz w:val="24"/>
    </w:rPr>
  </w:style>
  <w:style w:type="paragraph" w:customStyle="1" w:styleId="61">
    <w:name w:val="条文1"/>
    <w:basedOn w:val="1"/>
    <w:qFormat/>
    <w:uiPriority w:val="0"/>
    <w:pPr>
      <w:numPr>
        <w:ilvl w:val="0"/>
        <w:numId w:val="3"/>
      </w:numPr>
      <w:tabs>
        <w:tab w:val="left" w:pos="720"/>
        <w:tab w:val="clear" w:pos="1365"/>
      </w:tabs>
      <w:spacing w:line="360" w:lineRule="auto"/>
    </w:pPr>
    <w:rPr>
      <w:rFonts w:ascii="MS UI Gothic" w:hAnsi="MS UI Gothic" w:cs="宋体"/>
      <w:kern w:val="44"/>
      <w:sz w:val="24"/>
    </w:rPr>
  </w:style>
  <w:style w:type="paragraph" w:customStyle="1" w:styleId="62">
    <w:name w:val="彩色列表 - 强调文字颜色 11"/>
    <w:basedOn w:val="1"/>
    <w:qFormat/>
    <w:uiPriority w:val="0"/>
    <w:pPr>
      <w:ind w:firstLine="420" w:firstLineChars="200"/>
    </w:pPr>
    <w:rPr>
      <w:rFonts w:ascii="Calibri" w:hAnsi="Calibri" w:cs="宋体"/>
      <w:szCs w:val="22"/>
    </w:rPr>
  </w:style>
  <w:style w:type="paragraph" w:customStyle="1" w:styleId="63">
    <w:name w:val="无间距1"/>
    <w:qFormat/>
    <w:uiPriority w:val="0"/>
    <w:pPr>
      <w:widowControl w:val="0"/>
      <w:jc w:val="both"/>
    </w:pPr>
    <w:rPr>
      <w:rFonts w:ascii="Times New Roman" w:hAnsi="Times New Roman" w:eastAsia="微软雅黑 Light" w:cs="Times New Roman"/>
      <w:kern w:val="2"/>
      <w:sz w:val="24"/>
      <w:szCs w:val="22"/>
      <w:lang w:val="en-US" w:eastAsia="zh-CN" w:bidi="ar-SA"/>
    </w:rPr>
  </w:style>
  <w:style w:type="paragraph" w:customStyle="1" w:styleId="64">
    <w:name w:val="Char Char Char Char Char Char Char Char Char Char Char Char Char Char Char Char Char Char Char Char Char Char Char Char Char"/>
    <w:basedOn w:val="1"/>
    <w:qFormat/>
    <w:uiPriority w:val="0"/>
    <w:rPr>
      <w:rFonts w:ascii="Tahoma" w:hAnsi="Tahoma" w:cs="宋体"/>
      <w:sz w:val="24"/>
      <w:szCs w:val="20"/>
    </w:rPr>
  </w:style>
  <w:style w:type="paragraph" w:customStyle="1" w:styleId="65">
    <w:name w:val="列出段落11"/>
    <w:basedOn w:val="1"/>
    <w:qFormat/>
    <w:uiPriority w:val="0"/>
    <w:pPr>
      <w:ind w:firstLine="420" w:firstLineChars="200"/>
    </w:pPr>
    <w:rPr>
      <w:szCs w:val="20"/>
    </w:rPr>
  </w:style>
  <w:style w:type="paragraph" w:customStyle="1" w:styleId="66">
    <w:name w:val="正文段"/>
    <w:basedOn w:val="1"/>
    <w:qFormat/>
    <w:uiPriority w:val="0"/>
    <w:pPr>
      <w:widowControl/>
      <w:snapToGrid w:val="0"/>
      <w:spacing w:afterLines="50"/>
      <w:ind w:firstLine="200" w:firstLineChars="200"/>
    </w:pPr>
    <w:rPr>
      <w:rFonts w:ascii="Calibri" w:hAnsi="Calibri" w:cs="宋体"/>
      <w:kern w:val="0"/>
      <w:sz w:val="24"/>
      <w:szCs w:val="20"/>
    </w:rPr>
  </w:style>
  <w:style w:type="paragraph" w:customStyle="1" w:styleId="67">
    <w:name w:val="4级标题"/>
    <w:basedOn w:val="53"/>
    <w:next w:val="1"/>
    <w:qFormat/>
    <w:uiPriority w:val="0"/>
    <w:pPr>
      <w:numPr>
        <w:ilvl w:val="3"/>
      </w:numPr>
      <w:adjustRightInd w:val="0"/>
      <w:outlineLvl w:val="3"/>
    </w:pPr>
  </w:style>
  <w:style w:type="paragraph" w:customStyle="1" w:styleId="68">
    <w:name w:val="DAS正文"/>
    <w:basedOn w:val="1"/>
    <w:qFormat/>
    <w:uiPriority w:val="0"/>
    <w:pPr>
      <w:spacing w:line="360" w:lineRule="auto"/>
      <w:ind w:right="181" w:firstLine="480" w:firstLineChars="200"/>
    </w:pPr>
    <w:rPr>
      <w:rFonts w:ascii="Verdana" w:hAnsi="Verdana"/>
      <w:szCs w:val="20"/>
    </w:rPr>
  </w:style>
  <w:style w:type="paragraph" w:customStyle="1" w:styleId="69">
    <w:name w:val="Normal (Web)1"/>
    <w:basedOn w:val="1"/>
    <w:qFormat/>
    <w:uiPriority w:val="0"/>
    <w:pPr>
      <w:spacing w:before="100" w:beforeAutospacing="1" w:after="100" w:afterAutospacing="1"/>
      <w:jc w:val="left"/>
    </w:pPr>
    <w:rPr>
      <w:rFonts w:ascii="Calibri" w:hAnsi="Calibri"/>
      <w:sz w:val="24"/>
    </w:rPr>
  </w:style>
  <w:style w:type="table" w:customStyle="1" w:styleId="70">
    <w:name w:val="Table Grid1"/>
    <w:basedOn w:val="3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
    <w:name w:val="Hyperlink.0"/>
    <w:qFormat/>
    <w:uiPriority w:val="0"/>
    <w:rPr>
      <w:rFonts w:ascii="宋体" w:hAnsi="宋体" w:eastAsia="宋体"/>
      <w:sz w:val="24"/>
      <w:lang w:val="en-US"/>
    </w:rPr>
  </w:style>
  <w:style w:type="character" w:customStyle="1" w:styleId="72">
    <w:name w:val="font51"/>
    <w:basedOn w:val="35"/>
    <w:qFormat/>
    <w:uiPriority w:val="0"/>
    <w:rPr>
      <w:rFonts w:hint="eastAsia" w:ascii="宋体" w:hAnsi="宋体" w:eastAsia="宋体" w:cs="宋体"/>
      <w:color w:val="000000"/>
      <w:sz w:val="20"/>
      <w:szCs w:val="20"/>
      <w:u w:val="none"/>
    </w:rPr>
  </w:style>
  <w:style w:type="character" w:customStyle="1" w:styleId="73">
    <w:name w:val="font41"/>
    <w:basedOn w:val="35"/>
    <w:qFormat/>
    <w:uiPriority w:val="0"/>
    <w:rPr>
      <w:rFonts w:hint="eastAsia" w:ascii="宋体" w:hAnsi="宋体" w:eastAsia="宋体" w:cs="宋体"/>
      <w:color w:val="000000"/>
      <w:sz w:val="20"/>
      <w:szCs w:val="20"/>
      <w:u w:val="none"/>
    </w:rPr>
  </w:style>
  <w:style w:type="character" w:customStyle="1" w:styleId="74">
    <w:name w:val="font31"/>
    <w:basedOn w:val="35"/>
    <w:qFormat/>
    <w:uiPriority w:val="0"/>
    <w:rPr>
      <w:rFonts w:ascii="微软雅黑" w:hAnsi="微软雅黑" w:eastAsia="微软雅黑" w:cs="微软雅黑"/>
      <w:color w:val="000000"/>
      <w:sz w:val="20"/>
      <w:szCs w:val="20"/>
      <w:u w:val="none"/>
    </w:rPr>
  </w:style>
  <w:style w:type="character" w:customStyle="1" w:styleId="75">
    <w:name w:val="font11"/>
    <w:basedOn w:val="35"/>
    <w:qFormat/>
    <w:uiPriority w:val="0"/>
    <w:rPr>
      <w:rFonts w:hint="eastAsia" w:ascii="宋体" w:hAnsi="宋体" w:eastAsia="宋体" w:cs="宋体"/>
      <w:color w:val="000000"/>
      <w:sz w:val="20"/>
      <w:szCs w:val="20"/>
      <w:u w:val="none"/>
    </w:rPr>
  </w:style>
  <w:style w:type="character" w:customStyle="1" w:styleId="76">
    <w:name w:val="font01"/>
    <w:basedOn w:val="35"/>
    <w:qFormat/>
    <w:uiPriority w:val="0"/>
    <w:rPr>
      <w:rFonts w:hint="eastAsia" w:ascii="宋体" w:hAnsi="宋体" w:eastAsia="宋体" w:cs="宋体"/>
      <w:color w:val="000000"/>
      <w:sz w:val="20"/>
      <w:szCs w:val="20"/>
      <w:u w:val="none"/>
    </w:rPr>
  </w:style>
  <w:style w:type="paragraph" w:customStyle="1" w:styleId="77">
    <w:name w:val="Plain Text"/>
    <w:basedOn w:val="1"/>
    <w:qFormat/>
    <w:uiPriority w:val="0"/>
    <w:pPr>
      <w:adjustRightInd w:val="0"/>
      <w:textAlignment w:val="baseline"/>
    </w:pPr>
    <w:rPr>
      <w:rFonts w:ascii="宋体" w:hAnsi="Courier New" w:eastAsia="楷体_GB2312" w:cs="宋体"/>
      <w:sz w:val="26"/>
    </w:rPr>
  </w:style>
  <w:style w:type="character" w:customStyle="1" w:styleId="78">
    <w:name w:val="sub"/>
    <w:qFormat/>
    <w:uiPriority w:val="0"/>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character" w:customStyle="1" w:styleId="80">
    <w:name w:val="font21"/>
    <w:basedOn w:val="35"/>
    <w:qFormat/>
    <w:uiPriority w:val="0"/>
    <w:rPr>
      <w:rFonts w:hint="eastAsia" w:ascii="宋体" w:hAnsi="宋体" w:eastAsia="宋体" w:cs="宋体"/>
      <w:color w:val="4C4C4C"/>
      <w:sz w:val="22"/>
      <w:szCs w:val="22"/>
      <w:u w:val="none"/>
    </w:rPr>
  </w:style>
  <w:style w:type="paragraph" w:customStyle="1" w:styleId="81">
    <w:name w:val="List Paragraph"/>
    <w:basedOn w:val="1"/>
    <w:qFormat/>
    <w:uiPriority w:val="0"/>
    <w:pPr>
      <w:ind w:firstLine="420" w:firstLineChars="200"/>
    </w:pPr>
    <w:rPr>
      <w:szCs w:val="24"/>
    </w:rPr>
  </w:style>
  <w:style w:type="paragraph" w:customStyle="1" w:styleId="82">
    <w:name w:val="CM11"/>
    <w:basedOn w:val="83"/>
    <w:next w:val="83"/>
    <w:unhideWhenUsed/>
    <w:qFormat/>
    <w:uiPriority w:val="99"/>
    <w:pPr>
      <w:spacing w:before="0" w:after="0" w:line="520" w:lineRule="atLeast"/>
    </w:pPr>
    <w:rPr>
      <w:rFonts w:hint="eastAsia" w:ascii="仿宋" w:eastAsia="仿宋" w:cs="Times New Roman"/>
      <w:szCs w:val="20"/>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4">
    <w:name w:val="d正文"/>
    <w:basedOn w:val="1"/>
    <w:qFormat/>
    <w:uiPriority w:val="0"/>
    <w:pPr>
      <w:widowControl/>
      <w:ind w:firstLine="480"/>
      <w:jc w:val="left"/>
    </w:pPr>
    <w:rPr>
      <w:rFonts w:ascii="宋体" w:hAnsi="宋体" w:eastAsia="仿宋_GB2312" w:cs="宋体"/>
      <w:kern w:val="0"/>
      <w:szCs w:val="20"/>
    </w:rPr>
  </w:style>
  <w:style w:type="paragraph" w:customStyle="1" w:styleId="85">
    <w:name w:val="*正文"/>
    <w:basedOn w:val="1"/>
    <w:qFormat/>
    <w:uiPriority w:val="0"/>
    <w:pPr>
      <w:spacing w:line="360" w:lineRule="auto"/>
      <w:ind w:firstLine="480" w:firstLineChars="200"/>
    </w:pPr>
    <w:rPr>
      <w:rFonts w:ascii="Calibri" w:hAnsi="Calibri" w:cs="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32495</Words>
  <Characters>33821</Characters>
  <Lines>228</Lines>
  <Paragraphs>64</Paragraphs>
  <TotalTime>11</TotalTime>
  <ScaleCrop>false</ScaleCrop>
  <LinksUpToDate>false</LinksUpToDate>
  <CharactersWithSpaces>35979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2022-05-01T05:50:00Z</dcterms:created>
  <dc:creator>杜娟</dc:creator>
  <cp:lastModifiedBy>WPS_1613569740</cp:lastModifiedBy>
  <cp:lastPrinted>2022-04-14T08:59:00Z</cp:lastPrinted>
  <dcterms:modified xsi:type="dcterms:W3CDTF">2022-11-21T08:27:49Z</dcterms:modified>
  <dc:title>南湖区市场监管局食品安全风险评估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CB10E044CC054184AE24FE1F0B3025C2</vt:lpwstr>
  </property>
</Properties>
</file>